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2819" w14:textId="77777777" w:rsidR="00A81CAD" w:rsidRPr="005D2463" w:rsidRDefault="00000000">
      <w:pPr>
        <w:pStyle w:val="aa"/>
        <w:spacing w:after="40"/>
        <w:jc w:val="center"/>
        <w:rPr>
          <w:rFonts w:asciiTheme="minorHAnsi" w:hAnsiTheme="minorHAnsi"/>
        </w:rPr>
      </w:pPr>
      <w:r w:rsidRPr="005D2463">
        <w:rPr>
          <w:rFonts w:asciiTheme="minorHAnsi" w:hAnsiTheme="minorHAnsi"/>
          <w:b/>
          <w:color w:val="000000"/>
          <w:sz w:val="40"/>
        </w:rPr>
        <w:t>Preliminary Project Proposal</w:t>
      </w:r>
    </w:p>
    <w:p w14:paraId="3210F264" w14:textId="77777777" w:rsidR="00A81CAD" w:rsidRPr="005D2463" w:rsidRDefault="00000000">
      <w:pPr>
        <w:pStyle w:val="ac"/>
        <w:spacing w:after="240"/>
        <w:jc w:val="center"/>
        <w:rPr>
          <w:rFonts w:asciiTheme="minorHAnsi" w:hAnsiTheme="minorHAnsi"/>
        </w:rPr>
      </w:pPr>
      <w:r w:rsidRPr="005D2463">
        <w:rPr>
          <w:rFonts w:asciiTheme="minorHAnsi" w:hAnsiTheme="minorHAnsi"/>
          <w:b/>
          <w:i w:val="0"/>
          <w:color w:val="000000"/>
        </w:rPr>
        <w:t>Seattle Rent Affordability and Housing Market Analysis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376"/>
        <w:gridCol w:w="6912"/>
      </w:tblGrid>
      <w:tr w:rsidR="00A81CAD" w:rsidRPr="002E694B" w14:paraId="6659EE67" w14:textId="77777777" w:rsidTr="002E694B">
        <w:trPr>
          <w:tblHeader/>
          <w:jc w:val="center"/>
        </w:trPr>
        <w:tc>
          <w:tcPr>
            <w:tcW w:w="2376" w:type="dxa"/>
            <w:shd w:val="clear" w:color="auto" w:fill="F4F7FA"/>
            <w:vAlign w:val="center"/>
          </w:tcPr>
          <w:p w14:paraId="4F2FBFB8"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Course</w:t>
            </w:r>
          </w:p>
        </w:tc>
        <w:tc>
          <w:tcPr>
            <w:tcW w:w="6912" w:type="dxa"/>
            <w:vAlign w:val="center"/>
          </w:tcPr>
          <w:p w14:paraId="75DACF91"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CISC7204 Data Science and Data Visualization</w:t>
            </w:r>
          </w:p>
        </w:tc>
      </w:tr>
      <w:tr w:rsidR="00A81CAD" w:rsidRPr="002E694B" w14:paraId="27DCAE32" w14:textId="77777777" w:rsidTr="002E694B">
        <w:trPr>
          <w:jc w:val="center"/>
        </w:trPr>
        <w:tc>
          <w:tcPr>
            <w:tcW w:w="2376" w:type="dxa"/>
            <w:shd w:val="clear" w:color="auto" w:fill="F4F7FA"/>
            <w:vAlign w:val="center"/>
          </w:tcPr>
          <w:p w14:paraId="231BC1A8"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Assessment</w:t>
            </w:r>
          </w:p>
        </w:tc>
        <w:tc>
          <w:tcPr>
            <w:tcW w:w="6912" w:type="dxa"/>
            <w:vAlign w:val="center"/>
          </w:tcPr>
          <w:p w14:paraId="7AE11482"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Assignment 01 Preliminary Project Proposal</w:t>
            </w:r>
          </w:p>
        </w:tc>
      </w:tr>
      <w:tr w:rsidR="00A81CAD" w:rsidRPr="002E694B" w14:paraId="7A6B4400" w14:textId="77777777" w:rsidTr="002E694B">
        <w:trPr>
          <w:jc w:val="center"/>
        </w:trPr>
        <w:tc>
          <w:tcPr>
            <w:tcW w:w="2376" w:type="dxa"/>
            <w:shd w:val="clear" w:color="auto" w:fill="F4F7FA"/>
            <w:vAlign w:val="center"/>
          </w:tcPr>
          <w:p w14:paraId="58138E74"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Student</w:t>
            </w:r>
          </w:p>
        </w:tc>
        <w:tc>
          <w:tcPr>
            <w:tcW w:w="6912" w:type="dxa"/>
            <w:vAlign w:val="center"/>
          </w:tcPr>
          <w:p w14:paraId="014CCD43"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MC660061 Li WaiCheng</w:t>
            </w:r>
          </w:p>
        </w:tc>
      </w:tr>
    </w:tbl>
    <w:p w14:paraId="001CAAD7" w14:textId="77777777" w:rsidR="00A81CAD" w:rsidRPr="005D2463" w:rsidRDefault="00A81CAD">
      <w:pPr>
        <w:spacing w:after="40"/>
        <w:rPr>
          <w:rFonts w:asciiTheme="minorHAnsi" w:hAnsiTheme="minorHAnsi"/>
        </w:rPr>
      </w:pPr>
    </w:p>
    <w:p w14:paraId="66D2BC44" w14:textId="77777777" w:rsidR="00A81CAD" w:rsidRPr="005D2463" w:rsidRDefault="00000000" w:rsidP="005D2463">
      <w:pPr>
        <w:pStyle w:val="1"/>
        <w:spacing w:line="360" w:lineRule="auto"/>
        <w:rPr>
          <w:rFonts w:asciiTheme="minorHAnsi" w:hAnsiTheme="minorHAnsi"/>
          <w:sz w:val="28"/>
        </w:rPr>
      </w:pPr>
      <w:r w:rsidRPr="005D2463">
        <w:rPr>
          <w:rFonts w:asciiTheme="minorHAnsi" w:hAnsiTheme="minorHAnsi"/>
          <w:sz w:val="28"/>
        </w:rPr>
        <w:t>1 Project Title and Research Questions</w:t>
      </w:r>
    </w:p>
    <w:p w14:paraId="3D8D6574"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t>1.1 Project title</w:t>
      </w:r>
    </w:p>
    <w:p w14:paraId="7479F8D1"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An Analysis of Rent Affordability and Housing Market Dynamics in Seattle Communities</w:t>
      </w:r>
    </w:p>
    <w:p w14:paraId="064B566D"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t>1.2 Research questions</w:t>
      </w:r>
    </w:p>
    <w:p w14:paraId="133F47AD"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The primary question is: How is the number of mixed-income apartments associated with median apartment rent per unit across Seattle census tracts from 2001 to 2025?</w:t>
      </w:r>
    </w:p>
    <w:p w14:paraId="7DAD7489"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The analysis also asks whether mixed-income apartment counts are associated with year-over-year rent growth, how rent levels vary across communities and years, and how well year, mixed-income count, and property count predict rent levels. These are observational questions about association and prediction; they are not causal claims.</w:t>
      </w:r>
    </w:p>
    <w:p w14:paraId="025CB0EC" w14:textId="77777777" w:rsidR="00A81CAD" w:rsidRPr="005D2463" w:rsidRDefault="00000000" w:rsidP="005D2463">
      <w:pPr>
        <w:pStyle w:val="1"/>
        <w:spacing w:line="360" w:lineRule="auto"/>
        <w:rPr>
          <w:rFonts w:asciiTheme="minorHAnsi" w:hAnsiTheme="minorHAnsi"/>
          <w:sz w:val="28"/>
        </w:rPr>
      </w:pPr>
      <w:r w:rsidRPr="005D2463">
        <w:rPr>
          <w:rFonts w:asciiTheme="minorHAnsi" w:hAnsiTheme="minorHAnsi"/>
          <w:sz w:val="28"/>
        </w:rPr>
        <w:t>2 Region, Domain, and Scope</w:t>
      </w:r>
    </w:p>
    <w:p w14:paraId="38FBF8AB"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t>2.1 Region</w:t>
      </w:r>
    </w:p>
    <w:p w14:paraId="357F9509"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Seattle, Washington, United States. The unit of analysis is a census tract-year observation, with community reporting areas used for grouped comparisons.</w:t>
      </w:r>
    </w:p>
    <w:p w14:paraId="7A854DBD"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t>2.2 Domain category</w:t>
      </w:r>
    </w:p>
    <w:p w14:paraId="670432D6"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Urban housing, rent affordability, and real-estate market analysis. The topic is socially relevant because rent levels vary across neighborhoods and may reflect differences in housing supply, location, and market conditions.</w:t>
      </w:r>
    </w:p>
    <w:p w14:paraId="271F1A3B"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lastRenderedPageBreak/>
        <w:t>2.3 Scope decision</w:t>
      </w:r>
    </w:p>
    <w:p w14:paraId="6F3DFEC8"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This proposal uses the supplied Seattle rent dataset only. The separate single-family home-flips dataset mentioned in the earlier draft was not supplied and is not used by the current Notebook, so home flipping is excluded from the primary analysis rather than presented as an implemented data source.</w:t>
      </w:r>
    </w:p>
    <w:p w14:paraId="38642516" w14:textId="77777777" w:rsidR="00A81CAD" w:rsidRPr="005D2463" w:rsidRDefault="00000000" w:rsidP="005D2463">
      <w:pPr>
        <w:pStyle w:val="1"/>
        <w:spacing w:line="360" w:lineRule="auto"/>
        <w:rPr>
          <w:rFonts w:asciiTheme="minorHAnsi" w:hAnsiTheme="minorHAnsi"/>
          <w:sz w:val="28"/>
        </w:rPr>
      </w:pPr>
      <w:r w:rsidRPr="005D2463">
        <w:rPr>
          <w:rFonts w:asciiTheme="minorHAnsi" w:hAnsiTheme="minorHAnsi"/>
          <w:sz w:val="28"/>
        </w:rPr>
        <w:t>3 Data Source and Variables</w:t>
      </w:r>
    </w:p>
    <w:p w14:paraId="74EF7C27"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t>3.1 Supplied dataset</w:t>
      </w:r>
    </w:p>
    <w:p w14:paraId="227AE918"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Apartment Market Rent Prices by Census Tract, provided as a CSV file from the U.S. Government Open Data Platform: https://catalog.data.gov/dataset/apartment-market-rent-prices-by-census-tract</w:t>
      </w:r>
    </w:p>
    <w:p w14:paraId="604CFA2F"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The file contains 4,500 rows and 18 columns: 180 census tracts observed once per year for 25 years from 2001 through 2025. The rent-per-unit field contains 569 zero values; these are treated as invalid for rent-level analysis, leaving 3,931 valid observations. The remaining numeric analysis fields have no missing values.</w:t>
      </w:r>
    </w:p>
    <w:p w14:paraId="0426CD52"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t>3.2 Analysis variables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376"/>
        <w:gridCol w:w="2232"/>
        <w:gridCol w:w="4464"/>
      </w:tblGrid>
      <w:tr w:rsidR="00A81CAD" w:rsidRPr="005D2463" w14:paraId="17A35512" w14:textId="77777777" w:rsidTr="002E694B">
        <w:trPr>
          <w:tblHeader/>
          <w:jc w:val="center"/>
        </w:trPr>
        <w:tc>
          <w:tcPr>
            <w:tcW w:w="2376" w:type="dxa"/>
            <w:shd w:val="clear" w:color="auto" w:fill="D9EAF7"/>
            <w:vAlign w:val="center"/>
          </w:tcPr>
          <w:p w14:paraId="5F9F7A02"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Variable</w:t>
            </w:r>
          </w:p>
        </w:tc>
        <w:tc>
          <w:tcPr>
            <w:tcW w:w="2232" w:type="dxa"/>
            <w:shd w:val="clear" w:color="auto" w:fill="D9EAF7"/>
            <w:vAlign w:val="center"/>
          </w:tcPr>
          <w:p w14:paraId="041899EA"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Role in analysis</w:t>
            </w:r>
          </w:p>
        </w:tc>
        <w:tc>
          <w:tcPr>
            <w:tcW w:w="4464" w:type="dxa"/>
            <w:shd w:val="clear" w:color="auto" w:fill="D9EAF7"/>
            <w:vAlign w:val="center"/>
          </w:tcPr>
          <w:p w14:paraId="3ED54ACC"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Operational meaning</w:t>
            </w:r>
          </w:p>
        </w:tc>
      </w:tr>
      <w:tr w:rsidR="00A81CAD" w:rsidRPr="005D2463" w14:paraId="1693A324" w14:textId="77777777" w:rsidTr="002E694B">
        <w:trPr>
          <w:jc w:val="center"/>
        </w:trPr>
        <w:tc>
          <w:tcPr>
            <w:tcW w:w="2376" w:type="dxa"/>
            <w:vAlign w:val="center"/>
          </w:tcPr>
          <w:p w14:paraId="700348A9"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rent_per_unit</w:t>
            </w:r>
          </w:p>
        </w:tc>
        <w:tc>
          <w:tcPr>
            <w:tcW w:w="2232" w:type="dxa"/>
            <w:vAlign w:val="center"/>
          </w:tcPr>
          <w:p w14:paraId="49077348"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Outcome</w:t>
            </w:r>
          </w:p>
        </w:tc>
        <w:tc>
          <w:tcPr>
            <w:tcW w:w="4464" w:type="dxa"/>
            <w:vAlign w:val="center"/>
          </w:tcPr>
          <w:p w14:paraId="3DDE5C9C"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Tract median apartment contract rent per unit, in dollars.</w:t>
            </w:r>
          </w:p>
        </w:tc>
      </w:tr>
      <w:tr w:rsidR="00A81CAD" w:rsidRPr="005D2463" w14:paraId="2678191E" w14:textId="77777777" w:rsidTr="002E694B">
        <w:trPr>
          <w:jc w:val="center"/>
        </w:trPr>
        <w:tc>
          <w:tcPr>
            <w:tcW w:w="2376" w:type="dxa"/>
            <w:shd w:val="clear" w:color="auto" w:fill="F4F7FA"/>
            <w:vAlign w:val="center"/>
          </w:tcPr>
          <w:p w14:paraId="38E66715"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rent_per_sqft</w:t>
            </w:r>
          </w:p>
        </w:tc>
        <w:tc>
          <w:tcPr>
            <w:tcW w:w="2232" w:type="dxa"/>
            <w:shd w:val="clear" w:color="auto" w:fill="F4F7FA"/>
            <w:vAlign w:val="center"/>
          </w:tcPr>
          <w:p w14:paraId="7A0D63A5"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Descriptive outcome</w:t>
            </w:r>
          </w:p>
        </w:tc>
        <w:tc>
          <w:tcPr>
            <w:tcW w:w="4464" w:type="dxa"/>
            <w:shd w:val="clear" w:color="auto" w:fill="F4F7FA"/>
            <w:vAlign w:val="center"/>
          </w:tcPr>
          <w:p w14:paraId="6EB4BB08"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Tract median apartment contract rent per square foot.</w:t>
            </w:r>
          </w:p>
        </w:tc>
      </w:tr>
      <w:tr w:rsidR="00A81CAD" w:rsidRPr="005D2463" w14:paraId="3788C77B" w14:textId="77777777" w:rsidTr="002E694B">
        <w:trPr>
          <w:jc w:val="center"/>
        </w:trPr>
        <w:tc>
          <w:tcPr>
            <w:tcW w:w="2376" w:type="dxa"/>
            <w:vAlign w:val="center"/>
          </w:tcPr>
          <w:p w14:paraId="68686D70"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mixed_income_count</w:t>
            </w:r>
          </w:p>
        </w:tc>
        <w:tc>
          <w:tcPr>
            <w:tcW w:w="2232" w:type="dxa"/>
            <w:vAlign w:val="center"/>
          </w:tcPr>
          <w:p w14:paraId="093B3DDA"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Main explanatory variable</w:t>
            </w:r>
          </w:p>
        </w:tc>
        <w:tc>
          <w:tcPr>
            <w:tcW w:w="4464" w:type="dxa"/>
            <w:vAlign w:val="center"/>
          </w:tcPr>
          <w:p w14:paraId="40C097B5"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Count of mixed-rate or mixed-income apartments in the tract.</w:t>
            </w:r>
          </w:p>
        </w:tc>
      </w:tr>
      <w:tr w:rsidR="00A81CAD" w:rsidRPr="005D2463" w14:paraId="1B9FCD38" w14:textId="77777777" w:rsidTr="002E694B">
        <w:trPr>
          <w:jc w:val="center"/>
        </w:trPr>
        <w:tc>
          <w:tcPr>
            <w:tcW w:w="2376" w:type="dxa"/>
            <w:shd w:val="clear" w:color="auto" w:fill="F4F7FA"/>
            <w:vAlign w:val="center"/>
          </w:tcPr>
          <w:p w14:paraId="15599387"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yoy_change_unit</w:t>
            </w:r>
          </w:p>
        </w:tc>
        <w:tc>
          <w:tcPr>
            <w:tcW w:w="2232" w:type="dxa"/>
            <w:shd w:val="clear" w:color="auto" w:fill="F4F7FA"/>
            <w:vAlign w:val="center"/>
          </w:tcPr>
          <w:p w14:paraId="287D4D5A"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Growth outcome</w:t>
            </w:r>
          </w:p>
        </w:tc>
        <w:tc>
          <w:tcPr>
            <w:tcW w:w="4464" w:type="dxa"/>
            <w:shd w:val="clear" w:color="auto" w:fill="F4F7FA"/>
            <w:vAlign w:val="center"/>
          </w:tcPr>
          <w:p w14:paraId="6A0D4F15"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Year-over-year change in median rent per unit.</w:t>
            </w:r>
          </w:p>
        </w:tc>
      </w:tr>
      <w:tr w:rsidR="00A81CAD" w:rsidRPr="005D2463" w14:paraId="77CFA165" w14:textId="77777777" w:rsidTr="002E694B">
        <w:trPr>
          <w:jc w:val="center"/>
        </w:trPr>
        <w:tc>
          <w:tcPr>
            <w:tcW w:w="2376" w:type="dxa"/>
            <w:vAlign w:val="center"/>
          </w:tcPr>
          <w:p w14:paraId="5C90A918"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Year</w:t>
            </w:r>
          </w:p>
        </w:tc>
        <w:tc>
          <w:tcPr>
            <w:tcW w:w="2232" w:type="dxa"/>
            <w:vAlign w:val="center"/>
          </w:tcPr>
          <w:p w14:paraId="34B3F00F"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Time predictor</w:t>
            </w:r>
          </w:p>
        </w:tc>
        <w:tc>
          <w:tcPr>
            <w:tcW w:w="4464" w:type="dxa"/>
            <w:vAlign w:val="center"/>
          </w:tcPr>
          <w:p w14:paraId="760D5054"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Calendar year, 2001-2025.</w:t>
            </w:r>
          </w:p>
        </w:tc>
      </w:tr>
      <w:tr w:rsidR="00A81CAD" w:rsidRPr="005D2463" w14:paraId="079D017C" w14:textId="77777777" w:rsidTr="002E694B">
        <w:trPr>
          <w:jc w:val="center"/>
        </w:trPr>
        <w:tc>
          <w:tcPr>
            <w:tcW w:w="2376" w:type="dxa"/>
            <w:shd w:val="clear" w:color="auto" w:fill="F4F7FA"/>
            <w:vAlign w:val="center"/>
          </w:tcPr>
          <w:p w14:paraId="736F9BB2"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property_count</w:t>
            </w:r>
          </w:p>
        </w:tc>
        <w:tc>
          <w:tcPr>
            <w:tcW w:w="2232" w:type="dxa"/>
            <w:shd w:val="clear" w:color="auto" w:fill="F4F7FA"/>
            <w:vAlign w:val="center"/>
          </w:tcPr>
          <w:p w14:paraId="1BB4ED2F"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Additional predictor</w:t>
            </w:r>
          </w:p>
        </w:tc>
        <w:tc>
          <w:tcPr>
            <w:tcW w:w="4464" w:type="dxa"/>
            <w:shd w:val="clear" w:color="auto" w:fill="F4F7FA"/>
            <w:vAlign w:val="center"/>
          </w:tcPr>
          <w:p w14:paraId="06FBDEBF"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Number of properties reported for the tract.</w:t>
            </w:r>
          </w:p>
        </w:tc>
      </w:tr>
      <w:tr w:rsidR="00A81CAD" w:rsidRPr="005D2463" w14:paraId="3BFD258F" w14:textId="77777777" w:rsidTr="002E694B">
        <w:trPr>
          <w:jc w:val="center"/>
        </w:trPr>
        <w:tc>
          <w:tcPr>
            <w:tcW w:w="2376" w:type="dxa"/>
            <w:vAlign w:val="center"/>
          </w:tcPr>
          <w:p w14:paraId="2D4E9916"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community</w:t>
            </w:r>
          </w:p>
        </w:tc>
        <w:tc>
          <w:tcPr>
            <w:tcW w:w="2232" w:type="dxa"/>
            <w:vAlign w:val="center"/>
          </w:tcPr>
          <w:p w14:paraId="3B53ACD2"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Grouping variable</w:t>
            </w:r>
          </w:p>
        </w:tc>
        <w:tc>
          <w:tcPr>
            <w:tcW w:w="4464" w:type="dxa"/>
            <w:vAlign w:val="center"/>
          </w:tcPr>
          <w:p w14:paraId="1419C73D" w14:textId="77777777" w:rsidR="00A81CAD" w:rsidRPr="002E694B" w:rsidRDefault="00000000" w:rsidP="002E694B">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Community reporting area name used for comparisons.</w:t>
            </w:r>
          </w:p>
        </w:tc>
      </w:tr>
    </w:tbl>
    <w:p w14:paraId="7996B3D7" w14:textId="77777777" w:rsidR="00A81CAD" w:rsidRPr="005D2463" w:rsidRDefault="00A81CAD">
      <w:pPr>
        <w:spacing w:after="20"/>
        <w:rPr>
          <w:rFonts w:asciiTheme="minorHAnsi" w:hAnsiTheme="minorHAnsi"/>
        </w:rPr>
      </w:pPr>
    </w:p>
    <w:p w14:paraId="257E3798" w14:textId="77777777" w:rsidR="00A81CAD" w:rsidRPr="002E694B" w:rsidRDefault="00000000" w:rsidP="002E694B">
      <w:pPr>
        <w:pStyle w:val="1"/>
        <w:spacing w:line="360" w:lineRule="auto"/>
        <w:rPr>
          <w:rFonts w:asciiTheme="minorHAnsi" w:hAnsiTheme="minorHAnsi"/>
          <w:sz w:val="28"/>
        </w:rPr>
      </w:pPr>
      <w:r w:rsidRPr="002E694B">
        <w:rPr>
          <w:rFonts w:asciiTheme="minorHAnsi" w:hAnsiTheme="minorHAnsi"/>
          <w:sz w:val="28"/>
        </w:rPr>
        <w:lastRenderedPageBreak/>
        <w:t>3.3 Data preparation</w:t>
      </w:r>
    </w:p>
    <w:p w14:paraId="762778B0" w14:textId="77777777" w:rsidR="00A81CAD" w:rsidRPr="00A10774" w:rsidRDefault="00000000" w:rsidP="00A10774">
      <w:pPr>
        <w:spacing w:line="360" w:lineRule="auto"/>
        <w:ind w:firstLineChars="200" w:firstLine="440"/>
        <w:rPr>
          <w:rFonts w:asciiTheme="minorHAnsi" w:hAnsiTheme="minorHAnsi"/>
          <w:color w:val="auto"/>
          <w:sz w:val="22"/>
        </w:rPr>
      </w:pPr>
      <w:r w:rsidRPr="00A10774">
        <w:rPr>
          <w:rFonts w:asciiTheme="minorHAnsi" w:hAnsiTheme="minorHAnsi"/>
          <w:color w:val="auto"/>
          <w:sz w:val="22"/>
        </w:rPr>
        <w:t>The Notebook renames long fields for readability, checks missingness and duplicate tract-year records, filters rent_per_unit to values greater than zero, and retains the balanced tract-year structure for exploratory analysis. Descriptive statistics are calculated after this filter so that invalid zero rents do not distort averages or correlations.</w:t>
      </w:r>
    </w:p>
    <w:p w14:paraId="634DFA29" w14:textId="77777777" w:rsidR="00A81CAD" w:rsidRPr="005D2463" w:rsidRDefault="00000000" w:rsidP="005D2463">
      <w:pPr>
        <w:pStyle w:val="1"/>
        <w:spacing w:line="360" w:lineRule="auto"/>
        <w:rPr>
          <w:rFonts w:asciiTheme="minorHAnsi" w:hAnsiTheme="minorHAnsi"/>
          <w:sz w:val="28"/>
        </w:rPr>
      </w:pPr>
      <w:r w:rsidRPr="005D2463">
        <w:rPr>
          <w:rFonts w:asciiTheme="minorHAnsi" w:hAnsiTheme="minorHAnsi"/>
          <w:sz w:val="28"/>
        </w:rPr>
        <w:t>4 Project Purpose and Learning Outcomes</w:t>
      </w:r>
    </w:p>
    <w:p w14:paraId="2BD918FE" w14:textId="7E56D50C" w:rsidR="002E694B" w:rsidRPr="002E694B" w:rsidRDefault="00000000" w:rsidP="002E694B">
      <w:pPr>
        <w:spacing w:line="360" w:lineRule="auto"/>
        <w:ind w:firstLineChars="200" w:firstLine="440"/>
        <w:rPr>
          <w:rFonts w:asciiTheme="minorHAnsi" w:eastAsia="宋体" w:hAnsiTheme="minorHAnsi"/>
          <w:color w:val="auto"/>
          <w:sz w:val="22"/>
          <w:lang w:eastAsia="zh-CN"/>
        </w:rPr>
      </w:pPr>
      <w:r w:rsidRPr="00A10774">
        <w:rPr>
          <w:rFonts w:asciiTheme="minorHAnsi" w:hAnsiTheme="minorHAnsi"/>
          <w:color w:val="auto"/>
          <w:sz w:val="22"/>
        </w:rPr>
        <w:t>This project applies CISC7204 methods to a real urban-housing dataset. It practices data loading and cleaning, descriptive statistics, exploratory visualization, correlation analysis, regression modeling, model evaluation, and communication of uncertainty.</w:t>
      </w:r>
    </w:p>
    <w:p w14:paraId="568DDFED" w14:textId="77777777" w:rsidR="00A81CAD" w:rsidRPr="00A10774" w:rsidRDefault="00000000" w:rsidP="00A10774">
      <w:pPr>
        <w:spacing w:line="360" w:lineRule="auto"/>
        <w:rPr>
          <w:rFonts w:asciiTheme="minorHAnsi" w:hAnsiTheme="minorHAnsi"/>
          <w:color w:val="auto"/>
          <w:sz w:val="22"/>
        </w:rPr>
      </w:pPr>
      <w:r w:rsidRPr="00A10774">
        <w:rPr>
          <w:rFonts w:asciiTheme="minorHAnsi" w:hAnsiTheme="minorHAnsi"/>
          <w:color w:val="auto"/>
          <w:sz w:val="22"/>
        </w:rPr>
        <w:t>Python tools: Pandas, NumPy, Matplotlib, Seaborn, and Scikit-learn.</w:t>
      </w:r>
    </w:p>
    <w:p w14:paraId="1BD47D90" w14:textId="77777777" w:rsidR="00A81CAD" w:rsidRPr="00A10774" w:rsidRDefault="00000000" w:rsidP="00A10774">
      <w:pPr>
        <w:spacing w:line="360" w:lineRule="auto"/>
        <w:rPr>
          <w:rFonts w:asciiTheme="minorHAnsi" w:hAnsiTheme="minorHAnsi"/>
          <w:color w:val="auto"/>
          <w:sz w:val="22"/>
        </w:rPr>
      </w:pPr>
      <w:r w:rsidRPr="00A10774">
        <w:rPr>
          <w:rFonts w:asciiTheme="minorHAnsi" w:hAnsiTheme="minorHAnsi"/>
          <w:color w:val="auto"/>
          <w:sz w:val="22"/>
        </w:rPr>
        <w:t>Statistical reasoning: associations, uncertainty, omitted variables, and correlation versus causation.</w:t>
      </w:r>
    </w:p>
    <w:p w14:paraId="41E1B775" w14:textId="77777777" w:rsidR="00A81CAD" w:rsidRPr="00A10774" w:rsidRDefault="00000000" w:rsidP="00A10774">
      <w:pPr>
        <w:spacing w:line="360" w:lineRule="auto"/>
        <w:rPr>
          <w:rFonts w:asciiTheme="minorHAnsi" w:hAnsiTheme="minorHAnsi"/>
          <w:color w:val="auto"/>
          <w:sz w:val="22"/>
        </w:rPr>
      </w:pPr>
      <w:r w:rsidRPr="00A10774">
        <w:rPr>
          <w:rFonts w:asciiTheme="minorHAnsi" w:hAnsiTheme="minorHAnsi"/>
          <w:color w:val="auto"/>
          <w:sz w:val="22"/>
        </w:rPr>
        <w:t>Communication: readable visualizations, plain-language interpretation, and a reproducible Jupyter Notebook.</w:t>
      </w:r>
    </w:p>
    <w:p w14:paraId="0B47DB8C" w14:textId="77777777" w:rsidR="00A81CAD" w:rsidRPr="005D2463" w:rsidRDefault="00000000" w:rsidP="005D2463">
      <w:pPr>
        <w:pStyle w:val="1"/>
        <w:spacing w:line="360" w:lineRule="auto"/>
        <w:rPr>
          <w:rFonts w:asciiTheme="minorHAnsi" w:hAnsiTheme="minorHAnsi"/>
          <w:sz w:val="28"/>
        </w:rPr>
      </w:pPr>
      <w:r w:rsidRPr="005D2463">
        <w:rPr>
          <w:rFonts w:asciiTheme="minorHAnsi" w:hAnsiTheme="minorHAnsi"/>
          <w:sz w:val="28"/>
        </w:rPr>
        <w:t>5 Project Tasks and Methodology</w:t>
      </w:r>
    </w:p>
    <w:p w14:paraId="5EBE4DBE" w14:textId="77777777" w:rsidR="00A81CAD" w:rsidRPr="00A10774" w:rsidRDefault="00000000" w:rsidP="00A10774">
      <w:pPr>
        <w:pStyle w:val="1"/>
        <w:spacing w:line="360" w:lineRule="auto"/>
        <w:rPr>
          <w:rFonts w:asciiTheme="minorHAnsi" w:hAnsiTheme="minorHAnsi"/>
          <w:sz w:val="28"/>
        </w:rPr>
      </w:pPr>
      <w:r w:rsidRPr="00A10774">
        <w:rPr>
          <w:rFonts w:asciiTheme="minorHAnsi" w:hAnsiTheme="minorHAnsi"/>
          <w:sz w:val="28"/>
        </w:rPr>
        <w:t>5.1 Data preparation</w:t>
      </w:r>
    </w:p>
    <w:p w14:paraId="45B96197" w14:textId="77777777" w:rsidR="00A81CAD" w:rsidRPr="002E694B" w:rsidRDefault="00000000" w:rsidP="002E694B">
      <w:pPr>
        <w:pStyle w:val="ae"/>
        <w:numPr>
          <w:ilvl w:val="0"/>
          <w:numId w:val="21"/>
        </w:numPr>
        <w:spacing w:line="360" w:lineRule="auto"/>
        <w:rPr>
          <w:rFonts w:asciiTheme="minorHAnsi" w:hAnsiTheme="minorHAnsi"/>
          <w:color w:val="auto"/>
          <w:sz w:val="22"/>
        </w:rPr>
      </w:pPr>
      <w:r w:rsidRPr="002E694B">
        <w:rPr>
          <w:rFonts w:asciiTheme="minorHAnsi" w:hAnsiTheme="minorHAnsi"/>
          <w:color w:val="auto"/>
          <w:sz w:val="22"/>
        </w:rPr>
        <w:t>Load the supplied CSV and verify its dimensions, field names, year range, missing values, and duplicate tract-year keys.</w:t>
      </w:r>
    </w:p>
    <w:p w14:paraId="73E1C973" w14:textId="77777777" w:rsidR="00A81CAD" w:rsidRPr="002E694B" w:rsidRDefault="00000000" w:rsidP="002E694B">
      <w:pPr>
        <w:pStyle w:val="ae"/>
        <w:numPr>
          <w:ilvl w:val="0"/>
          <w:numId w:val="21"/>
        </w:numPr>
        <w:spacing w:line="360" w:lineRule="auto"/>
        <w:rPr>
          <w:rFonts w:asciiTheme="minorHAnsi" w:hAnsiTheme="minorHAnsi"/>
          <w:color w:val="auto"/>
          <w:sz w:val="22"/>
        </w:rPr>
      </w:pPr>
      <w:r w:rsidRPr="002E694B">
        <w:rPr>
          <w:rFonts w:asciiTheme="minorHAnsi" w:hAnsiTheme="minorHAnsi"/>
          <w:color w:val="auto"/>
          <w:sz w:val="22"/>
        </w:rPr>
        <w:t>Rename the long source fields and filter out records with rent_per_unit equal to zero.</w:t>
      </w:r>
    </w:p>
    <w:p w14:paraId="37FA3AB0" w14:textId="77777777" w:rsidR="00A81CAD" w:rsidRPr="002E694B" w:rsidRDefault="00000000" w:rsidP="002E694B">
      <w:pPr>
        <w:pStyle w:val="ae"/>
        <w:numPr>
          <w:ilvl w:val="0"/>
          <w:numId w:val="21"/>
        </w:numPr>
        <w:spacing w:line="360" w:lineRule="auto"/>
        <w:rPr>
          <w:rFonts w:asciiTheme="minorHAnsi" w:hAnsiTheme="minorHAnsi"/>
          <w:color w:val="auto"/>
          <w:sz w:val="22"/>
        </w:rPr>
      </w:pPr>
      <w:r w:rsidRPr="002E694B">
        <w:rPr>
          <w:rFonts w:asciiTheme="minorHAnsi" w:hAnsiTheme="minorHAnsi"/>
          <w:color w:val="auto"/>
          <w:sz w:val="22"/>
        </w:rPr>
        <w:t>Document the resulting sample size and any limitations caused by invalid or unavailable values.</w:t>
      </w:r>
    </w:p>
    <w:p w14:paraId="15AA39CC" w14:textId="77777777" w:rsidR="00A81CAD" w:rsidRPr="00A10774" w:rsidRDefault="00000000" w:rsidP="00A10774">
      <w:pPr>
        <w:pStyle w:val="1"/>
        <w:spacing w:line="360" w:lineRule="auto"/>
        <w:rPr>
          <w:rFonts w:asciiTheme="minorHAnsi" w:hAnsiTheme="minorHAnsi"/>
          <w:sz w:val="28"/>
        </w:rPr>
      </w:pPr>
      <w:r w:rsidRPr="00A10774">
        <w:rPr>
          <w:rFonts w:asciiTheme="minorHAnsi" w:hAnsiTheme="minorHAnsi"/>
          <w:sz w:val="28"/>
        </w:rPr>
        <w:t>5.2 Exploratory analysis</w:t>
      </w:r>
    </w:p>
    <w:p w14:paraId="3E780201" w14:textId="77777777" w:rsidR="00A81CAD" w:rsidRPr="00A10774" w:rsidRDefault="00000000" w:rsidP="00A10774">
      <w:pPr>
        <w:pStyle w:val="ae"/>
        <w:numPr>
          <w:ilvl w:val="0"/>
          <w:numId w:val="19"/>
        </w:numPr>
        <w:spacing w:line="360" w:lineRule="auto"/>
        <w:rPr>
          <w:rFonts w:asciiTheme="minorHAnsi" w:hAnsiTheme="minorHAnsi"/>
          <w:color w:val="auto"/>
          <w:sz w:val="22"/>
        </w:rPr>
      </w:pPr>
      <w:r w:rsidRPr="00A10774">
        <w:rPr>
          <w:rFonts w:asciiTheme="minorHAnsi" w:hAnsiTheme="minorHAnsi"/>
          <w:color w:val="auto"/>
          <w:sz w:val="22"/>
        </w:rPr>
        <w:t xml:space="preserve">The Notebook will use the following </w:t>
      </w:r>
      <w:proofErr w:type="gramStart"/>
      <w:r w:rsidRPr="00A10774">
        <w:rPr>
          <w:rFonts w:asciiTheme="minorHAnsi" w:hAnsiTheme="minorHAnsi"/>
          <w:color w:val="auto"/>
          <w:sz w:val="22"/>
        </w:rPr>
        <w:t>visualizations,</w:t>
      </w:r>
      <w:proofErr w:type="gramEnd"/>
      <w:r w:rsidRPr="00A10774">
        <w:rPr>
          <w:rFonts w:asciiTheme="minorHAnsi" w:hAnsiTheme="minorHAnsi"/>
          <w:color w:val="auto"/>
          <w:sz w:val="22"/>
        </w:rPr>
        <w:t xml:space="preserve"> each paired with a short interpretation:</w:t>
      </w:r>
    </w:p>
    <w:p w14:paraId="1CF1B15D" w14:textId="77777777" w:rsidR="00A81CAD" w:rsidRPr="00A10774" w:rsidRDefault="00000000" w:rsidP="00A10774">
      <w:pPr>
        <w:pStyle w:val="ae"/>
        <w:numPr>
          <w:ilvl w:val="0"/>
          <w:numId w:val="19"/>
        </w:numPr>
        <w:spacing w:line="360" w:lineRule="auto"/>
        <w:rPr>
          <w:rFonts w:asciiTheme="minorHAnsi" w:hAnsiTheme="minorHAnsi"/>
          <w:color w:val="auto"/>
          <w:sz w:val="22"/>
        </w:rPr>
      </w:pPr>
      <w:r w:rsidRPr="00A10774">
        <w:rPr>
          <w:rFonts w:asciiTheme="minorHAnsi" w:hAnsiTheme="minorHAnsi"/>
          <w:color w:val="auto"/>
          <w:sz w:val="22"/>
        </w:rPr>
        <w:t>Histogram of rent_per_unit to show the distribution and spread of rents.</w:t>
      </w:r>
    </w:p>
    <w:p w14:paraId="7F2DFDD2" w14:textId="77777777" w:rsidR="00A81CAD" w:rsidRPr="00A10774" w:rsidRDefault="00000000" w:rsidP="00A10774">
      <w:pPr>
        <w:pStyle w:val="ae"/>
        <w:numPr>
          <w:ilvl w:val="0"/>
          <w:numId w:val="19"/>
        </w:numPr>
        <w:spacing w:line="360" w:lineRule="auto"/>
        <w:rPr>
          <w:rFonts w:asciiTheme="minorHAnsi" w:hAnsiTheme="minorHAnsi"/>
          <w:color w:val="auto"/>
          <w:sz w:val="22"/>
        </w:rPr>
      </w:pPr>
      <w:r w:rsidRPr="00A10774">
        <w:rPr>
          <w:rFonts w:asciiTheme="minorHAnsi" w:hAnsiTheme="minorHAnsi"/>
          <w:color w:val="auto"/>
          <w:sz w:val="22"/>
        </w:rPr>
        <w:t>Yearly mean rent line chart to show the overall time pattern.</w:t>
      </w:r>
    </w:p>
    <w:p w14:paraId="226F549B" w14:textId="77777777" w:rsidR="00A81CAD" w:rsidRPr="00A10774" w:rsidRDefault="00000000" w:rsidP="00A10774">
      <w:pPr>
        <w:pStyle w:val="ae"/>
        <w:numPr>
          <w:ilvl w:val="0"/>
          <w:numId w:val="19"/>
        </w:numPr>
        <w:spacing w:line="360" w:lineRule="auto"/>
        <w:rPr>
          <w:rFonts w:asciiTheme="minorHAnsi" w:hAnsiTheme="minorHAnsi"/>
          <w:color w:val="auto"/>
          <w:sz w:val="22"/>
        </w:rPr>
      </w:pPr>
      <w:r w:rsidRPr="00A10774">
        <w:rPr>
          <w:rFonts w:asciiTheme="minorHAnsi" w:hAnsiTheme="minorHAnsi"/>
          <w:color w:val="auto"/>
          <w:sz w:val="22"/>
        </w:rPr>
        <w:t>Bar chart of the eight highest-rent communities to compare geographic variation.</w:t>
      </w:r>
    </w:p>
    <w:p w14:paraId="240D86C4" w14:textId="77777777" w:rsidR="00A81CAD" w:rsidRPr="00A10774" w:rsidRDefault="00000000" w:rsidP="00A10774">
      <w:pPr>
        <w:pStyle w:val="ae"/>
        <w:numPr>
          <w:ilvl w:val="0"/>
          <w:numId w:val="19"/>
        </w:numPr>
        <w:spacing w:line="360" w:lineRule="auto"/>
        <w:rPr>
          <w:rFonts w:asciiTheme="minorHAnsi" w:hAnsiTheme="minorHAnsi"/>
          <w:color w:val="auto"/>
          <w:sz w:val="22"/>
        </w:rPr>
      </w:pPr>
      <w:r w:rsidRPr="00A10774">
        <w:rPr>
          <w:rFonts w:asciiTheme="minorHAnsi" w:hAnsiTheme="minorHAnsi"/>
          <w:color w:val="auto"/>
          <w:sz w:val="22"/>
        </w:rPr>
        <w:t>Scatterplot with a fitted line for mixed_income_count versus rent_per_unit.</w:t>
      </w:r>
    </w:p>
    <w:p w14:paraId="35F7D97B" w14:textId="77777777" w:rsidR="00A81CAD" w:rsidRPr="00A10774" w:rsidRDefault="00000000" w:rsidP="00A10774">
      <w:pPr>
        <w:pStyle w:val="ae"/>
        <w:numPr>
          <w:ilvl w:val="0"/>
          <w:numId w:val="19"/>
        </w:numPr>
        <w:spacing w:line="360" w:lineRule="auto"/>
        <w:rPr>
          <w:rFonts w:asciiTheme="minorHAnsi" w:hAnsiTheme="minorHAnsi"/>
          <w:color w:val="auto"/>
          <w:sz w:val="22"/>
        </w:rPr>
      </w:pPr>
      <w:r w:rsidRPr="00A10774">
        <w:rPr>
          <w:rFonts w:asciiTheme="minorHAnsi" w:hAnsiTheme="minorHAnsi"/>
          <w:color w:val="auto"/>
          <w:sz w:val="22"/>
        </w:rPr>
        <w:t>Boxplot comparing rent across low, medium, and high mixed-income-count groups.</w:t>
      </w:r>
    </w:p>
    <w:p w14:paraId="005F1A15" w14:textId="77777777" w:rsidR="00A81CAD" w:rsidRPr="00A10774" w:rsidRDefault="00000000" w:rsidP="00A10774">
      <w:pPr>
        <w:pStyle w:val="ae"/>
        <w:numPr>
          <w:ilvl w:val="0"/>
          <w:numId w:val="19"/>
        </w:numPr>
        <w:spacing w:line="360" w:lineRule="auto"/>
        <w:rPr>
          <w:rFonts w:asciiTheme="minorHAnsi" w:hAnsiTheme="minorHAnsi"/>
          <w:color w:val="auto"/>
          <w:sz w:val="22"/>
        </w:rPr>
      </w:pPr>
      <w:r w:rsidRPr="00A10774">
        <w:rPr>
          <w:rFonts w:asciiTheme="minorHAnsi" w:hAnsiTheme="minorHAnsi"/>
          <w:color w:val="auto"/>
          <w:sz w:val="22"/>
        </w:rPr>
        <w:t>Correlation heatmap for rent, growth, mixed-income count, property count, and year.</w:t>
      </w:r>
    </w:p>
    <w:p w14:paraId="5B78354D" w14:textId="56950154" w:rsidR="00A81CAD" w:rsidRPr="00A10774" w:rsidRDefault="00A10774" w:rsidP="00A10774">
      <w:pPr>
        <w:pStyle w:val="1"/>
        <w:spacing w:line="360" w:lineRule="auto"/>
        <w:rPr>
          <w:rFonts w:asciiTheme="minorHAnsi" w:hAnsiTheme="minorHAnsi"/>
          <w:sz w:val="28"/>
        </w:rPr>
      </w:pPr>
      <w:r>
        <w:rPr>
          <w:rFonts w:asciiTheme="minorHAnsi" w:eastAsia="宋体" w:hAnsiTheme="minorHAnsi" w:hint="eastAsia"/>
          <w:sz w:val="28"/>
          <w:lang w:eastAsia="zh-CN"/>
        </w:rPr>
        <w:t xml:space="preserve">5.3 </w:t>
      </w:r>
      <w:r w:rsidRPr="00A10774">
        <w:rPr>
          <w:rFonts w:asciiTheme="minorHAnsi" w:hAnsiTheme="minorHAnsi"/>
          <w:sz w:val="28"/>
        </w:rPr>
        <w:t>Predictive models</w:t>
      </w:r>
    </w:p>
    <w:p w14:paraId="2DA1A21E" w14:textId="77777777" w:rsidR="00A81CAD" w:rsidRPr="00A10774" w:rsidRDefault="00000000" w:rsidP="002E694B">
      <w:pPr>
        <w:spacing w:line="360" w:lineRule="auto"/>
        <w:ind w:firstLineChars="200" w:firstLine="440"/>
        <w:rPr>
          <w:rFonts w:asciiTheme="minorHAnsi" w:hAnsiTheme="minorHAnsi"/>
          <w:color w:val="auto"/>
          <w:sz w:val="22"/>
        </w:rPr>
      </w:pPr>
      <w:r w:rsidRPr="00A10774">
        <w:rPr>
          <w:rFonts w:asciiTheme="minorHAnsi" w:hAnsiTheme="minorHAnsi"/>
          <w:color w:val="auto"/>
          <w:sz w:val="22"/>
        </w:rPr>
        <w:t xml:space="preserve">Three benchmark models will predict rent_per_unit from Year, mixed_income_count, and property_count: ordinary linear regression, degree-2 polynomial regression, and standardized ridge </w:t>
      </w:r>
      <w:r w:rsidRPr="00A10774">
        <w:rPr>
          <w:rFonts w:asciiTheme="minorHAnsi" w:hAnsiTheme="minorHAnsi"/>
          <w:color w:val="auto"/>
          <w:sz w:val="22"/>
        </w:rPr>
        <w:lastRenderedPageBreak/>
        <w:t xml:space="preserve">regression. The current Notebook reports a reproducible 80/20 random-split benchmark with random_state=1 and a time-aware sensitivity check using observations through 2020 for training and later years for testing. Because each tract </w:t>
      </w:r>
      <w:proofErr w:type="gramStart"/>
      <w:r w:rsidRPr="00A10774">
        <w:rPr>
          <w:rFonts w:asciiTheme="minorHAnsi" w:hAnsiTheme="minorHAnsi"/>
          <w:color w:val="auto"/>
          <w:sz w:val="22"/>
        </w:rPr>
        <w:t>appears in</w:t>
      </w:r>
      <w:proofErr w:type="gramEnd"/>
      <w:r w:rsidRPr="00A10774">
        <w:rPr>
          <w:rFonts w:asciiTheme="minorHAnsi" w:hAnsiTheme="minorHAnsi"/>
          <w:color w:val="auto"/>
          <w:sz w:val="22"/>
        </w:rPr>
        <w:t xml:space="preserve"> multiple years, the random split can place the same tract in both training and test data; this limitation is reported alongside the time-aware results.</w:t>
      </w:r>
    </w:p>
    <w:p w14:paraId="2CD52447" w14:textId="618D36C3" w:rsidR="00A81CAD" w:rsidRPr="00A10774" w:rsidRDefault="00A10774" w:rsidP="00A10774">
      <w:pPr>
        <w:pStyle w:val="1"/>
        <w:spacing w:line="360" w:lineRule="auto"/>
        <w:rPr>
          <w:rFonts w:asciiTheme="minorHAnsi" w:hAnsiTheme="minorHAnsi"/>
          <w:sz w:val="28"/>
        </w:rPr>
      </w:pPr>
      <w:r>
        <w:rPr>
          <w:rFonts w:asciiTheme="minorHAnsi" w:eastAsia="宋体" w:hAnsiTheme="minorHAnsi" w:hint="eastAsia"/>
          <w:sz w:val="28"/>
          <w:lang w:eastAsia="zh-CN"/>
        </w:rPr>
        <w:t xml:space="preserve">5.4 </w:t>
      </w:r>
      <w:r w:rsidRPr="00A10774">
        <w:rPr>
          <w:rFonts w:asciiTheme="minorHAnsi" w:hAnsiTheme="minorHAnsi"/>
          <w:sz w:val="28"/>
        </w:rPr>
        <w:t>Interpretation</w:t>
      </w:r>
    </w:p>
    <w:p w14:paraId="07DD874C"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 xml:space="preserve">Results will distinguish correlation from causation. A positive association between mixed-income apartment count and rent may reflect location, tract size, property composition, or other omitted factors rather than </w:t>
      </w:r>
      <w:proofErr w:type="gramStart"/>
      <w:r w:rsidRPr="002E694B">
        <w:rPr>
          <w:rFonts w:asciiTheme="minorHAnsi" w:hAnsiTheme="minorHAnsi"/>
          <w:color w:val="auto"/>
          <w:sz w:val="22"/>
        </w:rPr>
        <w:t>an</w:t>
      </w:r>
      <w:proofErr w:type="gramEnd"/>
      <w:r w:rsidRPr="002E694B">
        <w:rPr>
          <w:rFonts w:asciiTheme="minorHAnsi" w:hAnsiTheme="minorHAnsi"/>
          <w:color w:val="auto"/>
          <w:sz w:val="22"/>
        </w:rPr>
        <w:t xml:space="preserve"> effect of mixed-income housing on rent.</w:t>
      </w:r>
    </w:p>
    <w:p w14:paraId="589C175F" w14:textId="77777777" w:rsidR="00A81CAD" w:rsidRPr="005D2463" w:rsidRDefault="00000000" w:rsidP="005D2463">
      <w:pPr>
        <w:pStyle w:val="1"/>
        <w:spacing w:line="360" w:lineRule="auto"/>
        <w:rPr>
          <w:rFonts w:asciiTheme="minorHAnsi" w:hAnsiTheme="minorHAnsi"/>
          <w:sz w:val="28"/>
        </w:rPr>
      </w:pPr>
      <w:r w:rsidRPr="005D2463">
        <w:rPr>
          <w:rFonts w:asciiTheme="minorHAnsi" w:hAnsiTheme="minorHAnsi"/>
          <w:sz w:val="28"/>
        </w:rPr>
        <w:t>6 Preliminary Data Checks and Expected Findings</w:t>
      </w:r>
    </w:p>
    <w:p w14:paraId="77396A28" w14:textId="77777777" w:rsidR="00A81CAD" w:rsidRPr="002E694B" w:rsidRDefault="00000000" w:rsidP="002E694B">
      <w:pPr>
        <w:spacing w:line="360" w:lineRule="auto"/>
        <w:ind w:firstLineChars="200" w:firstLine="440"/>
        <w:rPr>
          <w:rFonts w:asciiTheme="minorHAnsi" w:hAnsiTheme="minorHAnsi"/>
          <w:color w:val="auto"/>
          <w:sz w:val="22"/>
        </w:rPr>
      </w:pPr>
      <w:r w:rsidRPr="002E694B">
        <w:rPr>
          <w:rFonts w:asciiTheme="minorHAnsi" w:hAnsiTheme="minorHAnsi"/>
          <w:color w:val="auto"/>
          <w:sz w:val="22"/>
        </w:rPr>
        <w:t>The supplied Notebook already provides preliminary estimates that guide the final analysis: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304"/>
        <w:gridCol w:w="3168"/>
        <w:gridCol w:w="3600"/>
      </w:tblGrid>
      <w:tr w:rsidR="00A81CAD" w:rsidRPr="005D2463" w14:paraId="3B53FF67" w14:textId="77777777" w:rsidTr="005B5387">
        <w:trPr>
          <w:tblHeader/>
          <w:jc w:val="center"/>
        </w:trPr>
        <w:tc>
          <w:tcPr>
            <w:tcW w:w="2304" w:type="dxa"/>
            <w:shd w:val="clear" w:color="auto" w:fill="D9EAF7"/>
            <w:vAlign w:val="center"/>
          </w:tcPr>
          <w:p w14:paraId="70AA67C8"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Check</w:t>
            </w:r>
          </w:p>
        </w:tc>
        <w:tc>
          <w:tcPr>
            <w:tcW w:w="3168" w:type="dxa"/>
            <w:shd w:val="clear" w:color="auto" w:fill="D9EAF7"/>
            <w:vAlign w:val="center"/>
          </w:tcPr>
          <w:p w14:paraId="545C492F"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Preliminary result</w:t>
            </w:r>
          </w:p>
        </w:tc>
        <w:tc>
          <w:tcPr>
            <w:tcW w:w="3600" w:type="dxa"/>
            <w:shd w:val="clear" w:color="auto" w:fill="D9EAF7"/>
            <w:vAlign w:val="center"/>
          </w:tcPr>
          <w:p w14:paraId="73706EB5"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Interpretation</w:t>
            </w:r>
          </w:p>
        </w:tc>
      </w:tr>
      <w:tr w:rsidR="00A81CAD" w:rsidRPr="005D2463" w14:paraId="516B350E" w14:textId="77777777" w:rsidTr="005B5387">
        <w:trPr>
          <w:jc w:val="center"/>
        </w:trPr>
        <w:tc>
          <w:tcPr>
            <w:tcW w:w="2304" w:type="dxa"/>
            <w:vAlign w:val="center"/>
          </w:tcPr>
          <w:p w14:paraId="2079F0C1"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Valid rent observations</w:t>
            </w:r>
          </w:p>
        </w:tc>
        <w:tc>
          <w:tcPr>
            <w:tcW w:w="3168" w:type="dxa"/>
            <w:vAlign w:val="center"/>
          </w:tcPr>
          <w:p w14:paraId="0115E9E5"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3,931 of 4,500</w:t>
            </w:r>
          </w:p>
        </w:tc>
        <w:tc>
          <w:tcPr>
            <w:tcW w:w="3600" w:type="dxa"/>
            <w:vAlign w:val="center"/>
          </w:tcPr>
          <w:p w14:paraId="40BA9822"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569 zero-rent rows are excluded from rent-level analysis.</w:t>
            </w:r>
          </w:p>
        </w:tc>
      </w:tr>
      <w:tr w:rsidR="00A81CAD" w:rsidRPr="005D2463" w14:paraId="6721633A" w14:textId="77777777" w:rsidTr="005B5387">
        <w:trPr>
          <w:jc w:val="center"/>
        </w:trPr>
        <w:tc>
          <w:tcPr>
            <w:tcW w:w="2304" w:type="dxa"/>
            <w:shd w:val="clear" w:color="auto" w:fill="F4F7FA"/>
            <w:vAlign w:val="center"/>
          </w:tcPr>
          <w:p w14:paraId="18DF4430"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Mixed-income count vs rent</w:t>
            </w:r>
          </w:p>
        </w:tc>
        <w:tc>
          <w:tcPr>
            <w:tcW w:w="3168" w:type="dxa"/>
            <w:shd w:val="clear" w:color="auto" w:fill="F4F7FA"/>
            <w:vAlign w:val="center"/>
          </w:tcPr>
          <w:p w14:paraId="4847A0B5"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Pearson r = 0.4643</w:t>
            </w:r>
          </w:p>
        </w:tc>
        <w:tc>
          <w:tcPr>
            <w:tcW w:w="3600" w:type="dxa"/>
            <w:shd w:val="clear" w:color="auto" w:fill="F4F7FA"/>
            <w:vAlign w:val="center"/>
          </w:tcPr>
          <w:p w14:paraId="7EED0D3A"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Moderate positive association in this dataset.</w:t>
            </w:r>
          </w:p>
        </w:tc>
      </w:tr>
      <w:tr w:rsidR="00A81CAD" w:rsidRPr="005D2463" w14:paraId="545B775D" w14:textId="77777777" w:rsidTr="005B5387">
        <w:trPr>
          <w:jc w:val="center"/>
        </w:trPr>
        <w:tc>
          <w:tcPr>
            <w:tcW w:w="2304" w:type="dxa"/>
            <w:vAlign w:val="center"/>
          </w:tcPr>
          <w:p w14:paraId="06E89D56"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Mixed-income count vs rent growth</w:t>
            </w:r>
          </w:p>
        </w:tc>
        <w:tc>
          <w:tcPr>
            <w:tcW w:w="3168" w:type="dxa"/>
            <w:vAlign w:val="center"/>
          </w:tcPr>
          <w:p w14:paraId="24E8A9FC"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Pearson r = -0.0136</w:t>
            </w:r>
          </w:p>
        </w:tc>
        <w:tc>
          <w:tcPr>
            <w:tcW w:w="3600" w:type="dxa"/>
            <w:vAlign w:val="center"/>
          </w:tcPr>
          <w:p w14:paraId="0CCDF5CD"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Little linear association with year-over-year growth.</w:t>
            </w:r>
          </w:p>
        </w:tc>
      </w:tr>
      <w:tr w:rsidR="00A81CAD" w:rsidRPr="005D2463" w14:paraId="4102F673" w14:textId="77777777" w:rsidTr="005B5387">
        <w:trPr>
          <w:jc w:val="center"/>
        </w:trPr>
        <w:tc>
          <w:tcPr>
            <w:tcW w:w="2304" w:type="dxa"/>
            <w:shd w:val="clear" w:color="auto" w:fill="F4F7FA"/>
            <w:vAlign w:val="center"/>
          </w:tcPr>
          <w:p w14:paraId="53FF05F9"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Linear regression</w:t>
            </w:r>
          </w:p>
        </w:tc>
        <w:tc>
          <w:tcPr>
            <w:tcW w:w="3168" w:type="dxa"/>
            <w:shd w:val="clear" w:color="auto" w:fill="F4F7FA"/>
            <w:vAlign w:val="center"/>
          </w:tcPr>
          <w:p w14:paraId="7994FD77"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Test R² = 0.4220; MSE = 108,294.43</w:t>
            </w:r>
          </w:p>
        </w:tc>
        <w:tc>
          <w:tcPr>
            <w:tcW w:w="3600" w:type="dxa"/>
            <w:shd w:val="clear" w:color="auto" w:fill="F4F7FA"/>
            <w:vAlign w:val="center"/>
          </w:tcPr>
          <w:p w14:paraId="63CCC087"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Useful benchmark, but substantial variation remains unexplained.</w:t>
            </w:r>
          </w:p>
        </w:tc>
      </w:tr>
      <w:tr w:rsidR="00A81CAD" w:rsidRPr="005D2463" w14:paraId="2E03EE84" w14:textId="77777777" w:rsidTr="005B5387">
        <w:trPr>
          <w:jc w:val="center"/>
        </w:trPr>
        <w:tc>
          <w:tcPr>
            <w:tcW w:w="2304" w:type="dxa"/>
            <w:vAlign w:val="center"/>
          </w:tcPr>
          <w:p w14:paraId="29B579D6"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Degree-2 polynomial regression</w:t>
            </w:r>
          </w:p>
        </w:tc>
        <w:tc>
          <w:tcPr>
            <w:tcW w:w="3168" w:type="dxa"/>
            <w:vAlign w:val="center"/>
          </w:tcPr>
          <w:p w14:paraId="320FDB56"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Test R² = 0.4537; MSE = 102,358.00</w:t>
            </w:r>
          </w:p>
        </w:tc>
        <w:tc>
          <w:tcPr>
            <w:tcW w:w="3600" w:type="dxa"/>
            <w:vAlign w:val="center"/>
          </w:tcPr>
          <w:p w14:paraId="255E4EDB"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Improves the random-split benchmark modestly.</w:t>
            </w:r>
          </w:p>
        </w:tc>
      </w:tr>
      <w:tr w:rsidR="00A81CAD" w:rsidRPr="005D2463" w14:paraId="37957BFC" w14:textId="77777777" w:rsidTr="005B5387">
        <w:trPr>
          <w:jc w:val="center"/>
        </w:trPr>
        <w:tc>
          <w:tcPr>
            <w:tcW w:w="2304" w:type="dxa"/>
            <w:shd w:val="clear" w:color="auto" w:fill="F4F7FA"/>
            <w:vAlign w:val="center"/>
          </w:tcPr>
          <w:p w14:paraId="67E21851"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Ridge regression</w:t>
            </w:r>
          </w:p>
        </w:tc>
        <w:tc>
          <w:tcPr>
            <w:tcW w:w="3168" w:type="dxa"/>
            <w:shd w:val="clear" w:color="auto" w:fill="F4F7FA"/>
            <w:vAlign w:val="center"/>
          </w:tcPr>
          <w:p w14:paraId="67CBB783"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Test R² = 0.4445; MSE = 104,076.99</w:t>
            </w:r>
          </w:p>
        </w:tc>
        <w:tc>
          <w:tcPr>
            <w:tcW w:w="3600" w:type="dxa"/>
            <w:shd w:val="clear" w:color="auto" w:fill="F4F7FA"/>
            <w:vAlign w:val="center"/>
          </w:tcPr>
          <w:p w14:paraId="0D4BFF80" w14:textId="77777777" w:rsidR="00A81CAD" w:rsidRPr="002E694B" w:rsidRDefault="00000000" w:rsidP="005B5387">
            <w:pPr>
              <w:spacing w:line="360" w:lineRule="auto"/>
              <w:ind w:firstLineChars="200" w:firstLine="440"/>
              <w:jc w:val="center"/>
              <w:rPr>
                <w:rFonts w:asciiTheme="minorHAnsi" w:hAnsiTheme="minorHAnsi"/>
                <w:color w:val="auto"/>
                <w:sz w:val="22"/>
              </w:rPr>
            </w:pPr>
            <w:r w:rsidRPr="002E694B">
              <w:rPr>
                <w:rFonts w:asciiTheme="minorHAnsi" w:hAnsiTheme="minorHAnsi"/>
                <w:color w:val="auto"/>
                <w:sz w:val="22"/>
              </w:rPr>
              <w:t>Standardized polynomial features give a stable ridge benchmark.</w:t>
            </w:r>
          </w:p>
        </w:tc>
      </w:tr>
    </w:tbl>
    <w:p w14:paraId="7CC24C02" w14:textId="77777777" w:rsidR="00A81CAD" w:rsidRPr="005D2463" w:rsidRDefault="00A81CAD">
      <w:pPr>
        <w:spacing w:after="20"/>
        <w:rPr>
          <w:rFonts w:asciiTheme="minorHAnsi" w:hAnsiTheme="minorHAnsi"/>
        </w:rPr>
      </w:pPr>
    </w:p>
    <w:p w14:paraId="44EAE449" w14:textId="77777777" w:rsidR="00A81CAD" w:rsidRPr="005D2463" w:rsidRDefault="00000000" w:rsidP="002E694B">
      <w:pPr>
        <w:spacing w:line="360" w:lineRule="auto"/>
        <w:ind w:firstLineChars="200" w:firstLine="440"/>
        <w:rPr>
          <w:rFonts w:asciiTheme="minorHAnsi" w:hAnsiTheme="minorHAnsi"/>
          <w:color w:val="auto"/>
          <w:sz w:val="22"/>
        </w:rPr>
      </w:pPr>
      <w:r w:rsidRPr="005D2463">
        <w:rPr>
          <w:rFonts w:asciiTheme="minorHAnsi" w:hAnsiTheme="minorHAnsi"/>
          <w:color w:val="auto"/>
          <w:sz w:val="22"/>
        </w:rPr>
        <w:t>Expected findings are that rents differ substantially across communities, average rent rises over time, and mixed-income apartment count is more strongly associated with rent level than with annual rent growth. These expectations will be revised if the completed analysis provides contrary evidence.</w:t>
      </w:r>
    </w:p>
    <w:p w14:paraId="02448C3B" w14:textId="77777777" w:rsidR="00A81CAD" w:rsidRPr="00A10774" w:rsidRDefault="00000000" w:rsidP="00A10774">
      <w:pPr>
        <w:pStyle w:val="1"/>
        <w:spacing w:line="360" w:lineRule="auto"/>
        <w:ind w:left="357"/>
        <w:rPr>
          <w:rFonts w:asciiTheme="minorHAnsi" w:hAnsiTheme="minorHAnsi"/>
          <w:sz w:val="28"/>
        </w:rPr>
      </w:pPr>
      <w:r w:rsidRPr="00A10774">
        <w:rPr>
          <w:rFonts w:asciiTheme="minorHAnsi" w:hAnsiTheme="minorHAnsi"/>
          <w:sz w:val="28"/>
        </w:rPr>
        <w:lastRenderedPageBreak/>
        <w:t>7 Criteria for Success</w:t>
      </w:r>
    </w:p>
    <w:p w14:paraId="1AC46065" w14:textId="77777777" w:rsidR="00A81CAD" w:rsidRPr="002E694B" w:rsidRDefault="00000000" w:rsidP="002E694B">
      <w:pPr>
        <w:pStyle w:val="ae"/>
        <w:numPr>
          <w:ilvl w:val="0"/>
          <w:numId w:val="20"/>
        </w:numPr>
        <w:spacing w:line="360" w:lineRule="auto"/>
        <w:rPr>
          <w:rFonts w:asciiTheme="minorHAnsi" w:hAnsiTheme="minorHAnsi"/>
          <w:color w:val="auto"/>
          <w:sz w:val="22"/>
        </w:rPr>
      </w:pPr>
      <w:r w:rsidRPr="002E694B">
        <w:rPr>
          <w:rFonts w:asciiTheme="minorHAnsi" w:hAnsiTheme="minorHAnsi"/>
          <w:color w:val="auto"/>
          <w:sz w:val="22"/>
        </w:rPr>
        <w:t>The Notebook runs from top to bottom without errors and uses the supplied CSV.</w:t>
      </w:r>
    </w:p>
    <w:p w14:paraId="7AB2B591" w14:textId="77777777" w:rsidR="00A81CAD" w:rsidRPr="002E694B" w:rsidRDefault="00000000" w:rsidP="002E694B">
      <w:pPr>
        <w:pStyle w:val="ae"/>
        <w:numPr>
          <w:ilvl w:val="0"/>
          <w:numId w:val="20"/>
        </w:numPr>
        <w:spacing w:line="360" w:lineRule="auto"/>
        <w:rPr>
          <w:rFonts w:asciiTheme="minorHAnsi" w:hAnsiTheme="minorHAnsi"/>
          <w:color w:val="auto"/>
          <w:sz w:val="22"/>
        </w:rPr>
      </w:pPr>
      <w:r w:rsidRPr="002E694B">
        <w:rPr>
          <w:rFonts w:asciiTheme="minorHAnsi" w:hAnsiTheme="minorHAnsi"/>
          <w:color w:val="auto"/>
          <w:sz w:val="22"/>
        </w:rPr>
        <w:t>The cleaned sample, missing-value decisions, and invalid zero-rent handling are documented.</w:t>
      </w:r>
    </w:p>
    <w:p w14:paraId="34EC7955" w14:textId="77777777" w:rsidR="00A81CAD" w:rsidRPr="002E694B" w:rsidRDefault="00000000" w:rsidP="002E694B">
      <w:pPr>
        <w:pStyle w:val="ae"/>
        <w:numPr>
          <w:ilvl w:val="0"/>
          <w:numId w:val="20"/>
        </w:numPr>
        <w:spacing w:line="360" w:lineRule="auto"/>
        <w:rPr>
          <w:rFonts w:asciiTheme="minorHAnsi" w:hAnsiTheme="minorHAnsi"/>
          <w:color w:val="auto"/>
          <w:sz w:val="22"/>
        </w:rPr>
      </w:pPr>
      <w:r w:rsidRPr="002E694B">
        <w:rPr>
          <w:rFonts w:asciiTheme="minorHAnsi" w:hAnsiTheme="minorHAnsi"/>
          <w:color w:val="auto"/>
          <w:sz w:val="22"/>
        </w:rPr>
        <w:t>At least six clearly titled and labeled visualizations are included.</w:t>
      </w:r>
    </w:p>
    <w:p w14:paraId="6EF77CE1" w14:textId="77777777" w:rsidR="00A81CAD" w:rsidRPr="002E694B" w:rsidRDefault="00000000" w:rsidP="002E694B">
      <w:pPr>
        <w:pStyle w:val="ae"/>
        <w:numPr>
          <w:ilvl w:val="0"/>
          <w:numId w:val="20"/>
        </w:numPr>
        <w:spacing w:line="360" w:lineRule="auto"/>
        <w:rPr>
          <w:rFonts w:asciiTheme="minorHAnsi" w:hAnsiTheme="minorHAnsi"/>
          <w:color w:val="auto"/>
          <w:sz w:val="22"/>
        </w:rPr>
      </w:pPr>
      <w:r w:rsidRPr="002E694B">
        <w:rPr>
          <w:rFonts w:asciiTheme="minorHAnsi" w:hAnsiTheme="minorHAnsi"/>
          <w:color w:val="auto"/>
          <w:sz w:val="22"/>
        </w:rPr>
        <w:t>Linear, polynomial, and ridge regression models are compared with R² and MSE.</w:t>
      </w:r>
    </w:p>
    <w:p w14:paraId="277EBD20" w14:textId="77777777" w:rsidR="00A81CAD" w:rsidRPr="002E694B" w:rsidRDefault="00000000" w:rsidP="002E694B">
      <w:pPr>
        <w:pStyle w:val="ae"/>
        <w:numPr>
          <w:ilvl w:val="0"/>
          <w:numId w:val="20"/>
        </w:numPr>
        <w:spacing w:line="360" w:lineRule="auto"/>
        <w:rPr>
          <w:rFonts w:asciiTheme="minorHAnsi" w:hAnsiTheme="minorHAnsi"/>
          <w:color w:val="auto"/>
          <w:sz w:val="22"/>
        </w:rPr>
      </w:pPr>
      <w:r w:rsidRPr="002E694B">
        <w:rPr>
          <w:rFonts w:asciiTheme="minorHAnsi" w:hAnsiTheme="minorHAnsi"/>
          <w:color w:val="auto"/>
          <w:sz w:val="22"/>
        </w:rPr>
        <w:t>Every visualization and model result has a plain-language interpretation.</w:t>
      </w:r>
    </w:p>
    <w:p w14:paraId="442A31FE" w14:textId="77777777" w:rsidR="00A81CAD" w:rsidRPr="002E694B" w:rsidRDefault="00000000" w:rsidP="002E694B">
      <w:pPr>
        <w:pStyle w:val="ae"/>
        <w:numPr>
          <w:ilvl w:val="0"/>
          <w:numId w:val="20"/>
        </w:numPr>
        <w:spacing w:line="360" w:lineRule="auto"/>
        <w:rPr>
          <w:rFonts w:asciiTheme="minorHAnsi" w:hAnsiTheme="minorHAnsi"/>
          <w:color w:val="auto"/>
          <w:sz w:val="22"/>
        </w:rPr>
      </w:pPr>
      <w:r w:rsidRPr="002E694B">
        <w:rPr>
          <w:rFonts w:asciiTheme="minorHAnsi" w:hAnsiTheme="minorHAnsi"/>
          <w:color w:val="auto"/>
          <w:sz w:val="22"/>
        </w:rPr>
        <w:t>The final discussion separates association, prediction, and causal interpretation.</w:t>
      </w:r>
    </w:p>
    <w:p w14:paraId="21CCAE0C" w14:textId="77777777" w:rsidR="00A81CAD" w:rsidRPr="002E694B" w:rsidRDefault="00000000" w:rsidP="002E694B">
      <w:pPr>
        <w:pStyle w:val="ae"/>
        <w:numPr>
          <w:ilvl w:val="0"/>
          <w:numId w:val="20"/>
        </w:numPr>
        <w:spacing w:line="360" w:lineRule="auto"/>
        <w:rPr>
          <w:rFonts w:asciiTheme="minorHAnsi" w:hAnsiTheme="minorHAnsi"/>
          <w:color w:val="auto"/>
          <w:sz w:val="22"/>
        </w:rPr>
      </w:pPr>
      <w:r w:rsidRPr="002E694B">
        <w:rPr>
          <w:rFonts w:asciiTheme="minorHAnsi" w:hAnsiTheme="minorHAnsi"/>
          <w:color w:val="auto"/>
          <w:sz w:val="22"/>
        </w:rPr>
        <w:t>The proposal and Notebook use the same research question, variables, dataset, and reported preliminary results.</w:t>
      </w:r>
    </w:p>
    <w:p w14:paraId="443DD4DB" w14:textId="77777777" w:rsidR="00A81CAD" w:rsidRPr="005D2463" w:rsidRDefault="00000000" w:rsidP="00A10774">
      <w:pPr>
        <w:pStyle w:val="1"/>
        <w:spacing w:line="360" w:lineRule="auto"/>
        <w:ind w:left="357"/>
        <w:rPr>
          <w:rFonts w:asciiTheme="minorHAnsi" w:hAnsiTheme="minorHAnsi"/>
          <w:sz w:val="28"/>
        </w:rPr>
      </w:pPr>
      <w:r w:rsidRPr="005D2463">
        <w:rPr>
          <w:rFonts w:asciiTheme="minorHAnsi" w:hAnsiTheme="minorHAnsi"/>
          <w:sz w:val="28"/>
        </w:rPr>
        <w:t>8 Limitations and Responsible Interpretation</w:t>
      </w:r>
    </w:p>
    <w:p w14:paraId="131BAEE0" w14:textId="77777777" w:rsidR="00A81CAD" w:rsidRPr="002E694B" w:rsidRDefault="00000000" w:rsidP="002E694B">
      <w:pPr>
        <w:pStyle w:val="ae"/>
        <w:numPr>
          <w:ilvl w:val="0"/>
          <w:numId w:val="22"/>
        </w:numPr>
        <w:spacing w:line="360" w:lineRule="auto"/>
        <w:rPr>
          <w:rFonts w:asciiTheme="minorHAnsi" w:hAnsiTheme="minorHAnsi"/>
          <w:color w:val="auto"/>
          <w:sz w:val="22"/>
        </w:rPr>
      </w:pPr>
      <w:r w:rsidRPr="002E694B">
        <w:rPr>
          <w:rFonts w:asciiTheme="minorHAnsi" w:hAnsiTheme="minorHAnsi"/>
          <w:color w:val="auto"/>
          <w:sz w:val="22"/>
        </w:rPr>
        <w:t>The data are observational and aggregated at tract level; the analysis cannot establish that mixed-income housing causes rents to rise or fall.</w:t>
      </w:r>
    </w:p>
    <w:p w14:paraId="28108EA2" w14:textId="77777777" w:rsidR="00A81CAD" w:rsidRPr="002E694B" w:rsidRDefault="00000000" w:rsidP="002E694B">
      <w:pPr>
        <w:pStyle w:val="ae"/>
        <w:numPr>
          <w:ilvl w:val="0"/>
          <w:numId w:val="22"/>
        </w:numPr>
        <w:spacing w:line="360" w:lineRule="auto"/>
        <w:rPr>
          <w:rFonts w:asciiTheme="minorHAnsi" w:hAnsiTheme="minorHAnsi"/>
          <w:color w:val="auto"/>
          <w:sz w:val="22"/>
        </w:rPr>
      </w:pPr>
      <w:proofErr w:type="gramStart"/>
      <w:r w:rsidRPr="002E694B">
        <w:rPr>
          <w:rFonts w:asciiTheme="minorHAnsi" w:hAnsiTheme="minorHAnsi"/>
          <w:color w:val="auto"/>
          <w:sz w:val="22"/>
        </w:rPr>
        <w:t>Median contract</w:t>
      </w:r>
      <w:proofErr w:type="gramEnd"/>
      <w:r w:rsidRPr="002E694B">
        <w:rPr>
          <w:rFonts w:asciiTheme="minorHAnsi" w:hAnsiTheme="minorHAnsi"/>
          <w:color w:val="auto"/>
          <w:sz w:val="22"/>
        </w:rPr>
        <w:t xml:space="preserve"> rent is a market measure, not a complete measure of household affordability; income, unit size, vacancy, and household burden are not included.</w:t>
      </w:r>
    </w:p>
    <w:p w14:paraId="1E3CACBA" w14:textId="77777777" w:rsidR="00A81CAD" w:rsidRPr="002E694B" w:rsidRDefault="00000000" w:rsidP="002E694B">
      <w:pPr>
        <w:pStyle w:val="ae"/>
        <w:numPr>
          <w:ilvl w:val="0"/>
          <w:numId w:val="22"/>
        </w:numPr>
        <w:spacing w:line="360" w:lineRule="auto"/>
        <w:rPr>
          <w:rFonts w:asciiTheme="minorHAnsi" w:hAnsiTheme="minorHAnsi"/>
          <w:color w:val="auto"/>
          <w:sz w:val="22"/>
        </w:rPr>
      </w:pPr>
      <w:r w:rsidRPr="002E694B">
        <w:rPr>
          <w:rFonts w:asciiTheme="minorHAnsi" w:hAnsiTheme="minorHAnsi"/>
          <w:color w:val="auto"/>
          <w:sz w:val="22"/>
        </w:rPr>
        <w:t>The dataset contains repeated observations for the same tracts. Random train-test splitting may make predictive performance look more favorable than performance on unseen tracts or future years.</w:t>
      </w:r>
    </w:p>
    <w:p w14:paraId="18BB272D" w14:textId="77777777" w:rsidR="00A81CAD" w:rsidRPr="002E694B" w:rsidRDefault="00000000" w:rsidP="002E694B">
      <w:pPr>
        <w:pStyle w:val="ae"/>
        <w:numPr>
          <w:ilvl w:val="0"/>
          <w:numId w:val="22"/>
        </w:numPr>
        <w:spacing w:line="360" w:lineRule="auto"/>
        <w:rPr>
          <w:rFonts w:asciiTheme="minorHAnsi" w:hAnsiTheme="minorHAnsi"/>
          <w:color w:val="auto"/>
          <w:sz w:val="22"/>
        </w:rPr>
      </w:pPr>
      <w:r w:rsidRPr="002E694B">
        <w:rPr>
          <w:rFonts w:asciiTheme="minorHAnsi" w:hAnsiTheme="minorHAnsi"/>
          <w:color w:val="auto"/>
          <w:sz w:val="22"/>
        </w:rPr>
        <w:t>The model omits potentially important factors such as transit access, school quality, neighborhood amenities, zoning, and local income.</w:t>
      </w:r>
    </w:p>
    <w:p w14:paraId="5EDAA763" w14:textId="77777777" w:rsidR="00A81CAD" w:rsidRPr="002E694B" w:rsidRDefault="00000000" w:rsidP="002E694B">
      <w:pPr>
        <w:pStyle w:val="ae"/>
        <w:numPr>
          <w:ilvl w:val="0"/>
          <w:numId w:val="22"/>
        </w:numPr>
        <w:spacing w:line="360" w:lineRule="auto"/>
        <w:rPr>
          <w:rFonts w:asciiTheme="minorHAnsi" w:hAnsiTheme="minorHAnsi"/>
          <w:color w:val="auto"/>
          <w:sz w:val="22"/>
        </w:rPr>
      </w:pPr>
      <w:r w:rsidRPr="002E694B">
        <w:rPr>
          <w:rFonts w:asciiTheme="minorHAnsi" w:hAnsiTheme="minorHAnsi"/>
          <w:color w:val="auto"/>
          <w:sz w:val="22"/>
        </w:rPr>
        <w:t>The home-flips question is not part of the current evidence because a flips file was not supplied or used in the Notebook.</w:t>
      </w:r>
    </w:p>
    <w:p w14:paraId="05546A18" w14:textId="4BC96DD0" w:rsidR="00A81CAD" w:rsidRPr="005D2463" w:rsidRDefault="00000000" w:rsidP="005D2463">
      <w:pPr>
        <w:pStyle w:val="1"/>
        <w:numPr>
          <w:ilvl w:val="0"/>
          <w:numId w:val="12"/>
        </w:numPr>
        <w:spacing w:line="360" w:lineRule="auto"/>
        <w:ind w:left="357" w:hanging="357"/>
        <w:rPr>
          <w:rFonts w:asciiTheme="minorHAnsi" w:hAnsiTheme="minorHAnsi"/>
          <w:sz w:val="28"/>
        </w:rPr>
      </w:pPr>
      <w:r w:rsidRPr="005D2463">
        <w:rPr>
          <w:rFonts w:asciiTheme="minorHAnsi" w:hAnsiTheme="minorHAnsi"/>
          <w:sz w:val="28"/>
        </w:rPr>
        <w:t>Deliverables and Collaboration Statement</w:t>
      </w:r>
    </w:p>
    <w:p w14:paraId="1276C821" w14:textId="77777777" w:rsidR="00A81CAD" w:rsidRPr="005D2463" w:rsidRDefault="00000000" w:rsidP="005D2463">
      <w:pPr>
        <w:spacing w:line="360" w:lineRule="auto"/>
        <w:ind w:left="480" w:firstLineChars="200" w:firstLine="440"/>
        <w:rPr>
          <w:rFonts w:asciiTheme="minorHAnsi" w:hAnsiTheme="minorHAnsi"/>
          <w:color w:val="auto"/>
          <w:sz w:val="22"/>
        </w:rPr>
      </w:pPr>
      <w:r w:rsidRPr="005D2463">
        <w:rPr>
          <w:rFonts w:asciiTheme="minorHAnsi" w:hAnsiTheme="minorHAnsi"/>
          <w:color w:val="auto"/>
          <w:sz w:val="22"/>
        </w:rPr>
        <w:t>Deliverables are a reproducible Jupyter Notebook with code, visualizations, model evaluation, and interpretations, together with this preliminary proposal. The project is completed individually. All data analysis, code writing, visualization creation, and report writing are the independent work of the student.</w:t>
      </w:r>
    </w:p>
    <w:p w14:paraId="71E8504F" w14:textId="77777777" w:rsidR="00A81CAD" w:rsidRPr="005D2463" w:rsidRDefault="00000000">
      <w:pPr>
        <w:pStyle w:val="1"/>
        <w:rPr>
          <w:rFonts w:asciiTheme="minorHAnsi" w:hAnsiTheme="minorHAnsi"/>
          <w:sz w:val="28"/>
        </w:rPr>
      </w:pPr>
      <w:r w:rsidRPr="005D2463">
        <w:rPr>
          <w:rFonts w:asciiTheme="minorHAnsi" w:hAnsiTheme="minorHAnsi"/>
          <w:sz w:val="28"/>
        </w:rPr>
        <w:t>References</w:t>
      </w:r>
    </w:p>
    <w:p w14:paraId="43A6F227" w14:textId="57994549" w:rsidR="00A81CAD" w:rsidRPr="002E694B" w:rsidRDefault="00000000" w:rsidP="002E694B">
      <w:pPr>
        <w:spacing w:line="360" w:lineRule="auto"/>
        <w:ind w:left="480"/>
        <w:rPr>
          <w:rFonts w:asciiTheme="minorHAnsi" w:eastAsia="宋体" w:hAnsiTheme="minorHAnsi"/>
          <w:color w:val="auto"/>
          <w:sz w:val="22"/>
          <w:lang w:eastAsia="zh-CN"/>
        </w:rPr>
      </w:pPr>
      <w:r w:rsidRPr="005D2463">
        <w:rPr>
          <w:rFonts w:asciiTheme="minorHAnsi" w:hAnsiTheme="minorHAnsi"/>
          <w:color w:val="auto"/>
          <w:sz w:val="22"/>
        </w:rPr>
        <w:t>U.S. Government Open Data Platform. Apartment Market Rent Prices by Census Tract. data.gov. https://catalog.data.gov/dataset/apartment-market-rent-prices-by-census-tract</w:t>
      </w:r>
    </w:p>
    <w:sectPr w:rsidR="00A81CAD" w:rsidRPr="002E694B"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558AF" w14:textId="77777777" w:rsidR="00130E26" w:rsidRDefault="00130E26">
      <w:pPr>
        <w:spacing w:after="0" w:line="240" w:lineRule="auto"/>
      </w:pPr>
      <w:r>
        <w:separator/>
      </w:r>
    </w:p>
  </w:endnote>
  <w:endnote w:type="continuationSeparator" w:id="0">
    <w:p w14:paraId="6991F89C" w14:textId="77777777" w:rsidR="00130E26" w:rsidRDefault="00130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526D" w14:textId="77777777" w:rsidR="00A81CAD" w:rsidRDefault="00000000">
    <w:pPr>
      <w:pStyle w:val="a7"/>
      <w:jc w:val="center"/>
    </w:pPr>
    <w:r>
      <w:rPr>
        <w:color w:val="646464"/>
        <w:sz w:val="16"/>
      </w:rPr>
      <w:t>CISC7204 | Preliminary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CB1F8" w14:textId="77777777" w:rsidR="00130E26" w:rsidRDefault="00130E26">
      <w:pPr>
        <w:spacing w:after="0" w:line="240" w:lineRule="auto"/>
      </w:pPr>
      <w:r>
        <w:separator/>
      </w:r>
    </w:p>
  </w:footnote>
  <w:footnote w:type="continuationSeparator" w:id="0">
    <w:p w14:paraId="2C5EAB71" w14:textId="77777777" w:rsidR="00130E26" w:rsidRDefault="00130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0C72F0"/>
    <w:multiLevelType w:val="hybridMultilevel"/>
    <w:tmpl w:val="52FA97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04608F7"/>
    <w:multiLevelType w:val="hybridMultilevel"/>
    <w:tmpl w:val="27E25D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7FF3C47"/>
    <w:multiLevelType w:val="hybridMultilevel"/>
    <w:tmpl w:val="3C8080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D226973"/>
    <w:multiLevelType w:val="hybridMultilevel"/>
    <w:tmpl w:val="60948C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F302717"/>
    <w:multiLevelType w:val="multilevel"/>
    <w:tmpl w:val="A0D82CE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E66E76"/>
    <w:multiLevelType w:val="hybridMultilevel"/>
    <w:tmpl w:val="F68A9F38"/>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5" w15:restartNumberingAfterBreak="0">
    <w:nsid w:val="471C4FAF"/>
    <w:multiLevelType w:val="hybridMultilevel"/>
    <w:tmpl w:val="BB7CFCCE"/>
    <w:lvl w:ilvl="0" w:tplc="CEFE9FB0">
      <w:start w:val="9"/>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16550DB"/>
    <w:multiLevelType w:val="hybridMultilevel"/>
    <w:tmpl w:val="747A06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8EE6E53"/>
    <w:multiLevelType w:val="hybridMultilevel"/>
    <w:tmpl w:val="72B4C3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CB26BDF"/>
    <w:multiLevelType w:val="hybridMultilevel"/>
    <w:tmpl w:val="CA9C5EEE"/>
    <w:lvl w:ilvl="0" w:tplc="04090001">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9" w15:restartNumberingAfterBreak="0">
    <w:nsid w:val="720D392B"/>
    <w:multiLevelType w:val="hybridMultilevel"/>
    <w:tmpl w:val="BFA265B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74C3277F"/>
    <w:multiLevelType w:val="hybridMultilevel"/>
    <w:tmpl w:val="EF9E22B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7ED21EF3"/>
    <w:multiLevelType w:val="hybridMultilevel"/>
    <w:tmpl w:val="F95A98A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55426298">
    <w:abstractNumId w:val="8"/>
  </w:num>
  <w:num w:numId="2" w16cid:durableId="1282419532">
    <w:abstractNumId w:val="6"/>
  </w:num>
  <w:num w:numId="3" w16cid:durableId="716708335">
    <w:abstractNumId w:val="5"/>
  </w:num>
  <w:num w:numId="4" w16cid:durableId="266891774">
    <w:abstractNumId w:val="4"/>
  </w:num>
  <w:num w:numId="5" w16cid:durableId="1637025846">
    <w:abstractNumId w:val="7"/>
  </w:num>
  <w:num w:numId="6" w16cid:durableId="807475670">
    <w:abstractNumId w:val="3"/>
  </w:num>
  <w:num w:numId="7" w16cid:durableId="1438597231">
    <w:abstractNumId w:val="2"/>
  </w:num>
  <w:num w:numId="8" w16cid:durableId="1827936074">
    <w:abstractNumId w:val="1"/>
  </w:num>
  <w:num w:numId="9" w16cid:durableId="1840074880">
    <w:abstractNumId w:val="0"/>
  </w:num>
  <w:num w:numId="10" w16cid:durableId="1158570604">
    <w:abstractNumId w:val="10"/>
  </w:num>
  <w:num w:numId="11" w16cid:durableId="692533673">
    <w:abstractNumId w:val="17"/>
  </w:num>
  <w:num w:numId="12" w16cid:durableId="1748572847">
    <w:abstractNumId w:val="15"/>
  </w:num>
  <w:num w:numId="13" w16cid:durableId="312948552">
    <w:abstractNumId w:val="13"/>
  </w:num>
  <w:num w:numId="14" w16cid:durableId="905337851">
    <w:abstractNumId w:val="19"/>
  </w:num>
  <w:num w:numId="15" w16cid:durableId="414673326">
    <w:abstractNumId w:val="20"/>
  </w:num>
  <w:num w:numId="16" w16cid:durableId="679085341">
    <w:abstractNumId w:val="18"/>
  </w:num>
  <w:num w:numId="17" w16cid:durableId="715080265">
    <w:abstractNumId w:val="14"/>
  </w:num>
  <w:num w:numId="18" w16cid:durableId="1082794395">
    <w:abstractNumId w:val="21"/>
  </w:num>
  <w:num w:numId="19" w16cid:durableId="120849883">
    <w:abstractNumId w:val="16"/>
  </w:num>
  <w:num w:numId="20" w16cid:durableId="652754211">
    <w:abstractNumId w:val="12"/>
  </w:num>
  <w:num w:numId="21" w16cid:durableId="1890608461">
    <w:abstractNumId w:val="9"/>
  </w:num>
  <w:num w:numId="22" w16cid:durableId="3922364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E26"/>
    <w:rsid w:val="0015074B"/>
    <w:rsid w:val="001C556A"/>
    <w:rsid w:val="0029639D"/>
    <w:rsid w:val="002E694B"/>
    <w:rsid w:val="00326F90"/>
    <w:rsid w:val="00451A14"/>
    <w:rsid w:val="0059529F"/>
    <w:rsid w:val="005B5387"/>
    <w:rsid w:val="005D2463"/>
    <w:rsid w:val="00A10774"/>
    <w:rsid w:val="00A81CAD"/>
    <w:rsid w:val="00AA1D8D"/>
    <w:rsid w:val="00AE25F6"/>
    <w:rsid w:val="00B47730"/>
    <w:rsid w:val="00CB0664"/>
    <w:rsid w:val="00F14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A44A57"/>
  <w14:defaultImageDpi w14:val="300"/>
  <w15:docId w15:val="{138FEDA9-C424-47E6-82F9-538C367E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ptos" w:hAnsi="Aptos"/>
      <w:color w:val="000000"/>
      <w:sz w:val="21"/>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140" w:after="8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Seattle Rent Affordability and Housing Market Analysis</dc:title>
  <dc:subject>CISC7204 Assignment 01 Preliminary Project Proposal</dc:subject>
  <dc:creator>Li WaiCheng</dc:creator>
  <cp:keywords/>
  <dc:description>Revised for consistency with supplied dataset and notebook.</dc:description>
  <cp:lastModifiedBy>唯正 李</cp:lastModifiedBy>
  <cp:revision>6</cp:revision>
  <dcterms:created xsi:type="dcterms:W3CDTF">2013-12-23T23:15:00Z</dcterms:created>
  <dcterms:modified xsi:type="dcterms:W3CDTF">2026-09-20T03:22:00Z</dcterms:modified>
  <cp:category/>
</cp:coreProperties>
</file>