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043C2" w14:textId="77777777" w:rsidR="00686583" w:rsidRDefault="00EF7C11">
      <w:pPr>
        <w:pStyle w:val="Title"/>
      </w:pPr>
      <w:r>
        <w:t>Data Brief: 2020 Increases in Deaths in California</w:t>
      </w:r>
    </w:p>
    <w:p w14:paraId="54746016" w14:textId="77777777" w:rsidR="00686583" w:rsidRDefault="00EF7C11">
      <w:pPr>
        <w:pStyle w:val="Subtitle"/>
      </w:pPr>
      <w:r>
        <w:t>(Draft Under Review - Not for Distribution)</w:t>
      </w:r>
    </w:p>
    <w:p w14:paraId="0F971A84" w14:textId="77777777" w:rsidR="00686583" w:rsidRDefault="00EF7C11">
      <w:pPr>
        <w:pStyle w:val="Author"/>
      </w:pPr>
      <w:r>
        <w:t>California Department of Public Health - Fusion Center - Last updated: 5.18.2021</w:t>
      </w:r>
    </w:p>
    <w:p w14:paraId="32E0EA5C" w14:textId="77777777" w:rsidR="00686583" w:rsidRDefault="00686583" w:rsidP="009C1002">
      <w:pPr>
        <w:pStyle w:val="FirstParagraph"/>
      </w:pPr>
    </w:p>
    <w:p w14:paraId="798B8BEF" w14:textId="77777777" w:rsidR="00686583" w:rsidRDefault="00EF7C11">
      <w:pPr>
        <w:pStyle w:val="BodyText"/>
      </w:pPr>
      <w:r>
        <w:t>This Data Brief presents an analysis of excess mortality (increase in deaths) for California in 2020, using California vital statistics death data, and includes assessment of differential increases by race/ethnic group, age, and increases in deaths due to conditions other than COVID-19. This analysis is a follow-up to findings in the 2020 State of Public Health Report, part of the State Health Assessment.</w:t>
      </w:r>
    </w:p>
    <w:p w14:paraId="798438B8" w14:textId="77777777" w:rsidR="00686583" w:rsidRDefault="00686583">
      <w:pPr>
        <w:pStyle w:val="BodyText"/>
      </w:pPr>
    </w:p>
    <w:p w14:paraId="6080F66F" w14:textId="77777777" w:rsidR="00686583" w:rsidRDefault="00EF7C11">
      <w:pPr>
        <w:pStyle w:val="Heading1"/>
      </w:pPr>
      <w:bookmarkStart w:id="0" w:name="summary"/>
      <w:r>
        <w:t>Summary</w:t>
      </w:r>
    </w:p>
    <w:p w14:paraId="4E7AE973" w14:textId="77777777" w:rsidR="00686583" w:rsidRDefault="00EF7C11">
      <w:pPr>
        <w:numPr>
          <w:ilvl w:val="0"/>
          <w:numId w:val="2"/>
        </w:numPr>
      </w:pPr>
      <w:r>
        <w:t>After many years of decreasing death rates in California, the death rate increased substantially in 2020. This increase is due largely to the emergence of COVID-19.</w:t>
      </w:r>
    </w:p>
    <w:p w14:paraId="5C5AB48C" w14:textId="77777777" w:rsidR="00686583" w:rsidRDefault="00EF7C11">
      <w:pPr>
        <w:numPr>
          <w:ilvl w:val="0"/>
          <w:numId w:val="2"/>
        </w:numPr>
      </w:pPr>
      <w:r>
        <w:t xml:space="preserve">The increase in death rate differed by race/ethnicity, with striking increases among Latinos. Compared to prior years, </w:t>
      </w:r>
      <w:r>
        <w:rPr>
          <w:b/>
          <w:bCs/>
        </w:rPr>
        <w:t>deaths in 2020 increased 34.1% among Latinos, including a 62.5% increase in the 4th quarter.</w:t>
      </w:r>
    </w:p>
    <w:p w14:paraId="1ECD3B8C" w14:textId="77777777" w:rsidR="00686583" w:rsidRDefault="00EF7C11">
      <w:pPr>
        <w:numPr>
          <w:ilvl w:val="0"/>
          <w:numId w:val="2"/>
        </w:numPr>
      </w:pPr>
      <w:r>
        <w:t xml:space="preserve">Increases in deaths from conditions other than COVID-19 were observed, including deaths from drug overdoses (38.7%), homicide (31.3%), Alzheimer’s disease and other dementias (10.0%), and ischemic heart disease (4.2%). These 2020 </w:t>
      </w:r>
      <w:r>
        <w:rPr>
          <w:b/>
          <w:bCs/>
        </w:rPr>
        <w:t>increases in homicide and ischemic heart disease death rates are in contrast to many prior years of decreasing or level rates</w:t>
      </w:r>
      <w:r>
        <w:t>.</w:t>
      </w:r>
    </w:p>
    <w:p w14:paraId="427237C9" w14:textId="77777777" w:rsidR="00686583" w:rsidRDefault="00EF7C11">
      <w:pPr>
        <w:numPr>
          <w:ilvl w:val="0"/>
          <w:numId w:val="2"/>
        </w:numPr>
      </w:pPr>
      <w:r>
        <w:t xml:space="preserve">The increase in death rate differed by age differentially among race/ethnic groups. Of particular note, </w:t>
      </w:r>
      <w:r>
        <w:rPr>
          <w:b/>
          <w:bCs/>
        </w:rPr>
        <w:t>the overall death rate increased sharply among young blacks (aged 5-14 and 15-24) and American Indian/Alaska Natives aged 34-44</w:t>
      </w:r>
      <w:r>
        <w:t>, with almost all of the increase due to conditions other than COVID-19.</w:t>
      </w:r>
    </w:p>
    <w:p w14:paraId="32D2F043" w14:textId="77777777" w:rsidR="00686583" w:rsidRDefault="00686583">
      <w:pPr>
        <w:pStyle w:val="FirstParagraph"/>
      </w:pPr>
    </w:p>
    <w:p w14:paraId="615816CD" w14:textId="77777777" w:rsidR="00686583" w:rsidRDefault="00EF7C11">
      <w:pPr>
        <w:pStyle w:val="Heading1"/>
      </w:pPr>
      <w:bookmarkStart w:id="1" w:name="findings"/>
      <w:bookmarkEnd w:id="0"/>
      <w:r>
        <w:t>Findings</w:t>
      </w:r>
    </w:p>
    <w:p w14:paraId="0B6F95DC" w14:textId="77777777" w:rsidR="00686583" w:rsidRDefault="00EF7C11">
      <w:pPr>
        <w:pStyle w:val="Heading2"/>
      </w:pPr>
      <w:bookmarkStart w:id="2" w:name="X0208c1bdf7c06077dbaa5aa2febcd0db6c1b34c"/>
      <w:r>
        <w:t>Deaths increased in 2020 compared to prior years</w:t>
      </w:r>
    </w:p>
    <w:p w14:paraId="52D4D52A" w14:textId="3D8D2AB4" w:rsidR="00686583" w:rsidRDefault="00EF7C11">
      <w:pPr>
        <w:pStyle w:val="Compact"/>
        <w:numPr>
          <w:ilvl w:val="0"/>
          <w:numId w:val="3"/>
        </w:numPr>
      </w:pPr>
      <w:r>
        <w:t>There were 316,544 deaths in California in 2020 (corresponding to an age-adjusted all-cause death rate of 649.1 per 100,000 population), compared to 267,034 deaths in 2019 (rate of 560.0). This is a 15.9% increase in the death rate in California, and is the highest statewide death rate in the past 12 years.</w:t>
      </w:r>
    </w:p>
    <w:p w14:paraId="4A028798" w14:textId="77777777" w:rsidR="00686583" w:rsidRDefault="00EF7C11">
      <w:pPr>
        <w:pStyle w:val="Heading3"/>
      </w:pPr>
      <w:bookmarkStart w:id="3" w:name="X3e1c5c2294a5e18a7912d09ce924dcd33fc4763"/>
      <w:r>
        <w:t>Table 1 - Number, Age-Adjusted Rate, and Increase in Rate from Prior Year, Deaths from All Causes in California, 2017-2020</w:t>
      </w:r>
    </w:p>
    <w:tbl>
      <w:tblPr>
        <w:tblStyle w:val="Table"/>
        <w:tblW w:w="0" w:type="auto"/>
        <w:jc w:val="center"/>
        <w:tblLayout w:type="fixed"/>
        <w:tblLook w:val="0420" w:firstRow="1" w:lastRow="0" w:firstColumn="0" w:lastColumn="0" w:noHBand="0" w:noVBand="1"/>
      </w:tblPr>
      <w:tblGrid>
        <w:gridCol w:w="971"/>
        <w:gridCol w:w="1443"/>
        <w:gridCol w:w="1131"/>
        <w:gridCol w:w="1623"/>
      </w:tblGrid>
      <w:tr w:rsidR="00686583" w14:paraId="6227B047" w14:textId="77777777" w:rsidTr="00686583">
        <w:trPr>
          <w:cnfStyle w:val="100000000000" w:firstRow="1" w:lastRow="0" w:firstColumn="0" w:lastColumn="0" w:oddVBand="0" w:evenVBand="0" w:oddHBand="0" w:evenHBand="0" w:firstRowFirstColumn="0" w:firstRowLastColumn="0" w:lastRowFirstColumn="0" w:lastRowLastColumn="0"/>
          <w:cantSplit/>
          <w:tblHeader/>
          <w:jc w:val="center"/>
        </w:trPr>
        <w:tc>
          <w:tcPr>
            <w:tcW w:w="971" w:type="dxa"/>
            <w:tcBorders>
              <w:bottom w:val="single" w:sz="8" w:space="0" w:color="BEBEBE"/>
            </w:tcBorders>
            <w:shd w:val="clear" w:color="auto" w:fill="FFFFFF"/>
            <w:tcMar>
              <w:top w:w="0" w:type="dxa"/>
              <w:left w:w="0" w:type="dxa"/>
              <w:bottom w:w="0" w:type="dxa"/>
              <w:right w:w="0" w:type="dxa"/>
            </w:tcMar>
            <w:vAlign w:val="center"/>
          </w:tcPr>
          <w:p w14:paraId="5E18BC2A" w14:textId="77777777" w:rsidR="00686583" w:rsidRDefault="00EF7C11">
            <w:pPr>
              <w:spacing w:before="60" w:after="60"/>
              <w:ind w:left="60" w:right="60"/>
            </w:pPr>
            <w:r>
              <w:rPr>
                <w:rFonts w:ascii="Arial" w:eastAsia="DejaVu Sans" w:hAnsi="DejaVu Sans" w:cs="DejaVu Sans"/>
                <w:b/>
                <w:color w:val="000000"/>
              </w:rPr>
              <w:lastRenderedPageBreak/>
              <w:t>year</w:t>
            </w:r>
          </w:p>
        </w:tc>
        <w:tc>
          <w:tcPr>
            <w:tcW w:w="1443" w:type="dxa"/>
            <w:tcBorders>
              <w:bottom w:val="single" w:sz="8" w:space="0" w:color="BEBEBE"/>
            </w:tcBorders>
            <w:shd w:val="clear" w:color="auto" w:fill="FFFFFF"/>
            <w:tcMar>
              <w:top w:w="0" w:type="dxa"/>
              <w:left w:w="0" w:type="dxa"/>
              <w:bottom w:w="0" w:type="dxa"/>
              <w:right w:w="0" w:type="dxa"/>
            </w:tcMar>
            <w:vAlign w:val="center"/>
          </w:tcPr>
          <w:p w14:paraId="75F79150" w14:textId="77777777" w:rsidR="00686583" w:rsidRDefault="00EF7C11">
            <w:pPr>
              <w:spacing w:before="60" w:after="60"/>
              <w:ind w:left="60" w:right="60"/>
              <w:jc w:val="right"/>
            </w:pPr>
            <w:r>
              <w:rPr>
                <w:rFonts w:ascii="Arial" w:eastAsia="DejaVu Sans" w:hAnsi="DejaVu Sans" w:cs="DejaVu Sans"/>
                <w:b/>
                <w:color w:val="000000"/>
              </w:rPr>
              <w:t>Ndeaths</w:t>
            </w:r>
          </w:p>
        </w:tc>
        <w:tc>
          <w:tcPr>
            <w:tcW w:w="1131" w:type="dxa"/>
            <w:tcBorders>
              <w:bottom w:val="single" w:sz="8" w:space="0" w:color="BEBEBE"/>
            </w:tcBorders>
            <w:shd w:val="clear" w:color="auto" w:fill="FFFFFF"/>
            <w:tcMar>
              <w:top w:w="0" w:type="dxa"/>
              <w:left w:w="0" w:type="dxa"/>
              <w:bottom w:w="0" w:type="dxa"/>
              <w:right w:w="0" w:type="dxa"/>
            </w:tcMar>
            <w:vAlign w:val="center"/>
          </w:tcPr>
          <w:p w14:paraId="358EA625" w14:textId="77777777" w:rsidR="00686583" w:rsidRDefault="00EF7C11">
            <w:pPr>
              <w:spacing w:before="60" w:after="60"/>
              <w:ind w:left="60" w:right="60"/>
              <w:jc w:val="right"/>
            </w:pPr>
            <w:r>
              <w:rPr>
                <w:rFonts w:ascii="Arial" w:eastAsia="DejaVu Sans" w:hAnsi="DejaVu Sans" w:cs="DejaVu Sans"/>
                <w:b/>
                <w:color w:val="000000"/>
              </w:rPr>
              <w:t>aRate</w:t>
            </w:r>
          </w:p>
        </w:tc>
        <w:tc>
          <w:tcPr>
            <w:tcW w:w="1623" w:type="dxa"/>
            <w:tcBorders>
              <w:bottom w:val="single" w:sz="8" w:space="0" w:color="BEBEBE"/>
            </w:tcBorders>
            <w:shd w:val="clear" w:color="auto" w:fill="FFFFFF"/>
            <w:tcMar>
              <w:top w:w="0" w:type="dxa"/>
              <w:left w:w="0" w:type="dxa"/>
              <w:bottom w:w="0" w:type="dxa"/>
              <w:right w:w="0" w:type="dxa"/>
            </w:tcMar>
            <w:vAlign w:val="center"/>
          </w:tcPr>
          <w:p w14:paraId="3C88AB7D" w14:textId="77777777" w:rsidR="00686583" w:rsidRDefault="00EF7C11">
            <w:pPr>
              <w:spacing w:before="60" w:after="60"/>
              <w:ind w:left="60" w:right="60"/>
              <w:jc w:val="right"/>
            </w:pPr>
            <w:r>
              <w:rPr>
                <w:rFonts w:ascii="Arial" w:eastAsia="DejaVu Sans" w:hAnsi="DejaVu Sans" w:cs="DejaVu Sans"/>
                <w:b/>
                <w:color w:val="000000"/>
              </w:rPr>
              <w:t>pIncrease</w:t>
            </w:r>
          </w:p>
        </w:tc>
      </w:tr>
      <w:tr w:rsidR="00686583" w14:paraId="2AD0FA37" w14:textId="77777777" w:rsidTr="00686583">
        <w:trPr>
          <w:cantSplit/>
          <w:jc w:val="center"/>
        </w:trPr>
        <w:tc>
          <w:tcPr>
            <w:tcW w:w="971" w:type="dxa"/>
            <w:shd w:val="clear" w:color="auto" w:fill="EFEFEF"/>
            <w:tcMar>
              <w:top w:w="0" w:type="dxa"/>
              <w:left w:w="0" w:type="dxa"/>
              <w:bottom w:w="0" w:type="dxa"/>
              <w:right w:w="0" w:type="dxa"/>
            </w:tcMar>
            <w:vAlign w:val="center"/>
          </w:tcPr>
          <w:p w14:paraId="27A273C7" w14:textId="77777777" w:rsidR="00686583" w:rsidRDefault="00EF7C11">
            <w:pPr>
              <w:spacing w:before="60" w:after="60"/>
              <w:ind w:left="60" w:right="60"/>
            </w:pPr>
            <w:r>
              <w:rPr>
                <w:rFonts w:ascii="Arial" w:eastAsia="DejaVu Sans" w:hAnsi="DejaVu Sans" w:cs="DejaVu Sans"/>
                <w:color w:val="000000"/>
                <w:sz w:val="20"/>
                <w:szCs w:val="20"/>
              </w:rPr>
              <w:t>2020</w:t>
            </w:r>
          </w:p>
        </w:tc>
        <w:tc>
          <w:tcPr>
            <w:tcW w:w="1443" w:type="dxa"/>
            <w:shd w:val="clear" w:color="auto" w:fill="EFEFEF"/>
            <w:tcMar>
              <w:top w:w="0" w:type="dxa"/>
              <w:left w:w="0" w:type="dxa"/>
              <w:bottom w:w="0" w:type="dxa"/>
              <w:right w:w="0" w:type="dxa"/>
            </w:tcMar>
            <w:vAlign w:val="center"/>
          </w:tcPr>
          <w:p w14:paraId="1E4066EC" w14:textId="77777777" w:rsidR="00686583" w:rsidRDefault="00EF7C11">
            <w:pPr>
              <w:spacing w:before="60" w:after="60"/>
              <w:ind w:left="60" w:right="60"/>
              <w:jc w:val="right"/>
            </w:pPr>
            <w:r>
              <w:rPr>
                <w:rFonts w:ascii="Arial" w:eastAsia="DejaVu Sans" w:hAnsi="DejaVu Sans" w:cs="DejaVu Sans"/>
                <w:color w:val="000000"/>
                <w:sz w:val="20"/>
                <w:szCs w:val="20"/>
              </w:rPr>
              <w:t>316,544</w:t>
            </w:r>
          </w:p>
        </w:tc>
        <w:tc>
          <w:tcPr>
            <w:tcW w:w="1131" w:type="dxa"/>
            <w:shd w:val="clear" w:color="auto" w:fill="EFEFEF"/>
            <w:tcMar>
              <w:top w:w="0" w:type="dxa"/>
              <w:left w:w="0" w:type="dxa"/>
              <w:bottom w:w="0" w:type="dxa"/>
              <w:right w:w="0" w:type="dxa"/>
            </w:tcMar>
            <w:vAlign w:val="center"/>
          </w:tcPr>
          <w:p w14:paraId="27B9261B" w14:textId="77777777" w:rsidR="00686583" w:rsidRDefault="00EF7C11">
            <w:pPr>
              <w:spacing w:before="60" w:after="60"/>
              <w:ind w:left="60" w:right="60"/>
              <w:jc w:val="right"/>
            </w:pPr>
            <w:r>
              <w:rPr>
                <w:rFonts w:ascii="Arial" w:eastAsia="DejaVu Sans" w:hAnsi="DejaVu Sans" w:cs="DejaVu Sans"/>
                <w:color w:val="000000"/>
                <w:sz w:val="20"/>
                <w:szCs w:val="20"/>
              </w:rPr>
              <w:t>649.1</w:t>
            </w:r>
          </w:p>
        </w:tc>
        <w:tc>
          <w:tcPr>
            <w:tcW w:w="1623" w:type="dxa"/>
            <w:shd w:val="clear" w:color="auto" w:fill="EFEFEF"/>
            <w:tcMar>
              <w:top w:w="0" w:type="dxa"/>
              <w:left w:w="0" w:type="dxa"/>
              <w:bottom w:w="0" w:type="dxa"/>
              <w:right w:w="0" w:type="dxa"/>
            </w:tcMar>
            <w:vAlign w:val="center"/>
          </w:tcPr>
          <w:p w14:paraId="04F7A065" w14:textId="77777777" w:rsidR="00686583" w:rsidRDefault="00EF7C11">
            <w:pPr>
              <w:spacing w:before="60" w:after="60"/>
              <w:ind w:left="60" w:right="60"/>
              <w:jc w:val="right"/>
            </w:pPr>
            <w:r>
              <w:rPr>
                <w:rFonts w:ascii="Arial" w:eastAsia="DejaVu Sans" w:hAnsi="DejaVu Sans" w:cs="DejaVu Sans"/>
                <w:color w:val="000000"/>
                <w:sz w:val="20"/>
                <w:szCs w:val="20"/>
              </w:rPr>
              <w:t>15.9%</w:t>
            </w:r>
          </w:p>
        </w:tc>
      </w:tr>
      <w:tr w:rsidR="00686583" w14:paraId="77694B80" w14:textId="77777777" w:rsidTr="00686583">
        <w:trPr>
          <w:cantSplit/>
          <w:jc w:val="center"/>
        </w:trPr>
        <w:tc>
          <w:tcPr>
            <w:tcW w:w="971" w:type="dxa"/>
            <w:shd w:val="clear" w:color="auto" w:fill="FFFFFF"/>
            <w:tcMar>
              <w:top w:w="0" w:type="dxa"/>
              <w:left w:w="0" w:type="dxa"/>
              <w:bottom w:w="0" w:type="dxa"/>
              <w:right w:w="0" w:type="dxa"/>
            </w:tcMar>
            <w:vAlign w:val="center"/>
          </w:tcPr>
          <w:p w14:paraId="2E1BDA50" w14:textId="77777777" w:rsidR="00686583" w:rsidRDefault="00EF7C11">
            <w:pPr>
              <w:spacing w:before="60" w:after="60"/>
              <w:ind w:left="60" w:right="60"/>
            </w:pPr>
            <w:r>
              <w:rPr>
                <w:rFonts w:ascii="Arial" w:eastAsia="DejaVu Sans" w:hAnsi="DejaVu Sans" w:cs="DejaVu Sans"/>
                <w:color w:val="000000"/>
                <w:sz w:val="20"/>
                <w:szCs w:val="20"/>
              </w:rPr>
              <w:t>2019</w:t>
            </w:r>
          </w:p>
        </w:tc>
        <w:tc>
          <w:tcPr>
            <w:tcW w:w="1443" w:type="dxa"/>
            <w:shd w:val="clear" w:color="auto" w:fill="FFFFFF"/>
            <w:tcMar>
              <w:top w:w="0" w:type="dxa"/>
              <w:left w:w="0" w:type="dxa"/>
              <w:bottom w:w="0" w:type="dxa"/>
              <w:right w:w="0" w:type="dxa"/>
            </w:tcMar>
            <w:vAlign w:val="center"/>
          </w:tcPr>
          <w:p w14:paraId="7D92E9BA" w14:textId="77777777" w:rsidR="00686583" w:rsidRDefault="00EF7C11">
            <w:pPr>
              <w:spacing w:before="60" w:after="60"/>
              <w:ind w:left="60" w:right="60"/>
              <w:jc w:val="right"/>
            </w:pPr>
            <w:r>
              <w:rPr>
                <w:rFonts w:ascii="Arial" w:eastAsia="DejaVu Sans" w:hAnsi="DejaVu Sans" w:cs="DejaVu Sans"/>
                <w:color w:val="000000"/>
                <w:sz w:val="20"/>
                <w:szCs w:val="20"/>
              </w:rPr>
              <w:t>267,034</w:t>
            </w:r>
          </w:p>
        </w:tc>
        <w:tc>
          <w:tcPr>
            <w:tcW w:w="1131" w:type="dxa"/>
            <w:shd w:val="clear" w:color="auto" w:fill="FFFFFF"/>
            <w:tcMar>
              <w:top w:w="0" w:type="dxa"/>
              <w:left w:w="0" w:type="dxa"/>
              <w:bottom w:w="0" w:type="dxa"/>
              <w:right w:w="0" w:type="dxa"/>
            </w:tcMar>
            <w:vAlign w:val="center"/>
          </w:tcPr>
          <w:p w14:paraId="081D8D65" w14:textId="77777777" w:rsidR="00686583" w:rsidRDefault="00EF7C11">
            <w:pPr>
              <w:spacing w:before="60" w:after="60"/>
              <w:ind w:left="60" w:right="60"/>
              <w:jc w:val="right"/>
            </w:pPr>
            <w:r>
              <w:rPr>
                <w:rFonts w:ascii="Arial" w:eastAsia="DejaVu Sans" w:hAnsi="DejaVu Sans" w:cs="DejaVu Sans"/>
                <w:color w:val="000000"/>
                <w:sz w:val="20"/>
                <w:szCs w:val="20"/>
              </w:rPr>
              <w:t>560.0</w:t>
            </w:r>
          </w:p>
        </w:tc>
        <w:tc>
          <w:tcPr>
            <w:tcW w:w="1623" w:type="dxa"/>
            <w:shd w:val="clear" w:color="auto" w:fill="FFFFFF"/>
            <w:tcMar>
              <w:top w:w="0" w:type="dxa"/>
              <w:left w:w="0" w:type="dxa"/>
              <w:bottom w:w="0" w:type="dxa"/>
              <w:right w:w="0" w:type="dxa"/>
            </w:tcMar>
            <w:vAlign w:val="center"/>
          </w:tcPr>
          <w:p w14:paraId="70C602E0" w14:textId="77777777" w:rsidR="00686583" w:rsidRDefault="00EF7C11">
            <w:pPr>
              <w:spacing w:before="60" w:after="60"/>
              <w:ind w:left="60" w:right="60"/>
              <w:jc w:val="right"/>
            </w:pPr>
            <w:r>
              <w:rPr>
                <w:rFonts w:ascii="Arial" w:eastAsia="DejaVu Sans" w:hAnsi="DejaVu Sans" w:cs="DejaVu Sans"/>
                <w:color w:val="000000"/>
                <w:sz w:val="20"/>
                <w:szCs w:val="20"/>
              </w:rPr>
              <w:t>-2.3%</w:t>
            </w:r>
          </w:p>
        </w:tc>
      </w:tr>
      <w:tr w:rsidR="00686583" w14:paraId="7817590E" w14:textId="77777777" w:rsidTr="00686583">
        <w:trPr>
          <w:cantSplit/>
          <w:jc w:val="center"/>
        </w:trPr>
        <w:tc>
          <w:tcPr>
            <w:tcW w:w="971" w:type="dxa"/>
            <w:shd w:val="clear" w:color="auto" w:fill="EFEFEF"/>
            <w:tcMar>
              <w:top w:w="0" w:type="dxa"/>
              <w:left w:w="0" w:type="dxa"/>
              <w:bottom w:w="0" w:type="dxa"/>
              <w:right w:w="0" w:type="dxa"/>
            </w:tcMar>
            <w:vAlign w:val="center"/>
          </w:tcPr>
          <w:p w14:paraId="1D825EB8" w14:textId="77777777" w:rsidR="00686583" w:rsidRDefault="00EF7C11">
            <w:pPr>
              <w:spacing w:before="60" w:after="60"/>
              <w:ind w:left="60" w:right="60"/>
            </w:pPr>
            <w:r>
              <w:rPr>
                <w:rFonts w:ascii="Arial" w:eastAsia="DejaVu Sans" w:hAnsi="DejaVu Sans" w:cs="DejaVu Sans"/>
                <w:color w:val="000000"/>
                <w:sz w:val="20"/>
                <w:szCs w:val="20"/>
              </w:rPr>
              <w:t>2018</w:t>
            </w:r>
          </w:p>
        </w:tc>
        <w:tc>
          <w:tcPr>
            <w:tcW w:w="1443" w:type="dxa"/>
            <w:shd w:val="clear" w:color="auto" w:fill="EFEFEF"/>
            <w:tcMar>
              <w:top w:w="0" w:type="dxa"/>
              <w:left w:w="0" w:type="dxa"/>
              <w:bottom w:w="0" w:type="dxa"/>
              <w:right w:w="0" w:type="dxa"/>
            </w:tcMar>
            <w:vAlign w:val="center"/>
          </w:tcPr>
          <w:p w14:paraId="2D787E01" w14:textId="77777777" w:rsidR="00686583" w:rsidRDefault="00EF7C11">
            <w:pPr>
              <w:spacing w:before="60" w:after="60"/>
              <w:ind w:left="60" w:right="60"/>
              <w:jc w:val="right"/>
            </w:pPr>
            <w:r>
              <w:rPr>
                <w:rFonts w:ascii="Arial" w:eastAsia="DejaVu Sans" w:hAnsi="DejaVu Sans" w:cs="DejaVu Sans"/>
                <w:color w:val="000000"/>
                <w:sz w:val="20"/>
                <w:szCs w:val="20"/>
              </w:rPr>
              <w:t>266,161</w:t>
            </w:r>
          </w:p>
        </w:tc>
        <w:tc>
          <w:tcPr>
            <w:tcW w:w="1131" w:type="dxa"/>
            <w:shd w:val="clear" w:color="auto" w:fill="EFEFEF"/>
            <w:tcMar>
              <w:top w:w="0" w:type="dxa"/>
              <w:left w:w="0" w:type="dxa"/>
              <w:bottom w:w="0" w:type="dxa"/>
              <w:right w:w="0" w:type="dxa"/>
            </w:tcMar>
            <w:vAlign w:val="center"/>
          </w:tcPr>
          <w:p w14:paraId="0286B8F2" w14:textId="77777777" w:rsidR="00686583" w:rsidRDefault="00EF7C11">
            <w:pPr>
              <w:spacing w:before="60" w:after="60"/>
              <w:ind w:left="60" w:right="60"/>
              <w:jc w:val="right"/>
            </w:pPr>
            <w:r>
              <w:rPr>
                <w:rFonts w:ascii="Arial" w:eastAsia="DejaVu Sans" w:hAnsi="DejaVu Sans" w:cs="DejaVu Sans"/>
                <w:color w:val="000000"/>
                <w:sz w:val="20"/>
                <w:szCs w:val="20"/>
              </w:rPr>
              <w:t>572.9</w:t>
            </w:r>
          </w:p>
        </w:tc>
        <w:tc>
          <w:tcPr>
            <w:tcW w:w="1623" w:type="dxa"/>
            <w:shd w:val="clear" w:color="auto" w:fill="EFEFEF"/>
            <w:tcMar>
              <w:top w:w="0" w:type="dxa"/>
              <w:left w:w="0" w:type="dxa"/>
              <w:bottom w:w="0" w:type="dxa"/>
              <w:right w:w="0" w:type="dxa"/>
            </w:tcMar>
            <w:vAlign w:val="center"/>
          </w:tcPr>
          <w:p w14:paraId="0571C175" w14:textId="77777777" w:rsidR="00686583" w:rsidRDefault="00EF7C11">
            <w:pPr>
              <w:spacing w:before="60" w:after="60"/>
              <w:ind w:left="60" w:right="60"/>
              <w:jc w:val="right"/>
            </w:pPr>
            <w:r>
              <w:rPr>
                <w:rFonts w:ascii="Arial" w:eastAsia="DejaVu Sans" w:hAnsi="DejaVu Sans" w:cs="DejaVu Sans"/>
                <w:color w:val="000000"/>
                <w:sz w:val="20"/>
                <w:szCs w:val="20"/>
              </w:rPr>
              <w:t>-4.3%</w:t>
            </w:r>
          </w:p>
        </w:tc>
      </w:tr>
      <w:tr w:rsidR="00686583" w14:paraId="55BC19F9" w14:textId="77777777" w:rsidTr="00686583">
        <w:trPr>
          <w:cantSplit/>
          <w:jc w:val="center"/>
        </w:trPr>
        <w:tc>
          <w:tcPr>
            <w:tcW w:w="971" w:type="dxa"/>
            <w:shd w:val="clear" w:color="auto" w:fill="FFFFFF"/>
            <w:tcMar>
              <w:top w:w="0" w:type="dxa"/>
              <w:left w:w="0" w:type="dxa"/>
              <w:bottom w:w="0" w:type="dxa"/>
              <w:right w:w="0" w:type="dxa"/>
            </w:tcMar>
            <w:vAlign w:val="center"/>
          </w:tcPr>
          <w:p w14:paraId="32C05DB9" w14:textId="77777777" w:rsidR="00686583" w:rsidRDefault="00EF7C11">
            <w:pPr>
              <w:spacing w:before="60" w:after="60"/>
              <w:ind w:left="60" w:right="60"/>
            </w:pPr>
            <w:r>
              <w:rPr>
                <w:rFonts w:ascii="Arial" w:eastAsia="DejaVu Sans" w:hAnsi="DejaVu Sans" w:cs="DejaVu Sans"/>
                <w:color w:val="000000"/>
                <w:sz w:val="20"/>
                <w:szCs w:val="20"/>
              </w:rPr>
              <w:t>2017</w:t>
            </w:r>
          </w:p>
        </w:tc>
        <w:tc>
          <w:tcPr>
            <w:tcW w:w="1443" w:type="dxa"/>
            <w:shd w:val="clear" w:color="auto" w:fill="FFFFFF"/>
            <w:tcMar>
              <w:top w:w="0" w:type="dxa"/>
              <w:left w:w="0" w:type="dxa"/>
              <w:bottom w:w="0" w:type="dxa"/>
              <w:right w:w="0" w:type="dxa"/>
            </w:tcMar>
            <w:vAlign w:val="center"/>
          </w:tcPr>
          <w:p w14:paraId="18D83F47" w14:textId="77777777" w:rsidR="00686583" w:rsidRDefault="00EF7C11">
            <w:pPr>
              <w:spacing w:before="60" w:after="60"/>
              <w:ind w:left="60" w:right="60"/>
              <w:jc w:val="right"/>
            </w:pPr>
            <w:r>
              <w:rPr>
                <w:rFonts w:ascii="Arial" w:eastAsia="DejaVu Sans" w:hAnsi="DejaVu Sans" w:cs="DejaVu Sans"/>
                <w:color w:val="000000"/>
                <w:sz w:val="20"/>
                <w:szCs w:val="20"/>
              </w:rPr>
              <w:t>265,439</w:t>
            </w:r>
          </w:p>
        </w:tc>
        <w:tc>
          <w:tcPr>
            <w:tcW w:w="1131" w:type="dxa"/>
            <w:shd w:val="clear" w:color="auto" w:fill="FFFFFF"/>
            <w:tcMar>
              <w:top w:w="0" w:type="dxa"/>
              <w:left w:w="0" w:type="dxa"/>
              <w:bottom w:w="0" w:type="dxa"/>
              <w:right w:w="0" w:type="dxa"/>
            </w:tcMar>
            <w:vAlign w:val="center"/>
          </w:tcPr>
          <w:p w14:paraId="3B003BB1" w14:textId="77777777" w:rsidR="00686583" w:rsidRDefault="00EF7C11">
            <w:pPr>
              <w:spacing w:before="60" w:after="60"/>
              <w:ind w:left="60" w:right="60"/>
              <w:jc w:val="right"/>
            </w:pPr>
            <w:r>
              <w:rPr>
                <w:rFonts w:ascii="Arial" w:eastAsia="DejaVu Sans" w:hAnsi="DejaVu Sans" w:cs="DejaVu Sans"/>
                <w:color w:val="000000"/>
                <w:sz w:val="20"/>
                <w:szCs w:val="20"/>
              </w:rPr>
              <w:t>598.6</w:t>
            </w:r>
          </w:p>
        </w:tc>
        <w:tc>
          <w:tcPr>
            <w:tcW w:w="1623" w:type="dxa"/>
            <w:shd w:val="clear" w:color="auto" w:fill="FFFFFF"/>
            <w:tcMar>
              <w:top w:w="0" w:type="dxa"/>
              <w:left w:w="0" w:type="dxa"/>
              <w:bottom w:w="0" w:type="dxa"/>
              <w:right w:w="0" w:type="dxa"/>
            </w:tcMar>
            <w:vAlign w:val="center"/>
          </w:tcPr>
          <w:p w14:paraId="12FED849" w14:textId="77777777" w:rsidR="00686583" w:rsidRDefault="00EF7C11">
            <w:pPr>
              <w:spacing w:before="60" w:after="60"/>
              <w:ind w:left="60" w:right="60"/>
              <w:jc w:val="right"/>
            </w:pPr>
            <w:r>
              <w:rPr>
                <w:rFonts w:ascii="Arial" w:eastAsia="DejaVu Sans" w:hAnsi="DejaVu Sans" w:cs="DejaVu Sans"/>
                <w:color w:val="000000"/>
                <w:sz w:val="20"/>
                <w:szCs w:val="20"/>
              </w:rPr>
              <w:t>-</w:t>
            </w:r>
          </w:p>
        </w:tc>
      </w:tr>
    </w:tbl>
    <w:p w14:paraId="4405A00A" w14:textId="77777777" w:rsidR="00686583" w:rsidRDefault="00686583">
      <w:pPr>
        <w:pStyle w:val="FirstParagraph"/>
      </w:pPr>
    </w:p>
    <w:p w14:paraId="26D98A1C" w14:textId="77777777" w:rsidR="00686583" w:rsidRDefault="00EF7C11">
      <w:pPr>
        <w:pStyle w:val="Compact"/>
        <w:numPr>
          <w:ilvl w:val="0"/>
          <w:numId w:val="4"/>
        </w:numPr>
      </w:pPr>
      <w:r>
        <w:t>As the pandemic intensified throughout 2020, the increases in the rates accelerated. Comparing the 1st quarter of 2020 to the 1st quarter of 2019, death rates were similar, with just a 0.6% increase; then, comparing 2nd quarters, there was a 10.3% increase; comparing 3rd quarters, a 23.3% increase; and when comparing 4th quarters, a 30.6% increase.</w:t>
      </w:r>
    </w:p>
    <w:p w14:paraId="02940BEC" w14:textId="77777777" w:rsidR="00686583" w:rsidRDefault="00EF7C11">
      <w:pPr>
        <w:pStyle w:val="Heading3"/>
      </w:pPr>
      <w:bookmarkStart w:id="4" w:name="Xba64eff2ea3206d23926767e6568afc48ca48f7"/>
      <w:bookmarkEnd w:id="3"/>
      <w:r>
        <w:t>Figure 1 - All-Cause Death Rate by Quarter and Year, California 2017-2020</w:t>
      </w:r>
    </w:p>
    <w:p w14:paraId="049A159C" w14:textId="77777777" w:rsidR="00686583" w:rsidRDefault="00EF7C11">
      <w:pPr>
        <w:pStyle w:val="FirstParagraph"/>
      </w:pPr>
      <w:r>
        <w:rPr>
          <w:noProof/>
        </w:rPr>
        <w:drawing>
          <wp:inline distT="0" distB="0" distL="0" distR="0" wp14:anchorId="0590281A" wp14:editId="5C493767">
            <wp:extent cx="6858000" cy="2752344"/>
            <wp:effectExtent l="0" t="0" r="0" b="0"/>
            <wp:docPr id="1"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descr="2020_Excess_Mortality---Copy_files/figure-docx/unnamed-chunk-6-1.png"/>
                    <pic:cNvPicPr>
                      <a:picLocks noChangeAspect="1" noChangeArrowheads="1"/>
                    </pic:cNvPicPr>
                  </pic:nvPicPr>
                  <pic:blipFill>
                    <a:blip r:embed="rId8"/>
                    <a:stretch>
                      <a:fillRect/>
                    </a:stretch>
                  </pic:blipFill>
                  <pic:spPr bwMode="auto">
                    <a:xfrm>
                      <a:off x="0" y="0"/>
                      <a:ext cx="6858000" cy="2752344"/>
                    </a:xfrm>
                    <a:prstGeom prst="rect">
                      <a:avLst/>
                    </a:prstGeom>
                    <a:noFill/>
                    <a:ln w="9525">
                      <a:noFill/>
                      <a:headEnd/>
                      <a:tailEnd/>
                    </a:ln>
                  </pic:spPr>
                </pic:pic>
              </a:graphicData>
            </a:graphic>
          </wp:inline>
        </w:drawing>
      </w:r>
    </w:p>
    <w:p w14:paraId="263BAFFB" w14:textId="77777777" w:rsidR="00686583" w:rsidRDefault="00686583">
      <w:pPr>
        <w:pStyle w:val="BodyText"/>
      </w:pPr>
    </w:p>
    <w:p w14:paraId="1F446794" w14:textId="77777777" w:rsidR="00686583" w:rsidRDefault="00EF7C11">
      <w:pPr>
        <w:pStyle w:val="Heading2"/>
      </w:pPr>
      <w:bookmarkStart w:id="5" w:name="X61033f9851b919c3b06ddeb6667a20d1dd5ec0f"/>
      <w:bookmarkEnd w:id="2"/>
      <w:bookmarkEnd w:id="4"/>
      <w:r>
        <w:t>Deaths increased more among some race/ethnicity groups than others</w:t>
      </w:r>
    </w:p>
    <w:p w14:paraId="1E46627F" w14:textId="77777777" w:rsidR="00686583" w:rsidRDefault="00EF7C11">
      <w:pPr>
        <w:pStyle w:val="Compact"/>
        <w:numPr>
          <w:ilvl w:val="0"/>
          <w:numId w:val="5"/>
        </w:numPr>
      </w:pPr>
      <w:r>
        <w:t>From 2019 to 2020, the death rate increased 34.1% among Latinos, 7.8% among Whites, and about 20% among other groups.</w:t>
      </w:r>
    </w:p>
    <w:p w14:paraId="0D3D71CA" w14:textId="77777777" w:rsidR="00686583" w:rsidRDefault="00EF7C11">
      <w:pPr>
        <w:pStyle w:val="Heading3"/>
      </w:pPr>
      <w:bookmarkStart w:id="6" w:name="X92046ef2d1418f04fd1a71e31a83d8cd1f6ed99"/>
      <w:r>
        <w:t>Figure 2 - Percentage Increase in Race-Specific Age-Adjusted Death Rates 2019 to 2020</w:t>
      </w:r>
    </w:p>
    <w:p w14:paraId="09430916" w14:textId="77777777" w:rsidR="00686583" w:rsidRDefault="00EF7C11">
      <w:pPr>
        <w:pStyle w:val="FirstParagraph"/>
      </w:pPr>
      <w:r>
        <w:rPr>
          <w:noProof/>
        </w:rPr>
        <w:lastRenderedPageBreak/>
        <w:drawing>
          <wp:inline distT="0" distB="0" distL="0" distR="0" wp14:anchorId="09E39665" wp14:editId="7FDF49CC">
            <wp:extent cx="6858000" cy="2743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2020_Excess_Mortality---Copy_files/figure-docx/unnamed-chunk-7-1.png"/>
                    <pic:cNvPicPr>
                      <a:picLocks noChangeAspect="1" noChangeArrowheads="1"/>
                    </pic:cNvPicPr>
                  </pic:nvPicPr>
                  <pic:blipFill>
                    <a:blip r:embed="rId9"/>
                    <a:stretch>
                      <a:fillRect/>
                    </a:stretch>
                  </pic:blipFill>
                  <pic:spPr bwMode="auto">
                    <a:xfrm>
                      <a:off x="0" y="0"/>
                      <a:ext cx="6858000" cy="2743200"/>
                    </a:xfrm>
                    <a:prstGeom prst="rect">
                      <a:avLst/>
                    </a:prstGeom>
                    <a:noFill/>
                    <a:ln w="9525">
                      <a:noFill/>
                      <a:headEnd/>
                      <a:tailEnd/>
                    </a:ln>
                  </pic:spPr>
                </pic:pic>
              </a:graphicData>
            </a:graphic>
          </wp:inline>
        </w:drawing>
      </w:r>
    </w:p>
    <w:p w14:paraId="6BC03508" w14:textId="77777777" w:rsidR="00686583" w:rsidRDefault="00686583">
      <w:pPr>
        <w:pStyle w:val="BodyText"/>
      </w:pPr>
    </w:p>
    <w:p w14:paraId="1335B19E" w14:textId="77777777" w:rsidR="00686583" w:rsidRDefault="00EF7C11">
      <w:pPr>
        <w:pStyle w:val="Compact"/>
        <w:numPr>
          <w:ilvl w:val="0"/>
          <w:numId w:val="6"/>
        </w:numPr>
      </w:pPr>
      <w:r>
        <w:t xml:space="preserve">Deaths among all race/ethnic groups were higher in quarters 2, 3, and 4 of 2020 compared to the average rate of the corresponding 2017-2019 quarters. As the year progressed, these differences </w:t>
      </w:r>
      <w:r>
        <w:rPr>
          <w:b/>
          <w:bCs/>
        </w:rPr>
        <w:t>within</w:t>
      </w:r>
      <w:r>
        <w:t xml:space="preserve"> each race/ethnic group increased for all race/ethnic groups, and the disparities in these differences </w:t>
      </w:r>
      <w:r>
        <w:rPr>
          <w:b/>
          <w:bCs/>
        </w:rPr>
        <w:t>between</w:t>
      </w:r>
      <w:r>
        <w:t xml:space="preserve"> most groups increased.</w:t>
      </w:r>
    </w:p>
    <w:p w14:paraId="0DEBC82D" w14:textId="77777777" w:rsidR="00686583" w:rsidRDefault="00EF7C11">
      <w:pPr>
        <w:pStyle w:val="Compact"/>
        <w:numPr>
          <w:ilvl w:val="0"/>
          <w:numId w:val="6"/>
        </w:numPr>
      </w:pPr>
      <w:r>
        <w:t>These disparities are seen in Figure 3a by observing the increasing gap within any specific race/ethnicity group (dotted line compared to solid line), and by observing the increasingly larger gaps in some groups than others.</w:t>
      </w:r>
    </w:p>
    <w:p w14:paraId="296B2EA8" w14:textId="77777777" w:rsidR="00686583" w:rsidRDefault="00EF7C11">
      <w:pPr>
        <w:pStyle w:val="Compact"/>
        <w:numPr>
          <w:ilvl w:val="0"/>
          <w:numId w:val="6"/>
        </w:numPr>
      </w:pPr>
      <w:r>
        <w:t>These increases are all statistically significant for all groups. (See Appendix Figure Set 1)</w:t>
      </w:r>
    </w:p>
    <w:p w14:paraId="0FE9A160" w14:textId="77777777" w:rsidR="00686583" w:rsidRDefault="00EF7C11">
      <w:pPr>
        <w:pStyle w:val="Heading3"/>
      </w:pPr>
      <w:bookmarkStart w:id="7" w:name="X289e23b6d687ee44fc3112777c4502c3ec08a12"/>
      <w:bookmarkEnd w:id="6"/>
      <w:r>
        <w:t>Figure 3a - Trends in All Cause Age-Adjusted Mortality Rate by Race/Ethnicity by Quarter, 2020 and 2017-2019 Average</w:t>
      </w:r>
    </w:p>
    <w:p w14:paraId="10E09826" w14:textId="77777777" w:rsidR="00686583" w:rsidRDefault="00EF7C11">
      <w:pPr>
        <w:pStyle w:val="FirstParagraph"/>
      </w:pPr>
      <w:r>
        <w:rPr>
          <w:noProof/>
        </w:rPr>
        <w:drawing>
          <wp:inline distT="0" distB="0" distL="0" distR="0" wp14:anchorId="482C5543" wp14:editId="341F2014">
            <wp:extent cx="6858000" cy="2743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2020_Excess_Mortality---Copy_files/figure-docx/unnamed-chunk-8-1.png"/>
                    <pic:cNvPicPr>
                      <a:picLocks noChangeAspect="1" noChangeArrowheads="1"/>
                    </pic:cNvPicPr>
                  </pic:nvPicPr>
                  <pic:blipFill>
                    <a:blip r:embed="rId10"/>
                    <a:stretch>
                      <a:fillRect/>
                    </a:stretch>
                  </pic:blipFill>
                  <pic:spPr bwMode="auto">
                    <a:xfrm>
                      <a:off x="0" y="0"/>
                      <a:ext cx="6858000" cy="2743200"/>
                    </a:xfrm>
                    <a:prstGeom prst="rect">
                      <a:avLst/>
                    </a:prstGeom>
                    <a:noFill/>
                    <a:ln w="9525">
                      <a:noFill/>
                      <a:headEnd/>
                      <a:tailEnd/>
                    </a:ln>
                  </pic:spPr>
                </pic:pic>
              </a:graphicData>
            </a:graphic>
          </wp:inline>
        </w:drawing>
      </w:r>
    </w:p>
    <w:p w14:paraId="1339AD18" w14:textId="77777777" w:rsidR="00686583" w:rsidRDefault="00EF7C11">
      <w:r>
        <w:br w:type="page"/>
      </w:r>
    </w:p>
    <w:p w14:paraId="26B2298B" w14:textId="77777777" w:rsidR="00686583" w:rsidRDefault="00EF7C11">
      <w:pPr>
        <w:pStyle w:val="Compact"/>
        <w:numPr>
          <w:ilvl w:val="0"/>
          <w:numId w:val="7"/>
        </w:numPr>
      </w:pPr>
      <w:r>
        <w:lastRenderedPageBreak/>
        <w:t xml:space="preserve">Figure 3b below shows the same data as in 3a above, with a different perspective. Each bar is the </w:t>
      </w:r>
      <w:r>
        <w:rPr>
          <w:b/>
          <w:bCs/>
        </w:rPr>
        <w:t>percent increase</w:t>
      </w:r>
      <w:r>
        <w:t xml:space="preserve"> in the death rate for each race/ethnicity group comparing quarters of 2017-19 to the corresponding quarters of 2020. The height of the bar reflects the size of the increase, or decrease if the value is less than zero.</w:t>
      </w:r>
    </w:p>
    <w:p w14:paraId="1BF07956" w14:textId="77777777" w:rsidR="00686583" w:rsidRDefault="00EF7C11">
      <w:pPr>
        <w:pStyle w:val="Compact"/>
        <w:numPr>
          <w:ilvl w:val="0"/>
          <w:numId w:val="7"/>
        </w:numPr>
      </w:pPr>
      <w:r>
        <w:t>Comparing 1st quarters, there were very small increases for some groups, and small decreases for others.</w:t>
      </w:r>
    </w:p>
    <w:p w14:paraId="736BA8CA" w14:textId="77777777" w:rsidR="00686583" w:rsidRDefault="00EF7C11">
      <w:pPr>
        <w:pStyle w:val="Compact"/>
        <w:numPr>
          <w:ilvl w:val="0"/>
          <w:numId w:val="7"/>
        </w:numPr>
      </w:pPr>
      <w:r>
        <w:t>In the 2nd quarter of 2020, death rates increased in all race/ethnic groups, with the largest increase among Latinos and the smallest increase among Whites.</w:t>
      </w:r>
    </w:p>
    <w:p w14:paraId="04373157" w14:textId="77777777" w:rsidR="00686583" w:rsidRDefault="00EF7C11">
      <w:pPr>
        <w:pStyle w:val="Compact"/>
        <w:numPr>
          <w:ilvl w:val="0"/>
          <w:numId w:val="7"/>
        </w:numPr>
      </w:pPr>
      <w:r>
        <w:t>In the 3rd quarter, the death rate increased 44.9% among Latinos, 13.9% among Whites, and at an intermediate level among other groups.</w:t>
      </w:r>
    </w:p>
    <w:p w14:paraId="546C9612" w14:textId="77777777" w:rsidR="00686583" w:rsidRDefault="00EF7C11">
      <w:pPr>
        <w:pStyle w:val="Compact"/>
        <w:numPr>
          <w:ilvl w:val="0"/>
          <w:numId w:val="7"/>
        </w:numPr>
      </w:pPr>
      <w:r>
        <w:t>In the 4th quarter, the death rate increased 62.5% among Latinos, 50.3% among NH/PI, 35.2% among Asians, 34.1% among AI/AN, 26.0% among Blacks, and 13.9% among Whites.</w:t>
      </w:r>
    </w:p>
    <w:p w14:paraId="64C6049B" w14:textId="77777777" w:rsidR="00686583" w:rsidRDefault="00EF7C11">
      <w:pPr>
        <w:pStyle w:val="Heading3"/>
      </w:pPr>
      <w:bookmarkStart w:id="8" w:name="X47398b8a74310e54ae7ddd87427d9c7703421a9"/>
      <w:bookmarkEnd w:id="7"/>
      <w:r>
        <w:t>Figure 3b - Percentage Increase in Age-Adjusted Death Rate by Quarter, 2020 and 2017-2019 Average, by Race/Ethnicity</w:t>
      </w:r>
    </w:p>
    <w:p w14:paraId="1BABA6DF" w14:textId="77777777" w:rsidR="00686583" w:rsidRDefault="00EF7C11">
      <w:pPr>
        <w:pStyle w:val="FirstParagraph"/>
      </w:pPr>
      <w:r>
        <w:rPr>
          <w:noProof/>
        </w:rPr>
        <w:drawing>
          <wp:inline distT="0" distB="0" distL="0" distR="0" wp14:anchorId="26766249" wp14:editId="291E7A9B">
            <wp:extent cx="6858000" cy="2743200"/>
            <wp:effectExtent l="0" t="0" r="0" b="0"/>
            <wp:docPr id="4"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descr="2020_Excess_Mortality---Copy_files/figure-docx/unnamed-chunk-9-1.png"/>
                    <pic:cNvPicPr>
                      <a:picLocks noChangeAspect="1" noChangeArrowheads="1"/>
                    </pic:cNvPicPr>
                  </pic:nvPicPr>
                  <pic:blipFill>
                    <a:blip r:embed="rId11"/>
                    <a:stretch>
                      <a:fillRect/>
                    </a:stretch>
                  </pic:blipFill>
                  <pic:spPr bwMode="auto">
                    <a:xfrm>
                      <a:off x="0" y="0"/>
                      <a:ext cx="6858000" cy="2743200"/>
                    </a:xfrm>
                    <a:prstGeom prst="rect">
                      <a:avLst/>
                    </a:prstGeom>
                    <a:noFill/>
                    <a:ln w="9525">
                      <a:noFill/>
                      <a:headEnd/>
                      <a:tailEnd/>
                    </a:ln>
                  </pic:spPr>
                </pic:pic>
              </a:graphicData>
            </a:graphic>
          </wp:inline>
        </w:drawing>
      </w:r>
    </w:p>
    <w:p w14:paraId="232D7674" w14:textId="77777777" w:rsidR="00686583" w:rsidRDefault="00686583">
      <w:pPr>
        <w:pStyle w:val="BodyText"/>
      </w:pPr>
    </w:p>
    <w:p w14:paraId="222617E2" w14:textId="77777777" w:rsidR="00686583" w:rsidRDefault="00EF7C11">
      <w:r>
        <w:br w:type="page"/>
      </w:r>
    </w:p>
    <w:p w14:paraId="2A6F077A" w14:textId="77777777" w:rsidR="00686583" w:rsidRDefault="00EF7C11">
      <w:pPr>
        <w:pStyle w:val="Heading2"/>
      </w:pPr>
      <w:bookmarkStart w:id="9" w:name="Xe088b252a497a3bd848769a148887f85fb9e62a"/>
      <w:bookmarkEnd w:id="5"/>
      <w:bookmarkEnd w:id="8"/>
      <w:r>
        <w:lastRenderedPageBreak/>
        <w:t>Causes of death other than COVID-19 also increased</w:t>
      </w:r>
    </w:p>
    <w:p w14:paraId="007EAD04" w14:textId="77777777" w:rsidR="00686583" w:rsidRDefault="00EF7C11">
      <w:pPr>
        <w:numPr>
          <w:ilvl w:val="0"/>
          <w:numId w:val="8"/>
        </w:numPr>
      </w:pPr>
      <w:r>
        <w:t>Aside from COVID-19, three conditions with large percent increases in deaths from 2019 to 2020 were drug overdose (38.7%), homicide (31.3%), and diabetes (17.0%), Table 2.</w:t>
      </w:r>
    </w:p>
    <w:p w14:paraId="16C00FD4" w14:textId="77777777" w:rsidR="00686583" w:rsidRDefault="00EF7C11">
      <w:pPr>
        <w:numPr>
          <w:ilvl w:val="0"/>
          <w:numId w:val="8"/>
        </w:numPr>
      </w:pPr>
      <w:r>
        <w:t>The conditions with the largest absolute increases in number of deaths from 2019 to 2020 were Alzheimer’s disease and other dementias (3,617), ischemic heart disease (2,580), and drug overdoses (2,228).</w:t>
      </w:r>
    </w:p>
    <w:p w14:paraId="612BF349" w14:textId="77777777" w:rsidR="00686583" w:rsidRDefault="00EF7C11">
      <w:pPr>
        <w:numPr>
          <w:ilvl w:val="0"/>
          <w:numId w:val="8"/>
        </w:numPr>
      </w:pPr>
      <w:r>
        <w:t xml:space="preserve">For drug overdose and Alzheimer’s disease and other dementias, the increases are consistent with recent trends, albeit accelerated. But </w:t>
      </w:r>
      <w:r>
        <w:rPr>
          <w:b/>
          <w:bCs/>
        </w:rPr>
        <w:t>for ischemic heart disease, the leading cause of death in California, the apparent increase is a concerning reversal of a steady downward trend of many prior years</w:t>
      </w:r>
      <w:r>
        <w:t xml:space="preserve">. The </w:t>
      </w:r>
      <w:r>
        <w:rPr>
          <w:b/>
          <w:bCs/>
        </w:rPr>
        <w:t>increase in homicide is also striking and alarming, in contrast to the encouraging decreases the last few years, and the long-term downward trend.</w:t>
      </w:r>
      <w:r>
        <w:t xml:space="preserve"> (For long-term trends in cause-specific deaths in California see Appendix Figure Set 2 or the California Community Burden of Disease Engine (CCB).)</w:t>
      </w:r>
    </w:p>
    <w:p w14:paraId="6E21107F" w14:textId="77777777" w:rsidR="00686583" w:rsidRDefault="00EF7C11">
      <w:pPr>
        <w:numPr>
          <w:ilvl w:val="0"/>
          <w:numId w:val="8"/>
        </w:numPr>
      </w:pPr>
      <w:r>
        <w:t xml:space="preserve">Regarding </w:t>
      </w:r>
      <w:r>
        <w:rPr>
          <w:b/>
          <w:bCs/>
        </w:rPr>
        <w:t>decreases</w:t>
      </w:r>
      <w:r>
        <w:t xml:space="preserve"> from 2019 to 2020, </w:t>
      </w:r>
      <w:r>
        <w:rPr>
          <w:b/>
          <w:bCs/>
        </w:rPr>
        <w:t>suicide/self-harm and lung cancers</w:t>
      </w:r>
      <w:r>
        <w:t xml:space="preserve"> both had large percentage and absolute decreases in number of deaths, and leukemia had a noteworthy percent decrease.</w:t>
      </w:r>
    </w:p>
    <w:p w14:paraId="0582B98C" w14:textId="77777777" w:rsidR="00686583" w:rsidRDefault="00EF7C11">
      <w:pPr>
        <w:pStyle w:val="Heading3"/>
      </w:pPr>
      <w:bookmarkStart w:id="10" w:name="X0d669c4cc6617ff4b322cec2dfbe2e89ea1d502"/>
      <w:r>
        <w:t>Table 2 - 2017 to 2020, Selected Causes of Death, ordered by percent increase 2019 to 2020 [note: table is sortable]</w:t>
      </w:r>
    </w:p>
    <w:tbl>
      <w:tblPr>
        <w:tblStyle w:val="Table"/>
        <w:tblW w:w="0" w:type="auto"/>
        <w:jc w:val="center"/>
        <w:tblLayout w:type="fixed"/>
        <w:tblLook w:val="0420" w:firstRow="1" w:lastRow="0" w:firstColumn="0" w:lastColumn="0" w:noHBand="0" w:noVBand="1"/>
      </w:tblPr>
      <w:tblGrid>
        <w:gridCol w:w="2880"/>
        <w:gridCol w:w="720"/>
        <w:gridCol w:w="720"/>
        <w:gridCol w:w="720"/>
        <w:gridCol w:w="720"/>
        <w:gridCol w:w="720"/>
        <w:gridCol w:w="720"/>
        <w:gridCol w:w="720"/>
        <w:gridCol w:w="720"/>
        <w:gridCol w:w="720"/>
        <w:gridCol w:w="720"/>
      </w:tblGrid>
      <w:tr w:rsidR="00686583" w14:paraId="77C52F4B" w14:textId="77777777" w:rsidTr="00686583">
        <w:trPr>
          <w:cnfStyle w:val="100000000000" w:firstRow="1" w:lastRow="0" w:firstColumn="0" w:lastColumn="0" w:oddVBand="0" w:evenVBand="0" w:oddHBand="0" w:evenHBand="0" w:firstRowFirstColumn="0" w:firstRowLastColumn="0" w:lastRowFirstColumn="0" w:lastRowLastColumn="0"/>
          <w:cantSplit/>
          <w:tblHeader/>
          <w:jc w:val="center"/>
        </w:trPr>
        <w:tc>
          <w:tcPr>
            <w:tcW w:w="2880" w:type="dxa"/>
            <w:shd w:val="clear" w:color="auto" w:fill="FFFFFF"/>
            <w:tcMar>
              <w:top w:w="0" w:type="dxa"/>
              <w:left w:w="0" w:type="dxa"/>
              <w:bottom w:w="0" w:type="dxa"/>
              <w:right w:w="0" w:type="dxa"/>
            </w:tcMar>
            <w:vAlign w:val="center"/>
          </w:tcPr>
          <w:p w14:paraId="0314E86F" w14:textId="77777777" w:rsidR="00686583" w:rsidRDefault="00686583">
            <w:pPr>
              <w:spacing w:before="60" w:after="60"/>
              <w:ind w:left="60" w:right="60"/>
            </w:pPr>
          </w:p>
        </w:tc>
        <w:tc>
          <w:tcPr>
            <w:tcW w:w="2880" w:type="dxa"/>
            <w:gridSpan w:val="4"/>
            <w:shd w:val="clear" w:color="auto" w:fill="FFFFFF"/>
            <w:tcMar>
              <w:top w:w="0" w:type="dxa"/>
              <w:left w:w="0" w:type="dxa"/>
              <w:bottom w:w="0" w:type="dxa"/>
              <w:right w:w="0" w:type="dxa"/>
            </w:tcMar>
            <w:vAlign w:val="center"/>
          </w:tcPr>
          <w:p w14:paraId="5425A31E" w14:textId="77777777" w:rsidR="00686583" w:rsidRDefault="00EF7C11">
            <w:pPr>
              <w:spacing w:before="60" w:after="60"/>
              <w:ind w:left="60" w:right="60"/>
              <w:jc w:val="right"/>
            </w:pPr>
            <w:r>
              <w:rPr>
                <w:rFonts w:ascii="Arial" w:eastAsia="DejaVu Sans" w:hAnsi="DejaVu Sans" w:cs="DejaVu Sans"/>
                <w:color w:val="000000"/>
              </w:rPr>
              <w:t>N deaths</w:t>
            </w:r>
          </w:p>
        </w:tc>
        <w:tc>
          <w:tcPr>
            <w:tcW w:w="2880" w:type="dxa"/>
            <w:gridSpan w:val="4"/>
            <w:shd w:val="clear" w:color="auto" w:fill="FFFFFF"/>
            <w:tcMar>
              <w:top w:w="0" w:type="dxa"/>
              <w:left w:w="0" w:type="dxa"/>
              <w:bottom w:w="0" w:type="dxa"/>
              <w:right w:w="0" w:type="dxa"/>
            </w:tcMar>
            <w:vAlign w:val="center"/>
          </w:tcPr>
          <w:p w14:paraId="42EFA9F7" w14:textId="77777777" w:rsidR="00686583" w:rsidRDefault="00EF7C11">
            <w:pPr>
              <w:spacing w:before="60" w:after="60"/>
              <w:ind w:left="60" w:right="60"/>
              <w:jc w:val="right"/>
            </w:pPr>
            <w:r>
              <w:rPr>
                <w:rFonts w:ascii="Arial" w:eastAsia="DejaVu Sans" w:hAnsi="DejaVu Sans" w:cs="DejaVu Sans"/>
                <w:color w:val="000000"/>
              </w:rPr>
              <w:t>Age-Adjusted Rate</w:t>
            </w:r>
          </w:p>
        </w:tc>
        <w:tc>
          <w:tcPr>
            <w:tcW w:w="1440" w:type="dxa"/>
            <w:gridSpan w:val="2"/>
            <w:shd w:val="clear" w:color="auto" w:fill="FFFFFF"/>
            <w:tcMar>
              <w:top w:w="0" w:type="dxa"/>
              <w:left w:w="0" w:type="dxa"/>
              <w:bottom w:w="0" w:type="dxa"/>
              <w:right w:w="0" w:type="dxa"/>
            </w:tcMar>
            <w:vAlign w:val="center"/>
          </w:tcPr>
          <w:p w14:paraId="7F584111" w14:textId="77777777" w:rsidR="00686583" w:rsidRDefault="00686583">
            <w:pPr>
              <w:spacing w:before="60" w:after="60"/>
              <w:ind w:left="60" w:right="60"/>
              <w:jc w:val="right"/>
            </w:pPr>
          </w:p>
        </w:tc>
      </w:tr>
      <w:tr w:rsidR="00686583" w14:paraId="7537B38E" w14:textId="77777777" w:rsidTr="00686583">
        <w:trPr>
          <w:cnfStyle w:val="100000000000" w:firstRow="1" w:lastRow="0" w:firstColumn="0" w:lastColumn="0" w:oddVBand="0" w:evenVBand="0" w:oddHBand="0" w:evenHBand="0" w:firstRowFirstColumn="0" w:firstRowLastColumn="0" w:lastRowFirstColumn="0" w:lastRowLastColumn="0"/>
          <w:cantSplit/>
          <w:tblHeader/>
          <w:jc w:val="center"/>
        </w:trPr>
        <w:tc>
          <w:tcPr>
            <w:tcW w:w="2880" w:type="dxa"/>
            <w:tcBorders>
              <w:bottom w:val="single" w:sz="8" w:space="0" w:color="BEBEBE"/>
            </w:tcBorders>
            <w:shd w:val="clear" w:color="auto" w:fill="FFFFFF"/>
            <w:tcMar>
              <w:top w:w="0" w:type="dxa"/>
              <w:left w:w="0" w:type="dxa"/>
              <w:bottom w:w="0" w:type="dxa"/>
              <w:right w:w="0" w:type="dxa"/>
            </w:tcMar>
            <w:vAlign w:val="center"/>
          </w:tcPr>
          <w:p w14:paraId="62B455D7" w14:textId="77777777" w:rsidR="00686583" w:rsidRDefault="00EF7C11">
            <w:pPr>
              <w:spacing w:before="60" w:after="60"/>
              <w:ind w:left="60" w:right="60"/>
            </w:pPr>
            <w:r>
              <w:rPr>
                <w:rFonts w:ascii="Arial" w:eastAsia="DejaVu Sans" w:hAnsi="DejaVu Sans" w:cs="DejaVu Sans"/>
                <w:b/>
                <w:color w:val="000000"/>
              </w:rPr>
              <w:t>Cause</w:t>
            </w:r>
          </w:p>
        </w:tc>
        <w:tc>
          <w:tcPr>
            <w:tcW w:w="720" w:type="dxa"/>
            <w:tcBorders>
              <w:bottom w:val="single" w:sz="8" w:space="0" w:color="BEBEBE"/>
            </w:tcBorders>
            <w:shd w:val="clear" w:color="auto" w:fill="FFFFFF"/>
            <w:tcMar>
              <w:top w:w="0" w:type="dxa"/>
              <w:left w:w="0" w:type="dxa"/>
              <w:bottom w:w="0" w:type="dxa"/>
              <w:right w:w="0" w:type="dxa"/>
            </w:tcMar>
            <w:vAlign w:val="center"/>
          </w:tcPr>
          <w:p w14:paraId="3B4E1437" w14:textId="77777777" w:rsidR="00686583" w:rsidRDefault="00EF7C11">
            <w:pPr>
              <w:spacing w:before="60" w:after="60"/>
              <w:ind w:left="60" w:right="60"/>
              <w:jc w:val="right"/>
            </w:pPr>
            <w:r>
              <w:rPr>
                <w:rFonts w:ascii="Arial" w:eastAsia="DejaVu Sans" w:hAnsi="DejaVu Sans" w:cs="DejaVu Sans"/>
                <w:b/>
                <w:color w:val="000000"/>
              </w:rPr>
              <w:t>2017</w:t>
            </w:r>
          </w:p>
        </w:tc>
        <w:tc>
          <w:tcPr>
            <w:tcW w:w="720" w:type="dxa"/>
            <w:tcBorders>
              <w:bottom w:val="single" w:sz="8" w:space="0" w:color="BEBEBE"/>
            </w:tcBorders>
            <w:shd w:val="clear" w:color="auto" w:fill="FFFFFF"/>
            <w:tcMar>
              <w:top w:w="0" w:type="dxa"/>
              <w:left w:w="0" w:type="dxa"/>
              <w:bottom w:w="0" w:type="dxa"/>
              <w:right w:w="0" w:type="dxa"/>
            </w:tcMar>
            <w:vAlign w:val="center"/>
          </w:tcPr>
          <w:p w14:paraId="3D6A462A" w14:textId="77777777" w:rsidR="00686583" w:rsidRDefault="00EF7C11">
            <w:pPr>
              <w:spacing w:before="60" w:after="60"/>
              <w:ind w:left="60" w:right="60"/>
              <w:jc w:val="right"/>
            </w:pPr>
            <w:r>
              <w:rPr>
                <w:rFonts w:ascii="Arial" w:eastAsia="DejaVu Sans" w:hAnsi="DejaVu Sans" w:cs="DejaVu Sans"/>
                <w:b/>
                <w:color w:val="000000"/>
              </w:rPr>
              <w:t>2018</w:t>
            </w:r>
          </w:p>
        </w:tc>
        <w:tc>
          <w:tcPr>
            <w:tcW w:w="720" w:type="dxa"/>
            <w:tcBorders>
              <w:bottom w:val="single" w:sz="8" w:space="0" w:color="BEBEBE"/>
            </w:tcBorders>
            <w:shd w:val="clear" w:color="auto" w:fill="FFFFFF"/>
            <w:tcMar>
              <w:top w:w="0" w:type="dxa"/>
              <w:left w:w="0" w:type="dxa"/>
              <w:bottom w:w="0" w:type="dxa"/>
              <w:right w:w="0" w:type="dxa"/>
            </w:tcMar>
            <w:vAlign w:val="center"/>
          </w:tcPr>
          <w:p w14:paraId="31129E56" w14:textId="77777777" w:rsidR="00686583" w:rsidRDefault="00EF7C11">
            <w:pPr>
              <w:spacing w:before="60" w:after="60"/>
              <w:ind w:left="60" w:right="60"/>
              <w:jc w:val="right"/>
            </w:pPr>
            <w:r>
              <w:rPr>
                <w:rFonts w:ascii="Arial" w:eastAsia="DejaVu Sans" w:hAnsi="DejaVu Sans" w:cs="DejaVu Sans"/>
                <w:b/>
                <w:color w:val="000000"/>
              </w:rPr>
              <w:t>2019</w:t>
            </w:r>
          </w:p>
        </w:tc>
        <w:tc>
          <w:tcPr>
            <w:tcW w:w="720" w:type="dxa"/>
            <w:tcBorders>
              <w:bottom w:val="single" w:sz="8" w:space="0" w:color="BEBEBE"/>
            </w:tcBorders>
            <w:shd w:val="clear" w:color="auto" w:fill="FFFFFF"/>
            <w:tcMar>
              <w:top w:w="0" w:type="dxa"/>
              <w:left w:w="0" w:type="dxa"/>
              <w:bottom w:w="0" w:type="dxa"/>
              <w:right w:w="0" w:type="dxa"/>
            </w:tcMar>
            <w:vAlign w:val="center"/>
          </w:tcPr>
          <w:p w14:paraId="3251245B" w14:textId="77777777" w:rsidR="00686583" w:rsidRDefault="00EF7C11">
            <w:pPr>
              <w:spacing w:before="60" w:after="60"/>
              <w:ind w:left="60" w:right="60"/>
              <w:jc w:val="right"/>
            </w:pPr>
            <w:r>
              <w:rPr>
                <w:rFonts w:ascii="Arial" w:eastAsia="DejaVu Sans" w:hAnsi="DejaVu Sans" w:cs="DejaVu Sans"/>
                <w:b/>
                <w:color w:val="000000"/>
              </w:rPr>
              <w:t>2020</w:t>
            </w:r>
          </w:p>
        </w:tc>
        <w:tc>
          <w:tcPr>
            <w:tcW w:w="720" w:type="dxa"/>
            <w:tcBorders>
              <w:bottom w:val="single" w:sz="8" w:space="0" w:color="BEBEBE"/>
            </w:tcBorders>
            <w:shd w:val="clear" w:color="auto" w:fill="FFFFFF"/>
            <w:tcMar>
              <w:top w:w="0" w:type="dxa"/>
              <w:left w:w="0" w:type="dxa"/>
              <w:bottom w:w="0" w:type="dxa"/>
              <w:right w:w="0" w:type="dxa"/>
            </w:tcMar>
            <w:vAlign w:val="center"/>
          </w:tcPr>
          <w:p w14:paraId="6DEC8C1A" w14:textId="77777777" w:rsidR="00686583" w:rsidRDefault="00EF7C11">
            <w:pPr>
              <w:spacing w:before="60" w:after="60"/>
              <w:ind w:left="60" w:right="60"/>
              <w:jc w:val="right"/>
            </w:pPr>
            <w:r>
              <w:rPr>
                <w:rFonts w:ascii="Arial" w:eastAsia="DejaVu Sans" w:hAnsi="DejaVu Sans" w:cs="DejaVu Sans"/>
                <w:b/>
                <w:color w:val="000000"/>
              </w:rPr>
              <w:t>2017</w:t>
            </w:r>
          </w:p>
        </w:tc>
        <w:tc>
          <w:tcPr>
            <w:tcW w:w="720" w:type="dxa"/>
            <w:tcBorders>
              <w:bottom w:val="single" w:sz="8" w:space="0" w:color="BEBEBE"/>
            </w:tcBorders>
            <w:shd w:val="clear" w:color="auto" w:fill="FFFFFF"/>
            <w:tcMar>
              <w:top w:w="0" w:type="dxa"/>
              <w:left w:w="0" w:type="dxa"/>
              <w:bottom w:w="0" w:type="dxa"/>
              <w:right w:w="0" w:type="dxa"/>
            </w:tcMar>
            <w:vAlign w:val="center"/>
          </w:tcPr>
          <w:p w14:paraId="26C7A181" w14:textId="77777777" w:rsidR="00686583" w:rsidRDefault="00EF7C11">
            <w:pPr>
              <w:spacing w:before="60" w:after="60"/>
              <w:ind w:left="60" w:right="60"/>
              <w:jc w:val="right"/>
            </w:pPr>
            <w:r>
              <w:rPr>
                <w:rFonts w:ascii="Arial" w:eastAsia="DejaVu Sans" w:hAnsi="DejaVu Sans" w:cs="DejaVu Sans"/>
                <w:b/>
                <w:color w:val="000000"/>
              </w:rPr>
              <w:t>2018</w:t>
            </w:r>
          </w:p>
        </w:tc>
        <w:tc>
          <w:tcPr>
            <w:tcW w:w="720" w:type="dxa"/>
            <w:tcBorders>
              <w:bottom w:val="single" w:sz="8" w:space="0" w:color="BEBEBE"/>
            </w:tcBorders>
            <w:shd w:val="clear" w:color="auto" w:fill="FFFFFF"/>
            <w:tcMar>
              <w:top w:w="0" w:type="dxa"/>
              <w:left w:w="0" w:type="dxa"/>
              <w:bottom w:w="0" w:type="dxa"/>
              <w:right w:w="0" w:type="dxa"/>
            </w:tcMar>
            <w:vAlign w:val="center"/>
          </w:tcPr>
          <w:p w14:paraId="538BA69B" w14:textId="77777777" w:rsidR="00686583" w:rsidRDefault="00EF7C11">
            <w:pPr>
              <w:spacing w:before="60" w:after="60"/>
              <w:ind w:left="60" w:right="60"/>
              <w:jc w:val="right"/>
            </w:pPr>
            <w:r>
              <w:rPr>
                <w:rFonts w:ascii="Arial" w:eastAsia="DejaVu Sans" w:hAnsi="DejaVu Sans" w:cs="DejaVu Sans"/>
                <w:b/>
                <w:color w:val="000000"/>
              </w:rPr>
              <w:t>2019</w:t>
            </w:r>
          </w:p>
        </w:tc>
        <w:tc>
          <w:tcPr>
            <w:tcW w:w="720" w:type="dxa"/>
            <w:tcBorders>
              <w:bottom w:val="single" w:sz="8" w:space="0" w:color="BEBEBE"/>
            </w:tcBorders>
            <w:shd w:val="clear" w:color="auto" w:fill="FFFFFF"/>
            <w:tcMar>
              <w:top w:w="0" w:type="dxa"/>
              <w:left w:w="0" w:type="dxa"/>
              <w:bottom w:w="0" w:type="dxa"/>
              <w:right w:w="0" w:type="dxa"/>
            </w:tcMar>
            <w:vAlign w:val="center"/>
          </w:tcPr>
          <w:p w14:paraId="2F8372DC" w14:textId="77777777" w:rsidR="00686583" w:rsidRDefault="00EF7C11">
            <w:pPr>
              <w:spacing w:before="60" w:after="60"/>
              <w:ind w:left="60" w:right="60"/>
              <w:jc w:val="right"/>
            </w:pPr>
            <w:r>
              <w:rPr>
                <w:rFonts w:ascii="Arial" w:eastAsia="DejaVu Sans" w:hAnsi="DejaVu Sans" w:cs="DejaVu Sans"/>
                <w:b/>
                <w:color w:val="000000"/>
              </w:rPr>
              <w:t>2020</w:t>
            </w:r>
          </w:p>
        </w:tc>
        <w:tc>
          <w:tcPr>
            <w:tcW w:w="720" w:type="dxa"/>
            <w:tcBorders>
              <w:bottom w:val="single" w:sz="8" w:space="0" w:color="BEBEBE"/>
            </w:tcBorders>
            <w:shd w:val="clear" w:color="auto" w:fill="FFFFFF"/>
            <w:tcMar>
              <w:top w:w="0" w:type="dxa"/>
              <w:left w:w="0" w:type="dxa"/>
              <w:bottom w:w="0" w:type="dxa"/>
              <w:right w:w="0" w:type="dxa"/>
            </w:tcMar>
            <w:vAlign w:val="center"/>
          </w:tcPr>
          <w:p w14:paraId="60DA20A3" w14:textId="77777777" w:rsidR="00686583" w:rsidRDefault="00EF7C11">
            <w:pPr>
              <w:spacing w:before="60" w:after="60"/>
              <w:ind w:left="60" w:right="60"/>
              <w:jc w:val="right"/>
            </w:pPr>
            <w:r>
              <w:rPr>
                <w:rFonts w:ascii="Arial" w:eastAsia="DejaVu Sans" w:hAnsi="DejaVu Sans" w:cs="DejaVu Sans"/>
                <w:b/>
                <w:color w:val="000000"/>
              </w:rPr>
              <w:t>2019 -&gt; 2020 Increase in N</w:t>
            </w:r>
          </w:p>
        </w:tc>
        <w:tc>
          <w:tcPr>
            <w:tcW w:w="720" w:type="dxa"/>
            <w:tcBorders>
              <w:bottom w:val="single" w:sz="8" w:space="0" w:color="BEBEBE"/>
            </w:tcBorders>
            <w:shd w:val="clear" w:color="auto" w:fill="FFFFFF"/>
            <w:tcMar>
              <w:top w:w="0" w:type="dxa"/>
              <w:left w:w="0" w:type="dxa"/>
              <w:bottom w:w="0" w:type="dxa"/>
              <w:right w:w="0" w:type="dxa"/>
            </w:tcMar>
            <w:vAlign w:val="center"/>
          </w:tcPr>
          <w:p w14:paraId="2B22E854" w14:textId="77777777" w:rsidR="00686583" w:rsidRDefault="00EF7C11">
            <w:pPr>
              <w:spacing w:before="60" w:after="60"/>
              <w:ind w:left="60" w:right="60"/>
              <w:jc w:val="right"/>
            </w:pPr>
            <w:r>
              <w:rPr>
                <w:rFonts w:ascii="Arial" w:eastAsia="DejaVu Sans" w:hAnsi="DejaVu Sans" w:cs="DejaVu Sans"/>
                <w:b/>
                <w:color w:val="000000"/>
              </w:rPr>
              <w:t>2019 -&gt; 2020 % Increase in Rate</w:t>
            </w:r>
          </w:p>
        </w:tc>
      </w:tr>
      <w:tr w:rsidR="00686583" w14:paraId="6CDCDBAA" w14:textId="77777777" w:rsidTr="00686583">
        <w:trPr>
          <w:cantSplit/>
          <w:jc w:val="center"/>
        </w:trPr>
        <w:tc>
          <w:tcPr>
            <w:tcW w:w="2880" w:type="dxa"/>
            <w:shd w:val="clear" w:color="auto" w:fill="EFEFEF"/>
            <w:tcMar>
              <w:top w:w="0" w:type="dxa"/>
              <w:left w:w="0" w:type="dxa"/>
              <w:bottom w:w="0" w:type="dxa"/>
              <w:right w:w="0" w:type="dxa"/>
            </w:tcMar>
            <w:vAlign w:val="center"/>
          </w:tcPr>
          <w:p w14:paraId="74F05501" w14:textId="77777777" w:rsidR="00686583" w:rsidRDefault="00EF7C11">
            <w:pPr>
              <w:spacing w:before="60" w:after="60"/>
              <w:ind w:left="60" w:right="60"/>
            </w:pPr>
            <w:r>
              <w:rPr>
                <w:rFonts w:ascii="Arial" w:eastAsia="DejaVu Sans" w:hAnsi="DejaVu Sans" w:cs="DejaVu Sans"/>
                <w:color w:val="000000"/>
                <w:sz w:val="20"/>
                <w:szCs w:val="20"/>
              </w:rPr>
              <w:t>Drug overdose</w:t>
            </w:r>
          </w:p>
        </w:tc>
        <w:tc>
          <w:tcPr>
            <w:tcW w:w="720" w:type="dxa"/>
            <w:shd w:val="clear" w:color="auto" w:fill="EFEFEF"/>
            <w:tcMar>
              <w:top w:w="0" w:type="dxa"/>
              <w:left w:w="0" w:type="dxa"/>
              <w:bottom w:w="0" w:type="dxa"/>
              <w:right w:w="0" w:type="dxa"/>
            </w:tcMar>
            <w:vAlign w:val="center"/>
          </w:tcPr>
          <w:p w14:paraId="42FA0278" w14:textId="77777777" w:rsidR="00686583" w:rsidRDefault="00EF7C11">
            <w:pPr>
              <w:spacing w:before="60" w:after="60"/>
              <w:ind w:left="60" w:right="60"/>
              <w:jc w:val="right"/>
            </w:pPr>
            <w:r>
              <w:rPr>
                <w:rFonts w:ascii="Arial" w:eastAsia="DejaVu Sans" w:hAnsi="DejaVu Sans" w:cs="DejaVu Sans"/>
                <w:color w:val="000000"/>
                <w:sz w:val="20"/>
                <w:szCs w:val="20"/>
              </w:rPr>
              <w:t>4,589</w:t>
            </w:r>
          </w:p>
        </w:tc>
        <w:tc>
          <w:tcPr>
            <w:tcW w:w="720" w:type="dxa"/>
            <w:shd w:val="clear" w:color="auto" w:fill="EFEFEF"/>
            <w:tcMar>
              <w:top w:w="0" w:type="dxa"/>
              <w:left w:w="0" w:type="dxa"/>
              <w:bottom w:w="0" w:type="dxa"/>
              <w:right w:w="0" w:type="dxa"/>
            </w:tcMar>
            <w:vAlign w:val="center"/>
          </w:tcPr>
          <w:p w14:paraId="0C3DA038" w14:textId="77777777" w:rsidR="00686583" w:rsidRDefault="00EF7C11">
            <w:pPr>
              <w:spacing w:before="60" w:after="60"/>
              <w:ind w:left="60" w:right="60"/>
              <w:jc w:val="right"/>
            </w:pPr>
            <w:r>
              <w:rPr>
                <w:rFonts w:ascii="Arial" w:eastAsia="DejaVu Sans" w:hAnsi="DejaVu Sans" w:cs="DejaVu Sans"/>
                <w:color w:val="000000"/>
                <w:sz w:val="20"/>
                <w:szCs w:val="20"/>
              </w:rPr>
              <w:t>5,204</w:t>
            </w:r>
          </w:p>
        </w:tc>
        <w:tc>
          <w:tcPr>
            <w:tcW w:w="720" w:type="dxa"/>
            <w:shd w:val="clear" w:color="auto" w:fill="EFEFEF"/>
            <w:tcMar>
              <w:top w:w="0" w:type="dxa"/>
              <w:left w:w="0" w:type="dxa"/>
              <w:bottom w:w="0" w:type="dxa"/>
              <w:right w:w="0" w:type="dxa"/>
            </w:tcMar>
            <w:vAlign w:val="center"/>
          </w:tcPr>
          <w:p w14:paraId="33384A07" w14:textId="77777777" w:rsidR="00686583" w:rsidRDefault="00EF7C11">
            <w:pPr>
              <w:spacing w:before="60" w:after="60"/>
              <w:ind w:left="60" w:right="60"/>
              <w:jc w:val="right"/>
            </w:pPr>
            <w:r>
              <w:rPr>
                <w:rFonts w:ascii="Arial" w:eastAsia="DejaVu Sans" w:hAnsi="DejaVu Sans" w:cs="DejaVu Sans"/>
                <w:color w:val="000000"/>
                <w:sz w:val="20"/>
                <w:szCs w:val="20"/>
              </w:rPr>
              <w:t>6,039</w:t>
            </w:r>
          </w:p>
        </w:tc>
        <w:tc>
          <w:tcPr>
            <w:tcW w:w="720" w:type="dxa"/>
            <w:shd w:val="clear" w:color="auto" w:fill="EFEFEF"/>
            <w:tcMar>
              <w:top w:w="0" w:type="dxa"/>
              <w:left w:w="0" w:type="dxa"/>
              <w:bottom w:w="0" w:type="dxa"/>
              <w:right w:w="0" w:type="dxa"/>
            </w:tcMar>
            <w:vAlign w:val="center"/>
          </w:tcPr>
          <w:p w14:paraId="117CC58A" w14:textId="77777777" w:rsidR="00686583" w:rsidRDefault="00EF7C11">
            <w:pPr>
              <w:spacing w:before="60" w:after="60"/>
              <w:ind w:left="60" w:right="60"/>
              <w:jc w:val="right"/>
            </w:pPr>
            <w:r>
              <w:rPr>
                <w:rFonts w:ascii="Arial" w:eastAsia="DejaVu Sans" w:hAnsi="DejaVu Sans" w:cs="DejaVu Sans"/>
                <w:color w:val="000000"/>
                <w:sz w:val="20"/>
                <w:szCs w:val="20"/>
              </w:rPr>
              <w:t>8,267</w:t>
            </w:r>
          </w:p>
        </w:tc>
        <w:tc>
          <w:tcPr>
            <w:tcW w:w="720" w:type="dxa"/>
            <w:shd w:val="clear" w:color="auto" w:fill="EFEFEF"/>
            <w:tcMar>
              <w:top w:w="0" w:type="dxa"/>
              <w:left w:w="0" w:type="dxa"/>
              <w:bottom w:w="0" w:type="dxa"/>
              <w:right w:w="0" w:type="dxa"/>
            </w:tcMar>
            <w:vAlign w:val="center"/>
          </w:tcPr>
          <w:p w14:paraId="7AB2EE2F" w14:textId="77777777" w:rsidR="00686583" w:rsidRDefault="00EF7C11">
            <w:pPr>
              <w:spacing w:before="60" w:after="60"/>
              <w:ind w:left="60" w:right="60"/>
              <w:jc w:val="right"/>
            </w:pPr>
            <w:r>
              <w:rPr>
                <w:rFonts w:ascii="Arial" w:eastAsia="DejaVu Sans" w:hAnsi="DejaVu Sans" w:cs="DejaVu Sans"/>
                <w:color w:val="000000"/>
                <w:sz w:val="20"/>
                <w:szCs w:val="20"/>
              </w:rPr>
              <w:t>11.1</w:t>
            </w:r>
          </w:p>
        </w:tc>
        <w:tc>
          <w:tcPr>
            <w:tcW w:w="720" w:type="dxa"/>
            <w:shd w:val="clear" w:color="auto" w:fill="EFEFEF"/>
            <w:tcMar>
              <w:top w:w="0" w:type="dxa"/>
              <w:left w:w="0" w:type="dxa"/>
              <w:bottom w:w="0" w:type="dxa"/>
              <w:right w:w="0" w:type="dxa"/>
            </w:tcMar>
            <w:vAlign w:val="center"/>
          </w:tcPr>
          <w:p w14:paraId="3D6883F9" w14:textId="77777777" w:rsidR="00686583" w:rsidRDefault="00EF7C11">
            <w:pPr>
              <w:spacing w:before="60" w:after="60"/>
              <w:ind w:left="60" w:right="60"/>
              <w:jc w:val="right"/>
            </w:pPr>
            <w:r>
              <w:rPr>
                <w:rFonts w:ascii="Arial" w:eastAsia="DejaVu Sans" w:hAnsi="DejaVu Sans" w:cs="DejaVu Sans"/>
                <w:color w:val="000000"/>
                <w:sz w:val="20"/>
                <w:szCs w:val="20"/>
              </w:rPr>
              <w:t>12.6</w:t>
            </w:r>
          </w:p>
        </w:tc>
        <w:tc>
          <w:tcPr>
            <w:tcW w:w="720" w:type="dxa"/>
            <w:shd w:val="clear" w:color="auto" w:fill="EFEFEF"/>
            <w:tcMar>
              <w:top w:w="0" w:type="dxa"/>
              <w:left w:w="0" w:type="dxa"/>
              <w:bottom w:w="0" w:type="dxa"/>
              <w:right w:w="0" w:type="dxa"/>
            </w:tcMar>
            <w:vAlign w:val="center"/>
          </w:tcPr>
          <w:p w14:paraId="6D9BCDE2" w14:textId="77777777" w:rsidR="00686583" w:rsidRDefault="00EF7C11">
            <w:pPr>
              <w:spacing w:before="60" w:after="60"/>
              <w:ind w:left="60" w:right="60"/>
              <w:jc w:val="right"/>
            </w:pPr>
            <w:r>
              <w:rPr>
                <w:rFonts w:ascii="Arial" w:eastAsia="DejaVu Sans" w:hAnsi="DejaVu Sans" w:cs="DejaVu Sans"/>
                <w:color w:val="000000"/>
                <w:sz w:val="20"/>
                <w:szCs w:val="20"/>
              </w:rPr>
              <w:t>14.8</w:t>
            </w:r>
          </w:p>
        </w:tc>
        <w:tc>
          <w:tcPr>
            <w:tcW w:w="720" w:type="dxa"/>
            <w:shd w:val="clear" w:color="auto" w:fill="EFEFEF"/>
            <w:tcMar>
              <w:top w:w="0" w:type="dxa"/>
              <w:left w:w="0" w:type="dxa"/>
              <w:bottom w:w="0" w:type="dxa"/>
              <w:right w:w="0" w:type="dxa"/>
            </w:tcMar>
            <w:vAlign w:val="center"/>
          </w:tcPr>
          <w:p w14:paraId="0D363C8F" w14:textId="77777777" w:rsidR="00686583" w:rsidRDefault="00EF7C11">
            <w:pPr>
              <w:spacing w:before="60" w:after="60"/>
              <w:ind w:left="60" w:right="60"/>
              <w:jc w:val="right"/>
            </w:pPr>
            <w:r>
              <w:rPr>
                <w:rFonts w:ascii="Arial" w:eastAsia="DejaVu Sans" w:hAnsi="DejaVu Sans" w:cs="DejaVu Sans"/>
                <w:color w:val="000000"/>
                <w:sz w:val="20"/>
                <w:szCs w:val="20"/>
              </w:rPr>
              <w:t>20.5</w:t>
            </w:r>
          </w:p>
        </w:tc>
        <w:tc>
          <w:tcPr>
            <w:tcW w:w="720" w:type="dxa"/>
            <w:shd w:val="clear" w:color="auto" w:fill="EFEFEF"/>
            <w:tcMar>
              <w:top w:w="0" w:type="dxa"/>
              <w:left w:w="0" w:type="dxa"/>
              <w:bottom w:w="0" w:type="dxa"/>
              <w:right w:w="0" w:type="dxa"/>
            </w:tcMar>
            <w:vAlign w:val="center"/>
          </w:tcPr>
          <w:p w14:paraId="74BDEB53" w14:textId="77777777" w:rsidR="00686583" w:rsidRDefault="00EF7C11">
            <w:pPr>
              <w:spacing w:before="60" w:after="60"/>
              <w:ind w:left="60" w:right="60"/>
              <w:jc w:val="right"/>
            </w:pPr>
            <w:r>
              <w:rPr>
                <w:rFonts w:ascii="Arial" w:eastAsia="DejaVu Sans" w:hAnsi="DejaVu Sans" w:cs="DejaVu Sans"/>
                <w:color w:val="000000"/>
                <w:sz w:val="20"/>
                <w:szCs w:val="20"/>
              </w:rPr>
              <w:t>2,228</w:t>
            </w:r>
          </w:p>
        </w:tc>
        <w:tc>
          <w:tcPr>
            <w:tcW w:w="720" w:type="dxa"/>
            <w:shd w:val="clear" w:color="auto" w:fill="EFEFEF"/>
            <w:tcMar>
              <w:top w:w="0" w:type="dxa"/>
              <w:left w:w="0" w:type="dxa"/>
              <w:bottom w:w="0" w:type="dxa"/>
              <w:right w:w="0" w:type="dxa"/>
            </w:tcMar>
            <w:vAlign w:val="center"/>
          </w:tcPr>
          <w:p w14:paraId="34F9C3E4" w14:textId="77777777" w:rsidR="00686583" w:rsidRDefault="00EF7C11">
            <w:pPr>
              <w:spacing w:before="60" w:after="60"/>
              <w:ind w:left="60" w:right="60"/>
              <w:jc w:val="right"/>
            </w:pPr>
            <w:r>
              <w:rPr>
                <w:rFonts w:ascii="Arial" w:eastAsia="DejaVu Sans" w:hAnsi="DejaVu Sans" w:cs="DejaVu Sans"/>
                <w:color w:val="000000"/>
                <w:sz w:val="20"/>
                <w:szCs w:val="20"/>
              </w:rPr>
              <w:t>38.7%</w:t>
            </w:r>
          </w:p>
        </w:tc>
      </w:tr>
      <w:tr w:rsidR="00686583" w14:paraId="7E829FCF" w14:textId="77777777" w:rsidTr="00686583">
        <w:trPr>
          <w:cantSplit/>
          <w:jc w:val="center"/>
        </w:trPr>
        <w:tc>
          <w:tcPr>
            <w:tcW w:w="2880" w:type="dxa"/>
            <w:shd w:val="clear" w:color="auto" w:fill="FFFFFF"/>
            <w:tcMar>
              <w:top w:w="0" w:type="dxa"/>
              <w:left w:w="0" w:type="dxa"/>
              <w:bottom w:w="0" w:type="dxa"/>
              <w:right w:w="0" w:type="dxa"/>
            </w:tcMar>
            <w:vAlign w:val="center"/>
          </w:tcPr>
          <w:p w14:paraId="6FE400CA" w14:textId="77777777" w:rsidR="00686583" w:rsidRDefault="00EF7C11">
            <w:pPr>
              <w:spacing w:before="60" w:after="60"/>
              <w:ind w:left="60" w:right="60"/>
            </w:pPr>
            <w:r>
              <w:rPr>
                <w:rFonts w:ascii="Arial" w:eastAsia="DejaVu Sans" w:hAnsi="DejaVu Sans" w:cs="DejaVu Sans"/>
                <w:color w:val="000000"/>
                <w:sz w:val="20"/>
                <w:szCs w:val="20"/>
              </w:rPr>
              <w:t>Homicide</w:t>
            </w:r>
          </w:p>
        </w:tc>
        <w:tc>
          <w:tcPr>
            <w:tcW w:w="720" w:type="dxa"/>
            <w:shd w:val="clear" w:color="auto" w:fill="FFFFFF"/>
            <w:tcMar>
              <w:top w:w="0" w:type="dxa"/>
              <w:left w:w="0" w:type="dxa"/>
              <w:bottom w:w="0" w:type="dxa"/>
              <w:right w:w="0" w:type="dxa"/>
            </w:tcMar>
            <w:vAlign w:val="center"/>
          </w:tcPr>
          <w:p w14:paraId="18FF454A" w14:textId="77777777" w:rsidR="00686583" w:rsidRDefault="00EF7C11">
            <w:pPr>
              <w:spacing w:before="60" w:after="60"/>
              <w:ind w:left="60" w:right="60"/>
              <w:jc w:val="right"/>
            </w:pPr>
            <w:r>
              <w:rPr>
                <w:rFonts w:ascii="Arial" w:eastAsia="DejaVu Sans" w:hAnsi="DejaVu Sans" w:cs="DejaVu Sans"/>
                <w:color w:val="000000"/>
                <w:sz w:val="20"/>
                <w:szCs w:val="20"/>
              </w:rPr>
              <w:t>2,020</w:t>
            </w:r>
          </w:p>
        </w:tc>
        <w:tc>
          <w:tcPr>
            <w:tcW w:w="720" w:type="dxa"/>
            <w:shd w:val="clear" w:color="auto" w:fill="FFFFFF"/>
            <w:tcMar>
              <w:top w:w="0" w:type="dxa"/>
              <w:left w:w="0" w:type="dxa"/>
              <w:bottom w:w="0" w:type="dxa"/>
              <w:right w:w="0" w:type="dxa"/>
            </w:tcMar>
            <w:vAlign w:val="center"/>
          </w:tcPr>
          <w:p w14:paraId="1411DDC2" w14:textId="77777777" w:rsidR="00686583" w:rsidRDefault="00EF7C11">
            <w:pPr>
              <w:spacing w:before="60" w:after="60"/>
              <w:ind w:left="60" w:right="60"/>
              <w:jc w:val="right"/>
            </w:pPr>
            <w:r>
              <w:rPr>
                <w:rFonts w:ascii="Arial" w:eastAsia="DejaVu Sans" w:hAnsi="DejaVu Sans" w:cs="DejaVu Sans"/>
                <w:color w:val="000000"/>
                <w:sz w:val="20"/>
                <w:szCs w:val="20"/>
              </w:rPr>
              <w:t>1,967</w:t>
            </w:r>
          </w:p>
        </w:tc>
        <w:tc>
          <w:tcPr>
            <w:tcW w:w="720" w:type="dxa"/>
            <w:shd w:val="clear" w:color="auto" w:fill="FFFFFF"/>
            <w:tcMar>
              <w:top w:w="0" w:type="dxa"/>
              <w:left w:w="0" w:type="dxa"/>
              <w:bottom w:w="0" w:type="dxa"/>
              <w:right w:w="0" w:type="dxa"/>
            </w:tcMar>
            <w:vAlign w:val="center"/>
          </w:tcPr>
          <w:p w14:paraId="0C7525F5" w14:textId="77777777" w:rsidR="00686583" w:rsidRDefault="00EF7C11">
            <w:pPr>
              <w:spacing w:before="60" w:after="60"/>
              <w:ind w:left="60" w:right="60"/>
              <w:jc w:val="right"/>
            </w:pPr>
            <w:r>
              <w:rPr>
                <w:rFonts w:ascii="Arial" w:eastAsia="DejaVu Sans" w:hAnsi="DejaVu Sans" w:cs="DejaVu Sans"/>
                <w:color w:val="000000"/>
                <w:sz w:val="20"/>
                <w:szCs w:val="20"/>
              </w:rPr>
              <w:t>1,849</w:t>
            </w:r>
          </w:p>
        </w:tc>
        <w:tc>
          <w:tcPr>
            <w:tcW w:w="720" w:type="dxa"/>
            <w:shd w:val="clear" w:color="auto" w:fill="FFFFFF"/>
            <w:tcMar>
              <w:top w:w="0" w:type="dxa"/>
              <w:left w:w="0" w:type="dxa"/>
              <w:bottom w:w="0" w:type="dxa"/>
              <w:right w:w="0" w:type="dxa"/>
            </w:tcMar>
            <w:vAlign w:val="center"/>
          </w:tcPr>
          <w:p w14:paraId="053DF09D" w14:textId="77777777" w:rsidR="00686583" w:rsidRDefault="00EF7C11">
            <w:pPr>
              <w:spacing w:before="60" w:after="60"/>
              <w:ind w:left="60" w:right="60"/>
              <w:jc w:val="right"/>
            </w:pPr>
            <w:r>
              <w:rPr>
                <w:rFonts w:ascii="Arial" w:eastAsia="DejaVu Sans" w:hAnsi="DejaVu Sans" w:cs="DejaVu Sans"/>
                <w:color w:val="000000"/>
                <w:sz w:val="20"/>
                <w:szCs w:val="20"/>
              </w:rPr>
              <w:t>2,392</w:t>
            </w:r>
          </w:p>
        </w:tc>
        <w:tc>
          <w:tcPr>
            <w:tcW w:w="720" w:type="dxa"/>
            <w:shd w:val="clear" w:color="auto" w:fill="FFFFFF"/>
            <w:tcMar>
              <w:top w:w="0" w:type="dxa"/>
              <w:left w:w="0" w:type="dxa"/>
              <w:bottom w:w="0" w:type="dxa"/>
              <w:right w:w="0" w:type="dxa"/>
            </w:tcMar>
            <w:vAlign w:val="center"/>
          </w:tcPr>
          <w:p w14:paraId="34446AE3" w14:textId="77777777" w:rsidR="00686583" w:rsidRDefault="00EF7C11">
            <w:pPr>
              <w:spacing w:before="60" w:after="60"/>
              <w:ind w:left="60" w:right="60"/>
              <w:jc w:val="right"/>
            </w:pPr>
            <w:r>
              <w:rPr>
                <w:rFonts w:ascii="Arial" w:eastAsia="DejaVu Sans" w:hAnsi="DejaVu Sans" w:cs="DejaVu Sans"/>
                <w:color w:val="000000"/>
                <w:sz w:val="20"/>
                <w:szCs w:val="20"/>
              </w:rPr>
              <w:t>5.2</w:t>
            </w:r>
          </w:p>
        </w:tc>
        <w:tc>
          <w:tcPr>
            <w:tcW w:w="720" w:type="dxa"/>
            <w:shd w:val="clear" w:color="auto" w:fill="FFFFFF"/>
            <w:tcMar>
              <w:top w:w="0" w:type="dxa"/>
              <w:left w:w="0" w:type="dxa"/>
              <w:bottom w:w="0" w:type="dxa"/>
              <w:right w:w="0" w:type="dxa"/>
            </w:tcMar>
            <w:vAlign w:val="center"/>
          </w:tcPr>
          <w:p w14:paraId="3FC5549E" w14:textId="77777777" w:rsidR="00686583" w:rsidRDefault="00EF7C11">
            <w:pPr>
              <w:spacing w:before="60" w:after="60"/>
              <w:ind w:left="60" w:right="60"/>
              <w:jc w:val="right"/>
            </w:pPr>
            <w:r>
              <w:rPr>
                <w:rFonts w:ascii="Arial" w:eastAsia="DejaVu Sans" w:hAnsi="DejaVu Sans" w:cs="DejaVu Sans"/>
                <w:color w:val="000000"/>
                <w:sz w:val="20"/>
                <w:szCs w:val="20"/>
              </w:rPr>
              <w:t>5.0</w:t>
            </w:r>
          </w:p>
        </w:tc>
        <w:tc>
          <w:tcPr>
            <w:tcW w:w="720" w:type="dxa"/>
            <w:shd w:val="clear" w:color="auto" w:fill="FFFFFF"/>
            <w:tcMar>
              <w:top w:w="0" w:type="dxa"/>
              <w:left w:w="0" w:type="dxa"/>
              <w:bottom w:w="0" w:type="dxa"/>
              <w:right w:w="0" w:type="dxa"/>
            </w:tcMar>
            <w:vAlign w:val="center"/>
          </w:tcPr>
          <w:p w14:paraId="104BF630" w14:textId="77777777" w:rsidR="00686583" w:rsidRDefault="00EF7C11">
            <w:pPr>
              <w:spacing w:before="60" w:after="60"/>
              <w:ind w:left="60" w:right="60"/>
              <w:jc w:val="right"/>
            </w:pPr>
            <w:r>
              <w:rPr>
                <w:rFonts w:ascii="Arial" w:eastAsia="DejaVu Sans" w:hAnsi="DejaVu Sans" w:cs="DejaVu Sans"/>
                <w:color w:val="000000"/>
                <w:sz w:val="20"/>
                <w:szCs w:val="20"/>
              </w:rPr>
              <w:t>4.7</w:t>
            </w:r>
          </w:p>
        </w:tc>
        <w:tc>
          <w:tcPr>
            <w:tcW w:w="720" w:type="dxa"/>
            <w:shd w:val="clear" w:color="auto" w:fill="FFFFFF"/>
            <w:tcMar>
              <w:top w:w="0" w:type="dxa"/>
              <w:left w:w="0" w:type="dxa"/>
              <w:bottom w:w="0" w:type="dxa"/>
              <w:right w:w="0" w:type="dxa"/>
            </w:tcMar>
            <w:vAlign w:val="center"/>
          </w:tcPr>
          <w:p w14:paraId="4D30392C" w14:textId="77777777" w:rsidR="00686583" w:rsidRDefault="00EF7C11">
            <w:pPr>
              <w:spacing w:before="60" w:after="60"/>
              <w:ind w:left="60" w:right="60"/>
              <w:jc w:val="right"/>
            </w:pPr>
            <w:r>
              <w:rPr>
                <w:rFonts w:ascii="Arial" w:eastAsia="DejaVu Sans" w:hAnsi="DejaVu Sans" w:cs="DejaVu Sans"/>
                <w:color w:val="000000"/>
                <w:sz w:val="20"/>
                <w:szCs w:val="20"/>
              </w:rPr>
              <w:t>6.2</w:t>
            </w:r>
          </w:p>
        </w:tc>
        <w:tc>
          <w:tcPr>
            <w:tcW w:w="720" w:type="dxa"/>
            <w:shd w:val="clear" w:color="auto" w:fill="FFFFFF"/>
            <w:tcMar>
              <w:top w:w="0" w:type="dxa"/>
              <w:left w:w="0" w:type="dxa"/>
              <w:bottom w:w="0" w:type="dxa"/>
              <w:right w:w="0" w:type="dxa"/>
            </w:tcMar>
            <w:vAlign w:val="center"/>
          </w:tcPr>
          <w:p w14:paraId="4E0E2D7E" w14:textId="77777777" w:rsidR="00686583" w:rsidRDefault="00EF7C11">
            <w:pPr>
              <w:spacing w:before="60" w:after="60"/>
              <w:ind w:left="60" w:right="60"/>
              <w:jc w:val="right"/>
            </w:pPr>
            <w:r>
              <w:rPr>
                <w:rFonts w:ascii="Arial" w:eastAsia="DejaVu Sans" w:hAnsi="DejaVu Sans" w:cs="DejaVu Sans"/>
                <w:color w:val="000000"/>
                <w:sz w:val="20"/>
                <w:szCs w:val="20"/>
              </w:rPr>
              <w:t>543</w:t>
            </w:r>
          </w:p>
        </w:tc>
        <w:tc>
          <w:tcPr>
            <w:tcW w:w="720" w:type="dxa"/>
            <w:shd w:val="clear" w:color="auto" w:fill="FFFFFF"/>
            <w:tcMar>
              <w:top w:w="0" w:type="dxa"/>
              <w:left w:w="0" w:type="dxa"/>
              <w:bottom w:w="0" w:type="dxa"/>
              <w:right w:w="0" w:type="dxa"/>
            </w:tcMar>
            <w:vAlign w:val="center"/>
          </w:tcPr>
          <w:p w14:paraId="10F412D1" w14:textId="77777777" w:rsidR="00686583" w:rsidRDefault="00EF7C11">
            <w:pPr>
              <w:spacing w:before="60" w:after="60"/>
              <w:ind w:left="60" w:right="60"/>
              <w:jc w:val="right"/>
            </w:pPr>
            <w:r>
              <w:rPr>
                <w:rFonts w:ascii="Arial" w:eastAsia="DejaVu Sans" w:hAnsi="DejaVu Sans" w:cs="DejaVu Sans"/>
                <w:color w:val="000000"/>
                <w:sz w:val="20"/>
                <w:szCs w:val="20"/>
              </w:rPr>
              <w:t>31.3%</w:t>
            </w:r>
          </w:p>
        </w:tc>
      </w:tr>
      <w:tr w:rsidR="00686583" w14:paraId="1DB7204A" w14:textId="77777777" w:rsidTr="00686583">
        <w:trPr>
          <w:cantSplit/>
          <w:jc w:val="center"/>
        </w:trPr>
        <w:tc>
          <w:tcPr>
            <w:tcW w:w="2880" w:type="dxa"/>
            <w:shd w:val="clear" w:color="auto" w:fill="EFEFEF"/>
            <w:tcMar>
              <w:top w:w="0" w:type="dxa"/>
              <w:left w:w="0" w:type="dxa"/>
              <w:bottom w:w="0" w:type="dxa"/>
              <w:right w:w="0" w:type="dxa"/>
            </w:tcMar>
            <w:vAlign w:val="center"/>
          </w:tcPr>
          <w:p w14:paraId="7439B7C4" w14:textId="77777777" w:rsidR="00686583" w:rsidRDefault="00EF7C11">
            <w:pPr>
              <w:spacing w:before="60" w:after="60"/>
              <w:ind w:left="60" w:right="60"/>
            </w:pPr>
            <w:r>
              <w:rPr>
                <w:rFonts w:ascii="Arial" w:eastAsia="DejaVu Sans" w:hAnsi="DejaVu Sans" w:cs="DejaVu Sans"/>
                <w:color w:val="000000"/>
                <w:sz w:val="20"/>
                <w:szCs w:val="20"/>
              </w:rPr>
              <w:t>Diabetes mellitus</w:t>
            </w:r>
          </w:p>
        </w:tc>
        <w:tc>
          <w:tcPr>
            <w:tcW w:w="720" w:type="dxa"/>
            <w:shd w:val="clear" w:color="auto" w:fill="EFEFEF"/>
            <w:tcMar>
              <w:top w:w="0" w:type="dxa"/>
              <w:left w:w="0" w:type="dxa"/>
              <w:bottom w:w="0" w:type="dxa"/>
              <w:right w:w="0" w:type="dxa"/>
            </w:tcMar>
            <w:vAlign w:val="center"/>
          </w:tcPr>
          <w:p w14:paraId="654BC5E0" w14:textId="77777777" w:rsidR="00686583" w:rsidRDefault="00EF7C11">
            <w:pPr>
              <w:spacing w:before="60" w:after="60"/>
              <w:ind w:left="60" w:right="60"/>
              <w:jc w:val="right"/>
            </w:pPr>
            <w:r>
              <w:rPr>
                <w:rFonts w:ascii="Arial" w:eastAsia="DejaVu Sans" w:hAnsi="DejaVu Sans" w:cs="DejaVu Sans"/>
                <w:color w:val="000000"/>
                <w:sz w:val="20"/>
                <w:szCs w:val="20"/>
              </w:rPr>
              <w:t>5,993</w:t>
            </w:r>
          </w:p>
        </w:tc>
        <w:tc>
          <w:tcPr>
            <w:tcW w:w="720" w:type="dxa"/>
            <w:shd w:val="clear" w:color="auto" w:fill="EFEFEF"/>
            <w:tcMar>
              <w:top w:w="0" w:type="dxa"/>
              <w:left w:w="0" w:type="dxa"/>
              <w:bottom w:w="0" w:type="dxa"/>
              <w:right w:w="0" w:type="dxa"/>
            </w:tcMar>
            <w:vAlign w:val="center"/>
          </w:tcPr>
          <w:p w14:paraId="26F2FCF7" w14:textId="77777777" w:rsidR="00686583" w:rsidRDefault="00EF7C11">
            <w:pPr>
              <w:spacing w:before="60" w:after="60"/>
              <w:ind w:left="60" w:right="60"/>
              <w:jc w:val="right"/>
            </w:pPr>
            <w:r>
              <w:rPr>
                <w:rFonts w:ascii="Arial" w:eastAsia="DejaVu Sans" w:hAnsi="DejaVu Sans" w:cs="DejaVu Sans"/>
                <w:color w:val="000000"/>
                <w:sz w:val="20"/>
                <w:szCs w:val="20"/>
              </w:rPr>
              <w:t>5,936</w:t>
            </w:r>
          </w:p>
        </w:tc>
        <w:tc>
          <w:tcPr>
            <w:tcW w:w="720" w:type="dxa"/>
            <w:shd w:val="clear" w:color="auto" w:fill="EFEFEF"/>
            <w:tcMar>
              <w:top w:w="0" w:type="dxa"/>
              <w:left w:w="0" w:type="dxa"/>
              <w:bottom w:w="0" w:type="dxa"/>
              <w:right w:w="0" w:type="dxa"/>
            </w:tcMar>
            <w:vAlign w:val="center"/>
          </w:tcPr>
          <w:p w14:paraId="52DF5A5C" w14:textId="77777777" w:rsidR="00686583" w:rsidRDefault="00EF7C11">
            <w:pPr>
              <w:spacing w:before="60" w:after="60"/>
              <w:ind w:left="60" w:right="60"/>
              <w:jc w:val="right"/>
            </w:pPr>
            <w:r>
              <w:rPr>
                <w:rFonts w:ascii="Arial" w:eastAsia="DejaVu Sans" w:hAnsi="DejaVu Sans" w:cs="DejaVu Sans"/>
                <w:color w:val="000000"/>
                <w:sz w:val="20"/>
                <w:szCs w:val="20"/>
              </w:rPr>
              <w:t>6,151</w:t>
            </w:r>
          </w:p>
        </w:tc>
        <w:tc>
          <w:tcPr>
            <w:tcW w:w="720" w:type="dxa"/>
            <w:shd w:val="clear" w:color="auto" w:fill="EFEFEF"/>
            <w:tcMar>
              <w:top w:w="0" w:type="dxa"/>
              <w:left w:w="0" w:type="dxa"/>
              <w:bottom w:w="0" w:type="dxa"/>
              <w:right w:w="0" w:type="dxa"/>
            </w:tcMar>
            <w:vAlign w:val="center"/>
          </w:tcPr>
          <w:p w14:paraId="5D9A51F6" w14:textId="77777777" w:rsidR="00686583" w:rsidRDefault="00EF7C11">
            <w:pPr>
              <w:spacing w:before="60" w:after="60"/>
              <w:ind w:left="60" w:right="60"/>
              <w:jc w:val="right"/>
            </w:pPr>
            <w:r>
              <w:rPr>
                <w:rFonts w:ascii="Arial" w:eastAsia="DejaVu Sans" w:hAnsi="DejaVu Sans" w:cs="DejaVu Sans"/>
                <w:color w:val="000000"/>
                <w:sz w:val="20"/>
                <w:szCs w:val="20"/>
              </w:rPr>
              <w:t>7,407</w:t>
            </w:r>
          </w:p>
        </w:tc>
        <w:tc>
          <w:tcPr>
            <w:tcW w:w="720" w:type="dxa"/>
            <w:shd w:val="clear" w:color="auto" w:fill="EFEFEF"/>
            <w:tcMar>
              <w:top w:w="0" w:type="dxa"/>
              <w:left w:w="0" w:type="dxa"/>
              <w:bottom w:w="0" w:type="dxa"/>
              <w:right w:w="0" w:type="dxa"/>
            </w:tcMar>
            <w:vAlign w:val="center"/>
          </w:tcPr>
          <w:p w14:paraId="044742B5" w14:textId="77777777" w:rsidR="00686583" w:rsidRDefault="00EF7C11">
            <w:pPr>
              <w:spacing w:before="60" w:after="60"/>
              <w:ind w:left="60" w:right="60"/>
              <w:jc w:val="right"/>
            </w:pPr>
            <w:r>
              <w:rPr>
                <w:rFonts w:ascii="Arial" w:eastAsia="DejaVu Sans" w:hAnsi="DejaVu Sans" w:cs="DejaVu Sans"/>
                <w:color w:val="000000"/>
                <w:sz w:val="20"/>
                <w:szCs w:val="20"/>
              </w:rPr>
              <w:t>13.5</w:t>
            </w:r>
          </w:p>
        </w:tc>
        <w:tc>
          <w:tcPr>
            <w:tcW w:w="720" w:type="dxa"/>
            <w:shd w:val="clear" w:color="auto" w:fill="EFEFEF"/>
            <w:tcMar>
              <w:top w:w="0" w:type="dxa"/>
              <w:left w:w="0" w:type="dxa"/>
              <w:bottom w:w="0" w:type="dxa"/>
              <w:right w:w="0" w:type="dxa"/>
            </w:tcMar>
            <w:vAlign w:val="center"/>
          </w:tcPr>
          <w:p w14:paraId="3CD6C24A" w14:textId="77777777" w:rsidR="00686583" w:rsidRDefault="00EF7C11">
            <w:pPr>
              <w:spacing w:before="60" w:after="60"/>
              <w:ind w:left="60" w:right="60"/>
              <w:jc w:val="right"/>
            </w:pPr>
            <w:r>
              <w:rPr>
                <w:rFonts w:ascii="Arial" w:eastAsia="DejaVu Sans" w:hAnsi="DejaVu Sans" w:cs="DejaVu Sans"/>
                <w:color w:val="000000"/>
                <w:sz w:val="20"/>
                <w:szCs w:val="20"/>
              </w:rPr>
              <w:t>12.8</w:t>
            </w:r>
          </w:p>
        </w:tc>
        <w:tc>
          <w:tcPr>
            <w:tcW w:w="720" w:type="dxa"/>
            <w:shd w:val="clear" w:color="auto" w:fill="EFEFEF"/>
            <w:tcMar>
              <w:top w:w="0" w:type="dxa"/>
              <w:left w:w="0" w:type="dxa"/>
              <w:bottom w:w="0" w:type="dxa"/>
              <w:right w:w="0" w:type="dxa"/>
            </w:tcMar>
            <w:vAlign w:val="center"/>
          </w:tcPr>
          <w:p w14:paraId="15E874FD" w14:textId="77777777" w:rsidR="00686583" w:rsidRDefault="00EF7C11">
            <w:pPr>
              <w:spacing w:before="60" w:after="60"/>
              <w:ind w:left="60" w:right="60"/>
              <w:jc w:val="right"/>
            </w:pPr>
            <w:r>
              <w:rPr>
                <w:rFonts w:ascii="Arial" w:eastAsia="DejaVu Sans" w:hAnsi="DejaVu Sans" w:cs="DejaVu Sans"/>
                <w:color w:val="000000"/>
                <w:sz w:val="20"/>
                <w:szCs w:val="20"/>
              </w:rPr>
              <w:t>13.0</w:t>
            </w:r>
          </w:p>
        </w:tc>
        <w:tc>
          <w:tcPr>
            <w:tcW w:w="720" w:type="dxa"/>
            <w:shd w:val="clear" w:color="auto" w:fill="EFEFEF"/>
            <w:tcMar>
              <w:top w:w="0" w:type="dxa"/>
              <w:left w:w="0" w:type="dxa"/>
              <w:bottom w:w="0" w:type="dxa"/>
              <w:right w:w="0" w:type="dxa"/>
            </w:tcMar>
            <w:vAlign w:val="center"/>
          </w:tcPr>
          <w:p w14:paraId="11DCDB2A" w14:textId="77777777" w:rsidR="00686583" w:rsidRDefault="00EF7C11">
            <w:pPr>
              <w:spacing w:before="60" w:after="60"/>
              <w:ind w:left="60" w:right="60"/>
              <w:jc w:val="right"/>
            </w:pPr>
            <w:r>
              <w:rPr>
                <w:rFonts w:ascii="Arial" w:eastAsia="DejaVu Sans" w:hAnsi="DejaVu Sans" w:cs="DejaVu Sans"/>
                <w:color w:val="000000"/>
                <w:sz w:val="20"/>
                <w:szCs w:val="20"/>
              </w:rPr>
              <w:t>15.2</w:t>
            </w:r>
          </w:p>
        </w:tc>
        <w:tc>
          <w:tcPr>
            <w:tcW w:w="720" w:type="dxa"/>
            <w:shd w:val="clear" w:color="auto" w:fill="EFEFEF"/>
            <w:tcMar>
              <w:top w:w="0" w:type="dxa"/>
              <w:left w:w="0" w:type="dxa"/>
              <w:bottom w:w="0" w:type="dxa"/>
              <w:right w:w="0" w:type="dxa"/>
            </w:tcMar>
            <w:vAlign w:val="center"/>
          </w:tcPr>
          <w:p w14:paraId="60D09826" w14:textId="77777777" w:rsidR="00686583" w:rsidRDefault="00EF7C11">
            <w:pPr>
              <w:spacing w:before="60" w:after="60"/>
              <w:ind w:left="60" w:right="60"/>
              <w:jc w:val="right"/>
            </w:pPr>
            <w:r>
              <w:rPr>
                <w:rFonts w:ascii="Arial" w:eastAsia="DejaVu Sans" w:hAnsi="DejaVu Sans" w:cs="DejaVu Sans"/>
                <w:color w:val="000000"/>
                <w:sz w:val="20"/>
                <w:szCs w:val="20"/>
              </w:rPr>
              <w:t>1,256</w:t>
            </w:r>
          </w:p>
        </w:tc>
        <w:tc>
          <w:tcPr>
            <w:tcW w:w="720" w:type="dxa"/>
            <w:shd w:val="clear" w:color="auto" w:fill="EFEFEF"/>
            <w:tcMar>
              <w:top w:w="0" w:type="dxa"/>
              <w:left w:w="0" w:type="dxa"/>
              <w:bottom w:w="0" w:type="dxa"/>
              <w:right w:w="0" w:type="dxa"/>
            </w:tcMar>
            <w:vAlign w:val="center"/>
          </w:tcPr>
          <w:p w14:paraId="3D69C4FE" w14:textId="77777777" w:rsidR="00686583" w:rsidRDefault="00EF7C11">
            <w:pPr>
              <w:spacing w:before="60" w:after="60"/>
              <w:ind w:left="60" w:right="60"/>
              <w:jc w:val="right"/>
            </w:pPr>
            <w:r>
              <w:rPr>
                <w:rFonts w:ascii="Arial" w:eastAsia="DejaVu Sans" w:hAnsi="DejaVu Sans" w:cs="DejaVu Sans"/>
                <w:color w:val="000000"/>
                <w:sz w:val="20"/>
                <w:szCs w:val="20"/>
              </w:rPr>
              <w:t>17.0%</w:t>
            </w:r>
          </w:p>
        </w:tc>
      </w:tr>
      <w:tr w:rsidR="00686583" w14:paraId="5DA874F3" w14:textId="77777777" w:rsidTr="00686583">
        <w:trPr>
          <w:cantSplit/>
          <w:jc w:val="center"/>
        </w:trPr>
        <w:tc>
          <w:tcPr>
            <w:tcW w:w="2880" w:type="dxa"/>
            <w:shd w:val="clear" w:color="auto" w:fill="FFFFFF"/>
            <w:tcMar>
              <w:top w:w="0" w:type="dxa"/>
              <w:left w:w="0" w:type="dxa"/>
              <w:bottom w:w="0" w:type="dxa"/>
              <w:right w:w="0" w:type="dxa"/>
            </w:tcMar>
            <w:vAlign w:val="center"/>
          </w:tcPr>
          <w:p w14:paraId="155E6C76" w14:textId="77777777" w:rsidR="00686583" w:rsidRDefault="00EF7C11">
            <w:pPr>
              <w:spacing w:before="60" w:after="60"/>
              <w:ind w:left="60" w:right="60"/>
            </w:pPr>
            <w:r>
              <w:rPr>
                <w:rFonts w:ascii="Arial" w:eastAsia="DejaVu Sans" w:hAnsi="DejaVu Sans" w:cs="DejaVu Sans"/>
                <w:color w:val="000000"/>
                <w:sz w:val="20"/>
                <w:szCs w:val="20"/>
              </w:rPr>
              <w:t>Endocrine, blood, immune disorders</w:t>
            </w:r>
          </w:p>
        </w:tc>
        <w:tc>
          <w:tcPr>
            <w:tcW w:w="720" w:type="dxa"/>
            <w:shd w:val="clear" w:color="auto" w:fill="FFFFFF"/>
            <w:tcMar>
              <w:top w:w="0" w:type="dxa"/>
              <w:left w:w="0" w:type="dxa"/>
              <w:bottom w:w="0" w:type="dxa"/>
              <w:right w:w="0" w:type="dxa"/>
            </w:tcMar>
            <w:vAlign w:val="center"/>
          </w:tcPr>
          <w:p w14:paraId="62739979" w14:textId="77777777" w:rsidR="00686583" w:rsidRDefault="00EF7C11">
            <w:pPr>
              <w:spacing w:before="60" w:after="60"/>
              <w:ind w:left="60" w:right="60"/>
              <w:jc w:val="right"/>
            </w:pPr>
            <w:r>
              <w:rPr>
                <w:rFonts w:ascii="Arial" w:eastAsia="DejaVu Sans" w:hAnsi="DejaVu Sans" w:cs="DejaVu Sans"/>
                <w:color w:val="000000"/>
                <w:sz w:val="20"/>
                <w:szCs w:val="20"/>
              </w:rPr>
              <w:t>3,637</w:t>
            </w:r>
          </w:p>
        </w:tc>
        <w:tc>
          <w:tcPr>
            <w:tcW w:w="720" w:type="dxa"/>
            <w:shd w:val="clear" w:color="auto" w:fill="FFFFFF"/>
            <w:tcMar>
              <w:top w:w="0" w:type="dxa"/>
              <w:left w:w="0" w:type="dxa"/>
              <w:bottom w:w="0" w:type="dxa"/>
              <w:right w:w="0" w:type="dxa"/>
            </w:tcMar>
            <w:vAlign w:val="center"/>
          </w:tcPr>
          <w:p w14:paraId="07D3900D" w14:textId="77777777" w:rsidR="00686583" w:rsidRDefault="00EF7C11">
            <w:pPr>
              <w:spacing w:before="60" w:after="60"/>
              <w:ind w:left="60" w:right="60"/>
              <w:jc w:val="right"/>
            </w:pPr>
            <w:r>
              <w:rPr>
                <w:rFonts w:ascii="Arial" w:eastAsia="DejaVu Sans" w:hAnsi="DejaVu Sans" w:cs="DejaVu Sans"/>
                <w:color w:val="000000"/>
                <w:sz w:val="20"/>
                <w:szCs w:val="20"/>
              </w:rPr>
              <w:t>3,761</w:t>
            </w:r>
          </w:p>
        </w:tc>
        <w:tc>
          <w:tcPr>
            <w:tcW w:w="720" w:type="dxa"/>
            <w:shd w:val="clear" w:color="auto" w:fill="FFFFFF"/>
            <w:tcMar>
              <w:top w:w="0" w:type="dxa"/>
              <w:left w:w="0" w:type="dxa"/>
              <w:bottom w:w="0" w:type="dxa"/>
              <w:right w:w="0" w:type="dxa"/>
            </w:tcMar>
            <w:vAlign w:val="center"/>
          </w:tcPr>
          <w:p w14:paraId="5A49F513" w14:textId="77777777" w:rsidR="00686583" w:rsidRDefault="00EF7C11">
            <w:pPr>
              <w:spacing w:before="60" w:after="60"/>
              <w:ind w:left="60" w:right="60"/>
              <w:jc w:val="right"/>
            </w:pPr>
            <w:r>
              <w:rPr>
                <w:rFonts w:ascii="Arial" w:eastAsia="DejaVu Sans" w:hAnsi="DejaVu Sans" w:cs="DejaVu Sans"/>
                <w:color w:val="000000"/>
                <w:sz w:val="20"/>
                <w:szCs w:val="20"/>
              </w:rPr>
              <w:t>3,791</w:t>
            </w:r>
          </w:p>
        </w:tc>
        <w:tc>
          <w:tcPr>
            <w:tcW w:w="720" w:type="dxa"/>
            <w:shd w:val="clear" w:color="auto" w:fill="FFFFFF"/>
            <w:tcMar>
              <w:top w:w="0" w:type="dxa"/>
              <w:left w:w="0" w:type="dxa"/>
              <w:bottom w:w="0" w:type="dxa"/>
              <w:right w:w="0" w:type="dxa"/>
            </w:tcMar>
            <w:vAlign w:val="center"/>
          </w:tcPr>
          <w:p w14:paraId="624BB623" w14:textId="77777777" w:rsidR="00686583" w:rsidRDefault="00EF7C11">
            <w:pPr>
              <w:spacing w:before="60" w:after="60"/>
              <w:ind w:left="60" w:right="60"/>
              <w:jc w:val="right"/>
            </w:pPr>
            <w:r>
              <w:rPr>
                <w:rFonts w:ascii="Arial" w:eastAsia="DejaVu Sans" w:hAnsi="DejaVu Sans" w:cs="DejaVu Sans"/>
                <w:color w:val="000000"/>
                <w:sz w:val="20"/>
                <w:szCs w:val="20"/>
              </w:rPr>
              <w:t>4,392</w:t>
            </w:r>
          </w:p>
        </w:tc>
        <w:tc>
          <w:tcPr>
            <w:tcW w:w="720" w:type="dxa"/>
            <w:shd w:val="clear" w:color="auto" w:fill="FFFFFF"/>
            <w:tcMar>
              <w:top w:w="0" w:type="dxa"/>
              <w:left w:w="0" w:type="dxa"/>
              <w:bottom w:w="0" w:type="dxa"/>
              <w:right w:w="0" w:type="dxa"/>
            </w:tcMar>
            <w:vAlign w:val="center"/>
          </w:tcPr>
          <w:p w14:paraId="0D974D8F" w14:textId="77777777" w:rsidR="00686583" w:rsidRDefault="00EF7C11">
            <w:pPr>
              <w:spacing w:before="60" w:after="60"/>
              <w:ind w:left="60" w:right="60"/>
              <w:jc w:val="right"/>
            </w:pPr>
            <w:r>
              <w:rPr>
                <w:rFonts w:ascii="Arial" w:eastAsia="DejaVu Sans" w:hAnsi="DejaVu Sans" w:cs="DejaVu Sans"/>
                <w:color w:val="000000"/>
                <w:sz w:val="20"/>
                <w:szCs w:val="20"/>
              </w:rPr>
              <w:t>8.3</w:t>
            </w:r>
          </w:p>
        </w:tc>
        <w:tc>
          <w:tcPr>
            <w:tcW w:w="720" w:type="dxa"/>
            <w:shd w:val="clear" w:color="auto" w:fill="FFFFFF"/>
            <w:tcMar>
              <w:top w:w="0" w:type="dxa"/>
              <w:left w:w="0" w:type="dxa"/>
              <w:bottom w:w="0" w:type="dxa"/>
              <w:right w:w="0" w:type="dxa"/>
            </w:tcMar>
            <w:vAlign w:val="center"/>
          </w:tcPr>
          <w:p w14:paraId="00872F8F" w14:textId="77777777" w:rsidR="00686583" w:rsidRDefault="00EF7C11">
            <w:pPr>
              <w:spacing w:before="60" w:after="60"/>
              <w:ind w:left="60" w:right="60"/>
              <w:jc w:val="right"/>
            </w:pPr>
            <w:r>
              <w:rPr>
                <w:rFonts w:ascii="Arial" w:eastAsia="DejaVu Sans" w:hAnsi="DejaVu Sans" w:cs="DejaVu Sans"/>
                <w:color w:val="000000"/>
                <w:sz w:val="20"/>
                <w:szCs w:val="20"/>
              </w:rPr>
              <w:t>8.2</w:t>
            </w:r>
          </w:p>
        </w:tc>
        <w:tc>
          <w:tcPr>
            <w:tcW w:w="720" w:type="dxa"/>
            <w:shd w:val="clear" w:color="auto" w:fill="FFFFFF"/>
            <w:tcMar>
              <w:top w:w="0" w:type="dxa"/>
              <w:left w:w="0" w:type="dxa"/>
              <w:bottom w:w="0" w:type="dxa"/>
              <w:right w:w="0" w:type="dxa"/>
            </w:tcMar>
            <w:vAlign w:val="center"/>
          </w:tcPr>
          <w:p w14:paraId="5D3834CC" w14:textId="77777777" w:rsidR="00686583" w:rsidRDefault="00EF7C11">
            <w:pPr>
              <w:spacing w:before="60" w:after="60"/>
              <w:ind w:left="60" w:right="60"/>
              <w:jc w:val="right"/>
            </w:pPr>
            <w:r>
              <w:rPr>
                <w:rFonts w:ascii="Arial" w:eastAsia="DejaVu Sans" w:hAnsi="DejaVu Sans" w:cs="DejaVu Sans"/>
                <w:color w:val="000000"/>
                <w:sz w:val="20"/>
                <w:szCs w:val="20"/>
              </w:rPr>
              <w:t>8.1</w:t>
            </w:r>
          </w:p>
        </w:tc>
        <w:tc>
          <w:tcPr>
            <w:tcW w:w="720" w:type="dxa"/>
            <w:shd w:val="clear" w:color="auto" w:fill="FFFFFF"/>
            <w:tcMar>
              <w:top w:w="0" w:type="dxa"/>
              <w:left w:w="0" w:type="dxa"/>
              <w:bottom w:w="0" w:type="dxa"/>
              <w:right w:w="0" w:type="dxa"/>
            </w:tcMar>
            <w:vAlign w:val="center"/>
          </w:tcPr>
          <w:p w14:paraId="504E6AA0" w14:textId="77777777" w:rsidR="00686583" w:rsidRDefault="00EF7C11">
            <w:pPr>
              <w:spacing w:before="60" w:after="60"/>
              <w:ind w:left="60" w:right="60"/>
              <w:jc w:val="right"/>
            </w:pPr>
            <w:r>
              <w:rPr>
                <w:rFonts w:ascii="Arial" w:eastAsia="DejaVu Sans" w:hAnsi="DejaVu Sans" w:cs="DejaVu Sans"/>
                <w:color w:val="000000"/>
                <w:sz w:val="20"/>
                <w:szCs w:val="20"/>
              </w:rPr>
              <w:t>9.2</w:t>
            </w:r>
          </w:p>
        </w:tc>
        <w:tc>
          <w:tcPr>
            <w:tcW w:w="720" w:type="dxa"/>
            <w:shd w:val="clear" w:color="auto" w:fill="FFFFFF"/>
            <w:tcMar>
              <w:top w:w="0" w:type="dxa"/>
              <w:left w:w="0" w:type="dxa"/>
              <w:bottom w:w="0" w:type="dxa"/>
              <w:right w:w="0" w:type="dxa"/>
            </w:tcMar>
            <w:vAlign w:val="center"/>
          </w:tcPr>
          <w:p w14:paraId="6B5D4C5F" w14:textId="77777777" w:rsidR="00686583" w:rsidRDefault="00EF7C11">
            <w:pPr>
              <w:spacing w:before="60" w:after="60"/>
              <w:ind w:left="60" w:right="60"/>
              <w:jc w:val="right"/>
            </w:pPr>
            <w:r>
              <w:rPr>
                <w:rFonts w:ascii="Arial" w:eastAsia="DejaVu Sans" w:hAnsi="DejaVu Sans" w:cs="DejaVu Sans"/>
                <w:color w:val="000000"/>
                <w:sz w:val="20"/>
                <w:szCs w:val="20"/>
              </w:rPr>
              <w:t>601</w:t>
            </w:r>
          </w:p>
        </w:tc>
        <w:tc>
          <w:tcPr>
            <w:tcW w:w="720" w:type="dxa"/>
            <w:shd w:val="clear" w:color="auto" w:fill="FFFFFF"/>
            <w:tcMar>
              <w:top w:w="0" w:type="dxa"/>
              <w:left w:w="0" w:type="dxa"/>
              <w:bottom w:w="0" w:type="dxa"/>
              <w:right w:w="0" w:type="dxa"/>
            </w:tcMar>
            <w:vAlign w:val="center"/>
          </w:tcPr>
          <w:p w14:paraId="7547C6F4" w14:textId="77777777" w:rsidR="00686583" w:rsidRDefault="00EF7C11">
            <w:pPr>
              <w:spacing w:before="60" w:after="60"/>
              <w:ind w:left="60" w:right="60"/>
              <w:jc w:val="right"/>
            </w:pPr>
            <w:r>
              <w:rPr>
                <w:rFonts w:ascii="Arial" w:eastAsia="DejaVu Sans" w:hAnsi="DejaVu Sans" w:cs="DejaVu Sans"/>
                <w:color w:val="000000"/>
                <w:sz w:val="20"/>
                <w:szCs w:val="20"/>
              </w:rPr>
              <w:t>13.4%</w:t>
            </w:r>
          </w:p>
        </w:tc>
      </w:tr>
      <w:tr w:rsidR="00686583" w14:paraId="3ABC53B5" w14:textId="77777777" w:rsidTr="00686583">
        <w:trPr>
          <w:cantSplit/>
          <w:jc w:val="center"/>
        </w:trPr>
        <w:tc>
          <w:tcPr>
            <w:tcW w:w="2880" w:type="dxa"/>
            <w:shd w:val="clear" w:color="auto" w:fill="EFEFEF"/>
            <w:tcMar>
              <w:top w:w="0" w:type="dxa"/>
              <w:left w:w="0" w:type="dxa"/>
              <w:bottom w:w="0" w:type="dxa"/>
              <w:right w:w="0" w:type="dxa"/>
            </w:tcMar>
            <w:vAlign w:val="center"/>
          </w:tcPr>
          <w:p w14:paraId="229B874A" w14:textId="77777777" w:rsidR="00686583" w:rsidRDefault="00EF7C11">
            <w:pPr>
              <w:spacing w:before="60" w:after="60"/>
              <w:ind w:left="60" w:right="60"/>
            </w:pPr>
            <w:r>
              <w:rPr>
                <w:rFonts w:ascii="Arial" w:eastAsia="DejaVu Sans" w:hAnsi="DejaVu Sans" w:cs="DejaVu Sans"/>
                <w:color w:val="000000"/>
                <w:sz w:val="20"/>
                <w:szCs w:val="20"/>
              </w:rPr>
              <w:t>Alzheimer</w:t>
            </w:r>
            <w:r>
              <w:rPr>
                <w:rFonts w:ascii="Arial" w:eastAsia="DejaVu Sans" w:hAnsi="DejaVu Sans" w:cs="DejaVu Sans"/>
                <w:color w:val="000000"/>
                <w:sz w:val="20"/>
                <w:szCs w:val="20"/>
              </w:rPr>
              <w:t>’</w:t>
            </w:r>
            <w:r>
              <w:rPr>
                <w:rFonts w:ascii="Arial" w:eastAsia="DejaVu Sans" w:hAnsi="DejaVu Sans" w:cs="DejaVu Sans"/>
                <w:color w:val="000000"/>
                <w:sz w:val="20"/>
                <w:szCs w:val="20"/>
              </w:rPr>
              <w:t>s disease</w:t>
            </w:r>
          </w:p>
        </w:tc>
        <w:tc>
          <w:tcPr>
            <w:tcW w:w="720" w:type="dxa"/>
            <w:shd w:val="clear" w:color="auto" w:fill="EFEFEF"/>
            <w:tcMar>
              <w:top w:w="0" w:type="dxa"/>
              <w:left w:w="0" w:type="dxa"/>
              <w:bottom w:w="0" w:type="dxa"/>
              <w:right w:w="0" w:type="dxa"/>
            </w:tcMar>
            <w:vAlign w:val="center"/>
          </w:tcPr>
          <w:p w14:paraId="43A1E2C5" w14:textId="77777777" w:rsidR="00686583" w:rsidRDefault="00EF7C11">
            <w:pPr>
              <w:spacing w:before="60" w:after="60"/>
              <w:ind w:left="60" w:right="60"/>
              <w:jc w:val="right"/>
            </w:pPr>
            <w:r>
              <w:rPr>
                <w:rFonts w:ascii="Arial" w:eastAsia="DejaVu Sans" w:hAnsi="DejaVu Sans" w:cs="DejaVu Sans"/>
                <w:color w:val="000000"/>
                <w:sz w:val="20"/>
                <w:szCs w:val="20"/>
              </w:rPr>
              <w:t>24,878</w:t>
            </w:r>
          </w:p>
        </w:tc>
        <w:tc>
          <w:tcPr>
            <w:tcW w:w="720" w:type="dxa"/>
            <w:shd w:val="clear" w:color="auto" w:fill="EFEFEF"/>
            <w:tcMar>
              <w:top w:w="0" w:type="dxa"/>
              <w:left w:w="0" w:type="dxa"/>
              <w:bottom w:w="0" w:type="dxa"/>
              <w:right w:w="0" w:type="dxa"/>
            </w:tcMar>
            <w:vAlign w:val="center"/>
          </w:tcPr>
          <w:p w14:paraId="348584F2" w14:textId="77777777" w:rsidR="00686583" w:rsidRDefault="00EF7C11">
            <w:pPr>
              <w:spacing w:before="60" w:after="60"/>
              <w:ind w:left="60" w:right="60"/>
              <w:jc w:val="right"/>
            </w:pPr>
            <w:r>
              <w:rPr>
                <w:rFonts w:ascii="Arial" w:eastAsia="DejaVu Sans" w:hAnsi="DejaVu Sans" w:cs="DejaVu Sans"/>
                <w:color w:val="000000"/>
                <w:sz w:val="20"/>
                <w:szCs w:val="20"/>
              </w:rPr>
              <w:t>25,070</w:t>
            </w:r>
          </w:p>
        </w:tc>
        <w:tc>
          <w:tcPr>
            <w:tcW w:w="720" w:type="dxa"/>
            <w:shd w:val="clear" w:color="auto" w:fill="EFEFEF"/>
            <w:tcMar>
              <w:top w:w="0" w:type="dxa"/>
              <w:left w:w="0" w:type="dxa"/>
              <w:bottom w:w="0" w:type="dxa"/>
              <w:right w:w="0" w:type="dxa"/>
            </w:tcMar>
            <w:vAlign w:val="center"/>
          </w:tcPr>
          <w:p w14:paraId="014A088B" w14:textId="77777777" w:rsidR="00686583" w:rsidRDefault="00EF7C11">
            <w:pPr>
              <w:spacing w:before="60" w:after="60"/>
              <w:ind w:left="60" w:right="60"/>
              <w:jc w:val="right"/>
            </w:pPr>
            <w:r>
              <w:rPr>
                <w:rFonts w:ascii="Arial" w:eastAsia="DejaVu Sans" w:hAnsi="DejaVu Sans" w:cs="DejaVu Sans"/>
                <w:color w:val="000000"/>
                <w:sz w:val="20"/>
                <w:szCs w:val="20"/>
              </w:rPr>
              <w:t>25,637</w:t>
            </w:r>
          </w:p>
        </w:tc>
        <w:tc>
          <w:tcPr>
            <w:tcW w:w="720" w:type="dxa"/>
            <w:shd w:val="clear" w:color="auto" w:fill="EFEFEF"/>
            <w:tcMar>
              <w:top w:w="0" w:type="dxa"/>
              <w:left w:w="0" w:type="dxa"/>
              <w:bottom w:w="0" w:type="dxa"/>
              <w:right w:w="0" w:type="dxa"/>
            </w:tcMar>
            <w:vAlign w:val="center"/>
          </w:tcPr>
          <w:p w14:paraId="10365AB2" w14:textId="77777777" w:rsidR="00686583" w:rsidRDefault="00EF7C11">
            <w:pPr>
              <w:spacing w:before="60" w:after="60"/>
              <w:ind w:left="60" w:right="60"/>
              <w:jc w:val="right"/>
            </w:pPr>
            <w:r>
              <w:rPr>
                <w:rFonts w:ascii="Arial" w:eastAsia="DejaVu Sans" w:hAnsi="DejaVu Sans" w:cs="DejaVu Sans"/>
                <w:color w:val="000000"/>
                <w:sz w:val="20"/>
                <w:szCs w:val="20"/>
              </w:rPr>
              <w:t>29,254</w:t>
            </w:r>
          </w:p>
        </w:tc>
        <w:tc>
          <w:tcPr>
            <w:tcW w:w="720" w:type="dxa"/>
            <w:shd w:val="clear" w:color="auto" w:fill="EFEFEF"/>
            <w:tcMar>
              <w:top w:w="0" w:type="dxa"/>
              <w:left w:w="0" w:type="dxa"/>
              <w:bottom w:w="0" w:type="dxa"/>
              <w:right w:w="0" w:type="dxa"/>
            </w:tcMar>
            <w:vAlign w:val="center"/>
          </w:tcPr>
          <w:p w14:paraId="104219DD" w14:textId="77777777" w:rsidR="00686583" w:rsidRDefault="00EF7C11">
            <w:pPr>
              <w:spacing w:before="60" w:after="60"/>
              <w:ind w:left="60" w:right="60"/>
              <w:jc w:val="right"/>
            </w:pPr>
            <w:r>
              <w:rPr>
                <w:rFonts w:ascii="Arial" w:eastAsia="DejaVu Sans" w:hAnsi="DejaVu Sans" w:cs="DejaVu Sans"/>
                <w:color w:val="000000"/>
                <w:sz w:val="20"/>
                <w:szCs w:val="20"/>
              </w:rPr>
              <w:t>54.3</w:t>
            </w:r>
          </w:p>
        </w:tc>
        <w:tc>
          <w:tcPr>
            <w:tcW w:w="720" w:type="dxa"/>
            <w:shd w:val="clear" w:color="auto" w:fill="EFEFEF"/>
            <w:tcMar>
              <w:top w:w="0" w:type="dxa"/>
              <w:left w:w="0" w:type="dxa"/>
              <w:bottom w:w="0" w:type="dxa"/>
              <w:right w:w="0" w:type="dxa"/>
            </w:tcMar>
            <w:vAlign w:val="center"/>
          </w:tcPr>
          <w:p w14:paraId="52E6DEEE" w14:textId="77777777" w:rsidR="00686583" w:rsidRDefault="00EF7C11">
            <w:pPr>
              <w:spacing w:before="60" w:after="60"/>
              <w:ind w:left="60" w:right="60"/>
              <w:jc w:val="right"/>
            </w:pPr>
            <w:r>
              <w:rPr>
                <w:rFonts w:ascii="Arial" w:eastAsia="DejaVu Sans" w:hAnsi="DejaVu Sans" w:cs="DejaVu Sans"/>
                <w:color w:val="000000"/>
                <w:sz w:val="20"/>
                <w:szCs w:val="20"/>
              </w:rPr>
              <w:t>50.8</w:t>
            </w:r>
          </w:p>
        </w:tc>
        <w:tc>
          <w:tcPr>
            <w:tcW w:w="720" w:type="dxa"/>
            <w:shd w:val="clear" w:color="auto" w:fill="EFEFEF"/>
            <w:tcMar>
              <w:top w:w="0" w:type="dxa"/>
              <w:left w:w="0" w:type="dxa"/>
              <w:bottom w:w="0" w:type="dxa"/>
              <w:right w:w="0" w:type="dxa"/>
            </w:tcMar>
            <w:vAlign w:val="center"/>
          </w:tcPr>
          <w:p w14:paraId="7E033606" w14:textId="77777777" w:rsidR="00686583" w:rsidRDefault="00EF7C11">
            <w:pPr>
              <w:spacing w:before="60" w:after="60"/>
              <w:ind w:left="60" w:right="60"/>
              <w:jc w:val="right"/>
            </w:pPr>
            <w:r>
              <w:rPr>
                <w:rFonts w:ascii="Arial" w:eastAsia="DejaVu Sans" w:hAnsi="DejaVu Sans" w:cs="DejaVu Sans"/>
                <w:color w:val="000000"/>
                <w:sz w:val="20"/>
                <w:szCs w:val="20"/>
              </w:rPr>
              <w:t>50.3</w:t>
            </w:r>
          </w:p>
        </w:tc>
        <w:tc>
          <w:tcPr>
            <w:tcW w:w="720" w:type="dxa"/>
            <w:shd w:val="clear" w:color="auto" w:fill="EFEFEF"/>
            <w:tcMar>
              <w:top w:w="0" w:type="dxa"/>
              <w:left w:w="0" w:type="dxa"/>
              <w:bottom w:w="0" w:type="dxa"/>
              <w:right w:w="0" w:type="dxa"/>
            </w:tcMar>
            <w:vAlign w:val="center"/>
          </w:tcPr>
          <w:p w14:paraId="5C3C795E" w14:textId="77777777" w:rsidR="00686583" w:rsidRDefault="00EF7C11">
            <w:pPr>
              <w:spacing w:before="60" w:after="60"/>
              <w:ind w:left="60" w:right="60"/>
              <w:jc w:val="right"/>
            </w:pPr>
            <w:r>
              <w:rPr>
                <w:rFonts w:ascii="Arial" w:eastAsia="DejaVu Sans" w:hAnsi="DejaVu Sans" w:cs="DejaVu Sans"/>
                <w:color w:val="000000"/>
                <w:sz w:val="20"/>
                <w:szCs w:val="20"/>
              </w:rPr>
              <w:t>55.3</w:t>
            </w:r>
          </w:p>
        </w:tc>
        <w:tc>
          <w:tcPr>
            <w:tcW w:w="720" w:type="dxa"/>
            <w:shd w:val="clear" w:color="auto" w:fill="EFEFEF"/>
            <w:tcMar>
              <w:top w:w="0" w:type="dxa"/>
              <w:left w:w="0" w:type="dxa"/>
              <w:bottom w:w="0" w:type="dxa"/>
              <w:right w:w="0" w:type="dxa"/>
            </w:tcMar>
            <w:vAlign w:val="center"/>
          </w:tcPr>
          <w:p w14:paraId="1708E84A" w14:textId="77777777" w:rsidR="00686583" w:rsidRDefault="00EF7C11">
            <w:pPr>
              <w:spacing w:before="60" w:after="60"/>
              <w:ind w:left="60" w:right="60"/>
              <w:jc w:val="right"/>
            </w:pPr>
            <w:r>
              <w:rPr>
                <w:rFonts w:ascii="Arial" w:eastAsia="DejaVu Sans" w:hAnsi="DejaVu Sans" w:cs="DejaVu Sans"/>
                <w:color w:val="000000"/>
                <w:sz w:val="20"/>
                <w:szCs w:val="20"/>
              </w:rPr>
              <w:t>3,617</w:t>
            </w:r>
          </w:p>
        </w:tc>
        <w:tc>
          <w:tcPr>
            <w:tcW w:w="720" w:type="dxa"/>
            <w:shd w:val="clear" w:color="auto" w:fill="EFEFEF"/>
            <w:tcMar>
              <w:top w:w="0" w:type="dxa"/>
              <w:left w:w="0" w:type="dxa"/>
              <w:bottom w:w="0" w:type="dxa"/>
              <w:right w:w="0" w:type="dxa"/>
            </w:tcMar>
            <w:vAlign w:val="center"/>
          </w:tcPr>
          <w:p w14:paraId="4BC409E4" w14:textId="77777777" w:rsidR="00686583" w:rsidRDefault="00EF7C11">
            <w:pPr>
              <w:spacing w:before="60" w:after="60"/>
              <w:ind w:left="60" w:right="60"/>
              <w:jc w:val="right"/>
            </w:pPr>
            <w:r>
              <w:rPr>
                <w:rFonts w:ascii="Arial" w:eastAsia="DejaVu Sans" w:hAnsi="DejaVu Sans" w:cs="DejaVu Sans"/>
                <w:color w:val="000000"/>
                <w:sz w:val="20"/>
                <w:szCs w:val="20"/>
              </w:rPr>
              <w:t>10.0%</w:t>
            </w:r>
          </w:p>
        </w:tc>
      </w:tr>
      <w:tr w:rsidR="00686583" w14:paraId="6483E268" w14:textId="77777777" w:rsidTr="00686583">
        <w:trPr>
          <w:cantSplit/>
          <w:jc w:val="center"/>
        </w:trPr>
        <w:tc>
          <w:tcPr>
            <w:tcW w:w="2880" w:type="dxa"/>
            <w:shd w:val="clear" w:color="auto" w:fill="FFFFFF"/>
            <w:tcMar>
              <w:top w:w="0" w:type="dxa"/>
              <w:left w:w="0" w:type="dxa"/>
              <w:bottom w:w="0" w:type="dxa"/>
              <w:right w:w="0" w:type="dxa"/>
            </w:tcMar>
            <w:vAlign w:val="center"/>
          </w:tcPr>
          <w:p w14:paraId="65E42576" w14:textId="77777777" w:rsidR="00686583" w:rsidRDefault="00EF7C11">
            <w:pPr>
              <w:spacing w:before="60" w:after="60"/>
              <w:ind w:left="60" w:right="60"/>
            </w:pPr>
            <w:r>
              <w:rPr>
                <w:rFonts w:ascii="Arial" w:eastAsia="DejaVu Sans" w:hAnsi="DejaVu Sans" w:cs="DejaVu Sans"/>
                <w:color w:val="000000"/>
                <w:sz w:val="20"/>
                <w:szCs w:val="20"/>
              </w:rPr>
              <w:t>Hypertensive heart disease</w:t>
            </w:r>
          </w:p>
        </w:tc>
        <w:tc>
          <w:tcPr>
            <w:tcW w:w="720" w:type="dxa"/>
            <w:shd w:val="clear" w:color="auto" w:fill="FFFFFF"/>
            <w:tcMar>
              <w:top w:w="0" w:type="dxa"/>
              <w:left w:w="0" w:type="dxa"/>
              <w:bottom w:w="0" w:type="dxa"/>
              <w:right w:w="0" w:type="dxa"/>
            </w:tcMar>
            <w:vAlign w:val="center"/>
          </w:tcPr>
          <w:p w14:paraId="7C7E107B" w14:textId="77777777" w:rsidR="00686583" w:rsidRDefault="00EF7C11">
            <w:pPr>
              <w:spacing w:before="60" w:after="60"/>
              <w:ind w:left="60" w:right="60"/>
              <w:jc w:val="right"/>
            </w:pPr>
            <w:r>
              <w:rPr>
                <w:rFonts w:ascii="Arial" w:eastAsia="DejaVu Sans" w:hAnsi="DejaVu Sans" w:cs="DejaVu Sans"/>
                <w:color w:val="000000"/>
                <w:sz w:val="20"/>
                <w:szCs w:val="20"/>
              </w:rPr>
              <w:t>11,532</w:t>
            </w:r>
          </w:p>
        </w:tc>
        <w:tc>
          <w:tcPr>
            <w:tcW w:w="720" w:type="dxa"/>
            <w:shd w:val="clear" w:color="auto" w:fill="FFFFFF"/>
            <w:tcMar>
              <w:top w:w="0" w:type="dxa"/>
              <w:left w:w="0" w:type="dxa"/>
              <w:bottom w:w="0" w:type="dxa"/>
              <w:right w:w="0" w:type="dxa"/>
            </w:tcMar>
            <w:vAlign w:val="center"/>
          </w:tcPr>
          <w:p w14:paraId="0B4B3F1D" w14:textId="77777777" w:rsidR="00686583" w:rsidRDefault="00EF7C11">
            <w:pPr>
              <w:spacing w:before="60" w:after="60"/>
              <w:ind w:left="60" w:right="60"/>
              <w:jc w:val="right"/>
            </w:pPr>
            <w:r>
              <w:rPr>
                <w:rFonts w:ascii="Arial" w:eastAsia="DejaVu Sans" w:hAnsi="DejaVu Sans" w:cs="DejaVu Sans"/>
                <w:color w:val="000000"/>
                <w:sz w:val="20"/>
                <w:szCs w:val="20"/>
              </w:rPr>
              <w:t>11,817</w:t>
            </w:r>
          </w:p>
        </w:tc>
        <w:tc>
          <w:tcPr>
            <w:tcW w:w="720" w:type="dxa"/>
            <w:shd w:val="clear" w:color="auto" w:fill="FFFFFF"/>
            <w:tcMar>
              <w:top w:w="0" w:type="dxa"/>
              <w:left w:w="0" w:type="dxa"/>
              <w:bottom w:w="0" w:type="dxa"/>
              <w:right w:w="0" w:type="dxa"/>
            </w:tcMar>
            <w:vAlign w:val="center"/>
          </w:tcPr>
          <w:p w14:paraId="60C0FBE6" w14:textId="77777777" w:rsidR="00686583" w:rsidRDefault="00EF7C11">
            <w:pPr>
              <w:spacing w:before="60" w:after="60"/>
              <w:ind w:left="60" w:right="60"/>
              <w:jc w:val="right"/>
            </w:pPr>
            <w:r>
              <w:rPr>
                <w:rFonts w:ascii="Arial" w:eastAsia="DejaVu Sans" w:hAnsi="DejaVu Sans" w:cs="DejaVu Sans"/>
                <w:color w:val="000000"/>
                <w:sz w:val="20"/>
                <w:szCs w:val="20"/>
              </w:rPr>
              <w:t>12,156</w:t>
            </w:r>
          </w:p>
        </w:tc>
        <w:tc>
          <w:tcPr>
            <w:tcW w:w="720" w:type="dxa"/>
            <w:shd w:val="clear" w:color="auto" w:fill="FFFFFF"/>
            <w:tcMar>
              <w:top w:w="0" w:type="dxa"/>
              <w:left w:w="0" w:type="dxa"/>
              <w:bottom w:w="0" w:type="dxa"/>
              <w:right w:w="0" w:type="dxa"/>
            </w:tcMar>
            <w:vAlign w:val="center"/>
          </w:tcPr>
          <w:p w14:paraId="668C8184" w14:textId="77777777" w:rsidR="00686583" w:rsidRDefault="00EF7C11">
            <w:pPr>
              <w:spacing w:before="60" w:after="60"/>
              <w:ind w:left="60" w:right="60"/>
              <w:jc w:val="right"/>
            </w:pPr>
            <w:r>
              <w:rPr>
                <w:rFonts w:ascii="Arial" w:eastAsia="DejaVu Sans" w:hAnsi="DejaVu Sans" w:cs="DejaVu Sans"/>
                <w:color w:val="000000"/>
                <w:sz w:val="20"/>
                <w:szCs w:val="20"/>
              </w:rPr>
              <w:t>13,636</w:t>
            </w:r>
          </w:p>
        </w:tc>
        <w:tc>
          <w:tcPr>
            <w:tcW w:w="720" w:type="dxa"/>
            <w:shd w:val="clear" w:color="auto" w:fill="FFFFFF"/>
            <w:tcMar>
              <w:top w:w="0" w:type="dxa"/>
              <w:left w:w="0" w:type="dxa"/>
              <w:bottom w:w="0" w:type="dxa"/>
              <w:right w:w="0" w:type="dxa"/>
            </w:tcMar>
            <w:vAlign w:val="center"/>
          </w:tcPr>
          <w:p w14:paraId="3751926D" w14:textId="77777777" w:rsidR="00686583" w:rsidRDefault="00EF7C11">
            <w:pPr>
              <w:spacing w:before="60" w:after="60"/>
              <w:ind w:left="60" w:right="60"/>
              <w:jc w:val="right"/>
            </w:pPr>
            <w:r>
              <w:rPr>
                <w:rFonts w:ascii="Arial" w:eastAsia="DejaVu Sans" w:hAnsi="DejaVu Sans" w:cs="DejaVu Sans"/>
                <w:color w:val="000000"/>
                <w:sz w:val="20"/>
                <w:szCs w:val="20"/>
              </w:rPr>
              <w:t>25.4</w:t>
            </w:r>
          </w:p>
        </w:tc>
        <w:tc>
          <w:tcPr>
            <w:tcW w:w="720" w:type="dxa"/>
            <w:shd w:val="clear" w:color="auto" w:fill="FFFFFF"/>
            <w:tcMar>
              <w:top w:w="0" w:type="dxa"/>
              <w:left w:w="0" w:type="dxa"/>
              <w:bottom w:w="0" w:type="dxa"/>
              <w:right w:w="0" w:type="dxa"/>
            </w:tcMar>
            <w:vAlign w:val="center"/>
          </w:tcPr>
          <w:p w14:paraId="4F6B2189" w14:textId="77777777" w:rsidR="00686583" w:rsidRDefault="00EF7C11">
            <w:pPr>
              <w:spacing w:before="60" w:after="60"/>
              <w:ind w:left="60" w:right="60"/>
              <w:jc w:val="right"/>
            </w:pPr>
            <w:r>
              <w:rPr>
                <w:rFonts w:ascii="Arial" w:eastAsia="DejaVu Sans" w:hAnsi="DejaVu Sans" w:cs="DejaVu Sans"/>
                <w:color w:val="000000"/>
                <w:sz w:val="20"/>
                <w:szCs w:val="20"/>
              </w:rPr>
              <w:t>24.7</w:t>
            </w:r>
          </w:p>
        </w:tc>
        <w:tc>
          <w:tcPr>
            <w:tcW w:w="720" w:type="dxa"/>
            <w:shd w:val="clear" w:color="auto" w:fill="FFFFFF"/>
            <w:tcMar>
              <w:top w:w="0" w:type="dxa"/>
              <w:left w:w="0" w:type="dxa"/>
              <w:bottom w:w="0" w:type="dxa"/>
              <w:right w:w="0" w:type="dxa"/>
            </w:tcMar>
            <w:vAlign w:val="center"/>
          </w:tcPr>
          <w:p w14:paraId="5BF2589D" w14:textId="77777777" w:rsidR="00686583" w:rsidRDefault="00EF7C11">
            <w:pPr>
              <w:spacing w:before="60" w:after="60"/>
              <w:ind w:left="60" w:right="60"/>
              <w:jc w:val="right"/>
            </w:pPr>
            <w:r>
              <w:rPr>
                <w:rFonts w:ascii="Arial" w:eastAsia="DejaVu Sans" w:hAnsi="DejaVu Sans" w:cs="DejaVu Sans"/>
                <w:color w:val="000000"/>
                <w:sz w:val="20"/>
                <w:szCs w:val="20"/>
              </w:rPr>
              <w:t>24.6</w:t>
            </w:r>
          </w:p>
        </w:tc>
        <w:tc>
          <w:tcPr>
            <w:tcW w:w="720" w:type="dxa"/>
            <w:shd w:val="clear" w:color="auto" w:fill="FFFFFF"/>
            <w:tcMar>
              <w:top w:w="0" w:type="dxa"/>
              <w:left w:w="0" w:type="dxa"/>
              <w:bottom w:w="0" w:type="dxa"/>
              <w:right w:w="0" w:type="dxa"/>
            </w:tcMar>
            <w:vAlign w:val="center"/>
          </w:tcPr>
          <w:p w14:paraId="7B3E62B0" w14:textId="77777777" w:rsidR="00686583" w:rsidRDefault="00EF7C11">
            <w:pPr>
              <w:spacing w:before="60" w:after="60"/>
              <w:ind w:left="60" w:right="60"/>
              <w:jc w:val="right"/>
            </w:pPr>
            <w:r>
              <w:rPr>
                <w:rFonts w:ascii="Arial" w:eastAsia="DejaVu Sans" w:hAnsi="DejaVu Sans" w:cs="DejaVu Sans"/>
                <w:color w:val="000000"/>
                <w:sz w:val="20"/>
                <w:szCs w:val="20"/>
              </w:rPr>
              <w:t>26.8</w:t>
            </w:r>
          </w:p>
        </w:tc>
        <w:tc>
          <w:tcPr>
            <w:tcW w:w="720" w:type="dxa"/>
            <w:shd w:val="clear" w:color="auto" w:fill="FFFFFF"/>
            <w:tcMar>
              <w:top w:w="0" w:type="dxa"/>
              <w:left w:w="0" w:type="dxa"/>
              <w:bottom w:w="0" w:type="dxa"/>
              <w:right w:w="0" w:type="dxa"/>
            </w:tcMar>
            <w:vAlign w:val="center"/>
          </w:tcPr>
          <w:p w14:paraId="235CEA1B" w14:textId="77777777" w:rsidR="00686583" w:rsidRDefault="00EF7C11">
            <w:pPr>
              <w:spacing w:before="60" w:after="60"/>
              <w:ind w:left="60" w:right="60"/>
              <w:jc w:val="right"/>
            </w:pPr>
            <w:r>
              <w:rPr>
                <w:rFonts w:ascii="Arial" w:eastAsia="DejaVu Sans" w:hAnsi="DejaVu Sans" w:cs="DejaVu Sans"/>
                <w:color w:val="000000"/>
                <w:sz w:val="20"/>
                <w:szCs w:val="20"/>
              </w:rPr>
              <w:t>1,480</w:t>
            </w:r>
          </w:p>
        </w:tc>
        <w:tc>
          <w:tcPr>
            <w:tcW w:w="720" w:type="dxa"/>
            <w:shd w:val="clear" w:color="auto" w:fill="FFFFFF"/>
            <w:tcMar>
              <w:top w:w="0" w:type="dxa"/>
              <w:left w:w="0" w:type="dxa"/>
              <w:bottom w:w="0" w:type="dxa"/>
              <w:right w:w="0" w:type="dxa"/>
            </w:tcMar>
            <w:vAlign w:val="center"/>
          </w:tcPr>
          <w:p w14:paraId="3E8DE480" w14:textId="77777777" w:rsidR="00686583" w:rsidRDefault="00EF7C11">
            <w:pPr>
              <w:spacing w:before="60" w:after="60"/>
              <w:ind w:left="60" w:right="60"/>
              <w:jc w:val="right"/>
            </w:pPr>
            <w:r>
              <w:rPr>
                <w:rFonts w:ascii="Arial" w:eastAsia="DejaVu Sans" w:hAnsi="DejaVu Sans" w:cs="DejaVu Sans"/>
                <w:color w:val="000000"/>
                <w:sz w:val="20"/>
                <w:szCs w:val="20"/>
              </w:rPr>
              <w:t>9.0%</w:t>
            </w:r>
          </w:p>
        </w:tc>
      </w:tr>
      <w:tr w:rsidR="00686583" w14:paraId="6B45A54A" w14:textId="77777777" w:rsidTr="00686583">
        <w:trPr>
          <w:cantSplit/>
          <w:jc w:val="center"/>
        </w:trPr>
        <w:tc>
          <w:tcPr>
            <w:tcW w:w="2880" w:type="dxa"/>
            <w:shd w:val="clear" w:color="auto" w:fill="EFEFEF"/>
            <w:tcMar>
              <w:top w:w="0" w:type="dxa"/>
              <w:left w:w="0" w:type="dxa"/>
              <w:bottom w:w="0" w:type="dxa"/>
              <w:right w:w="0" w:type="dxa"/>
            </w:tcMar>
            <w:vAlign w:val="center"/>
          </w:tcPr>
          <w:p w14:paraId="32919CCE" w14:textId="77777777" w:rsidR="00686583" w:rsidRDefault="00EF7C11">
            <w:pPr>
              <w:spacing w:before="60" w:after="60"/>
              <w:ind w:left="60" w:right="60"/>
            </w:pPr>
            <w:r>
              <w:rPr>
                <w:rFonts w:ascii="Arial" w:eastAsia="DejaVu Sans" w:hAnsi="DejaVu Sans" w:cs="DejaVu Sans"/>
                <w:color w:val="000000"/>
                <w:sz w:val="20"/>
                <w:szCs w:val="20"/>
              </w:rPr>
              <w:t>Ischemic heart disease</w:t>
            </w:r>
          </w:p>
        </w:tc>
        <w:tc>
          <w:tcPr>
            <w:tcW w:w="720" w:type="dxa"/>
            <w:shd w:val="clear" w:color="auto" w:fill="EFEFEF"/>
            <w:tcMar>
              <w:top w:w="0" w:type="dxa"/>
              <w:left w:w="0" w:type="dxa"/>
              <w:bottom w:w="0" w:type="dxa"/>
              <w:right w:w="0" w:type="dxa"/>
            </w:tcMar>
            <w:vAlign w:val="center"/>
          </w:tcPr>
          <w:p w14:paraId="17394954" w14:textId="77777777" w:rsidR="00686583" w:rsidRDefault="00EF7C11">
            <w:pPr>
              <w:spacing w:before="60" w:after="60"/>
              <w:ind w:left="60" w:right="60"/>
              <w:jc w:val="right"/>
            </w:pPr>
            <w:r>
              <w:rPr>
                <w:rFonts w:ascii="Arial" w:eastAsia="DejaVu Sans" w:hAnsi="DejaVu Sans" w:cs="DejaVu Sans"/>
                <w:color w:val="000000"/>
                <w:sz w:val="20"/>
                <w:szCs w:val="20"/>
              </w:rPr>
              <w:t>37,799</w:t>
            </w:r>
          </w:p>
        </w:tc>
        <w:tc>
          <w:tcPr>
            <w:tcW w:w="720" w:type="dxa"/>
            <w:shd w:val="clear" w:color="auto" w:fill="EFEFEF"/>
            <w:tcMar>
              <w:top w:w="0" w:type="dxa"/>
              <w:left w:w="0" w:type="dxa"/>
              <w:bottom w:w="0" w:type="dxa"/>
              <w:right w:w="0" w:type="dxa"/>
            </w:tcMar>
            <w:vAlign w:val="center"/>
          </w:tcPr>
          <w:p w14:paraId="0BBEE1BA" w14:textId="77777777" w:rsidR="00686583" w:rsidRDefault="00EF7C11">
            <w:pPr>
              <w:spacing w:before="60" w:after="60"/>
              <w:ind w:left="60" w:right="60"/>
              <w:jc w:val="right"/>
            </w:pPr>
            <w:r>
              <w:rPr>
                <w:rFonts w:ascii="Arial" w:eastAsia="DejaVu Sans" w:hAnsi="DejaVu Sans" w:cs="DejaVu Sans"/>
                <w:color w:val="000000"/>
                <w:sz w:val="20"/>
                <w:szCs w:val="20"/>
              </w:rPr>
              <w:t>37,099</w:t>
            </w:r>
          </w:p>
        </w:tc>
        <w:tc>
          <w:tcPr>
            <w:tcW w:w="720" w:type="dxa"/>
            <w:shd w:val="clear" w:color="auto" w:fill="EFEFEF"/>
            <w:tcMar>
              <w:top w:w="0" w:type="dxa"/>
              <w:left w:w="0" w:type="dxa"/>
              <w:bottom w:w="0" w:type="dxa"/>
              <w:right w:w="0" w:type="dxa"/>
            </w:tcMar>
            <w:vAlign w:val="center"/>
          </w:tcPr>
          <w:p w14:paraId="34E6579D" w14:textId="77777777" w:rsidR="00686583" w:rsidRDefault="00EF7C11">
            <w:pPr>
              <w:spacing w:before="60" w:after="60"/>
              <w:ind w:left="60" w:right="60"/>
              <w:jc w:val="right"/>
            </w:pPr>
            <w:r>
              <w:rPr>
                <w:rFonts w:ascii="Arial" w:eastAsia="DejaVu Sans" w:hAnsi="DejaVu Sans" w:cs="DejaVu Sans"/>
                <w:color w:val="000000"/>
                <w:sz w:val="20"/>
                <w:szCs w:val="20"/>
              </w:rPr>
              <w:t>36,197</w:t>
            </w:r>
          </w:p>
        </w:tc>
        <w:tc>
          <w:tcPr>
            <w:tcW w:w="720" w:type="dxa"/>
            <w:shd w:val="clear" w:color="auto" w:fill="EFEFEF"/>
            <w:tcMar>
              <w:top w:w="0" w:type="dxa"/>
              <w:left w:w="0" w:type="dxa"/>
              <w:bottom w:w="0" w:type="dxa"/>
              <w:right w:w="0" w:type="dxa"/>
            </w:tcMar>
            <w:vAlign w:val="center"/>
          </w:tcPr>
          <w:p w14:paraId="03BC00F9" w14:textId="77777777" w:rsidR="00686583" w:rsidRDefault="00EF7C11">
            <w:pPr>
              <w:spacing w:before="60" w:after="60"/>
              <w:ind w:left="60" w:right="60"/>
              <w:jc w:val="right"/>
            </w:pPr>
            <w:r>
              <w:rPr>
                <w:rFonts w:ascii="Arial" w:eastAsia="DejaVu Sans" w:hAnsi="DejaVu Sans" w:cs="DejaVu Sans"/>
                <w:color w:val="000000"/>
                <w:sz w:val="20"/>
                <w:szCs w:val="20"/>
              </w:rPr>
              <w:t>38,777</w:t>
            </w:r>
          </w:p>
        </w:tc>
        <w:tc>
          <w:tcPr>
            <w:tcW w:w="720" w:type="dxa"/>
            <w:shd w:val="clear" w:color="auto" w:fill="EFEFEF"/>
            <w:tcMar>
              <w:top w:w="0" w:type="dxa"/>
              <w:left w:w="0" w:type="dxa"/>
              <w:bottom w:w="0" w:type="dxa"/>
              <w:right w:w="0" w:type="dxa"/>
            </w:tcMar>
            <w:vAlign w:val="center"/>
          </w:tcPr>
          <w:p w14:paraId="5E7E0940" w14:textId="77777777" w:rsidR="00686583" w:rsidRDefault="00EF7C11">
            <w:pPr>
              <w:spacing w:before="60" w:after="60"/>
              <w:ind w:left="60" w:right="60"/>
              <w:jc w:val="right"/>
            </w:pPr>
            <w:r>
              <w:rPr>
                <w:rFonts w:ascii="Arial" w:eastAsia="DejaVu Sans" w:hAnsi="DejaVu Sans" w:cs="DejaVu Sans"/>
                <w:color w:val="000000"/>
                <w:sz w:val="20"/>
                <w:szCs w:val="20"/>
              </w:rPr>
              <w:t>83.7</w:t>
            </w:r>
          </w:p>
        </w:tc>
        <w:tc>
          <w:tcPr>
            <w:tcW w:w="720" w:type="dxa"/>
            <w:shd w:val="clear" w:color="auto" w:fill="EFEFEF"/>
            <w:tcMar>
              <w:top w:w="0" w:type="dxa"/>
              <w:left w:w="0" w:type="dxa"/>
              <w:bottom w:w="0" w:type="dxa"/>
              <w:right w:w="0" w:type="dxa"/>
            </w:tcMar>
            <w:vAlign w:val="center"/>
          </w:tcPr>
          <w:p w14:paraId="2435D051" w14:textId="77777777" w:rsidR="00686583" w:rsidRDefault="00EF7C11">
            <w:pPr>
              <w:spacing w:before="60" w:after="60"/>
              <w:ind w:left="60" w:right="60"/>
              <w:jc w:val="right"/>
            </w:pPr>
            <w:r>
              <w:rPr>
                <w:rFonts w:ascii="Arial" w:eastAsia="DejaVu Sans" w:hAnsi="DejaVu Sans" w:cs="DejaVu Sans"/>
                <w:color w:val="000000"/>
                <w:sz w:val="20"/>
                <w:szCs w:val="20"/>
              </w:rPr>
              <w:t>77.8</w:t>
            </w:r>
          </w:p>
        </w:tc>
        <w:tc>
          <w:tcPr>
            <w:tcW w:w="720" w:type="dxa"/>
            <w:shd w:val="clear" w:color="auto" w:fill="EFEFEF"/>
            <w:tcMar>
              <w:top w:w="0" w:type="dxa"/>
              <w:left w:w="0" w:type="dxa"/>
              <w:bottom w:w="0" w:type="dxa"/>
              <w:right w:w="0" w:type="dxa"/>
            </w:tcMar>
            <w:vAlign w:val="center"/>
          </w:tcPr>
          <w:p w14:paraId="3F8574C3" w14:textId="77777777" w:rsidR="00686583" w:rsidRDefault="00EF7C11">
            <w:pPr>
              <w:spacing w:before="60" w:after="60"/>
              <w:ind w:left="60" w:right="60"/>
              <w:jc w:val="right"/>
            </w:pPr>
            <w:r>
              <w:rPr>
                <w:rFonts w:ascii="Arial" w:eastAsia="DejaVu Sans" w:hAnsi="DejaVu Sans" w:cs="DejaVu Sans"/>
                <w:color w:val="000000"/>
                <w:sz w:val="20"/>
                <w:szCs w:val="20"/>
              </w:rPr>
              <w:t>73.7</w:t>
            </w:r>
          </w:p>
        </w:tc>
        <w:tc>
          <w:tcPr>
            <w:tcW w:w="720" w:type="dxa"/>
            <w:shd w:val="clear" w:color="auto" w:fill="EFEFEF"/>
            <w:tcMar>
              <w:top w:w="0" w:type="dxa"/>
              <w:left w:w="0" w:type="dxa"/>
              <w:bottom w:w="0" w:type="dxa"/>
              <w:right w:w="0" w:type="dxa"/>
            </w:tcMar>
            <w:vAlign w:val="center"/>
          </w:tcPr>
          <w:p w14:paraId="7DDD45A9" w14:textId="77777777" w:rsidR="00686583" w:rsidRDefault="00EF7C11">
            <w:pPr>
              <w:spacing w:before="60" w:after="60"/>
              <w:ind w:left="60" w:right="60"/>
              <w:jc w:val="right"/>
            </w:pPr>
            <w:r>
              <w:rPr>
                <w:rFonts w:ascii="Arial" w:eastAsia="DejaVu Sans" w:hAnsi="DejaVu Sans" w:cs="DejaVu Sans"/>
                <w:color w:val="000000"/>
                <w:sz w:val="20"/>
                <w:szCs w:val="20"/>
              </w:rPr>
              <w:t>76.9</w:t>
            </w:r>
          </w:p>
        </w:tc>
        <w:tc>
          <w:tcPr>
            <w:tcW w:w="720" w:type="dxa"/>
            <w:shd w:val="clear" w:color="auto" w:fill="EFEFEF"/>
            <w:tcMar>
              <w:top w:w="0" w:type="dxa"/>
              <w:left w:w="0" w:type="dxa"/>
              <w:bottom w:w="0" w:type="dxa"/>
              <w:right w:w="0" w:type="dxa"/>
            </w:tcMar>
            <w:vAlign w:val="center"/>
          </w:tcPr>
          <w:p w14:paraId="2CC66905" w14:textId="77777777" w:rsidR="00686583" w:rsidRDefault="00EF7C11">
            <w:pPr>
              <w:spacing w:before="60" w:after="60"/>
              <w:ind w:left="60" w:right="60"/>
              <w:jc w:val="right"/>
            </w:pPr>
            <w:r>
              <w:rPr>
                <w:rFonts w:ascii="Arial" w:eastAsia="DejaVu Sans" w:hAnsi="DejaVu Sans" w:cs="DejaVu Sans"/>
                <w:color w:val="000000"/>
                <w:sz w:val="20"/>
                <w:szCs w:val="20"/>
              </w:rPr>
              <w:t>2,580</w:t>
            </w:r>
          </w:p>
        </w:tc>
        <w:tc>
          <w:tcPr>
            <w:tcW w:w="720" w:type="dxa"/>
            <w:shd w:val="clear" w:color="auto" w:fill="EFEFEF"/>
            <w:tcMar>
              <w:top w:w="0" w:type="dxa"/>
              <w:left w:w="0" w:type="dxa"/>
              <w:bottom w:w="0" w:type="dxa"/>
              <w:right w:w="0" w:type="dxa"/>
            </w:tcMar>
            <w:vAlign w:val="center"/>
          </w:tcPr>
          <w:p w14:paraId="52B7ABC6" w14:textId="77777777" w:rsidR="00686583" w:rsidRDefault="00EF7C11">
            <w:pPr>
              <w:spacing w:before="60" w:after="60"/>
              <w:ind w:left="60" w:right="60"/>
              <w:jc w:val="right"/>
            </w:pPr>
            <w:r>
              <w:rPr>
                <w:rFonts w:ascii="Arial" w:eastAsia="DejaVu Sans" w:hAnsi="DejaVu Sans" w:cs="DejaVu Sans"/>
                <w:color w:val="000000"/>
                <w:sz w:val="20"/>
                <w:szCs w:val="20"/>
              </w:rPr>
              <w:t>4.2%</w:t>
            </w:r>
          </w:p>
        </w:tc>
      </w:tr>
      <w:tr w:rsidR="00686583" w14:paraId="1C2FB7DF" w14:textId="77777777" w:rsidTr="00686583">
        <w:trPr>
          <w:cantSplit/>
          <w:jc w:val="center"/>
        </w:trPr>
        <w:tc>
          <w:tcPr>
            <w:tcW w:w="2880" w:type="dxa"/>
            <w:shd w:val="clear" w:color="auto" w:fill="FFFFFF"/>
            <w:tcMar>
              <w:top w:w="0" w:type="dxa"/>
              <w:left w:w="0" w:type="dxa"/>
              <w:bottom w:w="0" w:type="dxa"/>
              <w:right w:w="0" w:type="dxa"/>
            </w:tcMar>
            <w:vAlign w:val="center"/>
          </w:tcPr>
          <w:p w14:paraId="69E30A55" w14:textId="77777777" w:rsidR="00686583" w:rsidRDefault="00EF7C11">
            <w:pPr>
              <w:spacing w:before="60" w:after="60"/>
              <w:ind w:left="60" w:right="60"/>
            </w:pPr>
            <w:r>
              <w:rPr>
                <w:rFonts w:ascii="Arial" w:eastAsia="DejaVu Sans" w:hAnsi="DejaVu Sans" w:cs="DejaVu Sans"/>
                <w:color w:val="000000"/>
                <w:sz w:val="20"/>
                <w:szCs w:val="20"/>
              </w:rPr>
              <w:t>COPD</w:t>
            </w:r>
          </w:p>
        </w:tc>
        <w:tc>
          <w:tcPr>
            <w:tcW w:w="720" w:type="dxa"/>
            <w:shd w:val="clear" w:color="auto" w:fill="FFFFFF"/>
            <w:tcMar>
              <w:top w:w="0" w:type="dxa"/>
              <w:left w:w="0" w:type="dxa"/>
              <w:bottom w:w="0" w:type="dxa"/>
              <w:right w:w="0" w:type="dxa"/>
            </w:tcMar>
            <w:vAlign w:val="center"/>
          </w:tcPr>
          <w:p w14:paraId="461041DC" w14:textId="77777777" w:rsidR="00686583" w:rsidRDefault="00EF7C11">
            <w:pPr>
              <w:spacing w:before="60" w:after="60"/>
              <w:ind w:left="60" w:right="60"/>
              <w:jc w:val="right"/>
            </w:pPr>
            <w:r>
              <w:rPr>
                <w:rFonts w:ascii="Arial" w:eastAsia="DejaVu Sans" w:hAnsi="DejaVu Sans" w:cs="DejaVu Sans"/>
                <w:color w:val="000000"/>
                <w:sz w:val="20"/>
                <w:szCs w:val="20"/>
              </w:rPr>
              <w:t>13,265</w:t>
            </w:r>
          </w:p>
        </w:tc>
        <w:tc>
          <w:tcPr>
            <w:tcW w:w="720" w:type="dxa"/>
            <w:shd w:val="clear" w:color="auto" w:fill="FFFFFF"/>
            <w:tcMar>
              <w:top w:w="0" w:type="dxa"/>
              <w:left w:w="0" w:type="dxa"/>
              <w:bottom w:w="0" w:type="dxa"/>
              <w:right w:w="0" w:type="dxa"/>
            </w:tcMar>
            <w:vAlign w:val="center"/>
          </w:tcPr>
          <w:p w14:paraId="78BB6CBC" w14:textId="77777777" w:rsidR="00686583" w:rsidRDefault="00EF7C11">
            <w:pPr>
              <w:spacing w:before="60" w:after="60"/>
              <w:ind w:left="60" w:right="60"/>
              <w:jc w:val="right"/>
            </w:pPr>
            <w:r>
              <w:rPr>
                <w:rFonts w:ascii="Arial" w:eastAsia="DejaVu Sans" w:hAnsi="DejaVu Sans" w:cs="DejaVu Sans"/>
                <w:color w:val="000000"/>
                <w:sz w:val="20"/>
                <w:szCs w:val="20"/>
              </w:rPr>
              <w:t>13,043</w:t>
            </w:r>
          </w:p>
        </w:tc>
        <w:tc>
          <w:tcPr>
            <w:tcW w:w="720" w:type="dxa"/>
            <w:shd w:val="clear" w:color="auto" w:fill="FFFFFF"/>
            <w:tcMar>
              <w:top w:w="0" w:type="dxa"/>
              <w:left w:w="0" w:type="dxa"/>
              <w:bottom w:w="0" w:type="dxa"/>
              <w:right w:w="0" w:type="dxa"/>
            </w:tcMar>
            <w:vAlign w:val="center"/>
          </w:tcPr>
          <w:p w14:paraId="49476401" w14:textId="77777777" w:rsidR="00686583" w:rsidRDefault="00EF7C11">
            <w:pPr>
              <w:spacing w:before="60" w:after="60"/>
              <w:ind w:left="60" w:right="60"/>
              <w:jc w:val="right"/>
            </w:pPr>
            <w:r>
              <w:rPr>
                <w:rFonts w:ascii="Arial" w:eastAsia="DejaVu Sans" w:hAnsi="DejaVu Sans" w:cs="DejaVu Sans"/>
                <w:color w:val="000000"/>
                <w:sz w:val="20"/>
                <w:szCs w:val="20"/>
              </w:rPr>
              <w:t>12,542</w:t>
            </w:r>
          </w:p>
        </w:tc>
        <w:tc>
          <w:tcPr>
            <w:tcW w:w="720" w:type="dxa"/>
            <w:shd w:val="clear" w:color="auto" w:fill="FFFFFF"/>
            <w:tcMar>
              <w:top w:w="0" w:type="dxa"/>
              <w:left w:w="0" w:type="dxa"/>
              <w:bottom w:w="0" w:type="dxa"/>
              <w:right w:w="0" w:type="dxa"/>
            </w:tcMar>
            <w:vAlign w:val="center"/>
          </w:tcPr>
          <w:p w14:paraId="52D45001" w14:textId="77777777" w:rsidR="00686583" w:rsidRDefault="00EF7C11">
            <w:pPr>
              <w:spacing w:before="60" w:after="60"/>
              <w:ind w:left="60" w:right="60"/>
              <w:jc w:val="right"/>
            </w:pPr>
            <w:r>
              <w:rPr>
                <w:rFonts w:ascii="Arial" w:eastAsia="DejaVu Sans" w:hAnsi="DejaVu Sans" w:cs="DejaVu Sans"/>
                <w:color w:val="000000"/>
                <w:sz w:val="20"/>
                <w:szCs w:val="20"/>
              </w:rPr>
              <w:t>12,264</w:t>
            </w:r>
          </w:p>
        </w:tc>
        <w:tc>
          <w:tcPr>
            <w:tcW w:w="720" w:type="dxa"/>
            <w:shd w:val="clear" w:color="auto" w:fill="FFFFFF"/>
            <w:tcMar>
              <w:top w:w="0" w:type="dxa"/>
              <w:left w:w="0" w:type="dxa"/>
              <w:bottom w:w="0" w:type="dxa"/>
              <w:right w:w="0" w:type="dxa"/>
            </w:tcMar>
            <w:vAlign w:val="center"/>
          </w:tcPr>
          <w:p w14:paraId="360E27CE" w14:textId="77777777" w:rsidR="00686583" w:rsidRDefault="00EF7C11">
            <w:pPr>
              <w:spacing w:before="60" w:after="60"/>
              <w:ind w:left="60" w:right="60"/>
              <w:jc w:val="right"/>
            </w:pPr>
            <w:r>
              <w:rPr>
                <w:rFonts w:ascii="Arial" w:eastAsia="DejaVu Sans" w:hAnsi="DejaVu Sans" w:cs="DejaVu Sans"/>
                <w:color w:val="000000"/>
                <w:sz w:val="20"/>
                <w:szCs w:val="20"/>
              </w:rPr>
              <w:t>29.9</w:t>
            </w:r>
          </w:p>
        </w:tc>
        <w:tc>
          <w:tcPr>
            <w:tcW w:w="720" w:type="dxa"/>
            <w:shd w:val="clear" w:color="auto" w:fill="FFFFFF"/>
            <w:tcMar>
              <w:top w:w="0" w:type="dxa"/>
              <w:left w:w="0" w:type="dxa"/>
              <w:bottom w:w="0" w:type="dxa"/>
              <w:right w:w="0" w:type="dxa"/>
            </w:tcMar>
            <w:vAlign w:val="center"/>
          </w:tcPr>
          <w:p w14:paraId="5819E3D3" w14:textId="77777777" w:rsidR="00686583" w:rsidRDefault="00EF7C11">
            <w:pPr>
              <w:spacing w:before="60" w:after="60"/>
              <w:ind w:left="60" w:right="60"/>
              <w:jc w:val="right"/>
            </w:pPr>
            <w:r>
              <w:rPr>
                <w:rFonts w:ascii="Arial" w:eastAsia="DejaVu Sans" w:hAnsi="DejaVu Sans" w:cs="DejaVu Sans"/>
                <w:color w:val="000000"/>
                <w:sz w:val="20"/>
                <w:szCs w:val="20"/>
              </w:rPr>
              <w:t>27.8</w:t>
            </w:r>
          </w:p>
        </w:tc>
        <w:tc>
          <w:tcPr>
            <w:tcW w:w="720" w:type="dxa"/>
            <w:shd w:val="clear" w:color="auto" w:fill="FFFFFF"/>
            <w:tcMar>
              <w:top w:w="0" w:type="dxa"/>
              <w:left w:w="0" w:type="dxa"/>
              <w:bottom w:w="0" w:type="dxa"/>
              <w:right w:w="0" w:type="dxa"/>
            </w:tcMar>
            <w:vAlign w:val="center"/>
          </w:tcPr>
          <w:p w14:paraId="7445F542" w14:textId="77777777" w:rsidR="00686583" w:rsidRDefault="00EF7C11">
            <w:pPr>
              <w:spacing w:before="60" w:after="60"/>
              <w:ind w:left="60" w:right="60"/>
              <w:jc w:val="right"/>
            </w:pPr>
            <w:r>
              <w:rPr>
                <w:rFonts w:ascii="Arial" w:eastAsia="DejaVu Sans" w:hAnsi="DejaVu Sans" w:cs="DejaVu Sans"/>
                <w:color w:val="000000"/>
                <w:sz w:val="20"/>
                <w:szCs w:val="20"/>
              </w:rPr>
              <w:t>25.7</w:t>
            </w:r>
          </w:p>
        </w:tc>
        <w:tc>
          <w:tcPr>
            <w:tcW w:w="720" w:type="dxa"/>
            <w:shd w:val="clear" w:color="auto" w:fill="FFFFFF"/>
            <w:tcMar>
              <w:top w:w="0" w:type="dxa"/>
              <w:left w:w="0" w:type="dxa"/>
              <w:bottom w:w="0" w:type="dxa"/>
              <w:right w:w="0" w:type="dxa"/>
            </w:tcMar>
            <w:vAlign w:val="center"/>
          </w:tcPr>
          <w:p w14:paraId="3ADEDC7D" w14:textId="77777777" w:rsidR="00686583" w:rsidRDefault="00EF7C11">
            <w:pPr>
              <w:spacing w:before="60" w:after="60"/>
              <w:ind w:left="60" w:right="60"/>
              <w:jc w:val="right"/>
            </w:pPr>
            <w:r>
              <w:rPr>
                <w:rFonts w:ascii="Arial" w:eastAsia="DejaVu Sans" w:hAnsi="DejaVu Sans" w:cs="DejaVu Sans"/>
                <w:color w:val="000000"/>
                <w:sz w:val="20"/>
                <w:szCs w:val="20"/>
              </w:rPr>
              <w:t>24.4</w:t>
            </w:r>
          </w:p>
        </w:tc>
        <w:tc>
          <w:tcPr>
            <w:tcW w:w="720" w:type="dxa"/>
            <w:shd w:val="clear" w:color="auto" w:fill="FFFFFF"/>
            <w:tcMar>
              <w:top w:w="0" w:type="dxa"/>
              <w:left w:w="0" w:type="dxa"/>
              <w:bottom w:w="0" w:type="dxa"/>
              <w:right w:w="0" w:type="dxa"/>
            </w:tcMar>
            <w:vAlign w:val="center"/>
          </w:tcPr>
          <w:p w14:paraId="12BD7676" w14:textId="77777777" w:rsidR="00686583" w:rsidRDefault="00EF7C11">
            <w:pPr>
              <w:spacing w:before="60" w:after="60"/>
              <w:ind w:left="60" w:right="60"/>
              <w:jc w:val="right"/>
            </w:pPr>
            <w:r>
              <w:rPr>
                <w:rFonts w:ascii="Arial" w:eastAsia="DejaVu Sans" w:hAnsi="DejaVu Sans" w:cs="DejaVu Sans"/>
                <w:color w:val="000000"/>
                <w:sz w:val="20"/>
                <w:szCs w:val="20"/>
              </w:rPr>
              <w:t>-278</w:t>
            </w:r>
          </w:p>
        </w:tc>
        <w:tc>
          <w:tcPr>
            <w:tcW w:w="720" w:type="dxa"/>
            <w:shd w:val="clear" w:color="auto" w:fill="FFFFFF"/>
            <w:tcMar>
              <w:top w:w="0" w:type="dxa"/>
              <w:left w:w="0" w:type="dxa"/>
              <w:bottom w:w="0" w:type="dxa"/>
              <w:right w:w="0" w:type="dxa"/>
            </w:tcMar>
            <w:vAlign w:val="center"/>
          </w:tcPr>
          <w:p w14:paraId="0976588C" w14:textId="77777777" w:rsidR="00686583" w:rsidRDefault="00EF7C11">
            <w:pPr>
              <w:spacing w:before="60" w:after="60"/>
              <w:ind w:left="60" w:right="60"/>
              <w:jc w:val="right"/>
            </w:pPr>
            <w:r>
              <w:rPr>
                <w:rFonts w:ascii="Arial" w:eastAsia="DejaVu Sans" w:hAnsi="DejaVu Sans" w:cs="DejaVu Sans"/>
                <w:color w:val="000000"/>
                <w:sz w:val="20"/>
                <w:szCs w:val="20"/>
              </w:rPr>
              <w:t>-5.3%</w:t>
            </w:r>
          </w:p>
        </w:tc>
      </w:tr>
      <w:tr w:rsidR="00686583" w14:paraId="20B27A93" w14:textId="77777777" w:rsidTr="00686583">
        <w:trPr>
          <w:cantSplit/>
          <w:jc w:val="center"/>
        </w:trPr>
        <w:tc>
          <w:tcPr>
            <w:tcW w:w="2880" w:type="dxa"/>
            <w:shd w:val="clear" w:color="auto" w:fill="EFEFEF"/>
            <w:tcMar>
              <w:top w:w="0" w:type="dxa"/>
              <w:left w:w="0" w:type="dxa"/>
              <w:bottom w:w="0" w:type="dxa"/>
              <w:right w:w="0" w:type="dxa"/>
            </w:tcMar>
            <w:vAlign w:val="center"/>
          </w:tcPr>
          <w:p w14:paraId="6DADA4A6" w14:textId="77777777" w:rsidR="00686583" w:rsidRDefault="00EF7C11">
            <w:pPr>
              <w:spacing w:before="60" w:after="60"/>
              <w:ind w:left="60" w:right="60"/>
            </w:pPr>
            <w:r>
              <w:rPr>
                <w:rFonts w:ascii="Arial" w:eastAsia="DejaVu Sans" w:hAnsi="DejaVu Sans" w:cs="DejaVu Sans"/>
                <w:color w:val="000000"/>
                <w:sz w:val="20"/>
                <w:szCs w:val="20"/>
              </w:rPr>
              <w:lastRenderedPageBreak/>
              <w:t>Lung Cancer</w:t>
            </w:r>
          </w:p>
        </w:tc>
        <w:tc>
          <w:tcPr>
            <w:tcW w:w="720" w:type="dxa"/>
            <w:shd w:val="clear" w:color="auto" w:fill="EFEFEF"/>
            <w:tcMar>
              <w:top w:w="0" w:type="dxa"/>
              <w:left w:w="0" w:type="dxa"/>
              <w:bottom w:w="0" w:type="dxa"/>
              <w:right w:w="0" w:type="dxa"/>
            </w:tcMar>
            <w:vAlign w:val="center"/>
          </w:tcPr>
          <w:p w14:paraId="39926ED0" w14:textId="77777777" w:rsidR="00686583" w:rsidRDefault="00EF7C11">
            <w:pPr>
              <w:spacing w:before="60" w:after="60"/>
              <w:ind w:left="60" w:right="60"/>
              <w:jc w:val="right"/>
            </w:pPr>
            <w:r>
              <w:rPr>
                <w:rFonts w:ascii="Arial" w:eastAsia="DejaVu Sans" w:hAnsi="DejaVu Sans" w:cs="DejaVu Sans"/>
                <w:color w:val="000000"/>
                <w:sz w:val="20"/>
                <w:szCs w:val="20"/>
              </w:rPr>
              <w:t>11,530</w:t>
            </w:r>
          </w:p>
        </w:tc>
        <w:tc>
          <w:tcPr>
            <w:tcW w:w="720" w:type="dxa"/>
            <w:shd w:val="clear" w:color="auto" w:fill="EFEFEF"/>
            <w:tcMar>
              <w:top w:w="0" w:type="dxa"/>
              <w:left w:w="0" w:type="dxa"/>
              <w:bottom w:w="0" w:type="dxa"/>
              <w:right w:w="0" w:type="dxa"/>
            </w:tcMar>
            <w:vAlign w:val="center"/>
          </w:tcPr>
          <w:p w14:paraId="41B1FACD" w14:textId="77777777" w:rsidR="00686583" w:rsidRDefault="00EF7C11">
            <w:pPr>
              <w:spacing w:before="60" w:after="60"/>
              <w:ind w:left="60" w:right="60"/>
              <w:jc w:val="right"/>
            </w:pPr>
            <w:r>
              <w:rPr>
                <w:rFonts w:ascii="Arial" w:eastAsia="DejaVu Sans" w:hAnsi="DejaVu Sans" w:cs="DejaVu Sans"/>
                <w:color w:val="000000"/>
                <w:sz w:val="20"/>
                <w:szCs w:val="20"/>
              </w:rPr>
              <w:t>11,073</w:t>
            </w:r>
          </w:p>
        </w:tc>
        <w:tc>
          <w:tcPr>
            <w:tcW w:w="720" w:type="dxa"/>
            <w:shd w:val="clear" w:color="auto" w:fill="EFEFEF"/>
            <w:tcMar>
              <w:top w:w="0" w:type="dxa"/>
              <w:left w:w="0" w:type="dxa"/>
              <w:bottom w:w="0" w:type="dxa"/>
              <w:right w:w="0" w:type="dxa"/>
            </w:tcMar>
            <w:vAlign w:val="center"/>
          </w:tcPr>
          <w:p w14:paraId="63EF711F" w14:textId="77777777" w:rsidR="00686583" w:rsidRDefault="00EF7C11">
            <w:pPr>
              <w:spacing w:before="60" w:after="60"/>
              <w:ind w:left="60" w:right="60"/>
              <w:jc w:val="right"/>
            </w:pPr>
            <w:r>
              <w:rPr>
                <w:rFonts w:ascii="Arial" w:eastAsia="DejaVu Sans" w:hAnsi="DejaVu Sans" w:cs="DejaVu Sans"/>
                <w:color w:val="000000"/>
                <w:sz w:val="20"/>
                <w:szCs w:val="20"/>
              </w:rPr>
              <w:t>10,710</w:t>
            </w:r>
          </w:p>
        </w:tc>
        <w:tc>
          <w:tcPr>
            <w:tcW w:w="720" w:type="dxa"/>
            <w:shd w:val="clear" w:color="auto" w:fill="EFEFEF"/>
            <w:tcMar>
              <w:top w:w="0" w:type="dxa"/>
              <w:left w:w="0" w:type="dxa"/>
              <w:bottom w:w="0" w:type="dxa"/>
              <w:right w:w="0" w:type="dxa"/>
            </w:tcMar>
            <w:vAlign w:val="center"/>
          </w:tcPr>
          <w:p w14:paraId="73D3AC9E" w14:textId="77777777" w:rsidR="00686583" w:rsidRDefault="00EF7C11">
            <w:pPr>
              <w:spacing w:before="60" w:after="60"/>
              <w:ind w:left="60" w:right="60"/>
              <w:jc w:val="right"/>
            </w:pPr>
            <w:r>
              <w:rPr>
                <w:rFonts w:ascii="Arial" w:eastAsia="DejaVu Sans" w:hAnsi="DejaVu Sans" w:cs="DejaVu Sans"/>
                <w:color w:val="000000"/>
                <w:sz w:val="20"/>
                <w:szCs w:val="20"/>
              </w:rPr>
              <w:t>10,360</w:t>
            </w:r>
          </w:p>
        </w:tc>
        <w:tc>
          <w:tcPr>
            <w:tcW w:w="720" w:type="dxa"/>
            <w:shd w:val="clear" w:color="auto" w:fill="EFEFEF"/>
            <w:tcMar>
              <w:top w:w="0" w:type="dxa"/>
              <w:left w:w="0" w:type="dxa"/>
              <w:bottom w:w="0" w:type="dxa"/>
              <w:right w:w="0" w:type="dxa"/>
            </w:tcMar>
            <w:vAlign w:val="center"/>
          </w:tcPr>
          <w:p w14:paraId="1A921AFE" w14:textId="77777777" w:rsidR="00686583" w:rsidRDefault="00EF7C11">
            <w:pPr>
              <w:spacing w:before="60" w:after="60"/>
              <w:ind w:left="60" w:right="60"/>
              <w:jc w:val="right"/>
            </w:pPr>
            <w:r>
              <w:rPr>
                <w:rFonts w:ascii="Arial" w:eastAsia="DejaVu Sans" w:hAnsi="DejaVu Sans" w:cs="DejaVu Sans"/>
                <w:color w:val="000000"/>
                <w:sz w:val="20"/>
                <w:szCs w:val="20"/>
              </w:rPr>
              <w:t>26.1</w:t>
            </w:r>
          </w:p>
        </w:tc>
        <w:tc>
          <w:tcPr>
            <w:tcW w:w="720" w:type="dxa"/>
            <w:shd w:val="clear" w:color="auto" w:fill="EFEFEF"/>
            <w:tcMar>
              <w:top w:w="0" w:type="dxa"/>
              <w:left w:w="0" w:type="dxa"/>
              <w:bottom w:w="0" w:type="dxa"/>
              <w:right w:w="0" w:type="dxa"/>
            </w:tcMar>
            <w:vAlign w:val="center"/>
          </w:tcPr>
          <w:p w14:paraId="722243D5" w14:textId="77777777" w:rsidR="00686583" w:rsidRDefault="00EF7C11">
            <w:pPr>
              <w:spacing w:before="60" w:after="60"/>
              <w:ind w:left="60" w:right="60"/>
              <w:jc w:val="right"/>
            </w:pPr>
            <w:r>
              <w:rPr>
                <w:rFonts w:ascii="Arial" w:eastAsia="DejaVu Sans" w:hAnsi="DejaVu Sans" w:cs="DejaVu Sans"/>
                <w:color w:val="000000"/>
                <w:sz w:val="20"/>
                <w:szCs w:val="20"/>
              </w:rPr>
              <w:t>23.9</w:t>
            </w:r>
          </w:p>
        </w:tc>
        <w:tc>
          <w:tcPr>
            <w:tcW w:w="720" w:type="dxa"/>
            <w:shd w:val="clear" w:color="auto" w:fill="EFEFEF"/>
            <w:tcMar>
              <w:top w:w="0" w:type="dxa"/>
              <w:left w:w="0" w:type="dxa"/>
              <w:bottom w:w="0" w:type="dxa"/>
              <w:right w:w="0" w:type="dxa"/>
            </w:tcMar>
            <w:vAlign w:val="center"/>
          </w:tcPr>
          <w:p w14:paraId="2791401C" w14:textId="77777777" w:rsidR="00686583" w:rsidRDefault="00EF7C11">
            <w:pPr>
              <w:spacing w:before="60" w:after="60"/>
              <w:ind w:left="60" w:right="60"/>
              <w:jc w:val="right"/>
            </w:pPr>
            <w:r>
              <w:rPr>
                <w:rFonts w:ascii="Arial" w:eastAsia="DejaVu Sans" w:hAnsi="DejaVu Sans" w:cs="DejaVu Sans"/>
                <w:color w:val="000000"/>
                <w:sz w:val="20"/>
                <w:szCs w:val="20"/>
              </w:rPr>
              <w:t>22.4</w:t>
            </w:r>
          </w:p>
        </w:tc>
        <w:tc>
          <w:tcPr>
            <w:tcW w:w="720" w:type="dxa"/>
            <w:shd w:val="clear" w:color="auto" w:fill="EFEFEF"/>
            <w:tcMar>
              <w:top w:w="0" w:type="dxa"/>
              <w:left w:w="0" w:type="dxa"/>
              <w:bottom w:w="0" w:type="dxa"/>
              <w:right w:w="0" w:type="dxa"/>
            </w:tcMar>
            <w:vAlign w:val="center"/>
          </w:tcPr>
          <w:p w14:paraId="0A554439" w14:textId="77777777" w:rsidR="00686583" w:rsidRDefault="00EF7C11">
            <w:pPr>
              <w:spacing w:before="60" w:after="60"/>
              <w:ind w:left="60" w:right="60"/>
              <w:jc w:val="right"/>
            </w:pPr>
            <w:r>
              <w:rPr>
                <w:rFonts w:ascii="Arial" w:eastAsia="DejaVu Sans" w:hAnsi="DejaVu Sans" w:cs="DejaVu Sans"/>
                <w:color w:val="000000"/>
                <w:sz w:val="20"/>
                <w:szCs w:val="20"/>
              </w:rPr>
              <w:t>21.0</w:t>
            </w:r>
          </w:p>
        </w:tc>
        <w:tc>
          <w:tcPr>
            <w:tcW w:w="720" w:type="dxa"/>
            <w:shd w:val="clear" w:color="auto" w:fill="EFEFEF"/>
            <w:tcMar>
              <w:top w:w="0" w:type="dxa"/>
              <w:left w:w="0" w:type="dxa"/>
              <w:bottom w:w="0" w:type="dxa"/>
              <w:right w:w="0" w:type="dxa"/>
            </w:tcMar>
            <w:vAlign w:val="center"/>
          </w:tcPr>
          <w:p w14:paraId="0426EE37" w14:textId="77777777" w:rsidR="00686583" w:rsidRDefault="00EF7C11">
            <w:pPr>
              <w:spacing w:before="60" w:after="60"/>
              <w:ind w:left="60" w:right="60"/>
              <w:jc w:val="right"/>
            </w:pPr>
            <w:r>
              <w:rPr>
                <w:rFonts w:ascii="Arial" w:eastAsia="DejaVu Sans" w:hAnsi="DejaVu Sans" w:cs="DejaVu Sans"/>
                <w:color w:val="000000"/>
                <w:sz w:val="20"/>
                <w:szCs w:val="20"/>
              </w:rPr>
              <w:t>-350</w:t>
            </w:r>
          </w:p>
        </w:tc>
        <w:tc>
          <w:tcPr>
            <w:tcW w:w="720" w:type="dxa"/>
            <w:shd w:val="clear" w:color="auto" w:fill="EFEFEF"/>
            <w:tcMar>
              <w:top w:w="0" w:type="dxa"/>
              <w:left w:w="0" w:type="dxa"/>
              <w:bottom w:w="0" w:type="dxa"/>
              <w:right w:w="0" w:type="dxa"/>
            </w:tcMar>
            <w:vAlign w:val="center"/>
          </w:tcPr>
          <w:p w14:paraId="648D6D99" w14:textId="77777777" w:rsidR="00686583" w:rsidRDefault="00EF7C11">
            <w:pPr>
              <w:spacing w:before="60" w:after="60"/>
              <w:ind w:left="60" w:right="60"/>
              <w:jc w:val="right"/>
            </w:pPr>
            <w:r>
              <w:rPr>
                <w:rFonts w:ascii="Arial" w:eastAsia="DejaVu Sans" w:hAnsi="DejaVu Sans" w:cs="DejaVu Sans"/>
                <w:color w:val="000000"/>
                <w:sz w:val="20"/>
                <w:szCs w:val="20"/>
              </w:rPr>
              <w:t>-6.3%</w:t>
            </w:r>
          </w:p>
        </w:tc>
      </w:tr>
      <w:tr w:rsidR="00686583" w14:paraId="2C0EC56B" w14:textId="77777777" w:rsidTr="00686583">
        <w:trPr>
          <w:cantSplit/>
          <w:jc w:val="center"/>
        </w:trPr>
        <w:tc>
          <w:tcPr>
            <w:tcW w:w="2880" w:type="dxa"/>
            <w:shd w:val="clear" w:color="auto" w:fill="FFFFFF"/>
            <w:tcMar>
              <w:top w:w="0" w:type="dxa"/>
              <w:left w:w="0" w:type="dxa"/>
              <w:bottom w:w="0" w:type="dxa"/>
              <w:right w:w="0" w:type="dxa"/>
            </w:tcMar>
            <w:vAlign w:val="center"/>
          </w:tcPr>
          <w:p w14:paraId="7A1513C5" w14:textId="77777777" w:rsidR="00686583" w:rsidRDefault="00EF7C11">
            <w:pPr>
              <w:spacing w:before="60" w:after="60"/>
              <w:ind w:left="60" w:right="60"/>
            </w:pPr>
            <w:r>
              <w:rPr>
                <w:rFonts w:ascii="Arial" w:eastAsia="DejaVu Sans" w:hAnsi="DejaVu Sans" w:cs="DejaVu Sans"/>
                <w:color w:val="000000"/>
                <w:sz w:val="20"/>
                <w:szCs w:val="20"/>
              </w:rPr>
              <w:t>Other respiratory diseases</w:t>
            </w:r>
          </w:p>
        </w:tc>
        <w:tc>
          <w:tcPr>
            <w:tcW w:w="720" w:type="dxa"/>
            <w:shd w:val="clear" w:color="auto" w:fill="FFFFFF"/>
            <w:tcMar>
              <w:top w:w="0" w:type="dxa"/>
              <w:left w:w="0" w:type="dxa"/>
              <w:bottom w:w="0" w:type="dxa"/>
              <w:right w:w="0" w:type="dxa"/>
            </w:tcMar>
            <w:vAlign w:val="center"/>
          </w:tcPr>
          <w:p w14:paraId="15A45984" w14:textId="77777777" w:rsidR="00686583" w:rsidRDefault="00EF7C11">
            <w:pPr>
              <w:spacing w:before="60" w:after="60"/>
              <w:ind w:left="60" w:right="60"/>
              <w:jc w:val="right"/>
            </w:pPr>
            <w:r>
              <w:rPr>
                <w:rFonts w:ascii="Arial" w:eastAsia="DejaVu Sans" w:hAnsi="DejaVu Sans" w:cs="DejaVu Sans"/>
                <w:color w:val="000000"/>
                <w:sz w:val="20"/>
                <w:szCs w:val="20"/>
              </w:rPr>
              <w:t>4,720</w:t>
            </w:r>
          </w:p>
        </w:tc>
        <w:tc>
          <w:tcPr>
            <w:tcW w:w="720" w:type="dxa"/>
            <w:shd w:val="clear" w:color="auto" w:fill="FFFFFF"/>
            <w:tcMar>
              <w:top w:w="0" w:type="dxa"/>
              <w:left w:w="0" w:type="dxa"/>
              <w:bottom w:w="0" w:type="dxa"/>
              <w:right w:w="0" w:type="dxa"/>
            </w:tcMar>
            <w:vAlign w:val="center"/>
          </w:tcPr>
          <w:p w14:paraId="5D0AD4A0" w14:textId="77777777" w:rsidR="00686583" w:rsidRDefault="00EF7C11">
            <w:pPr>
              <w:spacing w:before="60" w:after="60"/>
              <w:ind w:left="60" w:right="60"/>
              <w:jc w:val="right"/>
            </w:pPr>
            <w:r>
              <w:rPr>
                <w:rFonts w:ascii="Arial" w:eastAsia="DejaVu Sans" w:hAnsi="DejaVu Sans" w:cs="DejaVu Sans"/>
                <w:color w:val="000000"/>
                <w:sz w:val="20"/>
                <w:szCs w:val="20"/>
              </w:rPr>
              <w:t>4,630</w:t>
            </w:r>
          </w:p>
        </w:tc>
        <w:tc>
          <w:tcPr>
            <w:tcW w:w="720" w:type="dxa"/>
            <w:shd w:val="clear" w:color="auto" w:fill="FFFFFF"/>
            <w:tcMar>
              <w:top w:w="0" w:type="dxa"/>
              <w:left w:w="0" w:type="dxa"/>
              <w:bottom w:w="0" w:type="dxa"/>
              <w:right w:w="0" w:type="dxa"/>
            </w:tcMar>
            <w:vAlign w:val="center"/>
          </w:tcPr>
          <w:p w14:paraId="038BD665" w14:textId="77777777" w:rsidR="00686583" w:rsidRDefault="00EF7C11">
            <w:pPr>
              <w:spacing w:before="60" w:after="60"/>
              <w:ind w:left="60" w:right="60"/>
              <w:jc w:val="right"/>
            </w:pPr>
            <w:r>
              <w:rPr>
                <w:rFonts w:ascii="Arial" w:eastAsia="DejaVu Sans" w:hAnsi="DejaVu Sans" w:cs="DejaVu Sans"/>
                <w:color w:val="000000"/>
                <w:sz w:val="20"/>
                <w:szCs w:val="20"/>
              </w:rPr>
              <w:t>4,715</w:t>
            </w:r>
          </w:p>
        </w:tc>
        <w:tc>
          <w:tcPr>
            <w:tcW w:w="720" w:type="dxa"/>
            <w:shd w:val="clear" w:color="auto" w:fill="FFFFFF"/>
            <w:tcMar>
              <w:top w:w="0" w:type="dxa"/>
              <w:left w:w="0" w:type="dxa"/>
              <w:bottom w:w="0" w:type="dxa"/>
              <w:right w:w="0" w:type="dxa"/>
            </w:tcMar>
            <w:vAlign w:val="center"/>
          </w:tcPr>
          <w:p w14:paraId="26AC931F" w14:textId="77777777" w:rsidR="00686583" w:rsidRDefault="00EF7C11">
            <w:pPr>
              <w:spacing w:before="60" w:after="60"/>
              <w:ind w:left="60" w:right="60"/>
              <w:jc w:val="right"/>
            </w:pPr>
            <w:r>
              <w:rPr>
                <w:rFonts w:ascii="Arial" w:eastAsia="DejaVu Sans" w:hAnsi="DejaVu Sans" w:cs="DejaVu Sans"/>
                <w:color w:val="000000"/>
                <w:sz w:val="20"/>
                <w:szCs w:val="20"/>
              </w:rPr>
              <w:t>4,502</w:t>
            </w:r>
          </w:p>
        </w:tc>
        <w:tc>
          <w:tcPr>
            <w:tcW w:w="720" w:type="dxa"/>
            <w:shd w:val="clear" w:color="auto" w:fill="FFFFFF"/>
            <w:tcMar>
              <w:top w:w="0" w:type="dxa"/>
              <w:left w:w="0" w:type="dxa"/>
              <w:bottom w:w="0" w:type="dxa"/>
              <w:right w:w="0" w:type="dxa"/>
            </w:tcMar>
            <w:vAlign w:val="center"/>
          </w:tcPr>
          <w:p w14:paraId="4594C91A" w14:textId="77777777" w:rsidR="00686583" w:rsidRDefault="00EF7C11">
            <w:pPr>
              <w:spacing w:before="60" w:after="60"/>
              <w:ind w:left="60" w:right="60"/>
              <w:jc w:val="right"/>
            </w:pPr>
            <w:r>
              <w:rPr>
                <w:rFonts w:ascii="Arial" w:eastAsia="DejaVu Sans" w:hAnsi="DejaVu Sans" w:cs="DejaVu Sans"/>
                <w:color w:val="000000"/>
                <w:sz w:val="20"/>
                <w:szCs w:val="20"/>
              </w:rPr>
              <w:t>10.6</w:t>
            </w:r>
          </w:p>
        </w:tc>
        <w:tc>
          <w:tcPr>
            <w:tcW w:w="720" w:type="dxa"/>
            <w:shd w:val="clear" w:color="auto" w:fill="FFFFFF"/>
            <w:tcMar>
              <w:top w:w="0" w:type="dxa"/>
              <w:left w:w="0" w:type="dxa"/>
              <w:bottom w:w="0" w:type="dxa"/>
              <w:right w:w="0" w:type="dxa"/>
            </w:tcMar>
            <w:vAlign w:val="center"/>
          </w:tcPr>
          <w:p w14:paraId="77F3D72A" w14:textId="77777777" w:rsidR="00686583" w:rsidRDefault="00EF7C11">
            <w:pPr>
              <w:spacing w:before="60" w:after="60"/>
              <w:ind w:left="60" w:right="60"/>
              <w:jc w:val="right"/>
            </w:pPr>
            <w:r>
              <w:rPr>
                <w:rFonts w:ascii="Arial" w:eastAsia="DejaVu Sans" w:hAnsi="DejaVu Sans" w:cs="DejaVu Sans"/>
                <w:color w:val="000000"/>
                <w:sz w:val="20"/>
                <w:szCs w:val="20"/>
              </w:rPr>
              <w:t>9.9</w:t>
            </w:r>
          </w:p>
        </w:tc>
        <w:tc>
          <w:tcPr>
            <w:tcW w:w="720" w:type="dxa"/>
            <w:shd w:val="clear" w:color="auto" w:fill="FFFFFF"/>
            <w:tcMar>
              <w:top w:w="0" w:type="dxa"/>
              <w:left w:w="0" w:type="dxa"/>
              <w:bottom w:w="0" w:type="dxa"/>
              <w:right w:w="0" w:type="dxa"/>
            </w:tcMar>
            <w:vAlign w:val="center"/>
          </w:tcPr>
          <w:p w14:paraId="60925599" w14:textId="77777777" w:rsidR="00686583" w:rsidRDefault="00EF7C11">
            <w:pPr>
              <w:spacing w:before="60" w:after="60"/>
              <w:ind w:left="60" w:right="60"/>
              <w:jc w:val="right"/>
            </w:pPr>
            <w:r>
              <w:rPr>
                <w:rFonts w:ascii="Arial" w:eastAsia="DejaVu Sans" w:hAnsi="DejaVu Sans" w:cs="DejaVu Sans"/>
                <w:color w:val="000000"/>
                <w:sz w:val="20"/>
                <w:szCs w:val="20"/>
              </w:rPr>
              <w:t>9.8</w:t>
            </w:r>
          </w:p>
        </w:tc>
        <w:tc>
          <w:tcPr>
            <w:tcW w:w="720" w:type="dxa"/>
            <w:shd w:val="clear" w:color="auto" w:fill="FFFFFF"/>
            <w:tcMar>
              <w:top w:w="0" w:type="dxa"/>
              <w:left w:w="0" w:type="dxa"/>
              <w:bottom w:w="0" w:type="dxa"/>
              <w:right w:w="0" w:type="dxa"/>
            </w:tcMar>
            <w:vAlign w:val="center"/>
          </w:tcPr>
          <w:p w14:paraId="68EACBC9" w14:textId="77777777" w:rsidR="00686583" w:rsidRDefault="00EF7C11">
            <w:pPr>
              <w:spacing w:before="60" w:after="60"/>
              <w:ind w:left="60" w:right="60"/>
              <w:jc w:val="right"/>
            </w:pPr>
            <w:r>
              <w:rPr>
                <w:rFonts w:ascii="Arial" w:eastAsia="DejaVu Sans" w:hAnsi="DejaVu Sans" w:cs="DejaVu Sans"/>
                <w:color w:val="000000"/>
                <w:sz w:val="20"/>
                <w:szCs w:val="20"/>
              </w:rPr>
              <w:t>9.1</w:t>
            </w:r>
          </w:p>
        </w:tc>
        <w:tc>
          <w:tcPr>
            <w:tcW w:w="720" w:type="dxa"/>
            <w:shd w:val="clear" w:color="auto" w:fill="FFFFFF"/>
            <w:tcMar>
              <w:top w:w="0" w:type="dxa"/>
              <w:left w:w="0" w:type="dxa"/>
              <w:bottom w:w="0" w:type="dxa"/>
              <w:right w:w="0" w:type="dxa"/>
            </w:tcMar>
            <w:vAlign w:val="center"/>
          </w:tcPr>
          <w:p w14:paraId="1298CBDE" w14:textId="77777777" w:rsidR="00686583" w:rsidRDefault="00EF7C11">
            <w:pPr>
              <w:spacing w:before="60" w:after="60"/>
              <w:ind w:left="60" w:right="60"/>
              <w:jc w:val="right"/>
            </w:pPr>
            <w:r>
              <w:rPr>
                <w:rFonts w:ascii="Arial" w:eastAsia="DejaVu Sans" w:hAnsi="DejaVu Sans" w:cs="DejaVu Sans"/>
                <w:color w:val="000000"/>
                <w:sz w:val="20"/>
                <w:szCs w:val="20"/>
              </w:rPr>
              <w:t>-213</w:t>
            </w:r>
          </w:p>
        </w:tc>
        <w:tc>
          <w:tcPr>
            <w:tcW w:w="720" w:type="dxa"/>
            <w:shd w:val="clear" w:color="auto" w:fill="FFFFFF"/>
            <w:tcMar>
              <w:top w:w="0" w:type="dxa"/>
              <w:left w:w="0" w:type="dxa"/>
              <w:bottom w:w="0" w:type="dxa"/>
              <w:right w:w="0" w:type="dxa"/>
            </w:tcMar>
            <w:vAlign w:val="center"/>
          </w:tcPr>
          <w:p w14:paraId="0AD1C211" w14:textId="77777777" w:rsidR="00686583" w:rsidRDefault="00EF7C11">
            <w:pPr>
              <w:spacing w:before="60" w:after="60"/>
              <w:ind w:left="60" w:right="60"/>
              <w:jc w:val="right"/>
            </w:pPr>
            <w:r>
              <w:rPr>
                <w:rFonts w:ascii="Arial" w:eastAsia="DejaVu Sans" w:hAnsi="DejaVu Sans" w:cs="DejaVu Sans"/>
                <w:color w:val="000000"/>
                <w:sz w:val="20"/>
                <w:szCs w:val="20"/>
              </w:rPr>
              <w:t>-7.3%</w:t>
            </w:r>
          </w:p>
        </w:tc>
      </w:tr>
      <w:tr w:rsidR="00686583" w14:paraId="5059F6E4" w14:textId="77777777" w:rsidTr="00686583">
        <w:trPr>
          <w:cantSplit/>
          <w:jc w:val="center"/>
        </w:trPr>
        <w:tc>
          <w:tcPr>
            <w:tcW w:w="2880" w:type="dxa"/>
            <w:shd w:val="clear" w:color="auto" w:fill="EFEFEF"/>
            <w:tcMar>
              <w:top w:w="0" w:type="dxa"/>
              <w:left w:w="0" w:type="dxa"/>
              <w:bottom w:w="0" w:type="dxa"/>
              <w:right w:w="0" w:type="dxa"/>
            </w:tcMar>
            <w:vAlign w:val="center"/>
          </w:tcPr>
          <w:p w14:paraId="4DB85909" w14:textId="77777777" w:rsidR="00686583" w:rsidRDefault="00EF7C11">
            <w:pPr>
              <w:spacing w:before="60" w:after="60"/>
              <w:ind w:left="60" w:right="60"/>
            </w:pPr>
            <w:r>
              <w:rPr>
                <w:rFonts w:ascii="Arial" w:eastAsia="DejaVu Sans" w:hAnsi="DejaVu Sans" w:cs="DejaVu Sans"/>
                <w:color w:val="000000"/>
                <w:sz w:val="20"/>
                <w:szCs w:val="20"/>
              </w:rPr>
              <w:t>Suicide/Self-harm</w:t>
            </w:r>
          </w:p>
        </w:tc>
        <w:tc>
          <w:tcPr>
            <w:tcW w:w="720" w:type="dxa"/>
            <w:shd w:val="clear" w:color="auto" w:fill="EFEFEF"/>
            <w:tcMar>
              <w:top w:w="0" w:type="dxa"/>
              <w:left w:w="0" w:type="dxa"/>
              <w:bottom w:w="0" w:type="dxa"/>
              <w:right w:w="0" w:type="dxa"/>
            </w:tcMar>
            <w:vAlign w:val="center"/>
          </w:tcPr>
          <w:p w14:paraId="343C8CD5" w14:textId="77777777" w:rsidR="00686583" w:rsidRDefault="00EF7C11">
            <w:pPr>
              <w:spacing w:before="60" w:after="60"/>
              <w:ind w:left="60" w:right="60"/>
              <w:jc w:val="right"/>
            </w:pPr>
            <w:r>
              <w:rPr>
                <w:rFonts w:ascii="Arial" w:eastAsia="DejaVu Sans" w:hAnsi="DejaVu Sans" w:cs="DejaVu Sans"/>
                <w:color w:val="000000"/>
                <w:sz w:val="20"/>
                <w:szCs w:val="20"/>
              </w:rPr>
              <w:t>4,230</w:t>
            </w:r>
          </w:p>
        </w:tc>
        <w:tc>
          <w:tcPr>
            <w:tcW w:w="720" w:type="dxa"/>
            <w:shd w:val="clear" w:color="auto" w:fill="EFEFEF"/>
            <w:tcMar>
              <w:top w:w="0" w:type="dxa"/>
              <w:left w:w="0" w:type="dxa"/>
              <w:bottom w:w="0" w:type="dxa"/>
              <w:right w:w="0" w:type="dxa"/>
            </w:tcMar>
            <w:vAlign w:val="center"/>
          </w:tcPr>
          <w:p w14:paraId="11F383B3" w14:textId="77777777" w:rsidR="00686583" w:rsidRDefault="00EF7C11">
            <w:pPr>
              <w:spacing w:before="60" w:after="60"/>
              <w:ind w:left="60" w:right="60"/>
              <w:jc w:val="right"/>
            </w:pPr>
            <w:r>
              <w:rPr>
                <w:rFonts w:ascii="Arial" w:eastAsia="DejaVu Sans" w:hAnsi="DejaVu Sans" w:cs="DejaVu Sans"/>
                <w:color w:val="000000"/>
                <w:sz w:val="20"/>
                <w:szCs w:val="20"/>
              </w:rPr>
              <w:t>4,423</w:t>
            </w:r>
          </w:p>
        </w:tc>
        <w:tc>
          <w:tcPr>
            <w:tcW w:w="720" w:type="dxa"/>
            <w:shd w:val="clear" w:color="auto" w:fill="EFEFEF"/>
            <w:tcMar>
              <w:top w:w="0" w:type="dxa"/>
              <w:left w:w="0" w:type="dxa"/>
              <w:bottom w:w="0" w:type="dxa"/>
              <w:right w:w="0" w:type="dxa"/>
            </w:tcMar>
            <w:vAlign w:val="center"/>
          </w:tcPr>
          <w:p w14:paraId="461025F8" w14:textId="77777777" w:rsidR="00686583" w:rsidRDefault="00EF7C11">
            <w:pPr>
              <w:spacing w:before="60" w:after="60"/>
              <w:ind w:left="60" w:right="60"/>
              <w:jc w:val="right"/>
            </w:pPr>
            <w:r>
              <w:rPr>
                <w:rFonts w:ascii="Arial" w:eastAsia="DejaVu Sans" w:hAnsi="DejaVu Sans" w:cs="DejaVu Sans"/>
                <w:color w:val="000000"/>
                <w:sz w:val="20"/>
                <w:szCs w:val="20"/>
              </w:rPr>
              <w:t>4,343</w:t>
            </w:r>
          </w:p>
        </w:tc>
        <w:tc>
          <w:tcPr>
            <w:tcW w:w="720" w:type="dxa"/>
            <w:shd w:val="clear" w:color="auto" w:fill="EFEFEF"/>
            <w:tcMar>
              <w:top w:w="0" w:type="dxa"/>
              <w:left w:w="0" w:type="dxa"/>
              <w:bottom w:w="0" w:type="dxa"/>
              <w:right w:w="0" w:type="dxa"/>
            </w:tcMar>
            <w:vAlign w:val="center"/>
          </w:tcPr>
          <w:p w14:paraId="748D80EB" w14:textId="77777777" w:rsidR="00686583" w:rsidRDefault="00EF7C11">
            <w:pPr>
              <w:spacing w:before="60" w:after="60"/>
              <w:ind w:left="60" w:right="60"/>
              <w:jc w:val="right"/>
            </w:pPr>
            <w:r>
              <w:rPr>
                <w:rFonts w:ascii="Arial" w:eastAsia="DejaVu Sans" w:hAnsi="DejaVu Sans" w:cs="DejaVu Sans"/>
                <w:color w:val="000000"/>
                <w:sz w:val="20"/>
                <w:szCs w:val="20"/>
              </w:rPr>
              <w:t>3,992</w:t>
            </w:r>
          </w:p>
        </w:tc>
        <w:tc>
          <w:tcPr>
            <w:tcW w:w="720" w:type="dxa"/>
            <w:shd w:val="clear" w:color="auto" w:fill="EFEFEF"/>
            <w:tcMar>
              <w:top w:w="0" w:type="dxa"/>
              <w:left w:w="0" w:type="dxa"/>
              <w:bottom w:w="0" w:type="dxa"/>
              <w:right w:w="0" w:type="dxa"/>
            </w:tcMar>
            <w:vAlign w:val="center"/>
          </w:tcPr>
          <w:p w14:paraId="7397B1CD" w14:textId="77777777" w:rsidR="00686583" w:rsidRDefault="00EF7C11">
            <w:pPr>
              <w:spacing w:before="60" w:after="60"/>
              <w:ind w:left="60" w:right="60"/>
              <w:jc w:val="right"/>
            </w:pPr>
            <w:r>
              <w:rPr>
                <w:rFonts w:ascii="Arial" w:eastAsia="DejaVu Sans" w:hAnsi="DejaVu Sans" w:cs="DejaVu Sans"/>
                <w:color w:val="000000"/>
                <w:sz w:val="20"/>
                <w:szCs w:val="20"/>
              </w:rPr>
              <w:t>10.3</w:t>
            </w:r>
          </w:p>
        </w:tc>
        <w:tc>
          <w:tcPr>
            <w:tcW w:w="720" w:type="dxa"/>
            <w:shd w:val="clear" w:color="auto" w:fill="EFEFEF"/>
            <w:tcMar>
              <w:top w:w="0" w:type="dxa"/>
              <w:left w:w="0" w:type="dxa"/>
              <w:bottom w:w="0" w:type="dxa"/>
              <w:right w:w="0" w:type="dxa"/>
            </w:tcMar>
            <w:vAlign w:val="center"/>
          </w:tcPr>
          <w:p w14:paraId="1D8CFE2F" w14:textId="77777777" w:rsidR="00686583" w:rsidRDefault="00EF7C11">
            <w:pPr>
              <w:spacing w:before="60" w:after="60"/>
              <w:ind w:left="60" w:right="60"/>
              <w:jc w:val="right"/>
            </w:pPr>
            <w:r>
              <w:rPr>
                <w:rFonts w:ascii="Arial" w:eastAsia="DejaVu Sans" w:hAnsi="DejaVu Sans" w:cs="DejaVu Sans"/>
                <w:color w:val="000000"/>
                <w:sz w:val="20"/>
                <w:szCs w:val="20"/>
              </w:rPr>
              <w:t>10.7</w:t>
            </w:r>
          </w:p>
        </w:tc>
        <w:tc>
          <w:tcPr>
            <w:tcW w:w="720" w:type="dxa"/>
            <w:shd w:val="clear" w:color="auto" w:fill="EFEFEF"/>
            <w:tcMar>
              <w:top w:w="0" w:type="dxa"/>
              <w:left w:w="0" w:type="dxa"/>
              <w:bottom w:w="0" w:type="dxa"/>
              <w:right w:w="0" w:type="dxa"/>
            </w:tcMar>
            <w:vAlign w:val="center"/>
          </w:tcPr>
          <w:p w14:paraId="45001C87" w14:textId="77777777" w:rsidR="00686583" w:rsidRDefault="00EF7C11">
            <w:pPr>
              <w:spacing w:before="60" w:after="60"/>
              <w:ind w:left="60" w:right="60"/>
              <w:jc w:val="right"/>
            </w:pPr>
            <w:r>
              <w:rPr>
                <w:rFonts w:ascii="Arial" w:eastAsia="DejaVu Sans" w:hAnsi="DejaVu Sans" w:cs="DejaVu Sans"/>
                <w:color w:val="000000"/>
                <w:sz w:val="20"/>
                <w:szCs w:val="20"/>
              </w:rPr>
              <w:t>10.5</w:t>
            </w:r>
          </w:p>
        </w:tc>
        <w:tc>
          <w:tcPr>
            <w:tcW w:w="720" w:type="dxa"/>
            <w:shd w:val="clear" w:color="auto" w:fill="EFEFEF"/>
            <w:tcMar>
              <w:top w:w="0" w:type="dxa"/>
              <w:left w:w="0" w:type="dxa"/>
              <w:bottom w:w="0" w:type="dxa"/>
              <w:right w:w="0" w:type="dxa"/>
            </w:tcMar>
            <w:vAlign w:val="center"/>
          </w:tcPr>
          <w:p w14:paraId="30533D83" w14:textId="77777777" w:rsidR="00686583" w:rsidRDefault="00EF7C11">
            <w:pPr>
              <w:spacing w:before="60" w:after="60"/>
              <w:ind w:left="60" w:right="60"/>
              <w:jc w:val="right"/>
            </w:pPr>
            <w:r>
              <w:rPr>
                <w:rFonts w:ascii="Arial" w:eastAsia="DejaVu Sans" w:hAnsi="DejaVu Sans" w:cs="DejaVu Sans"/>
                <w:color w:val="000000"/>
                <w:sz w:val="20"/>
                <w:szCs w:val="20"/>
              </w:rPr>
              <w:t>9.6</w:t>
            </w:r>
          </w:p>
        </w:tc>
        <w:tc>
          <w:tcPr>
            <w:tcW w:w="720" w:type="dxa"/>
            <w:shd w:val="clear" w:color="auto" w:fill="EFEFEF"/>
            <w:tcMar>
              <w:top w:w="0" w:type="dxa"/>
              <w:left w:w="0" w:type="dxa"/>
              <w:bottom w:w="0" w:type="dxa"/>
              <w:right w:w="0" w:type="dxa"/>
            </w:tcMar>
            <w:vAlign w:val="center"/>
          </w:tcPr>
          <w:p w14:paraId="046B9599" w14:textId="77777777" w:rsidR="00686583" w:rsidRDefault="00EF7C11">
            <w:pPr>
              <w:spacing w:before="60" w:after="60"/>
              <w:ind w:left="60" w:right="60"/>
              <w:jc w:val="right"/>
            </w:pPr>
            <w:r>
              <w:rPr>
                <w:rFonts w:ascii="Arial" w:eastAsia="DejaVu Sans" w:hAnsi="DejaVu Sans" w:cs="DejaVu Sans"/>
                <w:color w:val="000000"/>
                <w:sz w:val="20"/>
                <w:szCs w:val="20"/>
              </w:rPr>
              <w:t>-351</w:t>
            </w:r>
          </w:p>
        </w:tc>
        <w:tc>
          <w:tcPr>
            <w:tcW w:w="720" w:type="dxa"/>
            <w:shd w:val="clear" w:color="auto" w:fill="EFEFEF"/>
            <w:tcMar>
              <w:top w:w="0" w:type="dxa"/>
              <w:left w:w="0" w:type="dxa"/>
              <w:bottom w:w="0" w:type="dxa"/>
              <w:right w:w="0" w:type="dxa"/>
            </w:tcMar>
            <w:vAlign w:val="center"/>
          </w:tcPr>
          <w:p w14:paraId="2E56BB3E" w14:textId="77777777" w:rsidR="00686583" w:rsidRDefault="00EF7C11">
            <w:pPr>
              <w:spacing w:before="60" w:after="60"/>
              <w:ind w:left="60" w:right="60"/>
              <w:jc w:val="right"/>
            </w:pPr>
            <w:r>
              <w:rPr>
                <w:rFonts w:ascii="Arial" w:eastAsia="DejaVu Sans" w:hAnsi="DejaVu Sans" w:cs="DejaVu Sans"/>
                <w:color w:val="000000"/>
                <w:sz w:val="20"/>
                <w:szCs w:val="20"/>
              </w:rPr>
              <w:t>-8.4%</w:t>
            </w:r>
          </w:p>
        </w:tc>
      </w:tr>
      <w:tr w:rsidR="00686583" w14:paraId="7E0BE7FB" w14:textId="77777777" w:rsidTr="00686583">
        <w:trPr>
          <w:cantSplit/>
          <w:jc w:val="center"/>
        </w:trPr>
        <w:tc>
          <w:tcPr>
            <w:tcW w:w="2880" w:type="dxa"/>
            <w:shd w:val="clear" w:color="auto" w:fill="FFFFFF"/>
            <w:tcMar>
              <w:top w:w="0" w:type="dxa"/>
              <w:left w:w="0" w:type="dxa"/>
              <w:bottom w:w="0" w:type="dxa"/>
              <w:right w:w="0" w:type="dxa"/>
            </w:tcMar>
            <w:vAlign w:val="center"/>
          </w:tcPr>
          <w:p w14:paraId="2661599A" w14:textId="77777777" w:rsidR="00686583" w:rsidRDefault="00EF7C11">
            <w:pPr>
              <w:spacing w:before="60" w:after="60"/>
              <w:ind w:left="60" w:right="60"/>
            </w:pPr>
            <w:r>
              <w:rPr>
                <w:rFonts w:ascii="Arial" w:eastAsia="DejaVu Sans" w:hAnsi="DejaVu Sans" w:cs="DejaVu Sans"/>
                <w:color w:val="000000"/>
                <w:sz w:val="20"/>
                <w:szCs w:val="20"/>
              </w:rPr>
              <w:t>Neonatal conditions</w:t>
            </w:r>
          </w:p>
        </w:tc>
        <w:tc>
          <w:tcPr>
            <w:tcW w:w="720" w:type="dxa"/>
            <w:shd w:val="clear" w:color="auto" w:fill="FFFFFF"/>
            <w:tcMar>
              <w:top w:w="0" w:type="dxa"/>
              <w:left w:w="0" w:type="dxa"/>
              <w:bottom w:w="0" w:type="dxa"/>
              <w:right w:w="0" w:type="dxa"/>
            </w:tcMar>
            <w:vAlign w:val="center"/>
          </w:tcPr>
          <w:p w14:paraId="7FB73B70" w14:textId="77777777" w:rsidR="00686583" w:rsidRDefault="00EF7C11">
            <w:pPr>
              <w:spacing w:before="60" w:after="60"/>
              <w:ind w:left="60" w:right="60"/>
              <w:jc w:val="right"/>
            </w:pPr>
            <w:r>
              <w:rPr>
                <w:rFonts w:ascii="Arial" w:eastAsia="DejaVu Sans" w:hAnsi="DejaVu Sans" w:cs="DejaVu Sans"/>
                <w:color w:val="000000"/>
                <w:sz w:val="20"/>
                <w:szCs w:val="20"/>
              </w:rPr>
              <w:t>1,133</w:t>
            </w:r>
          </w:p>
        </w:tc>
        <w:tc>
          <w:tcPr>
            <w:tcW w:w="720" w:type="dxa"/>
            <w:shd w:val="clear" w:color="auto" w:fill="FFFFFF"/>
            <w:tcMar>
              <w:top w:w="0" w:type="dxa"/>
              <w:left w:w="0" w:type="dxa"/>
              <w:bottom w:w="0" w:type="dxa"/>
              <w:right w:w="0" w:type="dxa"/>
            </w:tcMar>
            <w:vAlign w:val="center"/>
          </w:tcPr>
          <w:p w14:paraId="3370375E" w14:textId="77777777" w:rsidR="00686583" w:rsidRDefault="00EF7C11">
            <w:pPr>
              <w:spacing w:before="60" w:after="60"/>
              <w:ind w:left="60" w:right="60"/>
              <w:jc w:val="right"/>
            </w:pPr>
            <w:r>
              <w:rPr>
                <w:rFonts w:ascii="Arial" w:eastAsia="DejaVu Sans" w:hAnsi="DejaVu Sans" w:cs="DejaVu Sans"/>
                <w:color w:val="000000"/>
                <w:sz w:val="20"/>
                <w:szCs w:val="20"/>
              </w:rPr>
              <w:t>1,096</w:t>
            </w:r>
          </w:p>
        </w:tc>
        <w:tc>
          <w:tcPr>
            <w:tcW w:w="720" w:type="dxa"/>
            <w:shd w:val="clear" w:color="auto" w:fill="FFFFFF"/>
            <w:tcMar>
              <w:top w:w="0" w:type="dxa"/>
              <w:left w:w="0" w:type="dxa"/>
              <w:bottom w:w="0" w:type="dxa"/>
              <w:right w:w="0" w:type="dxa"/>
            </w:tcMar>
            <w:vAlign w:val="center"/>
          </w:tcPr>
          <w:p w14:paraId="7308D867" w14:textId="77777777" w:rsidR="00686583" w:rsidRDefault="00EF7C11">
            <w:pPr>
              <w:spacing w:before="60" w:after="60"/>
              <w:ind w:left="60" w:right="60"/>
              <w:jc w:val="right"/>
            </w:pPr>
            <w:r>
              <w:rPr>
                <w:rFonts w:ascii="Arial" w:eastAsia="DejaVu Sans" w:hAnsi="DejaVu Sans" w:cs="DejaVu Sans"/>
                <w:color w:val="000000"/>
                <w:sz w:val="20"/>
                <w:szCs w:val="20"/>
              </w:rPr>
              <w:t>1,052</w:t>
            </w:r>
          </w:p>
        </w:tc>
        <w:tc>
          <w:tcPr>
            <w:tcW w:w="720" w:type="dxa"/>
            <w:shd w:val="clear" w:color="auto" w:fill="FFFFFF"/>
            <w:tcMar>
              <w:top w:w="0" w:type="dxa"/>
              <w:left w:w="0" w:type="dxa"/>
              <w:bottom w:w="0" w:type="dxa"/>
              <w:right w:w="0" w:type="dxa"/>
            </w:tcMar>
            <w:vAlign w:val="center"/>
          </w:tcPr>
          <w:p w14:paraId="3562DDA8" w14:textId="77777777" w:rsidR="00686583" w:rsidRDefault="00EF7C11">
            <w:pPr>
              <w:spacing w:before="60" w:after="60"/>
              <w:ind w:left="60" w:right="60"/>
              <w:jc w:val="right"/>
            </w:pPr>
            <w:r>
              <w:rPr>
                <w:rFonts w:ascii="Arial" w:eastAsia="DejaVu Sans" w:hAnsi="DejaVu Sans" w:cs="DejaVu Sans"/>
                <w:color w:val="000000"/>
                <w:sz w:val="20"/>
                <w:szCs w:val="20"/>
              </w:rPr>
              <w:t>941</w:t>
            </w:r>
          </w:p>
        </w:tc>
        <w:tc>
          <w:tcPr>
            <w:tcW w:w="720" w:type="dxa"/>
            <w:shd w:val="clear" w:color="auto" w:fill="FFFFFF"/>
            <w:tcMar>
              <w:top w:w="0" w:type="dxa"/>
              <w:left w:w="0" w:type="dxa"/>
              <w:bottom w:w="0" w:type="dxa"/>
              <w:right w:w="0" w:type="dxa"/>
            </w:tcMar>
            <w:vAlign w:val="center"/>
          </w:tcPr>
          <w:p w14:paraId="2CDE41C9" w14:textId="77777777" w:rsidR="00686583" w:rsidRDefault="00EF7C11">
            <w:pPr>
              <w:spacing w:before="60" w:after="60"/>
              <w:ind w:left="60" w:right="60"/>
              <w:jc w:val="right"/>
            </w:pPr>
            <w:r>
              <w:rPr>
                <w:rFonts w:ascii="Arial" w:eastAsia="DejaVu Sans" w:hAnsi="DejaVu Sans" w:cs="DejaVu Sans"/>
                <w:color w:val="000000"/>
                <w:sz w:val="20"/>
                <w:szCs w:val="20"/>
              </w:rPr>
              <w:t>3.1</w:t>
            </w:r>
          </w:p>
        </w:tc>
        <w:tc>
          <w:tcPr>
            <w:tcW w:w="720" w:type="dxa"/>
            <w:shd w:val="clear" w:color="auto" w:fill="FFFFFF"/>
            <w:tcMar>
              <w:top w:w="0" w:type="dxa"/>
              <w:left w:w="0" w:type="dxa"/>
              <w:bottom w:w="0" w:type="dxa"/>
              <w:right w:w="0" w:type="dxa"/>
            </w:tcMar>
            <w:vAlign w:val="center"/>
          </w:tcPr>
          <w:p w14:paraId="658E87FF" w14:textId="77777777" w:rsidR="00686583" w:rsidRDefault="00EF7C11">
            <w:pPr>
              <w:spacing w:before="60" w:after="60"/>
              <w:ind w:left="60" w:right="60"/>
              <w:jc w:val="right"/>
            </w:pPr>
            <w:r>
              <w:rPr>
                <w:rFonts w:ascii="Arial" w:eastAsia="DejaVu Sans" w:hAnsi="DejaVu Sans" w:cs="DejaVu Sans"/>
                <w:color w:val="000000"/>
                <w:sz w:val="20"/>
                <w:szCs w:val="20"/>
              </w:rPr>
              <w:t>3.0</w:t>
            </w:r>
          </w:p>
        </w:tc>
        <w:tc>
          <w:tcPr>
            <w:tcW w:w="720" w:type="dxa"/>
            <w:shd w:val="clear" w:color="auto" w:fill="FFFFFF"/>
            <w:tcMar>
              <w:top w:w="0" w:type="dxa"/>
              <w:left w:w="0" w:type="dxa"/>
              <w:bottom w:w="0" w:type="dxa"/>
              <w:right w:w="0" w:type="dxa"/>
            </w:tcMar>
            <w:vAlign w:val="center"/>
          </w:tcPr>
          <w:p w14:paraId="28042285" w14:textId="77777777" w:rsidR="00686583" w:rsidRDefault="00EF7C11">
            <w:pPr>
              <w:spacing w:before="60" w:after="60"/>
              <w:ind w:left="60" w:right="60"/>
              <w:jc w:val="right"/>
            </w:pPr>
            <w:r>
              <w:rPr>
                <w:rFonts w:ascii="Arial" w:eastAsia="DejaVu Sans" w:hAnsi="DejaVu Sans" w:cs="DejaVu Sans"/>
                <w:color w:val="000000"/>
                <w:sz w:val="20"/>
                <w:szCs w:val="20"/>
              </w:rPr>
              <w:t>2.9</w:t>
            </w:r>
          </w:p>
        </w:tc>
        <w:tc>
          <w:tcPr>
            <w:tcW w:w="720" w:type="dxa"/>
            <w:shd w:val="clear" w:color="auto" w:fill="FFFFFF"/>
            <w:tcMar>
              <w:top w:w="0" w:type="dxa"/>
              <w:left w:w="0" w:type="dxa"/>
              <w:bottom w:w="0" w:type="dxa"/>
              <w:right w:w="0" w:type="dxa"/>
            </w:tcMar>
            <w:vAlign w:val="center"/>
          </w:tcPr>
          <w:p w14:paraId="41AD1CD6" w14:textId="77777777" w:rsidR="00686583" w:rsidRDefault="00EF7C11">
            <w:pPr>
              <w:spacing w:before="60" w:after="60"/>
              <w:ind w:left="60" w:right="60"/>
              <w:jc w:val="right"/>
            </w:pPr>
            <w:r>
              <w:rPr>
                <w:rFonts w:ascii="Arial" w:eastAsia="DejaVu Sans" w:hAnsi="DejaVu Sans" w:cs="DejaVu Sans"/>
                <w:color w:val="000000"/>
                <w:sz w:val="20"/>
                <w:szCs w:val="20"/>
              </w:rPr>
              <w:t>2.7</w:t>
            </w:r>
          </w:p>
        </w:tc>
        <w:tc>
          <w:tcPr>
            <w:tcW w:w="720" w:type="dxa"/>
            <w:shd w:val="clear" w:color="auto" w:fill="FFFFFF"/>
            <w:tcMar>
              <w:top w:w="0" w:type="dxa"/>
              <w:left w:w="0" w:type="dxa"/>
              <w:bottom w:w="0" w:type="dxa"/>
              <w:right w:w="0" w:type="dxa"/>
            </w:tcMar>
            <w:vAlign w:val="center"/>
          </w:tcPr>
          <w:p w14:paraId="29381363" w14:textId="77777777" w:rsidR="00686583" w:rsidRDefault="00EF7C11">
            <w:pPr>
              <w:spacing w:before="60" w:after="60"/>
              <w:ind w:left="60" w:right="60"/>
              <w:jc w:val="right"/>
            </w:pPr>
            <w:r>
              <w:rPr>
                <w:rFonts w:ascii="Arial" w:eastAsia="DejaVu Sans" w:hAnsi="DejaVu Sans" w:cs="DejaVu Sans"/>
                <w:color w:val="000000"/>
                <w:sz w:val="20"/>
                <w:szCs w:val="20"/>
              </w:rPr>
              <w:t>-111</w:t>
            </w:r>
          </w:p>
        </w:tc>
        <w:tc>
          <w:tcPr>
            <w:tcW w:w="720" w:type="dxa"/>
            <w:shd w:val="clear" w:color="auto" w:fill="FFFFFF"/>
            <w:tcMar>
              <w:top w:w="0" w:type="dxa"/>
              <w:left w:w="0" w:type="dxa"/>
              <w:bottom w:w="0" w:type="dxa"/>
              <w:right w:w="0" w:type="dxa"/>
            </w:tcMar>
            <w:vAlign w:val="center"/>
          </w:tcPr>
          <w:p w14:paraId="674C880A" w14:textId="77777777" w:rsidR="00686583" w:rsidRDefault="00EF7C11">
            <w:pPr>
              <w:spacing w:before="60" w:after="60"/>
              <w:ind w:left="60" w:right="60"/>
              <w:jc w:val="right"/>
            </w:pPr>
            <w:r>
              <w:rPr>
                <w:rFonts w:ascii="Arial" w:eastAsia="DejaVu Sans" w:hAnsi="DejaVu Sans" w:cs="DejaVu Sans"/>
                <w:color w:val="000000"/>
                <w:sz w:val="20"/>
                <w:szCs w:val="20"/>
              </w:rPr>
              <w:t>-8.7%</w:t>
            </w:r>
          </w:p>
        </w:tc>
      </w:tr>
      <w:tr w:rsidR="00686583" w14:paraId="2E8D6817" w14:textId="77777777" w:rsidTr="00686583">
        <w:trPr>
          <w:cantSplit/>
          <w:jc w:val="center"/>
        </w:trPr>
        <w:tc>
          <w:tcPr>
            <w:tcW w:w="2880" w:type="dxa"/>
            <w:shd w:val="clear" w:color="auto" w:fill="EFEFEF"/>
            <w:tcMar>
              <w:top w:w="0" w:type="dxa"/>
              <w:left w:w="0" w:type="dxa"/>
              <w:bottom w:w="0" w:type="dxa"/>
              <w:right w:w="0" w:type="dxa"/>
            </w:tcMar>
            <w:vAlign w:val="center"/>
          </w:tcPr>
          <w:p w14:paraId="29CF8E28" w14:textId="77777777" w:rsidR="00686583" w:rsidRDefault="00EF7C11">
            <w:pPr>
              <w:spacing w:before="60" w:after="60"/>
              <w:ind w:left="60" w:right="60"/>
            </w:pPr>
            <w:r>
              <w:rPr>
                <w:rFonts w:ascii="Arial" w:eastAsia="DejaVu Sans" w:hAnsi="DejaVu Sans" w:cs="DejaVu Sans"/>
                <w:color w:val="000000"/>
                <w:sz w:val="20"/>
                <w:szCs w:val="20"/>
              </w:rPr>
              <w:t>COVID-19</w:t>
            </w:r>
          </w:p>
        </w:tc>
        <w:tc>
          <w:tcPr>
            <w:tcW w:w="720" w:type="dxa"/>
            <w:shd w:val="clear" w:color="auto" w:fill="EFEFEF"/>
            <w:tcMar>
              <w:top w:w="0" w:type="dxa"/>
              <w:left w:w="0" w:type="dxa"/>
              <w:bottom w:w="0" w:type="dxa"/>
              <w:right w:w="0" w:type="dxa"/>
            </w:tcMar>
            <w:vAlign w:val="center"/>
          </w:tcPr>
          <w:p w14:paraId="1A8D65AE" w14:textId="77777777" w:rsidR="00686583" w:rsidRDefault="00686583">
            <w:pPr>
              <w:spacing w:before="60" w:after="60"/>
              <w:ind w:left="60" w:right="60"/>
              <w:jc w:val="right"/>
            </w:pPr>
          </w:p>
        </w:tc>
        <w:tc>
          <w:tcPr>
            <w:tcW w:w="720" w:type="dxa"/>
            <w:shd w:val="clear" w:color="auto" w:fill="EFEFEF"/>
            <w:tcMar>
              <w:top w:w="0" w:type="dxa"/>
              <w:left w:w="0" w:type="dxa"/>
              <w:bottom w:w="0" w:type="dxa"/>
              <w:right w:w="0" w:type="dxa"/>
            </w:tcMar>
            <w:vAlign w:val="center"/>
          </w:tcPr>
          <w:p w14:paraId="3D829330" w14:textId="77777777" w:rsidR="00686583" w:rsidRDefault="00686583">
            <w:pPr>
              <w:spacing w:before="60" w:after="60"/>
              <w:ind w:left="60" w:right="60"/>
              <w:jc w:val="right"/>
            </w:pPr>
          </w:p>
        </w:tc>
        <w:tc>
          <w:tcPr>
            <w:tcW w:w="720" w:type="dxa"/>
            <w:shd w:val="clear" w:color="auto" w:fill="EFEFEF"/>
            <w:tcMar>
              <w:top w:w="0" w:type="dxa"/>
              <w:left w:w="0" w:type="dxa"/>
              <w:bottom w:w="0" w:type="dxa"/>
              <w:right w:w="0" w:type="dxa"/>
            </w:tcMar>
            <w:vAlign w:val="center"/>
          </w:tcPr>
          <w:p w14:paraId="55555D25" w14:textId="77777777" w:rsidR="00686583" w:rsidRDefault="00686583">
            <w:pPr>
              <w:spacing w:before="60" w:after="60"/>
              <w:ind w:left="60" w:right="60"/>
              <w:jc w:val="right"/>
            </w:pPr>
          </w:p>
        </w:tc>
        <w:tc>
          <w:tcPr>
            <w:tcW w:w="720" w:type="dxa"/>
            <w:shd w:val="clear" w:color="auto" w:fill="EFEFEF"/>
            <w:tcMar>
              <w:top w:w="0" w:type="dxa"/>
              <w:left w:w="0" w:type="dxa"/>
              <w:bottom w:w="0" w:type="dxa"/>
              <w:right w:w="0" w:type="dxa"/>
            </w:tcMar>
            <w:vAlign w:val="center"/>
          </w:tcPr>
          <w:p w14:paraId="46E343EF" w14:textId="77777777" w:rsidR="00686583" w:rsidRDefault="00EF7C11">
            <w:pPr>
              <w:spacing w:before="60" w:after="60"/>
              <w:ind w:left="60" w:right="60"/>
              <w:jc w:val="right"/>
            </w:pPr>
            <w:r>
              <w:rPr>
                <w:rFonts w:ascii="Arial" w:eastAsia="DejaVu Sans" w:hAnsi="DejaVu Sans" w:cs="DejaVu Sans"/>
                <w:color w:val="000000"/>
                <w:sz w:val="20"/>
                <w:szCs w:val="20"/>
              </w:rPr>
              <w:t>30,857</w:t>
            </w:r>
          </w:p>
        </w:tc>
        <w:tc>
          <w:tcPr>
            <w:tcW w:w="720" w:type="dxa"/>
            <w:shd w:val="clear" w:color="auto" w:fill="EFEFEF"/>
            <w:tcMar>
              <w:top w:w="0" w:type="dxa"/>
              <w:left w:w="0" w:type="dxa"/>
              <w:bottom w:w="0" w:type="dxa"/>
              <w:right w:w="0" w:type="dxa"/>
            </w:tcMar>
            <w:vAlign w:val="center"/>
          </w:tcPr>
          <w:p w14:paraId="17B20C75" w14:textId="77777777" w:rsidR="00686583" w:rsidRDefault="00686583">
            <w:pPr>
              <w:spacing w:before="60" w:after="60"/>
              <w:ind w:left="60" w:right="60"/>
              <w:jc w:val="right"/>
            </w:pPr>
          </w:p>
        </w:tc>
        <w:tc>
          <w:tcPr>
            <w:tcW w:w="720" w:type="dxa"/>
            <w:shd w:val="clear" w:color="auto" w:fill="EFEFEF"/>
            <w:tcMar>
              <w:top w:w="0" w:type="dxa"/>
              <w:left w:w="0" w:type="dxa"/>
              <w:bottom w:w="0" w:type="dxa"/>
              <w:right w:w="0" w:type="dxa"/>
            </w:tcMar>
            <w:vAlign w:val="center"/>
          </w:tcPr>
          <w:p w14:paraId="249495CF" w14:textId="77777777" w:rsidR="00686583" w:rsidRDefault="00686583">
            <w:pPr>
              <w:spacing w:before="60" w:after="60"/>
              <w:ind w:left="60" w:right="60"/>
              <w:jc w:val="right"/>
            </w:pPr>
          </w:p>
        </w:tc>
        <w:tc>
          <w:tcPr>
            <w:tcW w:w="720" w:type="dxa"/>
            <w:shd w:val="clear" w:color="auto" w:fill="EFEFEF"/>
            <w:tcMar>
              <w:top w:w="0" w:type="dxa"/>
              <w:left w:w="0" w:type="dxa"/>
              <w:bottom w:w="0" w:type="dxa"/>
              <w:right w:w="0" w:type="dxa"/>
            </w:tcMar>
            <w:vAlign w:val="center"/>
          </w:tcPr>
          <w:p w14:paraId="7343ED9A" w14:textId="77777777" w:rsidR="00686583" w:rsidRDefault="00686583">
            <w:pPr>
              <w:spacing w:before="60" w:after="60"/>
              <w:ind w:left="60" w:right="60"/>
              <w:jc w:val="right"/>
            </w:pPr>
          </w:p>
        </w:tc>
        <w:tc>
          <w:tcPr>
            <w:tcW w:w="720" w:type="dxa"/>
            <w:shd w:val="clear" w:color="auto" w:fill="EFEFEF"/>
            <w:tcMar>
              <w:top w:w="0" w:type="dxa"/>
              <w:left w:w="0" w:type="dxa"/>
              <w:bottom w:w="0" w:type="dxa"/>
              <w:right w:w="0" w:type="dxa"/>
            </w:tcMar>
            <w:vAlign w:val="center"/>
          </w:tcPr>
          <w:p w14:paraId="0FFF311F" w14:textId="77777777" w:rsidR="00686583" w:rsidRDefault="00EF7C11">
            <w:pPr>
              <w:spacing w:before="60" w:after="60"/>
              <w:ind w:left="60" w:right="60"/>
              <w:jc w:val="right"/>
            </w:pPr>
            <w:r>
              <w:rPr>
                <w:rFonts w:ascii="Arial" w:eastAsia="DejaVu Sans" w:hAnsi="DejaVu Sans" w:cs="DejaVu Sans"/>
                <w:color w:val="000000"/>
                <w:sz w:val="20"/>
                <w:szCs w:val="20"/>
              </w:rPr>
              <w:t>63.2</w:t>
            </w:r>
          </w:p>
        </w:tc>
        <w:tc>
          <w:tcPr>
            <w:tcW w:w="720" w:type="dxa"/>
            <w:shd w:val="clear" w:color="auto" w:fill="EFEFEF"/>
            <w:tcMar>
              <w:top w:w="0" w:type="dxa"/>
              <w:left w:w="0" w:type="dxa"/>
              <w:bottom w:w="0" w:type="dxa"/>
              <w:right w:w="0" w:type="dxa"/>
            </w:tcMar>
            <w:vAlign w:val="center"/>
          </w:tcPr>
          <w:p w14:paraId="4C0C359F" w14:textId="77777777" w:rsidR="00686583" w:rsidRDefault="00686583">
            <w:pPr>
              <w:spacing w:before="60" w:after="60"/>
              <w:ind w:left="60" w:right="60"/>
              <w:jc w:val="right"/>
            </w:pPr>
          </w:p>
        </w:tc>
        <w:tc>
          <w:tcPr>
            <w:tcW w:w="720" w:type="dxa"/>
            <w:shd w:val="clear" w:color="auto" w:fill="EFEFEF"/>
            <w:tcMar>
              <w:top w:w="0" w:type="dxa"/>
              <w:left w:w="0" w:type="dxa"/>
              <w:bottom w:w="0" w:type="dxa"/>
              <w:right w:w="0" w:type="dxa"/>
            </w:tcMar>
            <w:vAlign w:val="center"/>
          </w:tcPr>
          <w:p w14:paraId="0B71F9EB" w14:textId="77777777" w:rsidR="00686583" w:rsidRDefault="00EF7C11">
            <w:pPr>
              <w:spacing w:before="60" w:after="60"/>
              <w:ind w:left="60" w:right="60"/>
              <w:jc w:val="right"/>
            </w:pPr>
            <w:r>
              <w:rPr>
                <w:rFonts w:ascii="Arial" w:eastAsia="DejaVu Sans" w:hAnsi="DejaVu Sans" w:cs="DejaVu Sans"/>
                <w:color w:val="000000"/>
                <w:sz w:val="20"/>
                <w:szCs w:val="20"/>
              </w:rPr>
              <w:t>--</w:t>
            </w:r>
          </w:p>
        </w:tc>
      </w:tr>
    </w:tbl>
    <w:p w14:paraId="01DF0B48" w14:textId="77777777" w:rsidR="00686583" w:rsidRDefault="00686583">
      <w:pPr>
        <w:pStyle w:val="FirstParagraph"/>
      </w:pPr>
    </w:p>
    <w:p w14:paraId="64C08339" w14:textId="77777777" w:rsidR="00686583" w:rsidRDefault="00EF7C11">
      <w:r>
        <w:br w:type="page"/>
      </w:r>
    </w:p>
    <w:p w14:paraId="48771925" w14:textId="77777777" w:rsidR="00686583" w:rsidRDefault="00EF7C11">
      <w:pPr>
        <w:numPr>
          <w:ilvl w:val="0"/>
          <w:numId w:val="9"/>
        </w:numPr>
      </w:pPr>
      <w:r>
        <w:lastRenderedPageBreak/>
        <w:t>Figure 4 below (and Appendix Table 1) shows 2017-2020 quarterly trends in conditions that had large percentage or large absolute increases from 2019 to 2020.</w:t>
      </w:r>
    </w:p>
    <w:p w14:paraId="1C0C7F74" w14:textId="77777777" w:rsidR="00686583" w:rsidRDefault="00EF7C11">
      <w:pPr>
        <w:numPr>
          <w:ilvl w:val="0"/>
          <w:numId w:val="9"/>
        </w:numPr>
      </w:pPr>
      <w:r>
        <w:t>As noted above, homicide deaths increased substantially in 2020, and strikingly by quarter. Homicide rates increased 24% in the 2nd quarter, 43% in the 3rd quarter and 54% in the 4th quarter 2020 compared to respective quarters in 2019.</w:t>
      </w:r>
    </w:p>
    <w:p w14:paraId="268244E8" w14:textId="77777777" w:rsidR="00686583" w:rsidRDefault="00EF7C11">
      <w:pPr>
        <w:numPr>
          <w:ilvl w:val="0"/>
          <w:numId w:val="9"/>
        </w:numPr>
      </w:pPr>
      <w:r>
        <w:t>COVID-19 emerged in early 2020 and deaths increased rapidly not only in California, but almost everywhere, as a massive global pandemic. In the 4th quarter of 2020, COVID-19 was, by far, the leading cause of death in California.</w:t>
      </w:r>
    </w:p>
    <w:p w14:paraId="6E9A41DC" w14:textId="77777777" w:rsidR="00686583" w:rsidRDefault="00686583">
      <w:pPr>
        <w:pStyle w:val="FirstParagraph"/>
      </w:pPr>
    </w:p>
    <w:p w14:paraId="2EDD7D00" w14:textId="77777777" w:rsidR="00686583" w:rsidRDefault="00EF7C11">
      <w:pPr>
        <w:pStyle w:val="Heading3"/>
      </w:pPr>
      <w:bookmarkStart w:id="11" w:name="X3c60787fb3ba643dc6ef019792a4f3254c6666c"/>
      <w:bookmarkEnd w:id="10"/>
      <w:r>
        <w:t>Figure 4 - Quarterly Trend in Selected Causes of Death 2017-2020</w:t>
      </w:r>
    </w:p>
    <w:p w14:paraId="02112805" w14:textId="77777777" w:rsidR="00686583" w:rsidRDefault="00EF7C11">
      <w:pPr>
        <w:pStyle w:val="FirstParagraph"/>
      </w:pPr>
      <w:r>
        <w:rPr>
          <w:noProof/>
        </w:rPr>
        <w:drawing>
          <wp:inline distT="0" distB="0" distL="0" distR="0" wp14:anchorId="2E30DB53" wp14:editId="11524FE6">
            <wp:extent cx="6858000" cy="255117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2020_Excess_Mortality---Copy_files/figure-docx/unnamed-chunk-11-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858000" cy="2551176"/>
                    </a:xfrm>
                    <a:prstGeom prst="rect">
                      <a:avLst/>
                    </a:prstGeom>
                    <a:noFill/>
                    <a:ln w="9525">
                      <a:noFill/>
                      <a:headEnd/>
                      <a:tailEnd/>
                    </a:ln>
                  </pic:spPr>
                </pic:pic>
              </a:graphicData>
            </a:graphic>
          </wp:inline>
        </w:drawing>
      </w:r>
    </w:p>
    <w:p w14:paraId="6738F213" w14:textId="77777777" w:rsidR="00686583" w:rsidRDefault="00686583">
      <w:pPr>
        <w:pStyle w:val="BodyText"/>
      </w:pPr>
    </w:p>
    <w:p w14:paraId="0EABADD5" w14:textId="77777777" w:rsidR="00686583" w:rsidRDefault="00686583">
      <w:pPr>
        <w:pStyle w:val="BodyText"/>
      </w:pPr>
    </w:p>
    <w:p w14:paraId="6B387036" w14:textId="77777777" w:rsidR="00686583" w:rsidRDefault="00EF7C11">
      <w:pPr>
        <w:pStyle w:val="Heading2"/>
      </w:pPr>
      <w:bookmarkStart w:id="12" w:name="X1b505cb26139c50ca112149a50ed3947408a838"/>
      <w:bookmarkEnd w:id="9"/>
      <w:bookmarkEnd w:id="11"/>
      <w:r>
        <w:t>The amount of increase in deaths and conditions associated with the increase differed substantially by age and race/ethnicity</w:t>
      </w:r>
    </w:p>
    <w:p w14:paraId="6F35AB6B" w14:textId="77777777" w:rsidR="00686583" w:rsidRDefault="00EF7C11">
      <w:pPr>
        <w:numPr>
          <w:ilvl w:val="0"/>
          <w:numId w:val="10"/>
        </w:numPr>
      </w:pPr>
      <w:r>
        <w:t>In general, a large proportion</w:t>
      </w:r>
      <w:r>
        <w:rPr>
          <w:vertAlign w:val="superscript"/>
        </w:rPr>
        <w:t>1</w:t>
      </w:r>
      <w:r>
        <w:t xml:space="preserve"> of the increase in deaths among older persons was due to COVID-19 while a large proportion of the increase in deaths among younger persons was due to other conditions.</w:t>
      </w:r>
    </w:p>
    <w:p w14:paraId="78FE25F9" w14:textId="77777777" w:rsidR="00686583" w:rsidRDefault="00EF7C11">
      <w:pPr>
        <w:numPr>
          <w:ilvl w:val="0"/>
          <w:numId w:val="10"/>
        </w:numPr>
      </w:pPr>
      <w:r>
        <w:t>As seen in Figure 5 (and detailed in Appendix Figure Set 3 and Appendix Table 2), the greatest percentage increases in the number of deaths were among older Latinos, younger Blacks, and 35-44 year-old AI/AN.</w:t>
      </w:r>
    </w:p>
    <w:p w14:paraId="4903B645" w14:textId="77777777" w:rsidR="00686583" w:rsidRDefault="00EF7C11">
      <w:pPr>
        <w:numPr>
          <w:ilvl w:val="0"/>
          <w:numId w:val="10"/>
        </w:numPr>
      </w:pPr>
      <w:r>
        <w:t>While the striking increases among Blacks ages 5-14 and 15-24 are particularly concerning for a range of reasons, it is important to note that large percentage increases among young persons represent a smaller number of deaths than among older persons.</w:t>
      </w:r>
    </w:p>
    <w:p w14:paraId="2E7455CD" w14:textId="77777777" w:rsidR="00686583" w:rsidRDefault="00EF7C11">
      <w:pPr>
        <w:numPr>
          <w:ilvl w:val="0"/>
          <w:numId w:val="10"/>
        </w:numPr>
      </w:pPr>
      <w:r>
        <w:lastRenderedPageBreak/>
        <w:t>Of the 465 deaths (an increase of 156 deaths) among 15-24 year old Blacks in 2020, the greatest contributing causes were homicide, road injury, and drug overdose. Specifically, 137 (increase of 22 deaths) were due to homicides, 82 (increase of 28) to road injury, 75 (increase of 41) to drug overdoses, and 27 (increase of 17) to “ill-defined” conditions, some of which will be clarified in the coming months. These concerns are of course not restricted to just one race/ethnic group. For example, these same causes were leading contributors to the 1,965 deaths among Latinos aged 15-24 in 2020. Specifically, 436 (increase of 211 deaths) were due to drug overdoses, 334 (increase of 85) to homicide, 411 (increase of 64) to road injury, as well as 106 (increase of 78) to “ill-defined” conditions and 51 to COVID-19. These cause-specific data by race/ethnicity and age are available in Appendix Table 3.</w:t>
      </w:r>
    </w:p>
    <w:p w14:paraId="400C600E" w14:textId="77777777" w:rsidR="00686583" w:rsidRDefault="00EF7C11">
      <w:pPr>
        <w:numPr>
          <w:ilvl w:val="0"/>
          <w:numId w:val="10"/>
        </w:numPr>
      </w:pPr>
      <w:r>
        <w:t>Of the 106 deaths (an increase of 46 deaths) among 35-44 year old AI/AN in 2020, the greatest contributing causes were drug overdose, 22 (increase of 14 deaths) and road injury, 11 (increase of 6).</w:t>
      </w:r>
    </w:p>
    <w:p w14:paraId="35CDD6F9" w14:textId="77777777" w:rsidR="00686583" w:rsidRDefault="00686583">
      <w:pPr>
        <w:pStyle w:val="FirstParagraph"/>
      </w:pPr>
    </w:p>
    <w:p w14:paraId="34BCD8C9" w14:textId="77777777" w:rsidR="00686583" w:rsidRDefault="00EF7C11">
      <w:pPr>
        <w:pStyle w:val="Heading3"/>
      </w:pPr>
      <w:bookmarkStart w:id="13" w:name="X656be3fad733fdea72520918d715a1b96f667d7"/>
      <w:r>
        <w:t>Figure 5 - Percent Increase in Number of Deaths 2019 to 2020 by Age Group and Race/Ethnicity and Proportion</w:t>
      </w:r>
      <w:r>
        <w:rPr>
          <w:vertAlign w:val="superscript"/>
        </w:rPr>
        <w:t>1</w:t>
      </w:r>
      <w:r>
        <w:t xml:space="preserve"> of Increase due to COVID-19</w:t>
      </w:r>
    </w:p>
    <w:p w14:paraId="4BD5780D" w14:textId="77777777" w:rsidR="00686583" w:rsidRDefault="00EF7C11">
      <w:pPr>
        <w:pStyle w:val="FirstParagraph"/>
      </w:pPr>
      <w:r>
        <w:rPr>
          <w:noProof/>
        </w:rPr>
        <w:drawing>
          <wp:inline distT="0" distB="0" distL="0" distR="0" wp14:anchorId="6DB0EC0C" wp14:editId="1DCFD7E4">
            <wp:extent cx="6858000" cy="2743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2020_Excess_Mortality---Copy_files/figure-docx/unnamed-chunk-12-1.png"/>
                    <pic:cNvPicPr>
                      <a:picLocks noChangeAspect="1" noChangeArrowheads="1"/>
                    </pic:cNvPicPr>
                  </pic:nvPicPr>
                  <pic:blipFill>
                    <a:blip r:embed="rId13"/>
                    <a:stretch>
                      <a:fillRect/>
                    </a:stretch>
                  </pic:blipFill>
                  <pic:spPr bwMode="auto">
                    <a:xfrm>
                      <a:off x="0" y="0"/>
                      <a:ext cx="6858000" cy="2743200"/>
                    </a:xfrm>
                    <a:prstGeom prst="rect">
                      <a:avLst/>
                    </a:prstGeom>
                    <a:noFill/>
                    <a:ln w="9525">
                      <a:noFill/>
                      <a:headEnd/>
                      <a:tailEnd/>
                    </a:ln>
                  </pic:spPr>
                </pic:pic>
              </a:graphicData>
            </a:graphic>
          </wp:inline>
        </w:drawing>
      </w:r>
    </w:p>
    <w:p w14:paraId="576B6D2D" w14:textId="77777777" w:rsidR="00686583" w:rsidRDefault="00EF7C11">
      <w:pPr>
        <w:pStyle w:val="Heading5"/>
      </w:pPr>
      <w:bookmarkStart w:id="14" w:name="X9fb2ddfc1b0b38ce579117963d8f2bed31a4c7c"/>
      <w:r>
        <w:t>1 - The “cause index” is, rather than a direct proportion, the ratio of the number of COVID-19 deaths in 2020 to the total increase in deaths from 2019 to 2020, and is truncated at 1.0. See the Methods section for details.</w:t>
      </w:r>
    </w:p>
    <w:p w14:paraId="4F484B1C" w14:textId="77777777" w:rsidR="00686583" w:rsidRDefault="00EF7C11">
      <w:pPr>
        <w:pStyle w:val="Heading5"/>
      </w:pPr>
      <w:bookmarkStart w:id="15" w:name="X04b6169410b8b52275fd1c42e199bca6f68ea0f"/>
      <w:bookmarkEnd w:id="14"/>
      <w:r>
        <w:t>* - For younger NH/PI and AI/AN age groups, the underlying number of deaths for 2019 and/or 2020 is &lt;25 so data are not shown</w:t>
      </w:r>
    </w:p>
    <w:p w14:paraId="2376635D" w14:textId="77777777" w:rsidR="00686583" w:rsidRDefault="00686583">
      <w:pPr>
        <w:pStyle w:val="FirstParagraph"/>
      </w:pPr>
    </w:p>
    <w:p w14:paraId="0FCEB9BC" w14:textId="77777777" w:rsidR="00686583" w:rsidRDefault="00EF7C11">
      <w:r>
        <w:br w:type="page"/>
      </w:r>
    </w:p>
    <w:p w14:paraId="08B817B3" w14:textId="77777777" w:rsidR="00686583" w:rsidRDefault="00EF7C11">
      <w:pPr>
        <w:pStyle w:val="Heading1"/>
      </w:pPr>
      <w:bookmarkStart w:id="16" w:name="data-methods-and-technical-notes"/>
      <w:bookmarkEnd w:id="1"/>
      <w:bookmarkEnd w:id="12"/>
      <w:bookmarkEnd w:id="13"/>
      <w:bookmarkEnd w:id="15"/>
      <w:r>
        <w:lastRenderedPageBreak/>
        <w:t>Data, Methods, and Technical Notes</w:t>
      </w:r>
    </w:p>
    <w:p w14:paraId="1971DC8F" w14:textId="77777777" w:rsidR="00686583" w:rsidRDefault="00EF7C11">
      <w:pPr>
        <w:numPr>
          <w:ilvl w:val="0"/>
          <w:numId w:val="11"/>
        </w:numPr>
      </w:pPr>
      <w:r>
        <w:t>This Data Brief is a follow up to findings in the 2020 State of Public Health Report, part of the State Health Assessment.</w:t>
      </w:r>
    </w:p>
    <w:p w14:paraId="40272C12" w14:textId="77777777" w:rsidR="00686583" w:rsidRDefault="00EF7C11">
      <w:pPr>
        <w:numPr>
          <w:ilvl w:val="0"/>
          <w:numId w:val="11"/>
        </w:numPr>
      </w:pPr>
      <w:r>
        <w:t>Death data are from the California Integrated Vital Records (CalIVRS) system, based on death certificates/reports transmitted to the California Department of Public Health, Center for Health Statistics and Informatics (CHSI):</w:t>
      </w:r>
    </w:p>
    <w:p w14:paraId="39D28B60" w14:textId="77777777" w:rsidR="00686583" w:rsidRDefault="00EF7C11">
      <w:pPr>
        <w:pStyle w:val="Compact"/>
        <w:numPr>
          <w:ilvl w:val="1"/>
          <w:numId w:val="12"/>
        </w:numPr>
      </w:pPr>
      <w:r>
        <w:t>2020 deaths are based on data received from CHSI on April 12, 2021. Additional 2020 deaths will continue to be reported subsequent to that date, and cause of death information will change for some deaths already reported. However, based on examination of the data and historic precedence, it is highly unlikely that the statewide patterns and trends described in the report will change in any meaningful way once final 2020 data are available (in the Fall of 2021).</w:t>
      </w:r>
    </w:p>
    <w:p w14:paraId="5D39BDBC" w14:textId="77777777" w:rsidR="00686583" w:rsidRDefault="00EF7C11">
      <w:pPr>
        <w:numPr>
          <w:ilvl w:val="0"/>
          <w:numId w:val="11"/>
        </w:numPr>
      </w:pPr>
      <w:r>
        <w:t xml:space="preserve">All death numbers and rates in this analysis are based only on the </w:t>
      </w:r>
      <w:r>
        <w:rPr>
          <w:u w:val="single"/>
        </w:rPr>
        <w:t>primary underlying cause of death</w:t>
      </w:r>
      <w:r>
        <w:t>, not on any secondary contributing factors (i.e. no “multiple cause of death” codes are included).</w:t>
      </w:r>
    </w:p>
    <w:p w14:paraId="0B30C9AA" w14:textId="77777777" w:rsidR="00686583" w:rsidRDefault="00EF7C11">
      <w:pPr>
        <w:numPr>
          <w:ilvl w:val="0"/>
          <w:numId w:val="11"/>
        </w:numPr>
      </w:pPr>
      <w:r>
        <w:t>Deaths in this Data Brief are based on this vital statistic data, and death numbers may differ from numbers reported based on other systems. In particular, numbers of deaths from COVID-19 may differ from COVID-19 death numbers posted on CDPH, National, or other web sites. Those sites can include reports of deaths from sources other than death certificates and/or on deaths where COVID-19 is not listed as the “primary” cause of death.</w:t>
      </w:r>
    </w:p>
    <w:p w14:paraId="69B5359A" w14:textId="77777777" w:rsidR="00686583" w:rsidRDefault="00EF7C11">
      <w:pPr>
        <w:numPr>
          <w:ilvl w:val="0"/>
          <w:numId w:val="11"/>
        </w:numPr>
      </w:pPr>
      <w:r>
        <w:t xml:space="preserve">The grouping of ICD-10 cause of death codes into condition categories is based on the California Burden of Disease System, a California-modified version of the Global Burden of Disease system. Details of this system are available on the California Community Burden of Disease Engine (CCB), in the </w:t>
      </w:r>
      <w:r>
        <w:rPr>
          <w:b/>
          <w:bCs/>
        </w:rPr>
        <w:t>About -&gt; Technical Documentation</w:t>
      </w:r>
      <w:r>
        <w:t xml:space="preserve"> tab. Of specific note for this Data Brief:</w:t>
      </w:r>
    </w:p>
    <w:p w14:paraId="67D653A6" w14:textId="77777777" w:rsidR="00686583" w:rsidRDefault="00EF7C11">
      <w:pPr>
        <w:numPr>
          <w:ilvl w:val="1"/>
          <w:numId w:val="13"/>
        </w:numPr>
      </w:pPr>
      <w:r>
        <w:t>“COVID-19” is based on ICD-10 codes U07.1.</w:t>
      </w:r>
    </w:p>
    <w:p w14:paraId="2453E711" w14:textId="77777777" w:rsidR="00686583" w:rsidRDefault="005961A4">
      <w:pPr>
        <w:numPr>
          <w:ilvl w:val="2"/>
          <w:numId w:val="14"/>
        </w:numPr>
      </w:pPr>
      <w:hyperlink r:id="rId14">
        <w:r w:rsidR="00EF7C11">
          <w:rPr>
            <w:rStyle w:val="Hyperlink"/>
          </w:rPr>
          <w:t>ICD code introduced for COVID-19 deaths</w:t>
        </w:r>
      </w:hyperlink>
    </w:p>
    <w:p w14:paraId="41D42FE6" w14:textId="77777777" w:rsidR="00686583" w:rsidRDefault="005961A4">
      <w:pPr>
        <w:numPr>
          <w:ilvl w:val="2"/>
          <w:numId w:val="14"/>
        </w:numPr>
      </w:pPr>
      <w:hyperlink r:id="rId15">
        <w:r w:rsidR="00EF7C11">
          <w:rPr>
            <w:rStyle w:val="Hyperlink"/>
          </w:rPr>
          <w:t>CDC report supporting the accuracy of COVID-19 mortality surveillance</w:t>
        </w:r>
      </w:hyperlink>
    </w:p>
    <w:p w14:paraId="043E514A" w14:textId="77777777" w:rsidR="00686583" w:rsidRDefault="00EF7C11">
      <w:pPr>
        <w:numPr>
          <w:ilvl w:val="1"/>
          <w:numId w:val="13"/>
        </w:numPr>
      </w:pPr>
      <w:r>
        <w:t>The “Drug overdose” condition includes “accidental poisonings by drugs” codes (X40-X44) and “substance use disorder codes” (F11-F16, F18, F19), but not “alcohol use disorder” (F10). The drug overdose condition also includes “newborn (suspected to be) affected by maternal use of drugs of addiction” (P044).</w:t>
      </w:r>
    </w:p>
    <w:p w14:paraId="65C14957" w14:textId="77777777" w:rsidR="00686583" w:rsidRDefault="00EF7C11">
      <w:pPr>
        <w:numPr>
          <w:ilvl w:val="0"/>
          <w:numId w:val="11"/>
        </w:numPr>
      </w:pPr>
      <w:r>
        <w:t>Population denominator data for rate calculations are from the California Department of Finance (DOF) Population Projections (Baseline 2019) Table P-3: Complete State and County Projections Dataset.</w:t>
      </w:r>
    </w:p>
    <w:p w14:paraId="4327770E" w14:textId="77777777" w:rsidR="00686583" w:rsidRDefault="00EF7C11">
      <w:pPr>
        <w:numPr>
          <w:ilvl w:val="0"/>
          <w:numId w:val="11"/>
        </w:numPr>
      </w:pPr>
      <w:r>
        <w:t>Unless otherwise specified, the term “rate” throughout this Data Brief means age-adjusted death rate per 100,000 population.</w:t>
      </w:r>
    </w:p>
    <w:p w14:paraId="5C0F35DE" w14:textId="77777777" w:rsidR="00686583" w:rsidRDefault="00EF7C11">
      <w:pPr>
        <w:numPr>
          <w:ilvl w:val="0"/>
          <w:numId w:val="11"/>
        </w:numPr>
      </w:pPr>
      <w:r>
        <w:lastRenderedPageBreak/>
        <w:t>Age-adjusted rates are calculated using the “direct” method, with the CDC standard 2000 projected U.S. population published by CDC/NCHS in January 2001–specifically, Table 2, Distribution #1 was used, but with age groups &lt;1 and 1-4 combined.</w:t>
      </w:r>
    </w:p>
    <w:p w14:paraId="4E92610F" w14:textId="77777777" w:rsidR="00686583" w:rsidRDefault="00EF7C11">
      <w:pPr>
        <w:numPr>
          <w:ilvl w:val="0"/>
          <w:numId w:val="11"/>
        </w:numPr>
      </w:pPr>
      <w:r>
        <w:t>Race/ethnicity is grouped and coded using standard CDPH methods and is detailed in the CCB technical documentation. Persons coded as “multi-race” are excluded from race-specific data, because numerator-denominator mis-alignment makes such rates uninterpretable.</w:t>
      </w:r>
    </w:p>
    <w:p w14:paraId="60A26D5D" w14:textId="77777777" w:rsidR="00686583" w:rsidRDefault="00EF7C11">
      <w:pPr>
        <w:numPr>
          <w:ilvl w:val="0"/>
          <w:numId w:val="11"/>
        </w:numPr>
      </w:pPr>
      <w:r>
        <w:t xml:space="preserve">The data in </w:t>
      </w:r>
      <w:r>
        <w:rPr>
          <w:b/>
          <w:bCs/>
        </w:rPr>
        <w:t>Table 2</w:t>
      </w:r>
      <w:r>
        <w:t xml:space="preserve"> were first restricted to causes of death for which there were &gt; 500 deaths in </w:t>
      </w:r>
      <w:r>
        <w:rPr>
          <w:u w:val="single"/>
        </w:rPr>
        <w:t>any</w:t>
      </w:r>
      <w:r>
        <w:t xml:space="preserve"> year, 2017-2020. Then, among those causes, the data were restricted to causes that had among the top five relative (percent change in age-adjusted death rate) or absolute (change in number of deaths) increases from 2019 to 2020 or among the bottom three relative or absolute decreases.</w:t>
      </w:r>
    </w:p>
    <w:p w14:paraId="524A7EB9" w14:textId="77777777" w:rsidR="00686583" w:rsidRDefault="00EF7C11">
      <w:pPr>
        <w:numPr>
          <w:ilvl w:val="0"/>
          <w:numId w:val="11"/>
        </w:numPr>
      </w:pPr>
      <w:r>
        <w:t xml:space="preserve">The data in </w:t>
      </w:r>
      <w:r>
        <w:rPr>
          <w:b/>
          <w:bCs/>
        </w:rPr>
        <w:t>Figure 4 and Appendix Table 2</w:t>
      </w:r>
      <w:r>
        <w:t xml:space="preserve"> are restricted to causes of death for which there were &gt; 500 deaths in </w:t>
      </w:r>
      <w:r>
        <w:rPr>
          <w:u w:val="single"/>
        </w:rPr>
        <w:t>any quarter of any year</w:t>
      </w:r>
      <w:r>
        <w:t>, 2017-2020, and among those the causes that were among the top three relative or absolute increases from Quarter 2, 3 or 4 in 2019 to the same quarter in 2020.</w:t>
      </w:r>
    </w:p>
    <w:p w14:paraId="0EEC554E" w14:textId="77777777" w:rsidR="00686583" w:rsidRDefault="00EF7C11">
      <w:pPr>
        <w:pStyle w:val="Compact"/>
        <w:numPr>
          <w:ilvl w:val="1"/>
          <w:numId w:val="15"/>
        </w:numPr>
      </w:pPr>
      <w:r>
        <w:t>Figure 4 also includes COVID-19 for reference, even though there is no prior year comparison.</w:t>
      </w:r>
    </w:p>
    <w:p w14:paraId="1B913980" w14:textId="77777777" w:rsidR="00686583" w:rsidRDefault="00EF7C11">
      <w:pPr>
        <w:pStyle w:val="Compact"/>
        <w:numPr>
          <w:ilvl w:val="1"/>
          <w:numId w:val="15"/>
        </w:numPr>
      </w:pPr>
      <w:r>
        <w:t xml:space="preserve">Appendix Table 2 also includes causes of death among the bottom two respective relative or absolute decreases. </w:t>
      </w:r>
    </w:p>
    <w:p w14:paraId="2D57A4C4" w14:textId="77777777" w:rsidR="00686583" w:rsidRDefault="00EF7C11">
      <w:pPr>
        <w:numPr>
          <w:ilvl w:val="0"/>
          <w:numId w:val="11"/>
        </w:numPr>
      </w:pPr>
      <w:r>
        <w:t xml:space="preserve">For </w:t>
      </w:r>
      <w:r>
        <w:rPr>
          <w:b/>
          <w:bCs/>
        </w:rPr>
        <w:t>Figure 5</w:t>
      </w:r>
      <w:r>
        <w:t xml:space="preserve">, the overall length of each bar is the percent increase in the </w:t>
      </w:r>
      <w:r>
        <w:rPr>
          <w:b/>
          <w:bCs/>
        </w:rPr>
        <w:t>number</w:t>
      </w:r>
      <w:r>
        <w:t xml:space="preserve"> of deaths from all cases from 2019 to 2020 in the specific age and race/ethnic group. The “Cause Index” was constructed by first calculating the ratio of the number of COVID-19 deaths (in 2020) in each group to the total increase in the the number of deaths in that group. If that ratio was greater than 1.0 (i.e. the number of COVID-19 deaths in 2020 was greater than the increase in number of deaths from 2019 to 2020), the ratio was set to one. The COVID-19 proportion of each bar is the product of that ratio and that overall percent increase; the “Other cause” proportion is the remainder of each bar.</w:t>
      </w:r>
    </w:p>
    <w:p w14:paraId="1658AEB3" w14:textId="77777777" w:rsidR="00686583" w:rsidRDefault="00EF7C11">
      <w:pPr>
        <w:numPr>
          <w:ilvl w:val="0"/>
          <w:numId w:val="11"/>
        </w:numPr>
      </w:pPr>
      <w:r>
        <w:t>All analysis and data display were conducted using R and this document was generated using R markdown. All data and numbers in this document were generated/extracted directly from the data; no numbers were “hand transcribed”. This approach provides internal documentation and facilitates updating, reproducibility, and reuse.</w:t>
      </w:r>
    </w:p>
    <w:p w14:paraId="6332C50B" w14:textId="77777777" w:rsidR="00686583" w:rsidRDefault="00EF7C11">
      <w:pPr>
        <w:numPr>
          <w:ilvl w:val="0"/>
          <w:numId w:val="11"/>
        </w:numPr>
      </w:pPr>
      <w:r>
        <w:t>All data and visualizations in the Data Brief are available at the county level, at the request of the respective county health department.</w:t>
      </w:r>
    </w:p>
    <w:p w14:paraId="2DBE23CB" w14:textId="77777777" w:rsidR="00686583" w:rsidRDefault="00686583">
      <w:pPr>
        <w:pStyle w:val="FirstParagraph"/>
      </w:pPr>
    </w:p>
    <w:p w14:paraId="726FF2B1" w14:textId="77777777" w:rsidR="00686583" w:rsidRDefault="00EF7C11">
      <w:pPr>
        <w:pStyle w:val="Heading1"/>
      </w:pPr>
      <w:bookmarkStart w:id="17" w:name="discussion"/>
      <w:bookmarkEnd w:id="16"/>
      <w:r>
        <w:t>Discussion</w:t>
      </w:r>
    </w:p>
    <w:p w14:paraId="4BBE693C" w14:textId="77777777" w:rsidR="00686583" w:rsidRDefault="00EF7C11">
      <w:pPr>
        <w:numPr>
          <w:ilvl w:val="0"/>
          <w:numId w:val="16"/>
        </w:numPr>
      </w:pPr>
      <w:r>
        <w:t>Deaths increased 15.9% in 2020 compared to 2019, with most of this increase due to COVID-19. The death rate increased as the year progressed–COVID-19 was the leading cause of death in the 4th quarter of 2020, with a 30.6% increase in the death rate that quarter compared to the 4th quarter of 2019. Deaths among Latinos increased 34.1% in 2020, including a staggering 62.5% increase in the 4th quarter compared to the 4th quarter of 2019.</w:t>
      </w:r>
    </w:p>
    <w:p w14:paraId="62D8033A" w14:textId="77777777" w:rsidR="00686583" w:rsidRDefault="00EF7C11">
      <w:pPr>
        <w:numPr>
          <w:ilvl w:val="0"/>
          <w:numId w:val="16"/>
        </w:numPr>
      </w:pPr>
      <w:r>
        <w:lastRenderedPageBreak/>
        <w:t xml:space="preserve">Deaths from a number of other conditions also increased, including drug overdoses, Alzheimer’s disease and other dementias, homicide, ischemic heart disease, and others. The increase in ischemic heart disease, the leading cause of death in California, is a reversal of a 20 year downward trend. The sharp increase in homicides reverses three prior years of decreases, and results in rates not seen since 2007. Charts showing these trends are available in the Appendix </w:t>
      </w:r>
      <w:hyperlink r:id="rId16">
        <w:r>
          <w:rPr>
            <w:rStyle w:val="Hyperlink"/>
          </w:rPr>
          <w:t>HERE</w:t>
        </w:r>
      </w:hyperlink>
      <w:r>
        <w:t xml:space="preserve"> and are available for all California counties </w:t>
      </w:r>
      <w:hyperlink r:id="rId17">
        <w:r>
          <w:rPr>
            <w:rStyle w:val="Hyperlink"/>
          </w:rPr>
          <w:t>HERE</w:t>
        </w:r>
      </w:hyperlink>
      <w:r>
        <w:t>.</w:t>
      </w:r>
    </w:p>
    <w:p w14:paraId="1400BF82" w14:textId="77777777" w:rsidR="00686583" w:rsidRDefault="00EF7C11">
      <w:pPr>
        <w:numPr>
          <w:ilvl w:val="0"/>
          <w:numId w:val="16"/>
        </w:numPr>
      </w:pPr>
      <w:r>
        <w:t>Overall suicide rates decreased from 2019 to 2020. This observation is being investigated and it is clear that this trend differs by multiple factors including age, race/ethnicity, and place. Sadly, there appears to be a noteworthy increase in suicides among the 5-14 year-old age group (See Appendix Table 3), mostly among Latinos and Blacks.</w:t>
      </w:r>
    </w:p>
    <w:p w14:paraId="7BBFA63B" w14:textId="77777777" w:rsidR="00686583" w:rsidRDefault="00EF7C11">
      <w:pPr>
        <w:numPr>
          <w:ilvl w:val="0"/>
          <w:numId w:val="16"/>
        </w:numPr>
      </w:pPr>
      <w:r>
        <w:t>As has been well described, older persons are at elevated risk for severe outcomes of COVID-19 infection including death. Among all groups, COVID-19 cases-fatality rates increase sharply with increasing age. However, because of a combination of 1) the differences in age-specific incidence of COVID-19 across race/ethnic groups, 2) the differences in the population age distribution of different race/ethnic groups in California, and 3) differences in case fatality rates, there are substantial differences in the age distributions of COVID-19 deaths by race/ethnicity, as seen in Appendix Figure 4. Of note, the largest proportion of COVID-19 deaths among Whites and Asians is among the 85+ year old age group, whereas the largest proportion of COVID-19 deaths among Latinos, Blacks, NH/PI, and AI/AN is among the 65-74 year-old age group. And, the latter four groups have substantial numbers of COVID-19 deaths among persons less than 55 years of age, whereas Whites and Asians do not.</w:t>
      </w:r>
    </w:p>
    <w:p w14:paraId="025914A2" w14:textId="77777777" w:rsidR="00686583" w:rsidRDefault="00EF7C11">
      <w:pPr>
        <w:numPr>
          <w:ilvl w:val="0"/>
          <w:numId w:val="16"/>
        </w:numPr>
      </w:pPr>
      <w:r>
        <w:t>These data do not provide insight into what role COVID-19 has had in these observed increases, or on decreases in other conditions. It is logical to think that COVID-19 caused changes and delays in access to care, changes in social support, and changes in eating, drinking, exercising and other behaviors, all of which could have had important impacts on health.</w:t>
      </w:r>
    </w:p>
    <w:p w14:paraId="2E792D3F" w14:textId="77777777" w:rsidR="00686583" w:rsidRDefault="00EF7C11">
      <w:pPr>
        <w:numPr>
          <w:ilvl w:val="0"/>
          <w:numId w:val="16"/>
        </w:numPr>
      </w:pPr>
      <w:r>
        <w:t>The increase in deaths among young persons, particularly the 63.9% increase among 5-14 year-old Blacks and the 50.5% increase among 15-24 year-old Blacks is highly concerning. While the underlying absolute numbers are small, the increases are nevertheless concerning on their own, and for their implications of differential health status, social pressures and access to care during the pandemic crisis. Additional investigation of these data will continue, and updates will be provided as they become available.</w:t>
      </w:r>
    </w:p>
    <w:p w14:paraId="79C98BAC" w14:textId="77777777" w:rsidR="00686583" w:rsidRDefault="00EF7C11">
      <w:pPr>
        <w:numPr>
          <w:ilvl w:val="0"/>
          <w:numId w:val="16"/>
        </w:numPr>
      </w:pPr>
      <w:r>
        <w:t>There are important limitations to this analysis:</w:t>
      </w:r>
    </w:p>
    <w:p w14:paraId="440048C2" w14:textId="77777777" w:rsidR="00686583" w:rsidRDefault="00EF7C11">
      <w:pPr>
        <w:numPr>
          <w:ilvl w:val="1"/>
          <w:numId w:val="17"/>
        </w:numPr>
      </w:pPr>
      <w:r>
        <w:t>The 2020 death data are not fully complete, and some small changes are likely to occur, but they are unlikely to alter any of these observations of state level trends. For example, the proportion of 2020 deaths in the “Ill-defined” category, while very small (0.9%), is larger than in prior years. Some of these deaths will likely be recoded to defined categories eventually (perhaps accentuating slightly observations noted in this report).</w:t>
      </w:r>
    </w:p>
    <w:p w14:paraId="59F41D4E" w14:textId="77777777" w:rsidR="00686583" w:rsidRDefault="00EF7C11">
      <w:pPr>
        <w:numPr>
          <w:ilvl w:val="1"/>
          <w:numId w:val="17"/>
        </w:numPr>
      </w:pPr>
      <w:r>
        <w:lastRenderedPageBreak/>
        <w:t>The data in this report focus exclusively on the “underlying” or “primary” cause of death, and do not reflect the “contributory” or “multiple cause of death” causes. For example, the 30,857 COVID-19 deaths shown in Table 2 all have COVID-19 listed as the underlying cause of death, but there are an additional 2,106 deaths in 2020 with some other condition listed as the primary cause of death and COVID-19 as a contributing cause. Another important example is that there were 1,519 deaths in 2020 with “alcohol disorders” listed as the underlying cause of death, but many more (4,479) with another condition listed as the underlying cause and alcohol disorders listed as a contributory cause. Additional investigation of both contributory and underlying cause of death data is underway.</w:t>
      </w:r>
    </w:p>
    <w:p w14:paraId="05152995" w14:textId="77777777" w:rsidR="00686583" w:rsidRDefault="00EF7C11">
      <w:pPr>
        <w:numPr>
          <w:ilvl w:val="1"/>
          <w:numId w:val="17"/>
        </w:numPr>
      </w:pPr>
      <w:r>
        <w:t>This analysis does not include data for 2021, when very large increases in death due to COVID-19 are known to have occurred. Those data are currently being investigated with similar lenses to this report.</w:t>
      </w:r>
    </w:p>
    <w:p w14:paraId="17E8F05B" w14:textId="77777777" w:rsidR="00686583" w:rsidRDefault="00EF7C11">
      <w:pPr>
        <w:numPr>
          <w:ilvl w:val="0"/>
          <w:numId w:val="16"/>
        </w:numPr>
      </w:pPr>
      <w:r>
        <w:t>Reporting on changes in deaths is the “tip of the iceberg” and changes seen in deaths may not fully reflect changes in morbidity. Investigations into changes in rates of hospitalizations, emergency department visits, reportable diseases, and other measures of morbidity are underway. The relationship of these changes in mortality, and morbidity, to the underlying social determinants of health, such as poverty, education, racism, language, and a host of others, are also underway. This ongoing comprehensive assessment and analysis across multiple programs is critical to long-term prevention and equitable improvements in population health.</w:t>
      </w:r>
    </w:p>
    <w:p w14:paraId="5E598183" w14:textId="77777777" w:rsidR="00686583" w:rsidRDefault="00EF7C11">
      <w:pPr>
        <w:numPr>
          <w:ilvl w:val="0"/>
          <w:numId w:val="16"/>
        </w:numPr>
      </w:pPr>
      <w:r>
        <w:t>While this rapid analysis of these readily available vital statistics death data provides clear evidence of important trends, deeper insights and understanding are urgently required.  It may be possible to gain insights from additional rapid analysis of other available data including surveillance data, administrative data sets, and other sources. Other critical insights will require longer-term complex research and study designs.</w:t>
      </w:r>
    </w:p>
    <w:p w14:paraId="2ACA701C" w14:textId="77777777" w:rsidR="00686583" w:rsidRDefault="00686583">
      <w:pPr>
        <w:pStyle w:val="FirstParagraph"/>
      </w:pPr>
    </w:p>
    <w:p w14:paraId="333B9CC4" w14:textId="77777777" w:rsidR="00686583" w:rsidRDefault="00EF7C11">
      <w:pPr>
        <w:pStyle w:val="Heading1"/>
      </w:pPr>
      <w:bookmarkStart w:id="18" w:name="conclusion"/>
      <w:bookmarkEnd w:id="17"/>
      <w:r>
        <w:t>Conclusion</w:t>
      </w:r>
    </w:p>
    <w:p w14:paraId="10F9E6B2" w14:textId="77777777" w:rsidR="00686583" w:rsidRDefault="00EF7C11">
      <w:pPr>
        <w:pStyle w:val="Compact"/>
        <w:numPr>
          <w:ilvl w:val="0"/>
          <w:numId w:val="18"/>
        </w:numPr>
      </w:pPr>
      <w:r>
        <w:t>Deaths increased substantially in California in 2020 in large part because of COVID-19 and, importantly, other causes of death also increased. These increases differed by race/ethnicity and age. Further investigation of these changes is crucial to address the immediate situation and to prepare for the future.</w:t>
      </w:r>
    </w:p>
    <w:p w14:paraId="5E13E5D2" w14:textId="77777777" w:rsidR="00686583" w:rsidRDefault="00EF7C11">
      <w:r>
        <w:br w:type="page"/>
      </w:r>
    </w:p>
    <w:p w14:paraId="3C649B1B" w14:textId="77777777" w:rsidR="00686583" w:rsidRDefault="00686583">
      <w:pPr>
        <w:pStyle w:val="FirstParagraph"/>
      </w:pPr>
    </w:p>
    <w:p w14:paraId="7A9F3146" w14:textId="77777777" w:rsidR="00686583" w:rsidRDefault="00EF7C11">
      <w:pPr>
        <w:pStyle w:val="Heading1"/>
      </w:pPr>
      <w:bookmarkStart w:id="19" w:name="related-information-and-resources"/>
      <w:bookmarkEnd w:id="18"/>
      <w:r>
        <w:t>Related information and resources</w:t>
      </w:r>
    </w:p>
    <w:p w14:paraId="48323BCC" w14:textId="77777777" w:rsidR="00686583" w:rsidRDefault="005961A4">
      <w:pPr>
        <w:numPr>
          <w:ilvl w:val="0"/>
          <w:numId w:val="19"/>
        </w:numPr>
      </w:pPr>
      <w:hyperlink r:id="rId18">
        <w:r w:rsidR="00EF7C11">
          <w:rPr>
            <w:rStyle w:val="Hyperlink"/>
          </w:rPr>
          <w:t>COVID-19 is the Number One Cause of Death in the U.S. in Early 2021 - Kaiser Family Foundation - 2/22/2021</w:t>
        </w:r>
      </w:hyperlink>
    </w:p>
    <w:p w14:paraId="4A2CD434" w14:textId="77777777" w:rsidR="00686583" w:rsidRDefault="005961A4">
      <w:pPr>
        <w:numPr>
          <w:ilvl w:val="0"/>
          <w:numId w:val="19"/>
        </w:numPr>
      </w:pPr>
      <w:hyperlink r:id="rId19">
        <w:r w:rsidR="00EF7C11">
          <w:rPr>
            <w:rStyle w:val="Hyperlink"/>
          </w:rPr>
          <w:t>The Leading Causes of Death in the US for 2020 - JAMA 3/31/2021</w:t>
        </w:r>
      </w:hyperlink>
    </w:p>
    <w:p w14:paraId="34D5B997" w14:textId="77777777" w:rsidR="00686583" w:rsidRDefault="005961A4">
      <w:pPr>
        <w:numPr>
          <w:ilvl w:val="0"/>
          <w:numId w:val="19"/>
        </w:numPr>
      </w:pPr>
      <w:hyperlink r:id="rId20">
        <w:r w:rsidR="00EF7C11">
          <w:rPr>
            <w:rStyle w:val="Hyperlink"/>
          </w:rPr>
          <w:t>Learning From Excess Pandemic Deaths - Editorial - JAMA 4/2/2021</w:t>
        </w:r>
      </w:hyperlink>
    </w:p>
    <w:p w14:paraId="063DA283" w14:textId="77777777" w:rsidR="00686583" w:rsidRDefault="005961A4">
      <w:pPr>
        <w:numPr>
          <w:ilvl w:val="0"/>
          <w:numId w:val="19"/>
        </w:numPr>
      </w:pPr>
      <w:hyperlink r:id="rId21">
        <w:r w:rsidR="00EF7C11">
          <w:rPr>
            <w:rStyle w:val="Hyperlink"/>
          </w:rPr>
          <w:t>COVID-19 and Excess Deaths - Michel Baudin Linkedin blog - 8/20/2020</w:t>
        </w:r>
      </w:hyperlink>
      <w:bookmarkEnd w:id="19"/>
    </w:p>
    <w:sectPr w:rsidR="00686583" w:rsidSect="00B517AE">
      <w:headerReference w:type="default" r:id="rId22"/>
      <w:footerReference w:type="default" r:id="rId23"/>
      <w:pgSz w:w="12240" w:h="15840"/>
      <w:pgMar w:top="720" w:right="720" w:bottom="720" w:left="720" w:header="720"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8A260" w14:textId="77777777" w:rsidR="00825A6C" w:rsidRDefault="00EF7C11">
      <w:pPr>
        <w:spacing w:after="0"/>
      </w:pPr>
      <w:r>
        <w:separator/>
      </w:r>
    </w:p>
  </w:endnote>
  <w:endnote w:type="continuationSeparator" w:id="0">
    <w:p w14:paraId="609C064B" w14:textId="77777777" w:rsidR="00825A6C" w:rsidRDefault="00EF7C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4093122"/>
      <w:docPartObj>
        <w:docPartGallery w:val="Page Numbers (Bottom of Page)"/>
        <w:docPartUnique/>
      </w:docPartObj>
    </w:sdtPr>
    <w:sdtEndPr>
      <w:rPr>
        <w:noProof/>
        <w:sz w:val="20"/>
        <w:szCs w:val="20"/>
      </w:rPr>
    </w:sdtEndPr>
    <w:sdtContent>
      <w:p w14:paraId="73B3F175" w14:textId="67BC6B1F" w:rsidR="001C621E" w:rsidRDefault="001C621E">
        <w:pPr>
          <w:pStyle w:val="Footer"/>
          <w:jc w:val="center"/>
        </w:pPr>
        <w:r>
          <w:rPr>
            <w:noProof/>
          </w:rPr>
          <w:drawing>
            <wp:anchor distT="0" distB="0" distL="114300" distR="114300" simplePos="0" relativeHeight="251658240" behindDoc="1" locked="0" layoutInCell="1" allowOverlap="1" wp14:anchorId="5A5C7A0F" wp14:editId="0DFEBB62">
              <wp:simplePos x="0" y="0"/>
              <wp:positionH relativeFrom="column">
                <wp:posOffset>-458166</wp:posOffset>
              </wp:positionH>
              <wp:positionV relativeFrom="paragraph">
                <wp:posOffset>-101702</wp:posOffset>
              </wp:positionV>
              <wp:extent cx="9244330" cy="2463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4330" cy="246380"/>
                      </a:xfrm>
                      <a:prstGeom prst="rect">
                        <a:avLst/>
                      </a:prstGeom>
                      <a:noFill/>
                    </pic:spPr>
                  </pic:pic>
                </a:graphicData>
              </a:graphic>
              <wp14:sizeRelH relativeFrom="margin">
                <wp14:pctWidth>0</wp14:pctWidth>
              </wp14:sizeRelH>
              <wp14:sizeRelV relativeFrom="margin">
                <wp14:pctHeight>0</wp14:pctHeight>
              </wp14:sizeRelV>
            </wp:anchor>
          </w:drawing>
        </w:r>
      </w:p>
      <w:p w14:paraId="0A42F47B" w14:textId="483E78F6" w:rsidR="00EF7C11" w:rsidRPr="001C621E" w:rsidRDefault="001C621E">
        <w:pPr>
          <w:pStyle w:val="Footer"/>
          <w:jc w:val="center"/>
          <w:rPr>
            <w:sz w:val="20"/>
            <w:szCs w:val="20"/>
          </w:rPr>
        </w:pPr>
        <w:r w:rsidRPr="001C621E">
          <w:rPr>
            <w:sz w:val="20"/>
            <w:szCs w:val="20"/>
          </w:rPr>
          <w:t>-</w:t>
        </w:r>
        <w:r w:rsidR="00EF7C11" w:rsidRPr="001C621E">
          <w:rPr>
            <w:sz w:val="20"/>
            <w:szCs w:val="20"/>
          </w:rPr>
          <w:fldChar w:fldCharType="begin"/>
        </w:r>
        <w:r w:rsidR="00EF7C11" w:rsidRPr="001C621E">
          <w:rPr>
            <w:sz w:val="20"/>
            <w:szCs w:val="20"/>
          </w:rPr>
          <w:instrText xml:space="preserve"> PAGE   \* MERGEFORMAT </w:instrText>
        </w:r>
        <w:r w:rsidR="00EF7C11" w:rsidRPr="001C621E">
          <w:rPr>
            <w:sz w:val="20"/>
            <w:szCs w:val="20"/>
          </w:rPr>
          <w:fldChar w:fldCharType="separate"/>
        </w:r>
        <w:r w:rsidR="00EF7C11" w:rsidRPr="001C621E">
          <w:rPr>
            <w:noProof/>
            <w:sz w:val="20"/>
            <w:szCs w:val="20"/>
          </w:rPr>
          <w:t>2</w:t>
        </w:r>
        <w:r w:rsidR="00EF7C11" w:rsidRPr="001C621E">
          <w:rPr>
            <w:noProof/>
            <w:sz w:val="20"/>
            <w:szCs w:val="20"/>
          </w:rPr>
          <w:fldChar w:fldCharType="end"/>
        </w:r>
        <w:r w:rsidRPr="001C621E">
          <w:rPr>
            <w:noProof/>
            <w:sz w:val="20"/>
            <w:szCs w:val="20"/>
          </w:rPr>
          <w:t>-</w:t>
        </w:r>
      </w:p>
    </w:sdtContent>
  </w:sdt>
  <w:p w14:paraId="6409BE8E" w14:textId="316E394C" w:rsidR="00EF7C11" w:rsidRDefault="00EF7C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80C3F" w14:textId="77777777" w:rsidR="00686583" w:rsidRDefault="00EF7C11">
      <w:r>
        <w:separator/>
      </w:r>
    </w:p>
  </w:footnote>
  <w:footnote w:type="continuationSeparator" w:id="0">
    <w:p w14:paraId="20CF3325" w14:textId="77777777" w:rsidR="00686583" w:rsidRDefault="00EF7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39253" w14:textId="41CA439C" w:rsidR="00264799" w:rsidRDefault="005961A4" w:rsidP="00AE123D">
    <w:pPr>
      <w:pStyle w:val="Header"/>
      <w:tabs>
        <w:tab w:val="clear" w:pos="9360"/>
        <w:tab w:val="center" w:pos="5400"/>
        <w:tab w:val="left" w:pos="5852"/>
      </w:tabs>
    </w:pPr>
    <w:r>
      <w:rPr>
        <w:noProof/>
        <w:color w:val="E36C0A" w:themeColor="accent6" w:themeShade="BF"/>
      </w:rPr>
      <w:drawing>
        <wp:anchor distT="0" distB="0" distL="114300" distR="114300" simplePos="0" relativeHeight="251655168" behindDoc="0" locked="0" layoutInCell="1" allowOverlap="1" wp14:anchorId="6B32A18F" wp14:editId="30C4BA59">
          <wp:simplePos x="0" y="0"/>
          <wp:positionH relativeFrom="column">
            <wp:posOffset>-184312</wp:posOffset>
          </wp:positionH>
          <wp:positionV relativeFrom="paragraph">
            <wp:posOffset>149225</wp:posOffset>
          </wp:positionV>
          <wp:extent cx="7344410" cy="2489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4410" cy="248920"/>
                  </a:xfrm>
                  <a:prstGeom prst="rect">
                    <a:avLst/>
                  </a:prstGeom>
                  <a:noFill/>
                </pic:spPr>
              </pic:pic>
            </a:graphicData>
          </a:graphic>
          <wp14:sizeRelH relativeFrom="margin">
            <wp14:pctWidth>0</wp14:pctWidth>
          </wp14:sizeRelH>
          <wp14:sizeRelV relativeFrom="margin">
            <wp14:pctHeight>0</wp14:pctHeight>
          </wp14:sizeRelV>
        </wp:anchor>
      </w:drawing>
    </w:r>
    <w:r w:rsidR="00B517AE" w:rsidRPr="001074EA">
      <w:rPr>
        <w:noProof/>
      </w:rPr>
      <w:drawing>
        <wp:anchor distT="0" distB="0" distL="114300" distR="114300" simplePos="0" relativeHeight="251661312" behindDoc="1" locked="0" layoutInCell="1" allowOverlap="1" wp14:anchorId="1AF08F36" wp14:editId="45838F3C">
          <wp:simplePos x="0" y="0"/>
          <wp:positionH relativeFrom="column">
            <wp:posOffset>6357620</wp:posOffset>
          </wp:positionH>
          <wp:positionV relativeFrom="paragraph">
            <wp:posOffset>-311480</wp:posOffset>
          </wp:positionV>
          <wp:extent cx="704088" cy="5486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04088" cy="548640"/>
                  </a:xfrm>
                  <a:prstGeom prst="rect">
                    <a:avLst/>
                  </a:prstGeom>
                </pic:spPr>
              </pic:pic>
            </a:graphicData>
          </a:graphic>
          <wp14:sizeRelH relativeFrom="margin">
            <wp14:pctWidth>0</wp14:pctWidth>
          </wp14:sizeRelH>
          <wp14:sizeRelV relativeFrom="margin">
            <wp14:pctHeight>0</wp14:pctHeight>
          </wp14:sizeRelV>
        </wp:anchor>
      </w:drawing>
    </w:r>
    <w:r w:rsidR="00B517AE">
      <w:rPr>
        <w:noProof/>
      </w:rPr>
      <w:drawing>
        <wp:anchor distT="0" distB="0" distL="114300" distR="114300" simplePos="0" relativeHeight="251657216" behindDoc="0" locked="0" layoutInCell="1" allowOverlap="1" wp14:anchorId="121F13EE" wp14:editId="16B985C2">
          <wp:simplePos x="0" y="0"/>
          <wp:positionH relativeFrom="column">
            <wp:posOffset>-322885</wp:posOffset>
          </wp:positionH>
          <wp:positionV relativeFrom="paragraph">
            <wp:posOffset>-306705</wp:posOffset>
          </wp:positionV>
          <wp:extent cx="1664208" cy="55778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64208" cy="557784"/>
                  </a:xfrm>
                  <a:prstGeom prst="rect">
                    <a:avLst/>
                  </a:prstGeom>
                  <a:noFill/>
                </pic:spPr>
              </pic:pic>
            </a:graphicData>
          </a:graphic>
          <wp14:sizeRelH relativeFrom="margin">
            <wp14:pctWidth>0</wp14:pctWidth>
          </wp14:sizeRelH>
          <wp14:sizeRelV relativeFrom="margin">
            <wp14:pctHeight>0</wp14:pctHeight>
          </wp14:sizeRelV>
        </wp:anchor>
      </w:drawing>
    </w:r>
    <w:r w:rsidR="00AE123D">
      <w:tab/>
    </w:r>
    <w:r w:rsidR="00AE123D">
      <w:tab/>
    </w:r>
    <w:r w:rsidR="00AE123D">
      <w:tab/>
    </w:r>
  </w:p>
  <w:p w14:paraId="03EAE7CE" w14:textId="2D44C1C4" w:rsidR="00264799" w:rsidRPr="00AE123D" w:rsidRDefault="00264799">
    <w:pPr>
      <w:pStyle w:val="Header"/>
      <w:rPr>
        <w:color w:val="E36C0A" w:themeColor="accent6"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AC4B8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4FC009A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3E6A0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B7690E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52498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BF80BD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B3449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36C7F0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76035D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0042AC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320059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EC825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10"/>
  </w:num>
  <w:num w:numId="21">
    <w:abstractNumId w:val="8"/>
  </w:num>
  <w:num w:numId="22">
    <w:abstractNumId w:val="7"/>
  </w:num>
  <w:num w:numId="23">
    <w:abstractNumId w:val="6"/>
  </w:num>
  <w:num w:numId="24">
    <w:abstractNumId w:val="5"/>
  </w:num>
  <w:num w:numId="25">
    <w:abstractNumId w:val="9"/>
  </w:num>
  <w:num w:numId="26">
    <w:abstractNumId w:val="4"/>
  </w:num>
  <w:num w:numId="27">
    <w:abstractNumId w:val="3"/>
  </w:num>
  <w:num w:numId="28">
    <w:abstractNumId w:val="2"/>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18433">
      <o:colormenu v:ext="edit" fillcolor="#7030a0" strokecolor="non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6007"/>
    <w:rsid w:val="001074EA"/>
    <w:rsid w:val="001C621E"/>
    <w:rsid w:val="001D695D"/>
    <w:rsid w:val="00255605"/>
    <w:rsid w:val="00264799"/>
    <w:rsid w:val="0027318B"/>
    <w:rsid w:val="003A6F0F"/>
    <w:rsid w:val="004E29B3"/>
    <w:rsid w:val="00590D07"/>
    <w:rsid w:val="005961A4"/>
    <w:rsid w:val="0067588A"/>
    <w:rsid w:val="00686583"/>
    <w:rsid w:val="00784D58"/>
    <w:rsid w:val="00825A6C"/>
    <w:rsid w:val="00851322"/>
    <w:rsid w:val="008D6863"/>
    <w:rsid w:val="009C1002"/>
    <w:rsid w:val="00AE123D"/>
    <w:rsid w:val="00B517AE"/>
    <w:rsid w:val="00B86B75"/>
    <w:rsid w:val="00BC48D5"/>
    <w:rsid w:val="00C36279"/>
    <w:rsid w:val="00CA4A35"/>
    <w:rsid w:val="00E315A3"/>
    <w:rsid w:val="00E40A84"/>
    <w:rsid w:val="00EF7C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colormenu v:ext="edit" fillcolor="#7030a0" strokecolor="none"/>
    </o:shapedefaults>
    <o:shapelayout v:ext="edit">
      <o:idmap v:ext="edit" data="1"/>
    </o:shapelayout>
  </w:shapeDefaults>
  <w:decimalSymbol w:val="."/>
  <w:listSeparator w:val=","/>
  <w14:docId w14:val="2831DBD1"/>
  <w15:docId w15:val="{A47A5E26-BEAE-4216-9B76-DA39C58C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318B"/>
    <w:pPr>
      <w:keepNext/>
      <w:keepLines/>
    </w:pPr>
  </w:style>
  <w:style w:type="paragraph" w:styleId="Heading1">
    <w:name w:val="heading 1"/>
    <w:basedOn w:val="Normal"/>
    <w:next w:val="BodyText"/>
    <w:uiPriority w:val="9"/>
    <w:qFormat/>
    <w:rsid w:val="003A6F0F"/>
    <w:pPr>
      <w:pBdr>
        <w:bottom w:val="single" w:sz="4" w:space="1" w:color="auto"/>
      </w:pBdr>
      <w:spacing w:before="240" w:after="12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056007"/>
    <w:pPr>
      <w:spacing w:before="200" w:after="120"/>
      <w:outlineLvl w:val="1"/>
    </w:pPr>
    <w:rPr>
      <w:rFonts w:asciiTheme="majorHAnsi" w:eastAsiaTheme="majorEastAsia" w:hAnsiTheme="majorHAnsi" w:cstheme="majorBidi"/>
      <w:b/>
      <w:bCs/>
      <w:color w:val="1F497D" w:themeColor="text2"/>
      <w:sz w:val="28"/>
      <w:szCs w:val="28"/>
    </w:rPr>
  </w:style>
  <w:style w:type="paragraph" w:styleId="Heading3">
    <w:name w:val="heading 3"/>
    <w:basedOn w:val="Normal"/>
    <w:next w:val="BodyText"/>
    <w:uiPriority w:val="9"/>
    <w:unhideWhenUsed/>
    <w:qFormat/>
    <w:rsid w:val="0027318B"/>
    <w:pPr>
      <w:spacing w:before="200" w:after="4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p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EF7C11"/>
    <w:pPr>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rsid w:val="009C1002"/>
    <w:pPr>
      <w:spacing w:before="200" w:after="0"/>
      <w:outlineLvl w:val="5"/>
    </w:pPr>
    <w:rPr>
      <w:rFonts w:asciiTheme="majorHAnsi" w:eastAsiaTheme="majorEastAsia" w:hAnsiTheme="majorHAnsi" w:cstheme="majorBidi"/>
      <w:sz w:val="20"/>
    </w:rPr>
  </w:style>
  <w:style w:type="paragraph" w:styleId="Heading7">
    <w:name w:val="heading 7"/>
    <w:basedOn w:val="Normal"/>
    <w:next w:val="BodyText"/>
    <w:uiPriority w:val="9"/>
    <w:unhideWhenUsed/>
    <w:qFormat/>
    <w:p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A6F0F"/>
    <w:pPr>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264799"/>
    <w:pPr>
      <w:tabs>
        <w:tab w:val="center" w:pos="4680"/>
        <w:tab w:val="right" w:pos="9360"/>
      </w:tabs>
      <w:spacing w:after="0"/>
    </w:pPr>
  </w:style>
  <w:style w:type="character" w:customStyle="1" w:styleId="BodyTextChar">
    <w:name w:val="Body Text Char"/>
    <w:basedOn w:val="DefaultParagraphFont"/>
    <w:link w:val="BodyText"/>
    <w:rsid w:val="003A6F0F"/>
  </w:style>
  <w:style w:type="character" w:customStyle="1" w:styleId="HeaderChar">
    <w:name w:val="Header Char"/>
    <w:basedOn w:val="DefaultParagraphFont"/>
    <w:link w:val="Header"/>
    <w:uiPriority w:val="99"/>
    <w:rsid w:val="00264799"/>
  </w:style>
  <w:style w:type="paragraph" w:styleId="Footer">
    <w:name w:val="footer"/>
    <w:basedOn w:val="Normal"/>
    <w:link w:val="FooterChar"/>
    <w:uiPriority w:val="99"/>
    <w:unhideWhenUsed/>
    <w:qFormat/>
    <w:rsid w:val="00264799"/>
    <w:pPr>
      <w:tabs>
        <w:tab w:val="center" w:pos="4680"/>
        <w:tab w:val="right" w:pos="9360"/>
      </w:tabs>
      <w:spacing w:after="0"/>
    </w:pPr>
  </w:style>
  <w:style w:type="character" w:customStyle="1" w:styleId="FooterChar">
    <w:name w:val="Footer Char"/>
    <w:basedOn w:val="DefaultParagraphFont"/>
    <w:link w:val="Footer"/>
    <w:uiPriority w:val="99"/>
    <w:rsid w:val="00264799"/>
  </w:style>
  <w:style w:type="paragraph" w:styleId="NoSpacing">
    <w:name w:val="No Spacing"/>
    <w:uiPriority w:val="1"/>
    <w:qFormat/>
    <w:rsid w:val="001074EA"/>
    <w:pPr>
      <w:spacing w:after="0"/>
    </w:pPr>
    <w:rPr>
      <w:color w:val="1F497D" w:themeColor="text2"/>
      <w:sz w:val="20"/>
      <w:szCs w:val="20"/>
    </w:rPr>
  </w:style>
  <w:style w:type="paragraph" w:styleId="BalloonText">
    <w:name w:val="Balloon Text"/>
    <w:basedOn w:val="Normal"/>
    <w:link w:val="BalloonTextChar"/>
    <w:semiHidden/>
    <w:unhideWhenUsed/>
    <w:rsid w:val="00B517A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517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3Chttps://www.healthsystemtracker.org/brief/covid-19-is-the-number-one-cause-of-death-in-the-u-s-in-early-2021/" TargetMode="External"/><Relationship Id="rId3" Type="http://schemas.openxmlformats.org/officeDocument/2006/relationships/styles" Target="styles.xml"/><Relationship Id="rId21" Type="http://schemas.openxmlformats.org/officeDocument/2006/relationships/hyperlink" Target="https://www.linkedin.com/pulse/covid-19-excess-deaths-michel-baudin?trk=public_profile_article_view%3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kylab.cdph.ca.gov/communityBurd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kylab.dev.cdph.ca.gov/content/ca9bd32f-66c4-4108-91b8-4afdd24dd277" TargetMode="External"/><Relationship Id="rId20" Type="http://schemas.openxmlformats.org/officeDocument/2006/relationships/hyperlink" Target="https://jamanetwork.com/journals/jama/fullarticle/27783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dc.gov/mmwr/volumes/70/wr/mm7014e2.htm?s_cid=mm7014e2_w"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jamanetwork.com/journals/jama/fullarticle/277823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dc.gov/nchs/data/nvss/coronavirus/Alert-2-New-ICD-code-introduced-for-COVID-19-deaths.pdf"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159E4-4B32-4606-B689-04F28AE70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13</Pages>
  <Words>3375</Words>
  <Characters>19241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Data Brief: 2020 Increases in Deaths in California</vt:lpstr>
    </vt:vector>
  </TitlesOfParts>
  <Company/>
  <LinksUpToDate>false</LinksUpToDate>
  <CharactersWithSpaces>22571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Brief: 2020 Increases in Deaths in California</dc:title>
  <dc:creator>California Department of Public Health - Fusion Center - Last updated: 5.18.2021</dc:creator>
  <cp:keywords/>
  <cp:lastModifiedBy>Samuel, Michael@CDPH</cp:lastModifiedBy>
  <cp:revision>12</cp:revision>
  <cp:lastPrinted>2021-07-26T18:08:00Z</cp:lastPrinted>
  <dcterms:created xsi:type="dcterms:W3CDTF">2021-05-19T17:54:00Z</dcterms:created>
  <dcterms:modified xsi:type="dcterms:W3CDTF">2021-07-26T18:17:00Z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(Draft Under Review - Not for Distribution)</vt:lpwstr>
  </property>
</Properties>
</file>