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48" w:rsidRDefault="00895548" w:rsidP="00895548">
      <w:pPr>
        <w:spacing w:after="0"/>
      </w:pPr>
      <w:r>
        <w:t>Census/ACS Documentation</w:t>
      </w:r>
    </w:p>
    <w:p w:rsidR="00984D83" w:rsidRDefault="00A25A29" w:rsidP="00895548">
      <w:pPr>
        <w:spacing w:after="0"/>
      </w:pPr>
      <w:hyperlink r:id="rId6" w:history="1">
        <w:r w:rsidR="00895548" w:rsidRPr="001859D8">
          <w:rPr>
            <w:rStyle w:val="Hyperlink"/>
          </w:rPr>
          <w:t>https://www.census.gov/data/developers/data-sets.html</w:t>
        </w:r>
      </w:hyperlink>
    </w:p>
    <w:p w:rsidR="00895548" w:rsidRDefault="00A25A29" w:rsidP="00895548">
      <w:pPr>
        <w:spacing w:after="0"/>
      </w:pPr>
      <w:hyperlink r:id="rId7" w:history="1">
        <w:r w:rsidR="00895548" w:rsidRPr="001859D8">
          <w:rPr>
            <w:rStyle w:val="Hyperlink"/>
          </w:rPr>
          <w:t>https://www.census.gov/data/developers/data-sets/acs-5year.html</w:t>
        </w:r>
      </w:hyperlink>
    </w:p>
    <w:p w:rsidR="00895548" w:rsidRDefault="00A25A29" w:rsidP="00895548">
      <w:pPr>
        <w:spacing w:after="0"/>
      </w:pPr>
      <w:hyperlink r:id="rId8" w:history="1">
        <w:r w:rsidR="00895548" w:rsidRPr="001859D8">
          <w:rPr>
            <w:rStyle w:val="Hyperlink"/>
          </w:rPr>
          <w:t>https://api.census.gov/data/2016/acs/acs5/variables.html</w:t>
        </w:r>
      </w:hyperlink>
    </w:p>
    <w:p w:rsidR="00895548" w:rsidRDefault="00895548" w:rsidP="00895548">
      <w:pPr>
        <w:spacing w:after="0"/>
      </w:pPr>
    </w:p>
    <w:p w:rsidR="00895548" w:rsidRDefault="00895548" w:rsidP="00895548">
      <w:pPr>
        <w:spacing w:after="0"/>
      </w:pPr>
      <w:r>
        <w:t>CDC Social Vulnerability Index:</w:t>
      </w:r>
    </w:p>
    <w:p w:rsidR="00984D83" w:rsidRDefault="00984D83" w:rsidP="00895548">
      <w:pPr>
        <w:spacing w:after="0"/>
      </w:pPr>
      <w:hyperlink r:id="rId9" w:history="1">
        <w:r w:rsidRPr="00776DCA">
          <w:rPr>
            <w:rStyle w:val="Hyperlink"/>
          </w:rPr>
          <w:t>https://svi.cdc.gov/SVIDataToolsDownload.html</w:t>
        </w:r>
      </w:hyperlink>
    </w:p>
    <w:p w:rsidR="00984D83" w:rsidRDefault="00A25A29" w:rsidP="00895548">
      <w:pPr>
        <w:spacing w:after="0"/>
      </w:pPr>
      <w:hyperlink r:id="rId10" w:history="1">
        <w:r w:rsidR="00984D83" w:rsidRPr="00776DCA">
          <w:rPr>
            <w:rStyle w:val="Hyperlink"/>
          </w:rPr>
          <w:t>https://svi.cdc.gov/Documents/Data/2016_SVI_Data/SVI2016Documentation.pdf</w:t>
        </w:r>
      </w:hyperlink>
    </w:p>
    <w:p w:rsidR="00984D83" w:rsidRDefault="00984D83" w:rsidP="00895548">
      <w:pPr>
        <w:spacing w:after="0"/>
      </w:pPr>
    </w:p>
    <w:p w:rsidR="00A25A29" w:rsidRDefault="00A25A29" w:rsidP="00895548">
      <w:pPr>
        <w:spacing w:after="0"/>
      </w:pPr>
    </w:p>
    <w:p w:rsidR="00A25A29" w:rsidRDefault="00A25A29" w:rsidP="00895548">
      <w:pPr>
        <w:spacing w:after="0"/>
      </w:pPr>
    </w:p>
    <w:tbl>
      <w:tblPr>
        <w:tblStyle w:val="TableGrid"/>
        <w:tblW w:w="0" w:type="auto"/>
        <w:tblLayout w:type="fixed"/>
        <w:tblLook w:val="04A0" w:firstRow="1" w:lastRow="0" w:firstColumn="1" w:lastColumn="0" w:noHBand="0" w:noVBand="1"/>
      </w:tblPr>
      <w:tblGrid>
        <w:gridCol w:w="2898"/>
        <w:gridCol w:w="987"/>
        <w:gridCol w:w="1713"/>
        <w:gridCol w:w="1170"/>
        <w:gridCol w:w="1080"/>
        <w:gridCol w:w="2700"/>
        <w:gridCol w:w="1198"/>
        <w:gridCol w:w="1077"/>
      </w:tblGrid>
      <w:tr w:rsidR="00A25A29" w:rsidRPr="001716DB" w:rsidTr="006E6441">
        <w:tc>
          <w:tcPr>
            <w:tcW w:w="2898" w:type="dxa"/>
          </w:tcPr>
          <w:p w:rsidR="00A25A29" w:rsidRPr="004C33D6" w:rsidRDefault="00A25A29" w:rsidP="006E6441">
            <w:pPr>
              <w:rPr>
                <w:rFonts w:cstheme="minorHAnsi"/>
                <w:sz w:val="18"/>
                <w:szCs w:val="18"/>
              </w:rPr>
            </w:pPr>
            <w:r w:rsidRPr="004C33D6">
              <w:rPr>
                <w:rFonts w:cstheme="minorHAnsi"/>
                <w:sz w:val="18"/>
                <w:szCs w:val="18"/>
              </w:rPr>
              <w:t>File name</w:t>
            </w:r>
          </w:p>
        </w:tc>
        <w:tc>
          <w:tcPr>
            <w:tcW w:w="987" w:type="dxa"/>
          </w:tcPr>
          <w:p w:rsidR="00A25A29" w:rsidRPr="004C33D6" w:rsidRDefault="00A25A29" w:rsidP="006E6441">
            <w:pPr>
              <w:rPr>
                <w:rFonts w:cstheme="minorHAnsi"/>
                <w:sz w:val="18"/>
                <w:szCs w:val="18"/>
              </w:rPr>
            </w:pPr>
            <w:r w:rsidRPr="004C33D6">
              <w:rPr>
                <w:rFonts w:cstheme="minorHAnsi"/>
                <w:sz w:val="18"/>
                <w:szCs w:val="18"/>
              </w:rPr>
              <w:t>Data source</w:t>
            </w:r>
          </w:p>
        </w:tc>
        <w:tc>
          <w:tcPr>
            <w:tcW w:w="1713" w:type="dxa"/>
          </w:tcPr>
          <w:p w:rsidR="00A25A29" w:rsidRPr="004C33D6" w:rsidRDefault="00A25A29" w:rsidP="006E6441">
            <w:pPr>
              <w:rPr>
                <w:rFonts w:cstheme="minorHAnsi"/>
                <w:sz w:val="18"/>
                <w:szCs w:val="18"/>
              </w:rPr>
            </w:pPr>
            <w:r w:rsidRPr="004C33D6">
              <w:rPr>
                <w:rFonts w:cstheme="minorHAnsi"/>
                <w:sz w:val="18"/>
                <w:szCs w:val="18"/>
              </w:rPr>
              <w:t>Table ID</w:t>
            </w:r>
          </w:p>
        </w:tc>
        <w:tc>
          <w:tcPr>
            <w:tcW w:w="1170" w:type="dxa"/>
          </w:tcPr>
          <w:p w:rsidR="00A25A29" w:rsidRPr="004C33D6" w:rsidRDefault="00A25A29" w:rsidP="006E6441">
            <w:pPr>
              <w:rPr>
                <w:rFonts w:cstheme="minorHAnsi"/>
                <w:sz w:val="18"/>
                <w:szCs w:val="18"/>
              </w:rPr>
            </w:pPr>
            <w:r w:rsidRPr="004C33D6">
              <w:rPr>
                <w:rFonts w:cstheme="minorHAnsi"/>
                <w:sz w:val="18"/>
                <w:szCs w:val="18"/>
              </w:rPr>
              <w:t>Code type</w:t>
            </w:r>
          </w:p>
        </w:tc>
        <w:tc>
          <w:tcPr>
            <w:tcW w:w="1080" w:type="dxa"/>
          </w:tcPr>
          <w:p w:rsidR="00A25A29" w:rsidRPr="004C33D6" w:rsidRDefault="00A25A29" w:rsidP="006E6441">
            <w:pPr>
              <w:rPr>
                <w:rFonts w:cstheme="minorHAnsi"/>
                <w:sz w:val="18"/>
                <w:szCs w:val="18"/>
              </w:rPr>
            </w:pPr>
            <w:proofErr w:type="spellStart"/>
            <w:r w:rsidRPr="004C33D6">
              <w:rPr>
                <w:rFonts w:cstheme="minorHAnsi"/>
                <w:sz w:val="18"/>
                <w:szCs w:val="18"/>
              </w:rPr>
              <w:t>InUse</w:t>
            </w:r>
            <w:proofErr w:type="spellEnd"/>
          </w:p>
        </w:tc>
        <w:tc>
          <w:tcPr>
            <w:tcW w:w="2700" w:type="dxa"/>
          </w:tcPr>
          <w:p w:rsidR="00A25A29" w:rsidRPr="004C33D6" w:rsidRDefault="00A25A29" w:rsidP="006E6441">
            <w:pPr>
              <w:rPr>
                <w:rFonts w:cstheme="minorHAnsi"/>
                <w:sz w:val="18"/>
                <w:szCs w:val="18"/>
              </w:rPr>
            </w:pPr>
            <w:r w:rsidRPr="004C33D6">
              <w:rPr>
                <w:rFonts w:cstheme="minorHAnsi"/>
                <w:sz w:val="18"/>
                <w:szCs w:val="18"/>
              </w:rPr>
              <w:t>Output files and variables</w:t>
            </w:r>
          </w:p>
        </w:tc>
        <w:tc>
          <w:tcPr>
            <w:tcW w:w="1198" w:type="dxa"/>
          </w:tcPr>
          <w:p w:rsidR="00A25A29" w:rsidRPr="004C33D6" w:rsidRDefault="00A25A29" w:rsidP="006E6441">
            <w:pPr>
              <w:rPr>
                <w:rFonts w:cstheme="minorHAnsi"/>
                <w:sz w:val="18"/>
                <w:szCs w:val="18"/>
              </w:rPr>
            </w:pPr>
            <w:r w:rsidRPr="004C33D6">
              <w:rPr>
                <w:rFonts w:cstheme="minorHAnsi"/>
                <w:sz w:val="18"/>
                <w:szCs w:val="18"/>
              </w:rPr>
              <w:t>Output variables</w:t>
            </w:r>
          </w:p>
        </w:tc>
        <w:tc>
          <w:tcPr>
            <w:tcW w:w="1077" w:type="dxa"/>
          </w:tcPr>
          <w:p w:rsidR="00A25A29" w:rsidRPr="004C33D6" w:rsidRDefault="00A25A29" w:rsidP="006E6441">
            <w:pPr>
              <w:rPr>
                <w:rFonts w:cstheme="minorHAnsi"/>
                <w:sz w:val="18"/>
                <w:szCs w:val="18"/>
              </w:rPr>
            </w:pPr>
            <w:r w:rsidRPr="004C33D6">
              <w:rPr>
                <w:rFonts w:cstheme="minorHAnsi"/>
                <w:sz w:val="18"/>
                <w:szCs w:val="18"/>
              </w:rPr>
              <w:t>notes</w:t>
            </w:r>
          </w:p>
        </w:tc>
      </w:tr>
      <w:tr w:rsidR="00A25A29" w:rsidRPr="001716DB" w:rsidTr="006E6441">
        <w:tc>
          <w:tcPr>
            <w:tcW w:w="2898" w:type="dxa"/>
          </w:tcPr>
          <w:p w:rsidR="00A25A29" w:rsidRPr="004C33D6" w:rsidRDefault="00A25A29" w:rsidP="006E6441">
            <w:pPr>
              <w:rPr>
                <w:rFonts w:cstheme="minorHAnsi"/>
                <w:sz w:val="18"/>
                <w:szCs w:val="18"/>
              </w:rPr>
            </w:pPr>
            <w:proofErr w:type="spellStart"/>
            <w:r w:rsidRPr="004C33D6">
              <w:rPr>
                <w:rFonts w:cstheme="minorHAnsi"/>
                <w:sz w:val="18"/>
                <w:szCs w:val="18"/>
              </w:rPr>
              <w:t>countyPopulationProcessor.R</w:t>
            </w:r>
            <w:proofErr w:type="spellEnd"/>
          </w:p>
        </w:tc>
        <w:tc>
          <w:tcPr>
            <w:tcW w:w="987" w:type="dxa"/>
          </w:tcPr>
          <w:p w:rsidR="00A25A29" w:rsidRPr="004C33D6" w:rsidRDefault="00A25A29" w:rsidP="006E6441">
            <w:pPr>
              <w:rPr>
                <w:rFonts w:cstheme="minorHAnsi"/>
                <w:sz w:val="18"/>
                <w:szCs w:val="18"/>
              </w:rPr>
            </w:pPr>
            <w:r w:rsidRPr="004C33D6">
              <w:rPr>
                <w:rFonts w:cstheme="minorHAnsi"/>
                <w:sz w:val="18"/>
                <w:szCs w:val="18"/>
              </w:rPr>
              <w:t>DOF data file from CDPH-DCDC</w:t>
            </w:r>
          </w:p>
        </w:tc>
        <w:tc>
          <w:tcPr>
            <w:tcW w:w="1713" w:type="dxa"/>
          </w:tcPr>
          <w:p w:rsidR="00A25A29" w:rsidRPr="004C33D6" w:rsidRDefault="00A25A29" w:rsidP="006E6441">
            <w:pPr>
              <w:rPr>
                <w:rFonts w:cstheme="minorHAnsi"/>
                <w:sz w:val="18"/>
                <w:szCs w:val="18"/>
              </w:rPr>
            </w:pPr>
            <w:proofErr w:type="spellStart"/>
            <w:r w:rsidRPr="004C33D6">
              <w:rPr>
                <w:rFonts w:cstheme="minorHAnsi"/>
                <w:sz w:val="18"/>
                <w:szCs w:val="18"/>
              </w:rPr>
              <w:t>na</w:t>
            </w:r>
            <w:proofErr w:type="spellEnd"/>
          </w:p>
        </w:tc>
        <w:tc>
          <w:tcPr>
            <w:tcW w:w="1170" w:type="dxa"/>
          </w:tcPr>
          <w:p w:rsidR="00A25A29" w:rsidRPr="004C33D6" w:rsidRDefault="00A25A29" w:rsidP="006E6441">
            <w:pPr>
              <w:rPr>
                <w:rFonts w:cstheme="minorHAnsi"/>
                <w:sz w:val="18"/>
                <w:szCs w:val="18"/>
              </w:rPr>
            </w:pPr>
          </w:p>
        </w:tc>
        <w:tc>
          <w:tcPr>
            <w:tcW w:w="1080" w:type="dxa"/>
          </w:tcPr>
          <w:p w:rsidR="00A25A29" w:rsidRPr="004C33D6" w:rsidRDefault="00A25A29" w:rsidP="006E6441">
            <w:pPr>
              <w:rPr>
                <w:rFonts w:cstheme="minorHAnsi"/>
                <w:sz w:val="18"/>
                <w:szCs w:val="18"/>
              </w:rPr>
            </w:pPr>
            <w:r w:rsidRPr="004C33D6">
              <w:rPr>
                <w:rFonts w:cstheme="minorHAnsi"/>
                <w:sz w:val="18"/>
                <w:szCs w:val="18"/>
              </w:rPr>
              <w:t>Yes</w:t>
            </w:r>
          </w:p>
          <w:p w:rsidR="00A25A29" w:rsidRPr="004C33D6" w:rsidRDefault="00A25A29" w:rsidP="006E6441">
            <w:pPr>
              <w:rPr>
                <w:rFonts w:cstheme="minorHAnsi"/>
                <w:sz w:val="18"/>
                <w:szCs w:val="18"/>
              </w:rPr>
            </w:pPr>
          </w:p>
        </w:tc>
        <w:tc>
          <w:tcPr>
            <w:tcW w:w="2700" w:type="dxa"/>
          </w:tcPr>
          <w:p w:rsidR="00A25A29" w:rsidRPr="004C33D6" w:rsidRDefault="00A25A29" w:rsidP="006E6441">
            <w:pPr>
              <w:rPr>
                <w:rFonts w:cstheme="minorHAnsi"/>
                <w:color w:val="0070C0"/>
                <w:sz w:val="18"/>
                <w:szCs w:val="18"/>
              </w:rPr>
            </w:pPr>
            <w:r w:rsidRPr="004C33D6">
              <w:rPr>
                <w:rFonts w:cstheme="minorHAnsi"/>
                <w:color w:val="0070C0"/>
                <w:sz w:val="18"/>
                <w:szCs w:val="18"/>
              </w:rPr>
              <w:t>popCountyTot2000to2015.RDS</w:t>
            </w:r>
          </w:p>
          <w:p w:rsidR="00A25A29" w:rsidRPr="004C33D6" w:rsidRDefault="00A25A29" w:rsidP="006E6441">
            <w:pPr>
              <w:rPr>
                <w:rFonts w:cstheme="minorHAnsi"/>
                <w:sz w:val="18"/>
                <w:szCs w:val="18"/>
              </w:rPr>
            </w:pPr>
          </w:p>
          <w:p w:rsidR="00A25A29" w:rsidRPr="004C33D6" w:rsidRDefault="00A25A29" w:rsidP="006E6441">
            <w:pPr>
              <w:rPr>
                <w:rFonts w:cstheme="minorHAnsi"/>
                <w:sz w:val="18"/>
                <w:szCs w:val="18"/>
              </w:rPr>
            </w:pPr>
          </w:p>
          <w:p w:rsidR="00A25A29" w:rsidRPr="004C33D6" w:rsidRDefault="00A25A29" w:rsidP="006E6441">
            <w:pPr>
              <w:rPr>
                <w:rFonts w:cstheme="minorHAnsi"/>
                <w:color w:val="0070C0"/>
                <w:sz w:val="18"/>
                <w:szCs w:val="18"/>
              </w:rPr>
            </w:pPr>
            <w:r w:rsidRPr="004C33D6">
              <w:rPr>
                <w:rFonts w:cstheme="minorHAnsi"/>
                <w:color w:val="0070C0"/>
                <w:sz w:val="18"/>
                <w:szCs w:val="18"/>
              </w:rPr>
              <w:t>popCountyAgeG2000to2015.RDS</w:t>
            </w:r>
          </w:p>
          <w:p w:rsidR="00A25A29" w:rsidRPr="004C33D6" w:rsidRDefault="00A25A29" w:rsidP="006E6441">
            <w:pPr>
              <w:rPr>
                <w:rFonts w:cstheme="minorHAnsi"/>
                <w:sz w:val="18"/>
                <w:szCs w:val="18"/>
              </w:rPr>
            </w:pPr>
          </w:p>
          <w:p w:rsidR="00A25A29" w:rsidRPr="004C33D6" w:rsidRDefault="00A25A29" w:rsidP="006E6441">
            <w:pPr>
              <w:rPr>
                <w:rFonts w:cstheme="minorHAnsi"/>
                <w:sz w:val="18"/>
                <w:szCs w:val="18"/>
              </w:rPr>
            </w:pPr>
            <w:proofErr w:type="spellStart"/>
            <w:r w:rsidRPr="004C33D6">
              <w:rPr>
                <w:rFonts w:cstheme="minorHAnsi"/>
                <w:color w:val="0070C0"/>
                <w:sz w:val="18"/>
                <w:szCs w:val="18"/>
              </w:rPr>
              <w:t>popStandard.RDS</w:t>
            </w:r>
            <w:proofErr w:type="spellEnd"/>
          </w:p>
        </w:tc>
        <w:tc>
          <w:tcPr>
            <w:tcW w:w="1198" w:type="dxa"/>
          </w:tcPr>
          <w:p w:rsidR="00A25A29" w:rsidRPr="004C33D6" w:rsidRDefault="00A25A29" w:rsidP="006E6441">
            <w:pPr>
              <w:rPr>
                <w:rFonts w:cstheme="minorHAnsi"/>
                <w:sz w:val="18"/>
                <w:szCs w:val="18"/>
              </w:rPr>
            </w:pPr>
            <w:r w:rsidRPr="004C33D6">
              <w:rPr>
                <w:rFonts w:cstheme="minorHAnsi"/>
                <w:sz w:val="18"/>
                <w:szCs w:val="18"/>
              </w:rPr>
              <w:t>pop</w:t>
            </w:r>
          </w:p>
          <w:p w:rsidR="00A25A29" w:rsidRPr="004C33D6" w:rsidRDefault="00A25A29" w:rsidP="006E6441">
            <w:pPr>
              <w:rPr>
                <w:rFonts w:cstheme="minorHAnsi"/>
                <w:sz w:val="18"/>
                <w:szCs w:val="18"/>
              </w:rPr>
            </w:pPr>
            <w:r w:rsidRPr="004C33D6">
              <w:rPr>
                <w:rFonts w:cstheme="minorHAnsi"/>
                <w:sz w:val="18"/>
                <w:szCs w:val="18"/>
              </w:rPr>
              <w:t>county</w:t>
            </w:r>
          </w:p>
          <w:p w:rsidR="00A25A29" w:rsidRPr="004C33D6" w:rsidRDefault="00A25A29" w:rsidP="006E6441">
            <w:pPr>
              <w:rPr>
                <w:rFonts w:cstheme="minorHAnsi"/>
                <w:sz w:val="18"/>
                <w:szCs w:val="18"/>
              </w:rPr>
            </w:pPr>
            <w:r w:rsidRPr="004C33D6">
              <w:rPr>
                <w:rFonts w:cstheme="minorHAnsi"/>
                <w:sz w:val="18"/>
                <w:szCs w:val="18"/>
              </w:rPr>
              <w:t>year</w:t>
            </w:r>
          </w:p>
          <w:p w:rsidR="00A25A29" w:rsidRPr="004C33D6" w:rsidRDefault="00A25A29" w:rsidP="006E6441">
            <w:pPr>
              <w:rPr>
                <w:rFonts w:cstheme="minorHAnsi"/>
                <w:sz w:val="18"/>
                <w:szCs w:val="18"/>
              </w:rPr>
            </w:pPr>
            <w:r w:rsidRPr="004C33D6">
              <w:rPr>
                <w:rFonts w:cstheme="minorHAnsi"/>
                <w:sz w:val="18"/>
                <w:szCs w:val="18"/>
              </w:rPr>
              <w:t>+</w:t>
            </w:r>
            <w:proofErr w:type="spellStart"/>
            <w:r w:rsidRPr="004C33D6">
              <w:rPr>
                <w:rFonts w:cstheme="minorHAnsi"/>
                <w:sz w:val="18"/>
                <w:szCs w:val="18"/>
              </w:rPr>
              <w:t>ageG</w:t>
            </w:r>
            <w:proofErr w:type="spellEnd"/>
          </w:p>
          <w:p w:rsidR="00A25A29" w:rsidRPr="004C33D6" w:rsidRDefault="00A25A29" w:rsidP="006E6441">
            <w:pPr>
              <w:rPr>
                <w:rFonts w:cstheme="minorHAnsi"/>
                <w:sz w:val="18"/>
                <w:szCs w:val="18"/>
              </w:rPr>
            </w:pPr>
          </w:p>
          <w:p w:rsidR="00A25A29" w:rsidRPr="004C33D6" w:rsidRDefault="00A25A29" w:rsidP="006E6441">
            <w:pPr>
              <w:rPr>
                <w:rFonts w:cstheme="minorHAnsi"/>
                <w:sz w:val="18"/>
                <w:szCs w:val="18"/>
              </w:rPr>
            </w:pPr>
            <w:proofErr w:type="spellStart"/>
            <w:r w:rsidRPr="004C33D6">
              <w:rPr>
                <w:rFonts w:cstheme="minorHAnsi"/>
                <w:sz w:val="18"/>
                <w:szCs w:val="18"/>
              </w:rPr>
              <w:t>popStandard</w:t>
            </w:r>
            <w:proofErr w:type="spellEnd"/>
          </w:p>
          <w:p w:rsidR="00A25A29" w:rsidRPr="004C33D6" w:rsidRDefault="00A25A29" w:rsidP="006E6441">
            <w:pPr>
              <w:rPr>
                <w:rFonts w:cstheme="minorHAnsi"/>
                <w:sz w:val="18"/>
                <w:szCs w:val="18"/>
              </w:rPr>
            </w:pPr>
            <w:proofErr w:type="spellStart"/>
            <w:r w:rsidRPr="004C33D6">
              <w:rPr>
                <w:rFonts w:cstheme="minorHAnsi"/>
                <w:sz w:val="18"/>
                <w:szCs w:val="18"/>
              </w:rPr>
              <w:t>ageG</w:t>
            </w:r>
            <w:proofErr w:type="spellEnd"/>
          </w:p>
        </w:tc>
        <w:tc>
          <w:tcPr>
            <w:tcW w:w="1077" w:type="dxa"/>
          </w:tcPr>
          <w:p w:rsidR="00A25A29" w:rsidRPr="004C33D6" w:rsidRDefault="00A25A29" w:rsidP="006E6441">
            <w:pPr>
              <w:rPr>
                <w:rFonts w:cstheme="minorHAnsi"/>
                <w:sz w:val="18"/>
                <w:szCs w:val="18"/>
              </w:rPr>
            </w:pPr>
          </w:p>
        </w:tc>
      </w:tr>
      <w:tr w:rsidR="00A25A29" w:rsidRPr="001716DB" w:rsidTr="006E6441">
        <w:tc>
          <w:tcPr>
            <w:tcW w:w="2898" w:type="dxa"/>
          </w:tcPr>
          <w:p w:rsidR="00A25A29" w:rsidRPr="004C33D6" w:rsidRDefault="00A25A29" w:rsidP="006E6441">
            <w:pPr>
              <w:rPr>
                <w:rFonts w:cstheme="minorHAnsi"/>
                <w:sz w:val="18"/>
                <w:szCs w:val="18"/>
              </w:rPr>
            </w:pPr>
            <w:r w:rsidRPr="004C33D6">
              <w:rPr>
                <w:rFonts w:cstheme="minorHAnsi"/>
                <w:sz w:val="18"/>
                <w:szCs w:val="18"/>
              </w:rPr>
              <w:t>tractPopulationProcessor1.R</w:t>
            </w:r>
          </w:p>
        </w:tc>
        <w:tc>
          <w:tcPr>
            <w:tcW w:w="987" w:type="dxa"/>
          </w:tcPr>
          <w:p w:rsidR="00A25A29" w:rsidRPr="004C33D6" w:rsidRDefault="00A25A29" w:rsidP="006E6441">
            <w:pPr>
              <w:rPr>
                <w:rFonts w:cstheme="minorHAnsi"/>
                <w:sz w:val="18"/>
                <w:szCs w:val="18"/>
              </w:rPr>
            </w:pPr>
            <w:r w:rsidRPr="004C33D6">
              <w:rPr>
                <w:rFonts w:cstheme="minorHAnsi"/>
                <w:sz w:val="18"/>
                <w:szCs w:val="18"/>
              </w:rPr>
              <w:t>ACS API</w:t>
            </w:r>
          </w:p>
        </w:tc>
        <w:tc>
          <w:tcPr>
            <w:tcW w:w="1713" w:type="dxa"/>
          </w:tcPr>
          <w:p w:rsidR="00A25A29" w:rsidRPr="004C33D6" w:rsidRDefault="00A25A29" w:rsidP="006E6441">
            <w:pPr>
              <w:rPr>
                <w:rFonts w:cstheme="minorHAnsi"/>
                <w:sz w:val="18"/>
                <w:szCs w:val="18"/>
              </w:rPr>
            </w:pPr>
            <w:r w:rsidRPr="004C33D6">
              <w:rPr>
                <w:rFonts w:cstheme="minorHAnsi"/>
                <w:sz w:val="18"/>
                <w:szCs w:val="18"/>
              </w:rPr>
              <w:t>B01003_001</w:t>
            </w:r>
          </w:p>
        </w:tc>
        <w:tc>
          <w:tcPr>
            <w:tcW w:w="1170" w:type="dxa"/>
          </w:tcPr>
          <w:p w:rsidR="00A25A29" w:rsidRPr="004C33D6" w:rsidRDefault="00A25A29" w:rsidP="006E6441">
            <w:pPr>
              <w:rPr>
                <w:rFonts w:cstheme="minorHAnsi"/>
                <w:sz w:val="18"/>
                <w:szCs w:val="18"/>
              </w:rPr>
            </w:pPr>
            <w:proofErr w:type="spellStart"/>
            <w:r w:rsidRPr="004C33D6">
              <w:rPr>
                <w:rFonts w:cstheme="minorHAnsi"/>
                <w:sz w:val="18"/>
                <w:szCs w:val="18"/>
              </w:rPr>
              <w:t>dplyr</w:t>
            </w:r>
            <w:proofErr w:type="spellEnd"/>
            <w:r w:rsidRPr="004C33D6">
              <w:rPr>
                <w:rFonts w:cstheme="minorHAnsi"/>
                <w:sz w:val="18"/>
                <w:szCs w:val="18"/>
              </w:rPr>
              <w:t xml:space="preserve">, base, </w:t>
            </w:r>
            <w:proofErr w:type="spellStart"/>
            <w:r w:rsidRPr="004C33D6">
              <w:rPr>
                <w:rFonts w:cstheme="minorHAnsi"/>
                <w:sz w:val="18"/>
                <w:szCs w:val="18"/>
              </w:rPr>
              <w:t>tidycensus</w:t>
            </w:r>
            <w:proofErr w:type="spellEnd"/>
          </w:p>
        </w:tc>
        <w:tc>
          <w:tcPr>
            <w:tcW w:w="1080" w:type="dxa"/>
          </w:tcPr>
          <w:p w:rsidR="00A25A29" w:rsidRPr="004C33D6" w:rsidRDefault="00A25A29" w:rsidP="006E6441">
            <w:pPr>
              <w:rPr>
                <w:rFonts w:cstheme="minorHAnsi"/>
                <w:sz w:val="18"/>
                <w:szCs w:val="18"/>
              </w:rPr>
            </w:pPr>
            <w:r w:rsidRPr="004C33D6">
              <w:rPr>
                <w:rFonts w:cstheme="minorHAnsi"/>
                <w:sz w:val="18"/>
                <w:szCs w:val="18"/>
              </w:rPr>
              <w:t>Yes, for tracts and MSSAs</w:t>
            </w:r>
          </w:p>
        </w:tc>
        <w:tc>
          <w:tcPr>
            <w:tcW w:w="2700" w:type="dxa"/>
          </w:tcPr>
          <w:p w:rsidR="00A25A29" w:rsidRPr="004C33D6" w:rsidRDefault="00A25A29" w:rsidP="006E6441">
            <w:pPr>
              <w:rPr>
                <w:rFonts w:cstheme="minorHAnsi"/>
                <w:sz w:val="18"/>
                <w:szCs w:val="18"/>
              </w:rPr>
            </w:pPr>
            <w:r w:rsidRPr="004C33D6">
              <w:rPr>
                <w:rFonts w:cstheme="minorHAnsi"/>
                <w:sz w:val="18"/>
                <w:szCs w:val="18"/>
              </w:rPr>
              <w:t>popTractTot</w:t>
            </w:r>
            <w:r w:rsidRPr="004C33D6">
              <w:rPr>
                <w:rFonts w:cstheme="minorHAnsi"/>
                <w:color w:val="FF0000"/>
                <w:sz w:val="18"/>
                <w:szCs w:val="18"/>
              </w:rPr>
              <w:t>2013</w:t>
            </w:r>
            <w:r w:rsidRPr="004C33D6">
              <w:rPr>
                <w:rFonts w:cstheme="minorHAnsi"/>
                <w:sz w:val="18"/>
                <w:szCs w:val="18"/>
              </w:rPr>
              <w:t>.RDS</w:t>
            </w:r>
          </w:p>
          <w:p w:rsidR="00A25A29" w:rsidRPr="004C33D6" w:rsidRDefault="00A25A29" w:rsidP="006E6441">
            <w:pPr>
              <w:rPr>
                <w:rFonts w:cstheme="minorHAnsi"/>
                <w:sz w:val="18"/>
                <w:szCs w:val="18"/>
              </w:rPr>
            </w:pPr>
          </w:p>
          <w:p w:rsidR="00A25A29" w:rsidRPr="004C33D6" w:rsidRDefault="00A25A29" w:rsidP="006E6441">
            <w:pPr>
              <w:rPr>
                <w:rFonts w:cstheme="minorHAnsi"/>
                <w:sz w:val="18"/>
                <w:szCs w:val="18"/>
              </w:rPr>
            </w:pPr>
          </w:p>
        </w:tc>
        <w:tc>
          <w:tcPr>
            <w:tcW w:w="1198" w:type="dxa"/>
          </w:tcPr>
          <w:p w:rsidR="00A25A29" w:rsidRPr="004C33D6" w:rsidRDefault="00A25A29" w:rsidP="006E6441">
            <w:pPr>
              <w:rPr>
                <w:rFonts w:cstheme="minorHAnsi"/>
                <w:sz w:val="18"/>
                <w:szCs w:val="18"/>
              </w:rPr>
            </w:pPr>
            <w:r w:rsidRPr="004C33D6">
              <w:rPr>
                <w:rFonts w:cstheme="minorHAnsi"/>
                <w:sz w:val="18"/>
                <w:szCs w:val="18"/>
              </w:rPr>
              <w:t>GEOID; pop</w:t>
            </w:r>
          </w:p>
        </w:tc>
        <w:tc>
          <w:tcPr>
            <w:tcW w:w="1077" w:type="dxa"/>
          </w:tcPr>
          <w:p w:rsidR="00A25A29" w:rsidRPr="004C33D6" w:rsidRDefault="00A25A29" w:rsidP="006E6441">
            <w:pPr>
              <w:rPr>
                <w:rFonts w:cstheme="minorHAnsi"/>
                <w:sz w:val="18"/>
                <w:szCs w:val="18"/>
              </w:rPr>
            </w:pPr>
            <w:r w:rsidRPr="004C33D6">
              <w:rPr>
                <w:rFonts w:cstheme="minorHAnsi"/>
                <w:sz w:val="18"/>
                <w:szCs w:val="18"/>
              </w:rPr>
              <w:t xml:space="preserve">ACS five-year file, </w:t>
            </w:r>
            <w:r w:rsidRPr="004C33D6">
              <w:rPr>
                <w:rFonts w:cstheme="minorHAnsi"/>
                <w:color w:val="FF0000"/>
                <w:sz w:val="18"/>
                <w:szCs w:val="18"/>
              </w:rPr>
              <w:t xml:space="preserve">year=2013 </w:t>
            </w:r>
            <w:r w:rsidRPr="004C33D6">
              <w:rPr>
                <w:rFonts w:cstheme="minorHAnsi"/>
                <w:sz w:val="18"/>
                <w:szCs w:val="18"/>
              </w:rPr>
              <w:t>(</w:t>
            </w:r>
            <w:proofErr w:type="spellStart"/>
            <w:r w:rsidRPr="004C33D6">
              <w:rPr>
                <w:rFonts w:cstheme="minorHAnsi"/>
                <w:sz w:val="18"/>
                <w:szCs w:val="18"/>
              </w:rPr>
              <w:t>mid year</w:t>
            </w:r>
            <w:proofErr w:type="spellEnd"/>
            <w:r w:rsidRPr="004C33D6">
              <w:rPr>
                <w:rFonts w:cstheme="minorHAnsi"/>
                <w:sz w:val="18"/>
                <w:szCs w:val="18"/>
              </w:rPr>
              <w:t xml:space="preserve"> between 2015 and 2011)</w:t>
            </w:r>
          </w:p>
        </w:tc>
      </w:tr>
      <w:tr w:rsidR="00A25A29" w:rsidRPr="001716DB" w:rsidTr="006E6441">
        <w:tc>
          <w:tcPr>
            <w:tcW w:w="2898" w:type="dxa"/>
          </w:tcPr>
          <w:p w:rsidR="00A25A29" w:rsidRPr="004C33D6" w:rsidRDefault="00A25A29" w:rsidP="006E6441">
            <w:pPr>
              <w:rPr>
                <w:rFonts w:cstheme="minorHAnsi"/>
                <w:sz w:val="18"/>
                <w:szCs w:val="18"/>
              </w:rPr>
            </w:pPr>
            <w:r w:rsidRPr="004C33D6">
              <w:rPr>
                <w:rFonts w:cstheme="minorHAnsi"/>
                <w:sz w:val="18"/>
                <w:szCs w:val="18"/>
              </w:rPr>
              <w:t>tractPopulationProcessor2.R</w:t>
            </w:r>
          </w:p>
        </w:tc>
        <w:tc>
          <w:tcPr>
            <w:tcW w:w="987" w:type="dxa"/>
          </w:tcPr>
          <w:p w:rsidR="00A25A29" w:rsidRPr="004C33D6" w:rsidRDefault="00A25A29" w:rsidP="006E6441">
            <w:pPr>
              <w:rPr>
                <w:rFonts w:cstheme="minorHAnsi"/>
                <w:sz w:val="18"/>
                <w:szCs w:val="18"/>
              </w:rPr>
            </w:pPr>
            <w:r w:rsidRPr="004C33D6">
              <w:rPr>
                <w:rFonts w:cstheme="minorHAnsi"/>
                <w:sz w:val="18"/>
                <w:szCs w:val="18"/>
              </w:rPr>
              <w:t>ACS API</w:t>
            </w:r>
          </w:p>
        </w:tc>
        <w:tc>
          <w:tcPr>
            <w:tcW w:w="1713" w:type="dxa"/>
          </w:tcPr>
          <w:p w:rsidR="00A25A29" w:rsidRPr="004C33D6" w:rsidRDefault="00A25A29" w:rsidP="006E6441">
            <w:pPr>
              <w:rPr>
                <w:rFonts w:cstheme="minorHAnsi"/>
                <w:sz w:val="18"/>
                <w:szCs w:val="18"/>
              </w:rPr>
            </w:pPr>
            <w:r w:rsidRPr="004C33D6">
              <w:rPr>
                <w:rFonts w:cstheme="minorHAnsi"/>
                <w:sz w:val="18"/>
                <w:szCs w:val="18"/>
              </w:rPr>
              <w:t xml:space="preserve">"B01001_003E" to "B01001_025E" and </w:t>
            </w:r>
          </w:p>
          <w:p w:rsidR="00A25A29" w:rsidRPr="004C33D6" w:rsidRDefault="00A25A29" w:rsidP="006E6441">
            <w:pPr>
              <w:rPr>
                <w:rFonts w:cstheme="minorHAnsi"/>
                <w:sz w:val="18"/>
                <w:szCs w:val="18"/>
              </w:rPr>
            </w:pPr>
            <w:r w:rsidRPr="004C33D6">
              <w:rPr>
                <w:rFonts w:cstheme="minorHAnsi"/>
                <w:sz w:val="18"/>
                <w:szCs w:val="18"/>
              </w:rPr>
              <w:t>"B01001_027E" to "B01001_049E"</w:t>
            </w:r>
          </w:p>
        </w:tc>
        <w:tc>
          <w:tcPr>
            <w:tcW w:w="1170" w:type="dxa"/>
          </w:tcPr>
          <w:p w:rsidR="00A25A29" w:rsidRPr="004C33D6" w:rsidRDefault="00A25A29" w:rsidP="006E6441">
            <w:pPr>
              <w:rPr>
                <w:rFonts w:cstheme="minorHAnsi"/>
                <w:sz w:val="18"/>
                <w:szCs w:val="18"/>
              </w:rPr>
            </w:pPr>
            <w:proofErr w:type="spellStart"/>
            <w:r w:rsidRPr="004C33D6">
              <w:rPr>
                <w:rFonts w:cstheme="minorHAnsi"/>
                <w:sz w:val="18"/>
                <w:szCs w:val="18"/>
              </w:rPr>
              <w:t>data.table</w:t>
            </w:r>
            <w:proofErr w:type="spellEnd"/>
            <w:r w:rsidRPr="004C33D6">
              <w:rPr>
                <w:rFonts w:cstheme="minorHAnsi"/>
                <w:sz w:val="18"/>
                <w:szCs w:val="18"/>
              </w:rPr>
              <w:t>,</w:t>
            </w:r>
          </w:p>
          <w:p w:rsidR="00A25A29" w:rsidRPr="004C33D6" w:rsidRDefault="00A25A29" w:rsidP="006E6441">
            <w:pPr>
              <w:rPr>
                <w:rFonts w:cstheme="minorHAnsi"/>
                <w:sz w:val="18"/>
                <w:szCs w:val="18"/>
              </w:rPr>
            </w:pPr>
            <w:proofErr w:type="spellStart"/>
            <w:r w:rsidRPr="004C33D6">
              <w:rPr>
                <w:rFonts w:cstheme="minorHAnsi"/>
                <w:sz w:val="18"/>
                <w:szCs w:val="18"/>
              </w:rPr>
              <w:t>tidycensus</w:t>
            </w:r>
            <w:proofErr w:type="spellEnd"/>
            <w:r w:rsidRPr="004C33D6">
              <w:rPr>
                <w:rFonts w:cstheme="minorHAnsi"/>
                <w:sz w:val="18"/>
                <w:szCs w:val="18"/>
              </w:rPr>
              <w:t xml:space="preserve"> </w:t>
            </w:r>
          </w:p>
        </w:tc>
        <w:tc>
          <w:tcPr>
            <w:tcW w:w="1080" w:type="dxa"/>
          </w:tcPr>
          <w:p w:rsidR="00A25A29" w:rsidRPr="004C33D6" w:rsidRDefault="00A25A29" w:rsidP="006E6441">
            <w:pPr>
              <w:rPr>
                <w:rFonts w:cstheme="minorHAnsi"/>
                <w:sz w:val="18"/>
                <w:szCs w:val="18"/>
              </w:rPr>
            </w:pPr>
            <w:r w:rsidRPr="004C33D6">
              <w:rPr>
                <w:rFonts w:cstheme="minorHAnsi"/>
                <w:sz w:val="18"/>
                <w:szCs w:val="18"/>
              </w:rPr>
              <w:t>Yes, for age adjustment</w:t>
            </w:r>
          </w:p>
        </w:tc>
        <w:tc>
          <w:tcPr>
            <w:tcW w:w="2700" w:type="dxa"/>
          </w:tcPr>
          <w:p w:rsidR="00A25A29" w:rsidRPr="004C33D6" w:rsidRDefault="00A25A29" w:rsidP="006E6441">
            <w:pPr>
              <w:rPr>
                <w:rFonts w:cstheme="minorHAnsi"/>
                <w:sz w:val="18"/>
                <w:szCs w:val="18"/>
              </w:rPr>
            </w:pPr>
            <w:r w:rsidRPr="004C33D6">
              <w:rPr>
                <w:rFonts w:cstheme="minorHAnsi"/>
                <w:sz w:val="18"/>
                <w:szCs w:val="18"/>
              </w:rPr>
              <w:t>popTractAgeG</w:t>
            </w:r>
            <w:r w:rsidRPr="004C33D6">
              <w:rPr>
                <w:rFonts w:cstheme="minorHAnsi"/>
                <w:color w:val="FF0000"/>
                <w:sz w:val="18"/>
                <w:szCs w:val="18"/>
              </w:rPr>
              <w:t>2013</w:t>
            </w:r>
            <w:r w:rsidRPr="004C33D6">
              <w:rPr>
                <w:rFonts w:cstheme="minorHAnsi"/>
                <w:sz w:val="18"/>
                <w:szCs w:val="18"/>
              </w:rPr>
              <w:t>.RDS</w:t>
            </w:r>
          </w:p>
        </w:tc>
        <w:tc>
          <w:tcPr>
            <w:tcW w:w="1198" w:type="dxa"/>
          </w:tcPr>
          <w:p w:rsidR="00A25A29" w:rsidRPr="004C33D6" w:rsidRDefault="00A25A29" w:rsidP="006E6441">
            <w:pPr>
              <w:rPr>
                <w:rFonts w:cstheme="minorHAnsi"/>
                <w:sz w:val="18"/>
                <w:szCs w:val="18"/>
              </w:rPr>
            </w:pPr>
            <w:r w:rsidRPr="004C33D6">
              <w:rPr>
                <w:rFonts w:cstheme="minorHAnsi"/>
                <w:sz w:val="18"/>
                <w:szCs w:val="18"/>
              </w:rPr>
              <w:t>year</w:t>
            </w:r>
          </w:p>
          <w:p w:rsidR="00A25A29" w:rsidRPr="004C33D6" w:rsidRDefault="00A25A29" w:rsidP="006E6441">
            <w:pPr>
              <w:rPr>
                <w:rFonts w:cstheme="minorHAnsi"/>
                <w:sz w:val="18"/>
                <w:szCs w:val="18"/>
              </w:rPr>
            </w:pPr>
            <w:r w:rsidRPr="004C33D6">
              <w:rPr>
                <w:rFonts w:cstheme="minorHAnsi"/>
                <w:sz w:val="18"/>
                <w:szCs w:val="18"/>
              </w:rPr>
              <w:t>GEOID</w:t>
            </w:r>
          </w:p>
          <w:p w:rsidR="00A25A29" w:rsidRPr="004C33D6" w:rsidRDefault="00A25A29" w:rsidP="006E6441">
            <w:pPr>
              <w:rPr>
                <w:rFonts w:cstheme="minorHAnsi"/>
                <w:sz w:val="18"/>
                <w:szCs w:val="18"/>
              </w:rPr>
            </w:pPr>
            <w:proofErr w:type="spellStart"/>
            <w:r w:rsidRPr="004C33D6">
              <w:rPr>
                <w:rFonts w:cstheme="minorHAnsi"/>
                <w:sz w:val="18"/>
                <w:szCs w:val="18"/>
              </w:rPr>
              <w:t>comID</w:t>
            </w:r>
            <w:proofErr w:type="spellEnd"/>
          </w:p>
          <w:p w:rsidR="00A25A29" w:rsidRPr="004C33D6" w:rsidRDefault="00A25A29" w:rsidP="006E6441">
            <w:pPr>
              <w:rPr>
                <w:rFonts w:cstheme="minorHAnsi"/>
                <w:sz w:val="18"/>
                <w:szCs w:val="18"/>
              </w:rPr>
            </w:pPr>
            <w:proofErr w:type="spellStart"/>
            <w:r w:rsidRPr="004C33D6">
              <w:rPr>
                <w:rFonts w:cstheme="minorHAnsi"/>
                <w:color w:val="0070C0"/>
                <w:sz w:val="18"/>
                <w:szCs w:val="18"/>
              </w:rPr>
              <w:t>ageG</w:t>
            </w:r>
            <w:proofErr w:type="spellEnd"/>
          </w:p>
          <w:p w:rsidR="00A25A29" w:rsidRPr="004C33D6" w:rsidRDefault="00A25A29" w:rsidP="006E6441">
            <w:pPr>
              <w:rPr>
                <w:rFonts w:cstheme="minorHAnsi"/>
                <w:sz w:val="18"/>
                <w:szCs w:val="18"/>
              </w:rPr>
            </w:pPr>
            <w:r w:rsidRPr="004C33D6">
              <w:rPr>
                <w:rFonts w:cstheme="minorHAnsi"/>
                <w:color w:val="0070C0"/>
                <w:sz w:val="18"/>
                <w:szCs w:val="18"/>
              </w:rPr>
              <w:t>sex</w:t>
            </w:r>
            <w:r w:rsidRPr="004C33D6">
              <w:rPr>
                <w:rFonts w:cstheme="minorHAnsi"/>
                <w:sz w:val="18"/>
                <w:szCs w:val="18"/>
              </w:rPr>
              <w:t>, pop</w:t>
            </w:r>
          </w:p>
        </w:tc>
        <w:tc>
          <w:tcPr>
            <w:tcW w:w="1077" w:type="dxa"/>
          </w:tcPr>
          <w:p w:rsidR="00A25A29" w:rsidRPr="004C33D6" w:rsidRDefault="00A25A29" w:rsidP="006E6441">
            <w:pPr>
              <w:rPr>
                <w:rFonts w:cstheme="minorHAnsi"/>
                <w:sz w:val="18"/>
                <w:szCs w:val="18"/>
              </w:rPr>
            </w:pPr>
            <w:r w:rsidRPr="004C33D6">
              <w:rPr>
                <w:rFonts w:cstheme="minorHAnsi"/>
                <w:sz w:val="18"/>
                <w:szCs w:val="18"/>
              </w:rPr>
              <w:t xml:space="preserve">Base on code from </w:t>
            </w:r>
            <w:r w:rsidRPr="004C33D6">
              <w:rPr>
                <w:rFonts w:cstheme="minorHAnsi"/>
                <w:color w:val="FF0000"/>
                <w:sz w:val="18"/>
                <w:szCs w:val="18"/>
              </w:rPr>
              <w:t>ETHAN</w:t>
            </w:r>
          </w:p>
        </w:tc>
      </w:tr>
      <w:tr w:rsidR="00A25A29" w:rsidRPr="001716DB" w:rsidTr="006E6441">
        <w:tc>
          <w:tcPr>
            <w:tcW w:w="2898" w:type="dxa"/>
          </w:tcPr>
          <w:p w:rsidR="00A25A29" w:rsidRPr="004C33D6" w:rsidRDefault="00A25A29" w:rsidP="006E6441">
            <w:pPr>
              <w:rPr>
                <w:rFonts w:cstheme="minorHAnsi"/>
                <w:sz w:val="18"/>
                <w:szCs w:val="18"/>
              </w:rPr>
            </w:pPr>
            <w:r w:rsidRPr="004C33D6">
              <w:rPr>
                <w:rFonts w:cstheme="minorHAnsi"/>
                <w:sz w:val="18"/>
                <w:szCs w:val="18"/>
              </w:rPr>
              <w:t>tractPopulationProcessor3</w:t>
            </w:r>
          </w:p>
        </w:tc>
        <w:tc>
          <w:tcPr>
            <w:tcW w:w="987" w:type="dxa"/>
          </w:tcPr>
          <w:p w:rsidR="00A25A29" w:rsidRPr="004C33D6" w:rsidRDefault="00A25A29" w:rsidP="006E6441">
            <w:pPr>
              <w:rPr>
                <w:rFonts w:cstheme="minorHAnsi"/>
                <w:sz w:val="18"/>
                <w:szCs w:val="18"/>
              </w:rPr>
            </w:pPr>
            <w:r w:rsidRPr="004C33D6">
              <w:rPr>
                <w:rFonts w:cstheme="minorHAnsi"/>
                <w:sz w:val="18"/>
                <w:szCs w:val="18"/>
              </w:rPr>
              <w:t xml:space="preserve">ACS </w:t>
            </w:r>
            <w:r w:rsidRPr="004C33D6">
              <w:rPr>
                <w:rFonts w:cstheme="minorHAnsi"/>
                <w:color w:val="0070C0"/>
                <w:sz w:val="18"/>
                <w:szCs w:val="18"/>
              </w:rPr>
              <w:t xml:space="preserve">and Census </w:t>
            </w:r>
            <w:r w:rsidRPr="004C33D6">
              <w:rPr>
                <w:rFonts w:cstheme="minorHAnsi"/>
                <w:sz w:val="18"/>
                <w:szCs w:val="18"/>
              </w:rPr>
              <w:t>API</w:t>
            </w:r>
          </w:p>
        </w:tc>
        <w:tc>
          <w:tcPr>
            <w:tcW w:w="1713" w:type="dxa"/>
          </w:tcPr>
          <w:p w:rsidR="00A25A29" w:rsidRPr="004C33D6" w:rsidRDefault="00A25A29" w:rsidP="006E6441">
            <w:pPr>
              <w:rPr>
                <w:rFonts w:cstheme="minorHAnsi"/>
                <w:sz w:val="18"/>
                <w:szCs w:val="18"/>
              </w:rPr>
            </w:pPr>
          </w:p>
        </w:tc>
        <w:tc>
          <w:tcPr>
            <w:tcW w:w="1170" w:type="dxa"/>
          </w:tcPr>
          <w:p w:rsidR="00A25A29" w:rsidRPr="004C33D6" w:rsidRDefault="00A25A29" w:rsidP="006E6441">
            <w:pPr>
              <w:rPr>
                <w:rFonts w:cstheme="minorHAnsi"/>
                <w:sz w:val="18"/>
                <w:szCs w:val="18"/>
              </w:rPr>
            </w:pPr>
            <w:r w:rsidRPr="004C33D6">
              <w:rPr>
                <w:rFonts w:cstheme="minorHAnsi"/>
                <w:sz w:val="18"/>
                <w:szCs w:val="18"/>
              </w:rPr>
              <w:t xml:space="preserve">base, </w:t>
            </w:r>
            <w:proofErr w:type="spellStart"/>
            <w:r w:rsidRPr="004C33D6">
              <w:rPr>
                <w:rFonts w:cstheme="minorHAnsi"/>
                <w:sz w:val="18"/>
                <w:szCs w:val="18"/>
              </w:rPr>
              <w:t>dplyr</w:t>
            </w:r>
            <w:proofErr w:type="spellEnd"/>
            <w:r w:rsidRPr="004C33D6">
              <w:rPr>
                <w:rFonts w:cstheme="minorHAnsi"/>
                <w:sz w:val="18"/>
                <w:szCs w:val="18"/>
              </w:rPr>
              <w:t xml:space="preserve"> (</w:t>
            </w:r>
            <w:proofErr w:type="spellStart"/>
            <w:r w:rsidRPr="004C33D6">
              <w:rPr>
                <w:rFonts w:cstheme="minorHAnsi"/>
                <w:sz w:val="18"/>
                <w:szCs w:val="18"/>
              </w:rPr>
              <w:t>full_join</w:t>
            </w:r>
            <w:proofErr w:type="spellEnd"/>
            <w:r w:rsidRPr="004C33D6">
              <w:rPr>
                <w:rFonts w:cstheme="minorHAnsi"/>
                <w:sz w:val="18"/>
                <w:szCs w:val="18"/>
              </w:rPr>
              <w:t>),</w:t>
            </w:r>
          </w:p>
          <w:p w:rsidR="00A25A29" w:rsidRPr="004C33D6" w:rsidRDefault="00A25A29" w:rsidP="006E6441">
            <w:pPr>
              <w:rPr>
                <w:rFonts w:cstheme="minorHAnsi"/>
                <w:sz w:val="18"/>
                <w:szCs w:val="18"/>
              </w:rPr>
            </w:pPr>
            <w:proofErr w:type="spellStart"/>
            <w:r w:rsidRPr="004C33D6">
              <w:rPr>
                <w:rFonts w:cstheme="minorHAnsi"/>
                <w:sz w:val="18"/>
                <w:szCs w:val="18"/>
              </w:rPr>
              <w:t>tidycensus</w:t>
            </w:r>
            <w:proofErr w:type="spellEnd"/>
          </w:p>
        </w:tc>
        <w:tc>
          <w:tcPr>
            <w:tcW w:w="1080" w:type="dxa"/>
          </w:tcPr>
          <w:p w:rsidR="00A25A29" w:rsidRPr="004C33D6" w:rsidRDefault="00A25A29" w:rsidP="006E6441">
            <w:pPr>
              <w:rPr>
                <w:rFonts w:cstheme="minorHAnsi"/>
                <w:sz w:val="18"/>
                <w:szCs w:val="18"/>
              </w:rPr>
            </w:pPr>
            <w:r w:rsidRPr="004C33D6">
              <w:rPr>
                <w:rFonts w:cstheme="minorHAnsi"/>
                <w:sz w:val="18"/>
                <w:szCs w:val="18"/>
              </w:rPr>
              <w:t>Not currently</w:t>
            </w:r>
          </w:p>
        </w:tc>
        <w:tc>
          <w:tcPr>
            <w:tcW w:w="2700" w:type="dxa"/>
          </w:tcPr>
          <w:p w:rsidR="00A25A29" w:rsidRPr="004C33D6" w:rsidRDefault="00A25A29" w:rsidP="006E6441">
            <w:pPr>
              <w:rPr>
                <w:rFonts w:cstheme="minorHAnsi"/>
                <w:sz w:val="18"/>
                <w:szCs w:val="18"/>
              </w:rPr>
            </w:pPr>
          </w:p>
        </w:tc>
        <w:tc>
          <w:tcPr>
            <w:tcW w:w="1198" w:type="dxa"/>
          </w:tcPr>
          <w:p w:rsidR="00A25A29" w:rsidRPr="004C33D6" w:rsidRDefault="00A25A29" w:rsidP="006E6441">
            <w:pPr>
              <w:rPr>
                <w:rFonts w:cstheme="minorHAnsi"/>
                <w:sz w:val="18"/>
                <w:szCs w:val="18"/>
              </w:rPr>
            </w:pPr>
          </w:p>
        </w:tc>
        <w:tc>
          <w:tcPr>
            <w:tcW w:w="1077" w:type="dxa"/>
          </w:tcPr>
          <w:p w:rsidR="00A25A29" w:rsidRPr="004C33D6" w:rsidRDefault="00A25A29" w:rsidP="006E6441">
            <w:pPr>
              <w:rPr>
                <w:rFonts w:cstheme="minorHAnsi"/>
                <w:sz w:val="18"/>
                <w:szCs w:val="18"/>
              </w:rPr>
            </w:pPr>
            <w:r w:rsidRPr="004C33D6">
              <w:rPr>
                <w:rFonts w:cstheme="minorHAnsi"/>
                <w:color w:val="FF0000"/>
                <w:sz w:val="18"/>
                <w:szCs w:val="18"/>
              </w:rPr>
              <w:t>BEN</w:t>
            </w:r>
            <w:r w:rsidRPr="004C33D6">
              <w:rPr>
                <w:rFonts w:cstheme="minorHAnsi"/>
                <w:sz w:val="18"/>
                <w:szCs w:val="18"/>
              </w:rPr>
              <w:t xml:space="preserve"> - Makes function to pull for </w:t>
            </w:r>
            <w:r w:rsidRPr="004C33D6">
              <w:rPr>
                <w:rFonts w:cstheme="minorHAnsi"/>
                <w:color w:val="0070C0"/>
                <w:sz w:val="18"/>
                <w:szCs w:val="18"/>
              </w:rPr>
              <w:t xml:space="preserve">multiple </w:t>
            </w:r>
            <w:r w:rsidRPr="004C33D6">
              <w:rPr>
                <w:rFonts w:cstheme="minorHAnsi"/>
                <w:color w:val="0070C0"/>
                <w:sz w:val="18"/>
                <w:szCs w:val="18"/>
              </w:rPr>
              <w:lastRenderedPageBreak/>
              <w:t>years</w:t>
            </w:r>
          </w:p>
        </w:tc>
      </w:tr>
    </w:tbl>
    <w:p w:rsidR="00A25A29" w:rsidRDefault="00A25A29" w:rsidP="00895548">
      <w:pPr>
        <w:spacing w:after="0"/>
      </w:pPr>
      <w:bookmarkStart w:id="0" w:name="_GoBack"/>
      <w:bookmarkEnd w:id="0"/>
    </w:p>
    <w:p w:rsidR="00984D83" w:rsidRDefault="00984D83" w:rsidP="00895548">
      <w:pPr>
        <w:spacing w:after="0"/>
      </w:pPr>
    </w:p>
    <w:p w:rsidR="00984D83" w:rsidRDefault="00984D83" w:rsidP="00895548">
      <w:pPr>
        <w:spacing w:after="0"/>
      </w:pPr>
    </w:p>
    <w:tbl>
      <w:tblPr>
        <w:tblStyle w:val="TableGrid"/>
        <w:tblW w:w="14285" w:type="dxa"/>
        <w:tblLayout w:type="fixed"/>
        <w:tblLook w:val="04A0" w:firstRow="1" w:lastRow="0" w:firstColumn="1" w:lastColumn="0" w:noHBand="0" w:noVBand="1"/>
      </w:tblPr>
      <w:tblGrid>
        <w:gridCol w:w="1538"/>
        <w:gridCol w:w="838"/>
        <w:gridCol w:w="1109"/>
        <w:gridCol w:w="1109"/>
        <w:gridCol w:w="688"/>
        <w:gridCol w:w="1273"/>
        <w:gridCol w:w="1394"/>
        <w:gridCol w:w="2088"/>
        <w:gridCol w:w="4248"/>
      </w:tblGrid>
      <w:tr w:rsidR="00A47438" w:rsidTr="00984D83">
        <w:tc>
          <w:tcPr>
            <w:tcW w:w="1538" w:type="dxa"/>
          </w:tcPr>
          <w:p w:rsidR="00A47438" w:rsidRDefault="00A47438" w:rsidP="00895548">
            <w:r>
              <w:t>Measure</w:t>
            </w:r>
          </w:p>
        </w:tc>
        <w:tc>
          <w:tcPr>
            <w:tcW w:w="838" w:type="dxa"/>
          </w:tcPr>
          <w:p w:rsidR="00A47438" w:rsidRDefault="00A47438" w:rsidP="00895548">
            <w:r>
              <w:t>Table</w:t>
            </w:r>
          </w:p>
        </w:tc>
        <w:tc>
          <w:tcPr>
            <w:tcW w:w="1109" w:type="dxa"/>
          </w:tcPr>
          <w:p w:rsidR="00A47438" w:rsidRDefault="00A47438" w:rsidP="00895548"/>
        </w:tc>
        <w:tc>
          <w:tcPr>
            <w:tcW w:w="1109" w:type="dxa"/>
          </w:tcPr>
          <w:p w:rsidR="00A47438" w:rsidRDefault="00A47438" w:rsidP="00895548"/>
        </w:tc>
        <w:tc>
          <w:tcPr>
            <w:tcW w:w="688" w:type="dxa"/>
          </w:tcPr>
          <w:p w:rsidR="00A47438" w:rsidRDefault="00A47438" w:rsidP="00895548">
            <w:r>
              <w:t>years</w:t>
            </w:r>
          </w:p>
        </w:tc>
        <w:tc>
          <w:tcPr>
            <w:tcW w:w="1273" w:type="dxa"/>
          </w:tcPr>
          <w:p w:rsidR="00A47438" w:rsidRDefault="00A47438" w:rsidP="00895548">
            <w:r>
              <w:t>Geography</w:t>
            </w:r>
          </w:p>
        </w:tc>
        <w:tc>
          <w:tcPr>
            <w:tcW w:w="1394" w:type="dxa"/>
          </w:tcPr>
          <w:p w:rsidR="00A47438" w:rsidRDefault="00A47438" w:rsidP="00895548">
            <w:r>
              <w:t>Demographics</w:t>
            </w:r>
          </w:p>
        </w:tc>
        <w:tc>
          <w:tcPr>
            <w:tcW w:w="2088" w:type="dxa"/>
          </w:tcPr>
          <w:p w:rsidR="00A47438" w:rsidRDefault="00A47438" w:rsidP="00895548">
            <w:r>
              <w:t>source</w:t>
            </w:r>
          </w:p>
        </w:tc>
        <w:tc>
          <w:tcPr>
            <w:tcW w:w="4248" w:type="dxa"/>
          </w:tcPr>
          <w:p w:rsidR="00A47438" w:rsidRDefault="00A47438" w:rsidP="00895548"/>
        </w:tc>
      </w:tr>
      <w:tr w:rsidR="00A47438" w:rsidTr="00984D83">
        <w:tc>
          <w:tcPr>
            <w:tcW w:w="1538" w:type="dxa"/>
          </w:tcPr>
          <w:p w:rsidR="00A47438" w:rsidRDefault="00A47438" w:rsidP="00895548">
            <w:r>
              <w:t>Persons in</w:t>
            </w:r>
          </w:p>
          <w:p w:rsidR="00A47438" w:rsidRDefault="00A47438" w:rsidP="00895548">
            <w:r>
              <w:t>institutionalized</w:t>
            </w:r>
          </w:p>
          <w:p w:rsidR="00A47438" w:rsidRDefault="00A47438" w:rsidP="00895548">
            <w:r>
              <w:t>group quarters</w:t>
            </w:r>
          </w:p>
          <w:p w:rsidR="00A47438" w:rsidRDefault="00A47438" w:rsidP="00895548"/>
        </w:tc>
        <w:tc>
          <w:tcPr>
            <w:tcW w:w="838" w:type="dxa"/>
          </w:tcPr>
          <w:p w:rsidR="00A47438" w:rsidRDefault="00A47438" w:rsidP="00895548">
            <w:r w:rsidRPr="00596243">
              <w:t>B26001</w:t>
            </w:r>
          </w:p>
        </w:tc>
        <w:tc>
          <w:tcPr>
            <w:tcW w:w="1109" w:type="dxa"/>
          </w:tcPr>
          <w:p w:rsidR="00A47438" w:rsidRDefault="00A47438" w:rsidP="00895548">
            <w:r w:rsidRPr="00D36CC9">
              <w:t>HD01_VD01</w:t>
            </w:r>
            <w:r>
              <w:t xml:space="preserve"> (estimate) 02 (MOE)</w:t>
            </w:r>
          </w:p>
        </w:tc>
        <w:tc>
          <w:tcPr>
            <w:tcW w:w="1109" w:type="dxa"/>
          </w:tcPr>
          <w:p w:rsidR="00A47438" w:rsidRDefault="00A47438" w:rsidP="00895548">
            <w:r>
              <w:t>ACS</w:t>
            </w:r>
          </w:p>
        </w:tc>
        <w:tc>
          <w:tcPr>
            <w:tcW w:w="688" w:type="dxa"/>
          </w:tcPr>
          <w:p w:rsidR="00A47438" w:rsidRDefault="00A47438" w:rsidP="00895548">
            <w:r>
              <w:t>2012-</w:t>
            </w:r>
          </w:p>
          <w:p w:rsidR="00A47438" w:rsidRDefault="00A47438" w:rsidP="00895548">
            <w:r>
              <w:t>2016</w:t>
            </w:r>
          </w:p>
        </w:tc>
        <w:tc>
          <w:tcPr>
            <w:tcW w:w="1273" w:type="dxa"/>
          </w:tcPr>
          <w:p w:rsidR="00A47438" w:rsidRDefault="00A47438" w:rsidP="00895548"/>
        </w:tc>
        <w:tc>
          <w:tcPr>
            <w:tcW w:w="1394" w:type="dxa"/>
          </w:tcPr>
          <w:p w:rsidR="00A47438" w:rsidRDefault="00A47438" w:rsidP="00895548"/>
        </w:tc>
        <w:tc>
          <w:tcPr>
            <w:tcW w:w="2088" w:type="dxa"/>
          </w:tcPr>
          <w:p w:rsidR="00A47438" w:rsidRDefault="00A47438" w:rsidP="00895548">
            <w:r>
              <w:t xml:space="preserve">CDC SVI: </w:t>
            </w:r>
          </w:p>
        </w:tc>
        <w:tc>
          <w:tcPr>
            <w:tcW w:w="4248" w:type="dxa"/>
          </w:tcPr>
          <w:p w:rsidR="00A47438" w:rsidRDefault="00A47438" w:rsidP="00895548">
            <w:r w:rsidRPr="00D36045">
              <w:t>https://www.michigan.gov/documents/cgi/ACS_GQ_Issue_2010-1007_334682_7.pdf</w:t>
            </w:r>
          </w:p>
        </w:tc>
      </w:tr>
      <w:tr w:rsidR="00A47438" w:rsidTr="00984D83">
        <w:tc>
          <w:tcPr>
            <w:tcW w:w="1538" w:type="dxa"/>
          </w:tcPr>
          <w:p w:rsidR="00A47438" w:rsidRDefault="00A47438" w:rsidP="00895548">
            <w:r w:rsidRPr="005A7D77">
              <w:t>Percent of population age 25 and up with a four-year college degree or higher</w:t>
            </w:r>
          </w:p>
        </w:tc>
        <w:tc>
          <w:tcPr>
            <w:tcW w:w="838" w:type="dxa"/>
          </w:tcPr>
          <w:p w:rsidR="00A47438" w:rsidRDefault="00A47438" w:rsidP="00895548">
            <w:r>
              <w:t>DP2 (SF3)</w:t>
            </w:r>
          </w:p>
          <w:p w:rsidR="00A47438" w:rsidRDefault="00A47438" w:rsidP="00895548"/>
          <w:p w:rsidR="00A47438" w:rsidRDefault="00A47438" w:rsidP="00895548"/>
        </w:tc>
        <w:tc>
          <w:tcPr>
            <w:tcW w:w="1109" w:type="dxa"/>
          </w:tcPr>
          <w:p w:rsidR="00A47438" w:rsidRDefault="00A47438" w:rsidP="00895548"/>
        </w:tc>
        <w:tc>
          <w:tcPr>
            <w:tcW w:w="1109" w:type="dxa"/>
          </w:tcPr>
          <w:p w:rsidR="00A47438" w:rsidRDefault="00A47438" w:rsidP="00895548">
            <w:r>
              <w:t xml:space="preserve">U.S. Decennial Census </w:t>
            </w:r>
          </w:p>
          <w:p w:rsidR="00A47438" w:rsidRDefault="00A47438" w:rsidP="00895548"/>
        </w:tc>
        <w:tc>
          <w:tcPr>
            <w:tcW w:w="688" w:type="dxa"/>
          </w:tcPr>
          <w:p w:rsidR="00A47438" w:rsidRDefault="00A47438" w:rsidP="00895548">
            <w:r>
              <w:t>2000</w:t>
            </w:r>
          </w:p>
        </w:tc>
        <w:tc>
          <w:tcPr>
            <w:tcW w:w="1273" w:type="dxa"/>
          </w:tcPr>
          <w:p w:rsidR="00A47438" w:rsidRDefault="00A47438" w:rsidP="00895548">
            <w:r>
              <w:t>census tracts, cities/towns, county subdivisions, counties,</w:t>
            </w:r>
          </w:p>
          <w:p w:rsidR="00A47438" w:rsidRDefault="00A47438" w:rsidP="00895548">
            <w:proofErr w:type="gramStart"/>
            <w:r>
              <w:t>regions</w:t>
            </w:r>
            <w:proofErr w:type="gramEnd"/>
            <w:r>
              <w:t>, and state.</w:t>
            </w:r>
          </w:p>
        </w:tc>
        <w:tc>
          <w:tcPr>
            <w:tcW w:w="1394" w:type="dxa"/>
          </w:tcPr>
          <w:p w:rsidR="00A47438" w:rsidRDefault="00A47438" w:rsidP="00895548"/>
        </w:tc>
        <w:tc>
          <w:tcPr>
            <w:tcW w:w="2088" w:type="dxa"/>
          </w:tcPr>
          <w:p w:rsidR="00A47438" w:rsidRDefault="00A47438" w:rsidP="00895548"/>
        </w:tc>
        <w:tc>
          <w:tcPr>
            <w:tcW w:w="4248" w:type="dxa"/>
          </w:tcPr>
          <w:p w:rsidR="00A47438" w:rsidRDefault="00A47438" w:rsidP="00895548"/>
        </w:tc>
      </w:tr>
      <w:tr w:rsidR="00A47438" w:rsidTr="00984D83">
        <w:tc>
          <w:tcPr>
            <w:tcW w:w="1538" w:type="dxa"/>
          </w:tcPr>
          <w:p w:rsidR="00A47438" w:rsidRDefault="00A47438" w:rsidP="00895548"/>
        </w:tc>
        <w:tc>
          <w:tcPr>
            <w:tcW w:w="838" w:type="dxa"/>
          </w:tcPr>
          <w:p w:rsidR="00A47438" w:rsidRDefault="00A47438" w:rsidP="00895548">
            <w:r>
              <w:t>DP02</w:t>
            </w:r>
          </w:p>
        </w:tc>
        <w:tc>
          <w:tcPr>
            <w:tcW w:w="1109" w:type="dxa"/>
          </w:tcPr>
          <w:p w:rsidR="00A47438" w:rsidRDefault="00A47438" w:rsidP="00895548"/>
        </w:tc>
        <w:tc>
          <w:tcPr>
            <w:tcW w:w="1109" w:type="dxa"/>
          </w:tcPr>
          <w:p w:rsidR="00A47438" w:rsidRDefault="00A47438" w:rsidP="00895548">
            <w:r>
              <w:t xml:space="preserve">ACS </w:t>
            </w:r>
            <w:r w:rsidRPr="00364414">
              <w:t>Selected Population Tables</w:t>
            </w:r>
            <w:r>
              <w:t xml:space="preserve"> </w:t>
            </w:r>
          </w:p>
          <w:p w:rsidR="00A47438" w:rsidRDefault="00A47438" w:rsidP="00895548"/>
          <w:p w:rsidR="00A47438" w:rsidRDefault="00A47438" w:rsidP="00895548"/>
        </w:tc>
        <w:tc>
          <w:tcPr>
            <w:tcW w:w="688" w:type="dxa"/>
          </w:tcPr>
          <w:p w:rsidR="00A47438" w:rsidRDefault="00A47438" w:rsidP="00895548"/>
        </w:tc>
        <w:tc>
          <w:tcPr>
            <w:tcW w:w="1273" w:type="dxa"/>
          </w:tcPr>
          <w:p w:rsidR="00A47438" w:rsidRDefault="00A47438" w:rsidP="00895548"/>
        </w:tc>
        <w:tc>
          <w:tcPr>
            <w:tcW w:w="1394" w:type="dxa"/>
          </w:tcPr>
          <w:p w:rsidR="00A47438" w:rsidRDefault="00A47438" w:rsidP="00895548"/>
        </w:tc>
        <w:tc>
          <w:tcPr>
            <w:tcW w:w="2088" w:type="dxa"/>
          </w:tcPr>
          <w:p w:rsidR="00A47438" w:rsidRDefault="00A47438" w:rsidP="00895548"/>
        </w:tc>
        <w:tc>
          <w:tcPr>
            <w:tcW w:w="4248" w:type="dxa"/>
          </w:tcPr>
          <w:p w:rsidR="00A47438" w:rsidRDefault="00A47438" w:rsidP="00895548"/>
        </w:tc>
      </w:tr>
      <w:tr w:rsidR="00A47438" w:rsidTr="00984D83">
        <w:tc>
          <w:tcPr>
            <w:tcW w:w="1538" w:type="dxa"/>
          </w:tcPr>
          <w:p w:rsidR="00A47438" w:rsidRDefault="00A47438" w:rsidP="00895548"/>
        </w:tc>
        <w:tc>
          <w:tcPr>
            <w:tcW w:w="838" w:type="dxa"/>
          </w:tcPr>
          <w:p w:rsidR="00A47438" w:rsidRDefault="00A47438" w:rsidP="00895548">
            <w:r>
              <w:t>B15002</w:t>
            </w:r>
          </w:p>
        </w:tc>
        <w:tc>
          <w:tcPr>
            <w:tcW w:w="1109" w:type="dxa"/>
          </w:tcPr>
          <w:p w:rsidR="00A47438" w:rsidRDefault="00A47438" w:rsidP="00895548"/>
        </w:tc>
        <w:tc>
          <w:tcPr>
            <w:tcW w:w="1109" w:type="dxa"/>
          </w:tcPr>
          <w:p w:rsidR="00A47438" w:rsidRDefault="00A47438" w:rsidP="00895548">
            <w:r>
              <w:t xml:space="preserve">ACS </w:t>
            </w:r>
            <w:r w:rsidRPr="00364414">
              <w:t>Selected Population Tables</w:t>
            </w:r>
            <w:r>
              <w:t xml:space="preserve"> </w:t>
            </w:r>
          </w:p>
        </w:tc>
        <w:tc>
          <w:tcPr>
            <w:tcW w:w="688" w:type="dxa"/>
          </w:tcPr>
          <w:p w:rsidR="00A47438" w:rsidRDefault="00A47438" w:rsidP="00895548"/>
        </w:tc>
        <w:tc>
          <w:tcPr>
            <w:tcW w:w="1273" w:type="dxa"/>
          </w:tcPr>
          <w:p w:rsidR="00A47438" w:rsidRDefault="00A47438" w:rsidP="00895548"/>
        </w:tc>
        <w:tc>
          <w:tcPr>
            <w:tcW w:w="1394" w:type="dxa"/>
          </w:tcPr>
          <w:p w:rsidR="00A47438" w:rsidRDefault="00A47438" w:rsidP="00895548"/>
        </w:tc>
        <w:tc>
          <w:tcPr>
            <w:tcW w:w="2088" w:type="dxa"/>
          </w:tcPr>
          <w:p w:rsidR="00A47438" w:rsidRDefault="00A47438" w:rsidP="00895548"/>
        </w:tc>
        <w:tc>
          <w:tcPr>
            <w:tcW w:w="4248" w:type="dxa"/>
          </w:tcPr>
          <w:p w:rsidR="00A47438" w:rsidRDefault="00A47438" w:rsidP="00895548">
            <w:r>
              <w:t>Currently, there is no DP02 data available for census tracts</w:t>
            </w:r>
          </w:p>
          <w:p w:rsidR="00A47438" w:rsidRDefault="00A47438" w:rsidP="00895548">
            <w:proofErr w:type="gramStart"/>
            <w:r>
              <w:t>for</w:t>
            </w:r>
            <w:proofErr w:type="gramEnd"/>
            <w:r>
              <w:t xml:space="preserve"> the 2011-2015 period. Table B15002 was used instead; data was aggregated</w:t>
            </w:r>
          </w:p>
          <w:p w:rsidR="00A47438" w:rsidRDefault="00A47438" w:rsidP="00895548">
            <w:r>
              <w:t>across sex (male, female) and educational attainment strata (bachelor’s degree,</w:t>
            </w:r>
          </w:p>
          <w:p w:rsidR="00A47438" w:rsidRDefault="00A47438" w:rsidP="00895548">
            <w:proofErr w:type="gramStart"/>
            <w:r>
              <w:t>master’s</w:t>
            </w:r>
            <w:proofErr w:type="gramEnd"/>
            <w:r>
              <w:t xml:space="preserve"> degree, and doctorate degree).</w:t>
            </w:r>
          </w:p>
        </w:tc>
      </w:tr>
    </w:tbl>
    <w:p w:rsidR="005A7D77" w:rsidRDefault="005A7D77" w:rsidP="00895548">
      <w:pPr>
        <w:spacing w:after="0"/>
      </w:pPr>
    </w:p>
    <w:p w:rsidR="004E7BD5" w:rsidRDefault="005A7D77" w:rsidP="00895548">
      <w:pPr>
        <w:pStyle w:val="ListParagraph"/>
        <w:numPr>
          <w:ilvl w:val="0"/>
          <w:numId w:val="1"/>
        </w:numPr>
        <w:spacing w:after="0"/>
      </w:pPr>
      <w:r>
        <w:lastRenderedPageBreak/>
        <w:t>The American Community Survey does not publish data when there are fewer than 100 individuals in a geographic reporting area and when there are fewer than 50 respondents to survey questions. Data are not available for many small California cities and census tracts for groups with relatively small numbers, generally American Indian/Alaska Native, Hawaiian Native and Other Pacific Islander, Other Race, and Multiple Races. Adult educational attainment data by place of birth can help inform local jurisdictions about the contributions of foreign and native migrant populations to their local educational attainment estimates. However, people born in other states or countries could have migrated at a very young age and that information is not captured in the data.</w:t>
      </w:r>
    </w:p>
    <w:sectPr w:rsidR="004E7BD5" w:rsidSect="005A7D7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55BD4"/>
    <w:multiLevelType w:val="hybridMultilevel"/>
    <w:tmpl w:val="496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D77"/>
    <w:rsid w:val="000829CB"/>
    <w:rsid w:val="00364414"/>
    <w:rsid w:val="00425000"/>
    <w:rsid w:val="004B38BA"/>
    <w:rsid w:val="004E7BD5"/>
    <w:rsid w:val="00596243"/>
    <w:rsid w:val="005A7D77"/>
    <w:rsid w:val="00685A29"/>
    <w:rsid w:val="00895548"/>
    <w:rsid w:val="009661BF"/>
    <w:rsid w:val="00984D83"/>
    <w:rsid w:val="00A25A29"/>
    <w:rsid w:val="00A47438"/>
    <w:rsid w:val="00D36045"/>
    <w:rsid w:val="00D36CC9"/>
    <w:rsid w:val="00E31505"/>
    <w:rsid w:val="00EE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D77"/>
    <w:pPr>
      <w:ind w:left="720"/>
      <w:contextualSpacing/>
    </w:pPr>
  </w:style>
  <w:style w:type="character" w:styleId="Hyperlink">
    <w:name w:val="Hyperlink"/>
    <w:basedOn w:val="DefaultParagraphFont"/>
    <w:uiPriority w:val="99"/>
    <w:unhideWhenUsed/>
    <w:rsid w:val="00984D83"/>
    <w:rPr>
      <w:color w:val="0000FF" w:themeColor="hyperlink"/>
      <w:u w:val="single"/>
    </w:rPr>
  </w:style>
  <w:style w:type="character" w:styleId="FollowedHyperlink">
    <w:name w:val="FollowedHyperlink"/>
    <w:basedOn w:val="DefaultParagraphFont"/>
    <w:uiPriority w:val="99"/>
    <w:semiHidden/>
    <w:unhideWhenUsed/>
    <w:rsid w:val="008955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D77"/>
    <w:pPr>
      <w:ind w:left="720"/>
      <w:contextualSpacing/>
    </w:pPr>
  </w:style>
  <w:style w:type="character" w:styleId="Hyperlink">
    <w:name w:val="Hyperlink"/>
    <w:basedOn w:val="DefaultParagraphFont"/>
    <w:uiPriority w:val="99"/>
    <w:unhideWhenUsed/>
    <w:rsid w:val="00984D83"/>
    <w:rPr>
      <w:color w:val="0000FF" w:themeColor="hyperlink"/>
      <w:u w:val="single"/>
    </w:rPr>
  </w:style>
  <w:style w:type="character" w:styleId="FollowedHyperlink">
    <w:name w:val="FollowedHyperlink"/>
    <w:basedOn w:val="DefaultParagraphFont"/>
    <w:uiPriority w:val="99"/>
    <w:semiHidden/>
    <w:unhideWhenUsed/>
    <w:rsid w:val="008955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6/acs/acs5/variables.html" TargetMode="External"/><Relationship Id="rId3" Type="http://schemas.microsoft.com/office/2007/relationships/stylesWithEffects" Target="stylesWithEffects.xml"/><Relationship Id="rId7" Type="http://schemas.openxmlformats.org/officeDocument/2006/relationships/hyperlink" Target="https://www.census.gov/data/developers/data-sets/acs-5yea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data-set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vi.cdc.gov/Documents/Data/2016_SVI_Data/SVI2016Documentation.pdf" TargetMode="External"/><Relationship Id="rId4" Type="http://schemas.openxmlformats.org/officeDocument/2006/relationships/settings" Target="settings.xml"/><Relationship Id="rId9" Type="http://schemas.openxmlformats.org/officeDocument/2006/relationships/hyperlink" Target="https://svi.cdc.gov/SVIDataTools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Michael</cp:lastModifiedBy>
  <cp:revision>6</cp:revision>
  <dcterms:created xsi:type="dcterms:W3CDTF">2018-05-22T03:58:00Z</dcterms:created>
  <dcterms:modified xsi:type="dcterms:W3CDTF">2018-07-21T00:51:00Z</dcterms:modified>
</cp:coreProperties>
</file>