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9024A" w14:textId="29EE93F1" w:rsidR="0006468F" w:rsidRDefault="00171839" w:rsidP="00BE2807">
      <w:pPr>
        <w:pStyle w:val="Title"/>
        <w:jc w:val="center"/>
        <w:rPr>
          <w:rFonts w:ascii="Open Sans" w:hAnsi="Open Sans" w:cs="Open Sans"/>
          <w:color w:val="15415C"/>
          <w:sz w:val="40"/>
          <w:szCs w:val="40"/>
        </w:rPr>
      </w:pPr>
      <w:r w:rsidRPr="00171839">
        <w:rPr>
          <w:rFonts w:ascii="Open Sans" w:hAnsi="Open Sans" w:cs="Open Sans"/>
          <w:color w:val="15415C"/>
          <w:sz w:val="40"/>
          <w:szCs w:val="40"/>
        </w:rPr>
        <w:t>Imputation of Life Expectancy at Birth for Utah HPI</w:t>
      </w:r>
    </w:p>
    <w:p w14:paraId="40AE55D9" w14:textId="77777777" w:rsidR="00171839" w:rsidRPr="00171839" w:rsidRDefault="00171839" w:rsidP="00171839"/>
    <w:p w14:paraId="21722561" w14:textId="1769240F" w:rsidR="0006468F" w:rsidRPr="00CA5CFF" w:rsidRDefault="00CA5CFF" w:rsidP="00CA1E6B">
      <w:pPr>
        <w:pStyle w:val="Heading1"/>
        <w:spacing w:after="240"/>
        <w:rPr>
          <w:rFonts w:cs="Open Sans"/>
          <w:b/>
          <w:bCs/>
          <w:color w:val="157B61"/>
          <w:sz w:val="32"/>
        </w:rPr>
      </w:pPr>
      <w:r>
        <w:rPr>
          <w:rFonts w:cs="Open Sans"/>
          <w:b/>
          <w:bCs/>
          <w:color w:val="157B61"/>
          <w:sz w:val="32"/>
        </w:rPr>
        <w:t>BACKGROUND</w:t>
      </w:r>
    </w:p>
    <w:p w14:paraId="05979F41" w14:textId="462801A8" w:rsidR="003F4F93" w:rsidRPr="00BE2807" w:rsidRDefault="003F4F93" w:rsidP="003F4F93">
      <w:pPr>
        <w:rPr>
          <w:rFonts w:ascii="Open Sans" w:hAnsi="Open Sans" w:cs="Open Sans"/>
          <w:sz w:val="24"/>
          <w:szCs w:val="24"/>
        </w:rPr>
      </w:pPr>
      <w:r w:rsidRPr="00BE2807">
        <w:rPr>
          <w:rFonts w:ascii="Open Sans" w:hAnsi="Open Sans" w:cs="Open Sans"/>
          <w:sz w:val="24"/>
          <w:szCs w:val="24"/>
        </w:rPr>
        <w:t>To</w:t>
      </w:r>
      <w:r w:rsidR="006B0033" w:rsidRPr="00BE2807">
        <w:rPr>
          <w:rFonts w:ascii="Open Sans" w:hAnsi="Open Sans" w:cs="Open Sans"/>
          <w:sz w:val="24"/>
          <w:szCs w:val="24"/>
        </w:rPr>
        <w:t xml:space="preserve"> generate</w:t>
      </w:r>
      <w:r w:rsidRPr="00BE2807">
        <w:rPr>
          <w:rFonts w:ascii="Open Sans" w:hAnsi="Open Sans" w:cs="Open Sans"/>
          <w:sz w:val="24"/>
          <w:szCs w:val="24"/>
        </w:rPr>
        <w:t xml:space="preserve"> HPI scores for </w:t>
      </w:r>
      <w:r w:rsidR="006B0033" w:rsidRPr="00BE2807">
        <w:rPr>
          <w:rFonts w:ascii="Open Sans" w:hAnsi="Open Sans" w:cs="Open Sans"/>
          <w:sz w:val="24"/>
          <w:szCs w:val="24"/>
        </w:rPr>
        <w:t xml:space="preserve">Utah </w:t>
      </w:r>
      <w:r w:rsidRPr="00BE2807">
        <w:rPr>
          <w:rFonts w:ascii="Open Sans" w:hAnsi="Open Sans" w:cs="Open Sans"/>
          <w:sz w:val="24"/>
          <w:szCs w:val="24"/>
        </w:rPr>
        <w:t>census tracts, life expectancy at birth (LEB) is used to 1) screen individual indictors for a positive association with life expectancy, and 2) calculate domain (policy action area) weights using a weighted quantile sums algorithm.</w:t>
      </w:r>
      <w:r w:rsidRPr="00BE2807">
        <w:rPr>
          <w:rFonts w:ascii="Open Sans" w:hAnsi="Open Sans" w:cs="Open Sans"/>
          <w:sz w:val="24"/>
          <w:szCs w:val="24"/>
        </w:rPr>
        <w:fldChar w:fldCharType="begin"/>
      </w:r>
      <w:r w:rsidRPr="00BE2807">
        <w:rPr>
          <w:rFonts w:ascii="Open Sans" w:hAnsi="Open Sans" w:cs="Open Sans"/>
          <w:sz w:val="24"/>
          <w:szCs w:val="24"/>
        </w:rPr>
        <w:instrText xml:space="preserve"> ADDIN EN.CITE &lt;EndNote&gt;&lt;Cite&gt;&lt;Author&gt;Gennings&lt;/Author&gt;&lt;Year&gt;2010&lt;/Year&gt;&lt;RecNum&gt;75&lt;/RecNum&gt;&lt;DisplayText&gt;&lt;style face="superscript"&gt;1, 2&lt;/style&gt;&lt;/DisplayText&gt;&lt;record&gt;&lt;rec-number&gt;75&lt;/rec-number&gt;&lt;foreign-keys&gt;&lt;key app="EN" db-id="prwrt0rziwfs28etdv0vtxtbfsepsdtp5ffs"&gt;75&lt;/key&gt;&lt;/foreign-keys&gt;&lt;ref-type name="Journal Article"&gt;17&lt;/ref-type&gt;&lt;contributors&gt;&lt;authors&gt;&lt;author&gt;Gennings, C&lt;/author&gt;&lt;author&gt;Sabo, R&lt;/author&gt;&lt;author&gt;Carney, E&lt;/author&gt;&lt;/authors&gt;&lt;/contributors&gt;&lt;titles&gt;&lt;title&gt; Identifying subsets of complex mixtures most associated with complex diseases: Polychlorinated biphenyls and endometriosis as a case study&lt;/title&gt;&lt;secondary-title&gt;Epidemiology &lt;/secondary-title&gt;&lt;/titles&gt;&lt;pages&gt;S77–S84&lt;/pages&gt;&lt;volume&gt;21&lt;/volume&gt;&lt;dates&gt;&lt;year&gt;2010&lt;/year&gt;&lt;/dates&gt;&lt;urls&gt;&lt;/urls&gt;&lt;/record&gt;&lt;/Cite&gt;&lt;Cite&gt;&lt;Author&gt;Maizlish N&lt;/Author&gt;&lt;Year&gt;2019&lt;/Year&gt;&lt;RecNum&gt;148&lt;/RecNum&gt;&lt;record&gt;&lt;rec-number&gt;148&lt;/rec-number&gt;&lt;foreign-keys&gt;&lt;key app="EN" db-id="prwrt0rziwfs28etdv0vtxtbfsepsdtp5ffs"&gt;148&lt;/key&gt;&lt;/foreign-keys&gt;&lt;ref-type name="Journal Article"&gt;17&lt;/ref-type&gt;&lt;contributors&gt;&lt;authors&gt;&lt;author&gt;Maizlish N, &lt;/author&gt;&lt;author&gt;Delaney T,&lt;/author&gt;&lt;author&gt;Dowling H, &lt;/author&gt;&lt;author&gt;Chapman, DA&lt;/author&gt;&lt;author&gt;Sabo, R&lt;/author&gt;&lt;author&gt;Woolf, SH&lt;/author&gt;&lt;author&gt;Hill, L&lt;/author&gt;&lt;author&gt;Orndahl, C&lt;/author&gt;&lt;author&gt;Snellings, LK&lt;/author&gt;&lt;/authors&gt;&lt;/contributors&gt;&lt;titles&gt;&lt;title&gt;California Healthy Places Index: Frames Matter&lt;/title&gt;&lt;secondary-title&gt;Public Health Rep&lt;/secondary-title&gt;&lt;/titles&gt;&lt;pages&gt;354-362&lt;/pages&gt;&lt;volume&gt;134&lt;/volume&gt;&lt;dates&gt;&lt;year&gt;2019&lt;/year&gt;&lt;/dates&gt;&lt;urls&gt;&lt;related-urls&gt;&lt;url&gt;https://journals.sagepub.com/doi/10.1177/0033354919849882&lt;/url&gt;&lt;/related-urls&gt;&lt;/urls&gt;&lt;/record&gt;&lt;/Cite&gt;&lt;/EndNote&gt;</w:instrText>
      </w:r>
      <w:r w:rsidRPr="00BE2807">
        <w:rPr>
          <w:rFonts w:ascii="Open Sans" w:hAnsi="Open Sans" w:cs="Open Sans"/>
          <w:sz w:val="24"/>
          <w:szCs w:val="24"/>
        </w:rPr>
        <w:fldChar w:fldCharType="separate"/>
      </w:r>
      <w:hyperlink w:anchor="_ENREF_1" w:tooltip="Gennings, 2010 #75" w:history="1">
        <w:r w:rsidRPr="00BE2807">
          <w:rPr>
            <w:rFonts w:ascii="Open Sans" w:hAnsi="Open Sans" w:cs="Open Sans"/>
            <w:noProof/>
            <w:sz w:val="24"/>
            <w:szCs w:val="24"/>
            <w:vertAlign w:val="superscript"/>
          </w:rPr>
          <w:t>1</w:t>
        </w:r>
      </w:hyperlink>
      <w:r w:rsidRPr="00BE2807">
        <w:rPr>
          <w:rFonts w:ascii="Open Sans" w:hAnsi="Open Sans" w:cs="Open Sans"/>
          <w:noProof/>
          <w:sz w:val="24"/>
          <w:szCs w:val="24"/>
          <w:vertAlign w:val="superscript"/>
        </w:rPr>
        <w:t xml:space="preserve">, </w:t>
      </w:r>
      <w:hyperlink w:anchor="_ENREF_2" w:tooltip="Maizlish N, 2019 #148" w:history="1">
        <w:r w:rsidRPr="00BE2807">
          <w:rPr>
            <w:rFonts w:ascii="Open Sans" w:hAnsi="Open Sans" w:cs="Open Sans"/>
            <w:noProof/>
            <w:sz w:val="24"/>
            <w:szCs w:val="24"/>
            <w:vertAlign w:val="superscript"/>
          </w:rPr>
          <w:t>2</w:t>
        </w:r>
      </w:hyperlink>
      <w:r w:rsidRPr="00BE2807">
        <w:rPr>
          <w:rFonts w:ascii="Open Sans" w:hAnsi="Open Sans" w:cs="Open Sans"/>
          <w:sz w:val="24"/>
          <w:szCs w:val="24"/>
        </w:rPr>
        <w:fldChar w:fldCharType="end"/>
      </w:r>
      <w:r w:rsidRPr="00BE2807">
        <w:rPr>
          <w:rFonts w:ascii="Open Sans" w:hAnsi="Open Sans" w:cs="Open Sans"/>
          <w:sz w:val="24"/>
          <w:szCs w:val="24"/>
        </w:rPr>
        <w:t xml:space="preserve"> </w:t>
      </w:r>
      <w:r w:rsidR="006B0033" w:rsidRPr="00BE2807">
        <w:rPr>
          <w:rFonts w:ascii="Open Sans" w:hAnsi="Open Sans" w:cs="Open Sans"/>
          <w:sz w:val="24"/>
          <w:szCs w:val="24"/>
        </w:rPr>
        <w:t xml:space="preserve"> </w:t>
      </w:r>
      <w:r w:rsidRPr="00BE2807">
        <w:rPr>
          <w:rFonts w:ascii="Open Sans" w:hAnsi="Open Sans" w:cs="Open Sans"/>
          <w:sz w:val="24"/>
          <w:szCs w:val="24"/>
        </w:rPr>
        <w:t>In 2018, life expectancy calculations w</w:t>
      </w:r>
      <w:r w:rsidR="00036362" w:rsidRPr="00BE2807">
        <w:rPr>
          <w:rFonts w:ascii="Open Sans" w:hAnsi="Open Sans" w:cs="Open Sans"/>
          <w:sz w:val="24"/>
          <w:szCs w:val="24"/>
        </w:rPr>
        <w:t>ere</w:t>
      </w:r>
      <w:r w:rsidRPr="00BE2807">
        <w:rPr>
          <w:rFonts w:ascii="Open Sans" w:hAnsi="Open Sans" w:cs="Open Sans"/>
          <w:sz w:val="24"/>
          <w:szCs w:val="24"/>
        </w:rPr>
        <w:t xml:space="preserve"> made available through a collaborative project of the National Association for Public Health Statistics and Information Systems, CDC's National Center for Health Statistics (NCHS), and the Robert Wood Johnson Foundation (RWJF). The project is known as the United States Small-Area Life Expectancy Estimates Project (USALEEP) and uses pooled data from 2010 to 2015 for United States census tracts. </w:t>
      </w:r>
      <w:r w:rsidR="00036362" w:rsidRPr="00BE2807">
        <w:rPr>
          <w:rFonts w:ascii="Open Sans" w:hAnsi="Open Sans" w:cs="Open Sans"/>
          <w:sz w:val="24"/>
          <w:szCs w:val="24"/>
        </w:rPr>
        <w:t xml:space="preserve">Exclusion criteria for </w:t>
      </w:r>
      <w:r w:rsidR="00D20366" w:rsidRPr="00BE2807">
        <w:rPr>
          <w:rFonts w:ascii="Open Sans" w:hAnsi="Open Sans" w:cs="Open Sans"/>
          <w:sz w:val="24"/>
          <w:szCs w:val="24"/>
        </w:rPr>
        <w:t xml:space="preserve">USALEEP differs from our Utah HPI eligibility criteria. There are </w:t>
      </w:r>
      <w:r w:rsidR="00903810" w:rsidRPr="00BE2807">
        <w:rPr>
          <w:rFonts w:ascii="Open Sans" w:hAnsi="Open Sans" w:cs="Open Sans"/>
          <w:sz w:val="24"/>
          <w:szCs w:val="24"/>
        </w:rPr>
        <w:t xml:space="preserve">42 HPI-eligible census tracts in Utah that do not have LEB data reported by USALEEP. </w:t>
      </w:r>
      <w:r w:rsidRPr="00BE2807">
        <w:rPr>
          <w:rFonts w:ascii="Open Sans" w:hAnsi="Open Sans" w:cs="Open Sans"/>
          <w:sz w:val="24"/>
          <w:szCs w:val="24"/>
        </w:rPr>
        <w:t xml:space="preserve">Imputation of LEB not only reduces information loss but potentially reduces biases from missing information. Imputation is particularly suited to this situation because the amount of missing data is small (~5%). </w:t>
      </w:r>
    </w:p>
    <w:p w14:paraId="7B203777" w14:textId="6ADD8375" w:rsidR="005E2830" w:rsidRPr="00BE2807" w:rsidRDefault="00587487" w:rsidP="00587487">
      <w:pPr>
        <w:rPr>
          <w:rFonts w:ascii="Open Sans" w:hAnsi="Open Sans" w:cs="Open Sans"/>
          <w:sz w:val="24"/>
          <w:szCs w:val="24"/>
        </w:rPr>
      </w:pPr>
      <w:commentRangeStart w:id="0"/>
      <w:r w:rsidRPr="00BE2807">
        <w:rPr>
          <w:rFonts w:ascii="Open Sans" w:hAnsi="Open Sans" w:cs="Open Sans"/>
          <w:sz w:val="24"/>
          <w:szCs w:val="24"/>
        </w:rPr>
        <w:t>There are many methods for imputing missing data.</w:t>
      </w:r>
      <w:proofErr w:type="gramStart"/>
      <w:r w:rsidR="005E0EA0" w:rsidRPr="00BE2807">
        <w:rPr>
          <w:rFonts w:ascii="Open Sans" w:hAnsi="Open Sans" w:cs="Open Sans"/>
          <w:sz w:val="24"/>
          <w:szCs w:val="24"/>
          <w:vertAlign w:val="superscript"/>
        </w:rPr>
        <w:t>3</w:t>
      </w:r>
      <w:r w:rsidRPr="00BE2807">
        <w:rPr>
          <w:rFonts w:ascii="Open Sans" w:hAnsi="Open Sans" w:cs="Open Sans"/>
          <w:sz w:val="24"/>
          <w:szCs w:val="24"/>
        </w:rPr>
        <w:t xml:space="preserve">  Some</w:t>
      </w:r>
      <w:proofErr w:type="gramEnd"/>
      <w:r w:rsidRPr="00BE2807">
        <w:rPr>
          <w:rFonts w:ascii="Open Sans" w:hAnsi="Open Sans" w:cs="Open Sans"/>
          <w:sz w:val="24"/>
          <w:szCs w:val="24"/>
        </w:rPr>
        <w:t xml:space="preserve"> take into account geographical proximity and others use non-missing covariates to build parametric or non-parametric models.  However, because HPI is geographically based, a key question guiding an appropriate imputation method is the degree to which the distribution of census tracts with missing LEB data are geospatially clustered or random. Our VCU partners suggested one of two approaches depending on the distribution of census tracts with missing LEB ("missing tracts"). If missing tracts were randomly distributed, the kth nearest neighbor (KNN) algorithm is the preferred imputation method. Despite its name, KNN matches a missing data point with its closest k neighbors in a multi-dimensional space, which, in our case, is constructed from the non-missing values of 25 HPI indicators rather than x-y coordinates of geographically proximate census tracts. Alternatively, if the distribution of missing tracts were geographically clustered, then non-missing LEB values of the most geographically proximate census tracts would be preferable for imputation.</w:t>
      </w:r>
      <w:r w:rsidR="00135777" w:rsidRPr="00BE2807">
        <w:rPr>
          <w:rFonts w:ascii="Open Sans" w:hAnsi="Open Sans" w:cs="Open Sans"/>
          <w:sz w:val="24"/>
          <w:szCs w:val="24"/>
        </w:rPr>
        <w:t xml:space="preserve"> </w:t>
      </w:r>
      <w:commentRangeEnd w:id="0"/>
      <w:r w:rsidR="00135777" w:rsidRPr="00BE2807">
        <w:rPr>
          <w:rStyle w:val="CommentReference"/>
          <w:rFonts w:ascii="Open Sans" w:hAnsi="Open Sans" w:cs="Open Sans"/>
          <w:sz w:val="24"/>
          <w:szCs w:val="24"/>
        </w:rPr>
        <w:commentReference w:id="0"/>
      </w:r>
    </w:p>
    <w:p w14:paraId="12D487AF" w14:textId="00F66C14" w:rsidR="005E2830" w:rsidRPr="00BE2807" w:rsidRDefault="005E2830" w:rsidP="00135777">
      <w:pPr>
        <w:rPr>
          <w:rFonts w:ascii="Open Sans" w:hAnsi="Open Sans" w:cs="Open Sans"/>
          <w:sz w:val="24"/>
          <w:szCs w:val="24"/>
        </w:rPr>
      </w:pPr>
      <w:r w:rsidRPr="00BE2807">
        <w:rPr>
          <w:rFonts w:ascii="Open Sans" w:hAnsi="Open Sans" w:cs="Open Sans"/>
          <w:sz w:val="24"/>
          <w:szCs w:val="24"/>
        </w:rPr>
        <w:lastRenderedPageBreak/>
        <w:t xml:space="preserve">This report describes the assessment of the geospatial distribution of missing </w:t>
      </w:r>
      <w:r w:rsidR="008239AE" w:rsidRPr="00BE2807">
        <w:rPr>
          <w:rFonts w:ascii="Open Sans" w:hAnsi="Open Sans" w:cs="Open Sans"/>
          <w:sz w:val="24"/>
          <w:szCs w:val="24"/>
        </w:rPr>
        <w:t>LEB data</w:t>
      </w:r>
      <w:r w:rsidRPr="00BE2807">
        <w:rPr>
          <w:rFonts w:ascii="Open Sans" w:hAnsi="Open Sans" w:cs="Open Sans"/>
          <w:sz w:val="24"/>
          <w:szCs w:val="24"/>
        </w:rPr>
        <w:t xml:space="preserve"> to inform a preferred imputation method, which is then applied to impute missing LEB data for the </w:t>
      </w:r>
      <w:r w:rsidR="008239AE" w:rsidRPr="00BE2807">
        <w:rPr>
          <w:rFonts w:ascii="Open Sans" w:hAnsi="Open Sans" w:cs="Open Sans"/>
          <w:sz w:val="24"/>
          <w:szCs w:val="24"/>
        </w:rPr>
        <w:t>42</w:t>
      </w:r>
      <w:r w:rsidRPr="00BE2807">
        <w:rPr>
          <w:rFonts w:ascii="Open Sans" w:hAnsi="Open Sans" w:cs="Open Sans"/>
          <w:sz w:val="24"/>
          <w:szCs w:val="24"/>
        </w:rPr>
        <w:t xml:space="preserve"> missing tracts.</w:t>
      </w:r>
    </w:p>
    <w:p w14:paraId="73EC98D5" w14:textId="2FFE7F86" w:rsidR="00CA5CFF" w:rsidRPr="00CA5CFF" w:rsidRDefault="00CA5CFF" w:rsidP="00CA1E6B">
      <w:pPr>
        <w:pStyle w:val="Heading1"/>
        <w:spacing w:after="240"/>
        <w:rPr>
          <w:rFonts w:cs="Open Sans"/>
          <w:b/>
          <w:bCs/>
          <w:color w:val="157B61"/>
          <w:sz w:val="32"/>
        </w:rPr>
      </w:pPr>
      <w:r>
        <w:rPr>
          <w:rFonts w:cs="Open Sans"/>
          <w:b/>
          <w:bCs/>
          <w:color w:val="157B61"/>
          <w:sz w:val="32"/>
        </w:rPr>
        <w:t>METHODS</w:t>
      </w:r>
    </w:p>
    <w:p w14:paraId="635A1312" w14:textId="3FC068F1" w:rsidR="00CA5CFF" w:rsidRPr="00925D6C" w:rsidRDefault="00F7332C" w:rsidP="00CA1E6B">
      <w:pPr>
        <w:pStyle w:val="Heading2"/>
        <w:spacing w:after="240"/>
        <w:rPr>
          <w:sz w:val="28"/>
          <w:szCs w:val="28"/>
        </w:rPr>
      </w:pPr>
      <w:r w:rsidRPr="00925D6C">
        <w:rPr>
          <w:sz w:val="28"/>
          <w:szCs w:val="28"/>
        </w:rPr>
        <w:t>Data Sources</w:t>
      </w:r>
    </w:p>
    <w:p w14:paraId="5B7E6045" w14:textId="1871DDE3" w:rsidR="00BE02F4" w:rsidRPr="00BE2807" w:rsidRDefault="00BE02F4" w:rsidP="00BE02F4">
      <w:pPr>
        <w:pStyle w:val="ListParagraph"/>
        <w:numPr>
          <w:ilvl w:val="0"/>
          <w:numId w:val="3"/>
        </w:numPr>
        <w:rPr>
          <w:rFonts w:ascii="Open Sans" w:hAnsi="Open Sans" w:cs="Open Sans"/>
          <w:sz w:val="24"/>
          <w:szCs w:val="24"/>
        </w:rPr>
      </w:pPr>
      <w:r w:rsidRPr="00BE2807">
        <w:rPr>
          <w:rFonts w:ascii="Open Sans" w:hAnsi="Open Sans" w:cs="Open Sans"/>
          <w:sz w:val="24"/>
          <w:szCs w:val="24"/>
        </w:rPr>
        <w:t xml:space="preserve">Population (B01001_001E) and group quarters composition (B26001_001E) for </w:t>
      </w:r>
      <w:r w:rsidR="007E5B3C" w:rsidRPr="00BE2807">
        <w:rPr>
          <w:rFonts w:ascii="Open Sans" w:hAnsi="Open Sans" w:cs="Open Sans"/>
          <w:sz w:val="24"/>
          <w:szCs w:val="24"/>
        </w:rPr>
        <w:t>Utah</w:t>
      </w:r>
      <w:r w:rsidRPr="00BE2807">
        <w:rPr>
          <w:rFonts w:ascii="Open Sans" w:hAnsi="Open Sans" w:cs="Open Sans"/>
          <w:sz w:val="24"/>
          <w:szCs w:val="24"/>
        </w:rPr>
        <w:t xml:space="preserve"> census tracts from the American Community Survey, 2015-2019</w:t>
      </w:r>
    </w:p>
    <w:p w14:paraId="3D672CD8" w14:textId="32356D7D" w:rsidR="00E268A8" w:rsidRPr="00BE2807" w:rsidRDefault="00E268A8" w:rsidP="00E268A8">
      <w:pPr>
        <w:pStyle w:val="ListParagraph"/>
        <w:numPr>
          <w:ilvl w:val="1"/>
          <w:numId w:val="3"/>
        </w:numPr>
        <w:rPr>
          <w:rFonts w:ascii="Open Sans" w:hAnsi="Open Sans" w:cs="Open Sans"/>
          <w:sz w:val="24"/>
          <w:szCs w:val="24"/>
        </w:rPr>
      </w:pPr>
      <w:r w:rsidRPr="00BE2807">
        <w:rPr>
          <w:rFonts w:ascii="Open Sans" w:hAnsi="Open Sans" w:cs="Open Sans"/>
          <w:sz w:val="24"/>
          <w:szCs w:val="24"/>
        </w:rPr>
        <w:t>HPI-eligible were those with a population of 1500 or greater and group quarters percentage less than 50%</w:t>
      </w:r>
    </w:p>
    <w:p w14:paraId="24465FAC" w14:textId="57183129" w:rsidR="003171C3" w:rsidRPr="00BE2807" w:rsidRDefault="00D3207A" w:rsidP="00BE02F4">
      <w:pPr>
        <w:pStyle w:val="ListParagraph"/>
        <w:numPr>
          <w:ilvl w:val="0"/>
          <w:numId w:val="3"/>
        </w:numPr>
        <w:rPr>
          <w:rFonts w:ascii="Open Sans" w:hAnsi="Open Sans" w:cs="Open Sans"/>
          <w:sz w:val="24"/>
          <w:szCs w:val="24"/>
        </w:rPr>
      </w:pPr>
      <w:r w:rsidRPr="00BE2807">
        <w:rPr>
          <w:rFonts w:ascii="Open Sans" w:hAnsi="Open Sans" w:cs="Open Sans"/>
          <w:sz w:val="24"/>
          <w:szCs w:val="24"/>
        </w:rPr>
        <w:t xml:space="preserve">Life expectancy of Utah census tracts from USALEEP – </w:t>
      </w:r>
      <w:r w:rsidR="00B67176" w:rsidRPr="00BE2807">
        <w:rPr>
          <w:rFonts w:ascii="Open Sans" w:hAnsi="Open Sans" w:cs="Open Sans"/>
          <w:sz w:val="24"/>
          <w:szCs w:val="24"/>
        </w:rPr>
        <w:t xml:space="preserve">downloaded from </w:t>
      </w:r>
      <w:r w:rsidRPr="00BE2807">
        <w:rPr>
          <w:rFonts w:ascii="Open Sans" w:hAnsi="Open Sans" w:cs="Open Sans"/>
          <w:sz w:val="24"/>
          <w:szCs w:val="24"/>
        </w:rPr>
        <w:t>the website of the National Center for Health Statistics (</w:t>
      </w:r>
      <w:hyperlink r:id="rId11" w:anchor="data" w:history="1">
        <w:r w:rsidRPr="00BE2807">
          <w:rPr>
            <w:rStyle w:val="Hyperlink"/>
            <w:rFonts w:ascii="Open Sans" w:hAnsi="Open Sans" w:cs="Open Sans"/>
            <w:sz w:val="24"/>
            <w:szCs w:val="24"/>
          </w:rPr>
          <w:t>https://www.cdc.gov/nchs/nvss/usaleep/usaleep.html#data</w:t>
        </w:r>
      </w:hyperlink>
      <w:r w:rsidRPr="00BE2807">
        <w:rPr>
          <w:rFonts w:ascii="Open Sans" w:hAnsi="Open Sans" w:cs="Open Sans"/>
          <w:sz w:val="24"/>
          <w:szCs w:val="24"/>
        </w:rPr>
        <w:t>).</w:t>
      </w:r>
    </w:p>
    <w:p w14:paraId="530A6FB1" w14:textId="0F17CB3D" w:rsidR="00F7332C" w:rsidRPr="00925D6C" w:rsidRDefault="00F7332C" w:rsidP="00CA1E6B">
      <w:pPr>
        <w:pStyle w:val="Heading2"/>
        <w:spacing w:after="240"/>
        <w:rPr>
          <w:sz w:val="28"/>
          <w:szCs w:val="28"/>
        </w:rPr>
      </w:pPr>
      <w:r w:rsidRPr="00925D6C">
        <w:rPr>
          <w:sz w:val="28"/>
          <w:szCs w:val="28"/>
        </w:rPr>
        <w:t>Geographic Distribution of Missing Census Tracts</w:t>
      </w:r>
    </w:p>
    <w:p w14:paraId="108ED78C" w14:textId="4B694178" w:rsidR="00890016" w:rsidRPr="00BE2807" w:rsidRDefault="00B44384" w:rsidP="00205798">
      <w:pPr>
        <w:rPr>
          <w:rFonts w:ascii="Open Sans" w:hAnsi="Open Sans" w:cs="Open Sans"/>
          <w:sz w:val="24"/>
          <w:szCs w:val="24"/>
        </w:rPr>
      </w:pPr>
      <w:r w:rsidRPr="00BE2807">
        <w:rPr>
          <w:rFonts w:ascii="Open Sans" w:hAnsi="Open Sans" w:cs="Open Sans"/>
          <w:sz w:val="24"/>
          <w:szCs w:val="24"/>
        </w:rPr>
        <w:t xml:space="preserve">The Monte-Carlo simulation of join-count statistics was used to assess the geographic distribution of </w:t>
      </w:r>
      <w:r w:rsidR="00890016" w:rsidRPr="00BE2807">
        <w:rPr>
          <w:rFonts w:ascii="Open Sans" w:hAnsi="Open Sans" w:cs="Open Sans"/>
          <w:sz w:val="24"/>
          <w:szCs w:val="24"/>
        </w:rPr>
        <w:t>census tracts with missing data.</w:t>
      </w:r>
      <w:r w:rsidR="007C3F79" w:rsidRPr="00BE2807">
        <w:rPr>
          <w:rFonts w:ascii="Open Sans" w:hAnsi="Open Sans" w:cs="Open Sans"/>
          <w:sz w:val="24"/>
          <w:szCs w:val="24"/>
          <w:vertAlign w:val="superscript"/>
        </w:rPr>
        <w:t>5</w:t>
      </w:r>
      <w:r w:rsidR="00890016" w:rsidRPr="00BE2807">
        <w:rPr>
          <w:rFonts w:ascii="Open Sans" w:hAnsi="Open Sans" w:cs="Open Sans"/>
          <w:sz w:val="24"/>
          <w:szCs w:val="24"/>
        </w:rPr>
        <w:t xml:space="preserve"> </w:t>
      </w:r>
      <w:r w:rsidR="001853D3" w:rsidRPr="00BE2807">
        <w:rPr>
          <w:rFonts w:ascii="Open Sans" w:hAnsi="Open Sans" w:cs="Open Sans"/>
          <w:sz w:val="24"/>
          <w:szCs w:val="24"/>
        </w:rPr>
        <w:t xml:space="preserve">The join-count statistic is a method </w:t>
      </w:r>
      <w:r w:rsidR="00A471A0" w:rsidRPr="00BE2807">
        <w:rPr>
          <w:rFonts w:ascii="Open Sans" w:hAnsi="Open Sans" w:cs="Open Sans"/>
          <w:sz w:val="24"/>
          <w:szCs w:val="24"/>
        </w:rPr>
        <w:t>of measuring the degree of clustering or dispersion</w:t>
      </w:r>
      <w:r w:rsidR="00603DC9" w:rsidRPr="00BE2807">
        <w:rPr>
          <w:rFonts w:ascii="Open Sans" w:hAnsi="Open Sans" w:cs="Open Sans"/>
          <w:sz w:val="24"/>
          <w:szCs w:val="24"/>
        </w:rPr>
        <w:t xml:space="preserve"> of binary nominal data (</w:t>
      </w:r>
      <w:proofErr w:type="gramStart"/>
      <w:r w:rsidR="00603DC9" w:rsidRPr="00BE2807">
        <w:rPr>
          <w:rFonts w:ascii="Open Sans" w:hAnsi="Open Sans" w:cs="Open Sans"/>
          <w:sz w:val="24"/>
          <w:szCs w:val="24"/>
        </w:rPr>
        <w:t>i.e.</w:t>
      </w:r>
      <w:proofErr w:type="gramEnd"/>
      <w:r w:rsidR="00603DC9" w:rsidRPr="00BE2807">
        <w:rPr>
          <w:rFonts w:ascii="Open Sans" w:hAnsi="Open Sans" w:cs="Open Sans"/>
          <w:sz w:val="24"/>
          <w:szCs w:val="24"/>
        </w:rPr>
        <w:t xml:space="preserve"> yes/no)</w:t>
      </w:r>
      <w:r w:rsidR="00A471A0" w:rsidRPr="00BE2807">
        <w:rPr>
          <w:rFonts w:ascii="Open Sans" w:hAnsi="Open Sans" w:cs="Open Sans"/>
          <w:sz w:val="24"/>
          <w:szCs w:val="24"/>
        </w:rPr>
        <w:t xml:space="preserve"> </w:t>
      </w:r>
      <w:r w:rsidR="00BD30ED" w:rsidRPr="00BE2807">
        <w:rPr>
          <w:rFonts w:ascii="Open Sans" w:hAnsi="Open Sans" w:cs="Open Sans"/>
          <w:sz w:val="24"/>
          <w:szCs w:val="24"/>
        </w:rPr>
        <w:t>among a set of spatially adjacent polygons</w:t>
      </w:r>
      <w:r w:rsidR="00603DC9" w:rsidRPr="00BE2807">
        <w:rPr>
          <w:rFonts w:ascii="Open Sans" w:hAnsi="Open Sans" w:cs="Open Sans"/>
          <w:sz w:val="24"/>
          <w:szCs w:val="24"/>
        </w:rPr>
        <w:t xml:space="preserve">. </w:t>
      </w:r>
      <w:r w:rsidR="00973852" w:rsidRPr="00BE2807">
        <w:rPr>
          <w:rFonts w:ascii="Open Sans" w:hAnsi="Open Sans" w:cs="Open Sans"/>
          <w:sz w:val="24"/>
          <w:szCs w:val="24"/>
        </w:rPr>
        <w:t>The method calculates the observed number of adjacent neighbor</w:t>
      </w:r>
      <w:r w:rsidR="000731EC" w:rsidRPr="00BE2807">
        <w:rPr>
          <w:rFonts w:ascii="Open Sans" w:hAnsi="Open Sans" w:cs="Open Sans"/>
          <w:sz w:val="24"/>
          <w:szCs w:val="24"/>
        </w:rPr>
        <w:t xml:space="preserve"> pairs with similar attributes </w:t>
      </w:r>
      <w:r w:rsidR="00D173A0" w:rsidRPr="00BE2807">
        <w:rPr>
          <w:rFonts w:ascii="Open Sans" w:hAnsi="Open Sans" w:cs="Open Sans"/>
          <w:sz w:val="24"/>
          <w:szCs w:val="24"/>
        </w:rPr>
        <w:t>compared to the expected number of adjacent neighbor</w:t>
      </w:r>
      <w:r w:rsidR="000731EC" w:rsidRPr="00BE2807">
        <w:rPr>
          <w:rFonts w:ascii="Open Sans" w:hAnsi="Open Sans" w:cs="Open Sans"/>
          <w:sz w:val="24"/>
          <w:szCs w:val="24"/>
        </w:rPr>
        <w:t xml:space="preserve"> pairs with similar attributes</w:t>
      </w:r>
      <w:r w:rsidR="00D173A0" w:rsidRPr="00BE2807">
        <w:rPr>
          <w:rFonts w:ascii="Open Sans" w:hAnsi="Open Sans" w:cs="Open Sans"/>
          <w:sz w:val="24"/>
          <w:szCs w:val="24"/>
        </w:rPr>
        <w:t xml:space="preserve">. </w:t>
      </w:r>
      <w:r w:rsidR="008B777A" w:rsidRPr="00BE2807">
        <w:rPr>
          <w:rFonts w:ascii="Open Sans" w:hAnsi="Open Sans" w:cs="Open Sans"/>
          <w:sz w:val="24"/>
          <w:szCs w:val="24"/>
        </w:rPr>
        <w:t xml:space="preserve">In this case, it is measuring the number of </w:t>
      </w:r>
      <w:r w:rsidR="000463DF" w:rsidRPr="00BE2807">
        <w:rPr>
          <w:rFonts w:ascii="Open Sans" w:hAnsi="Open Sans" w:cs="Open Sans"/>
          <w:sz w:val="24"/>
          <w:szCs w:val="24"/>
        </w:rPr>
        <w:t xml:space="preserve">neighboring census tract pairs both missing census data compared to how many missing-missing neighbor pairs would be expected if </w:t>
      </w:r>
      <w:r w:rsidR="003A6F24" w:rsidRPr="00BE2807">
        <w:rPr>
          <w:rFonts w:ascii="Open Sans" w:hAnsi="Open Sans" w:cs="Open Sans"/>
          <w:sz w:val="24"/>
          <w:szCs w:val="24"/>
        </w:rPr>
        <w:t xml:space="preserve">missingness was randomly distributed. </w:t>
      </w:r>
      <w:r w:rsidR="00E86C13" w:rsidRPr="00BE2807">
        <w:rPr>
          <w:rFonts w:ascii="Open Sans" w:hAnsi="Open Sans" w:cs="Open Sans"/>
          <w:sz w:val="24"/>
          <w:szCs w:val="24"/>
        </w:rPr>
        <w:t xml:space="preserve">If missing census tracts were clustered in our sample, significantly more missing-missing neighbor pairs would be present than if missingness was randomly distributed. </w:t>
      </w:r>
      <w:r w:rsidR="00E556F6" w:rsidRPr="00BE2807">
        <w:rPr>
          <w:rFonts w:ascii="Open Sans" w:hAnsi="Open Sans" w:cs="Open Sans"/>
          <w:sz w:val="24"/>
          <w:szCs w:val="24"/>
        </w:rPr>
        <w:t xml:space="preserve">Monte-Carlo simulation of join-count statistics </w:t>
      </w:r>
      <w:r w:rsidR="00E34440" w:rsidRPr="00BE2807">
        <w:rPr>
          <w:rFonts w:ascii="Open Sans" w:hAnsi="Open Sans" w:cs="Open Sans"/>
          <w:sz w:val="24"/>
          <w:szCs w:val="24"/>
        </w:rPr>
        <w:t xml:space="preserve">with 1,000 simulations </w:t>
      </w:r>
      <w:r w:rsidR="00E556F6" w:rsidRPr="00BE2807">
        <w:rPr>
          <w:rFonts w:ascii="Open Sans" w:hAnsi="Open Sans" w:cs="Open Sans"/>
          <w:sz w:val="24"/>
          <w:szCs w:val="24"/>
        </w:rPr>
        <w:t xml:space="preserve">was used to </w:t>
      </w:r>
      <w:r w:rsidR="00E34440" w:rsidRPr="00BE2807">
        <w:rPr>
          <w:rFonts w:ascii="Open Sans" w:hAnsi="Open Sans" w:cs="Open Sans"/>
          <w:sz w:val="24"/>
          <w:szCs w:val="24"/>
        </w:rPr>
        <w:t xml:space="preserve">provide most reliable results. </w:t>
      </w:r>
      <w:r w:rsidR="008C0D8D" w:rsidRPr="00BE2807">
        <w:rPr>
          <w:rFonts w:ascii="Open Sans" w:hAnsi="Open Sans" w:cs="Open Sans"/>
          <w:sz w:val="24"/>
          <w:szCs w:val="24"/>
        </w:rPr>
        <w:t>Monte-Carlo simulation</w:t>
      </w:r>
      <w:r w:rsidR="007B7540" w:rsidRPr="00BE2807">
        <w:rPr>
          <w:rFonts w:ascii="Open Sans" w:hAnsi="Open Sans" w:cs="Open Sans"/>
          <w:sz w:val="24"/>
          <w:szCs w:val="24"/>
        </w:rPr>
        <w:t xml:space="preserve"> test</w:t>
      </w:r>
      <w:r w:rsidR="008C0D8D" w:rsidRPr="00BE2807">
        <w:rPr>
          <w:rFonts w:ascii="Open Sans" w:hAnsi="Open Sans" w:cs="Open Sans"/>
          <w:sz w:val="24"/>
          <w:szCs w:val="24"/>
        </w:rPr>
        <w:t xml:space="preserve"> </w:t>
      </w:r>
      <w:r w:rsidR="00E96B06" w:rsidRPr="00BE2807">
        <w:rPr>
          <w:rFonts w:ascii="Open Sans" w:hAnsi="Open Sans" w:cs="Open Sans"/>
          <w:sz w:val="24"/>
          <w:szCs w:val="24"/>
        </w:rPr>
        <w:t xml:space="preserve">for join-count statistics </w:t>
      </w:r>
      <w:r w:rsidR="007B7540" w:rsidRPr="00BE2807">
        <w:rPr>
          <w:rFonts w:ascii="Open Sans" w:hAnsi="Open Sans" w:cs="Open Sans"/>
          <w:sz w:val="24"/>
          <w:szCs w:val="24"/>
        </w:rPr>
        <w:t xml:space="preserve">is </w:t>
      </w:r>
      <w:r w:rsidR="00713BC0" w:rsidRPr="00BE2807">
        <w:rPr>
          <w:rFonts w:ascii="Open Sans" w:hAnsi="Open Sans" w:cs="Open Sans"/>
          <w:sz w:val="24"/>
          <w:szCs w:val="24"/>
        </w:rPr>
        <w:t>based on random permutations of the dataset</w:t>
      </w:r>
      <w:r w:rsidR="007B7540" w:rsidRPr="00BE2807">
        <w:rPr>
          <w:rFonts w:ascii="Open Sans" w:hAnsi="Open Sans" w:cs="Open Sans"/>
          <w:sz w:val="24"/>
          <w:szCs w:val="24"/>
        </w:rPr>
        <w:t xml:space="preserve"> and does not rely on the assumption that the </w:t>
      </w:r>
      <w:r w:rsidR="00D25249" w:rsidRPr="00BE2807">
        <w:rPr>
          <w:rFonts w:ascii="Open Sans" w:hAnsi="Open Sans" w:cs="Open Sans"/>
          <w:sz w:val="24"/>
          <w:szCs w:val="24"/>
        </w:rPr>
        <w:t>test statistic is normally distributed.</w:t>
      </w:r>
    </w:p>
    <w:p w14:paraId="6DE8587E" w14:textId="7BA79F27" w:rsidR="00FB617E" w:rsidRPr="00BE2807" w:rsidRDefault="00763C31" w:rsidP="00205798">
      <w:pPr>
        <w:rPr>
          <w:rFonts w:ascii="Open Sans" w:hAnsi="Open Sans" w:cs="Open Sans"/>
          <w:sz w:val="24"/>
          <w:szCs w:val="24"/>
        </w:rPr>
      </w:pPr>
      <w:r w:rsidRPr="00BE2807">
        <w:rPr>
          <w:rFonts w:ascii="Open Sans" w:hAnsi="Open Sans" w:cs="Open Sans"/>
          <w:sz w:val="24"/>
          <w:szCs w:val="24"/>
        </w:rPr>
        <w:t xml:space="preserve">Adjacent polygons </w:t>
      </w:r>
      <w:r w:rsidR="009802DF" w:rsidRPr="00BE2807">
        <w:rPr>
          <w:rFonts w:ascii="Open Sans" w:hAnsi="Open Sans" w:cs="Open Sans"/>
          <w:sz w:val="24"/>
          <w:szCs w:val="24"/>
        </w:rPr>
        <w:t xml:space="preserve">for the join-count statistic </w:t>
      </w:r>
      <w:r w:rsidRPr="00BE2807">
        <w:rPr>
          <w:rFonts w:ascii="Open Sans" w:hAnsi="Open Sans" w:cs="Open Sans"/>
          <w:sz w:val="24"/>
          <w:szCs w:val="24"/>
        </w:rPr>
        <w:t xml:space="preserve">were defined using the Rook criteria. </w:t>
      </w:r>
      <w:r w:rsidR="00E64313" w:rsidRPr="00BE2807">
        <w:rPr>
          <w:rFonts w:ascii="Open Sans" w:hAnsi="Open Sans" w:cs="Open Sans"/>
          <w:sz w:val="24"/>
          <w:szCs w:val="24"/>
        </w:rPr>
        <w:t xml:space="preserve">This means that two polygons were considered adjacent neighbors if they </w:t>
      </w:r>
      <w:r w:rsidR="007C3623" w:rsidRPr="00BE2807">
        <w:rPr>
          <w:rFonts w:ascii="Open Sans" w:hAnsi="Open Sans" w:cs="Open Sans"/>
          <w:sz w:val="24"/>
          <w:szCs w:val="24"/>
        </w:rPr>
        <w:t>share a common boundary</w:t>
      </w:r>
      <w:r w:rsidR="00106C6E" w:rsidRPr="00BE2807">
        <w:rPr>
          <w:rFonts w:ascii="Open Sans" w:hAnsi="Open Sans" w:cs="Open Sans"/>
          <w:sz w:val="24"/>
          <w:szCs w:val="24"/>
        </w:rPr>
        <w:t xml:space="preserve">. This differs from the Queen criteria which only requires that adjacent neighbors share </w:t>
      </w:r>
      <w:r w:rsidR="00783823" w:rsidRPr="00BE2807">
        <w:rPr>
          <w:rFonts w:ascii="Open Sans" w:hAnsi="Open Sans" w:cs="Open Sans"/>
          <w:sz w:val="24"/>
          <w:szCs w:val="24"/>
        </w:rPr>
        <w:t>a common vertex.</w:t>
      </w:r>
      <w:r w:rsidR="00133449" w:rsidRPr="00BE2807">
        <w:rPr>
          <w:rFonts w:ascii="Open Sans" w:hAnsi="Open Sans" w:cs="Open Sans"/>
          <w:sz w:val="24"/>
          <w:szCs w:val="24"/>
        </w:rPr>
        <w:t xml:space="preserve"> </w:t>
      </w:r>
      <w:r w:rsidR="00A86C62" w:rsidRPr="00BE2807">
        <w:rPr>
          <w:rFonts w:ascii="Open Sans" w:hAnsi="Open Sans" w:cs="Open Sans"/>
          <w:sz w:val="24"/>
          <w:szCs w:val="24"/>
        </w:rPr>
        <w:t xml:space="preserve">A one-sided alternative hypothesis was </w:t>
      </w:r>
      <w:r w:rsidR="00A86C62" w:rsidRPr="00BE2807">
        <w:rPr>
          <w:rFonts w:ascii="Open Sans" w:hAnsi="Open Sans" w:cs="Open Sans"/>
          <w:sz w:val="24"/>
          <w:szCs w:val="24"/>
        </w:rPr>
        <w:lastRenderedPageBreak/>
        <w:t>selected</w:t>
      </w:r>
      <w:r w:rsidR="00FF7323" w:rsidRPr="00BE2807">
        <w:rPr>
          <w:rFonts w:ascii="Open Sans" w:hAnsi="Open Sans" w:cs="Open Sans"/>
          <w:sz w:val="24"/>
          <w:szCs w:val="24"/>
        </w:rPr>
        <w:t xml:space="preserve"> to </w:t>
      </w:r>
      <w:r w:rsidR="00A86C62" w:rsidRPr="00BE2807">
        <w:rPr>
          <w:rFonts w:ascii="Open Sans" w:hAnsi="Open Sans" w:cs="Open Sans"/>
          <w:sz w:val="24"/>
          <w:szCs w:val="24"/>
        </w:rPr>
        <w:t xml:space="preserve">test the alternative hypothesis that the number of like </w:t>
      </w:r>
      <w:r w:rsidR="00FF7323" w:rsidRPr="00BE2807">
        <w:rPr>
          <w:rFonts w:ascii="Open Sans" w:hAnsi="Open Sans" w:cs="Open Sans"/>
          <w:sz w:val="24"/>
          <w:szCs w:val="24"/>
        </w:rPr>
        <w:t>similar</w:t>
      </w:r>
      <w:r w:rsidR="001A7704" w:rsidRPr="00BE2807">
        <w:rPr>
          <w:rFonts w:ascii="Open Sans" w:hAnsi="Open Sans" w:cs="Open Sans"/>
          <w:sz w:val="24"/>
          <w:szCs w:val="24"/>
        </w:rPr>
        <w:t xml:space="preserve"> neighbor pairs</w:t>
      </w:r>
      <w:r w:rsidR="00A86C62" w:rsidRPr="00BE2807">
        <w:rPr>
          <w:rFonts w:ascii="Open Sans" w:hAnsi="Open Sans" w:cs="Open Sans"/>
          <w:sz w:val="24"/>
          <w:szCs w:val="24"/>
        </w:rPr>
        <w:t xml:space="preserve"> is more than expected by random chance</w:t>
      </w:r>
      <w:r w:rsidR="001A7704" w:rsidRPr="00BE2807">
        <w:rPr>
          <w:rFonts w:ascii="Open Sans" w:hAnsi="Open Sans" w:cs="Open Sans"/>
          <w:sz w:val="24"/>
          <w:szCs w:val="24"/>
        </w:rPr>
        <w:t>.</w:t>
      </w:r>
      <w:r w:rsidR="00C96ABA" w:rsidRPr="00BE2807">
        <w:rPr>
          <w:rFonts w:ascii="Open Sans" w:hAnsi="Open Sans" w:cs="Open Sans"/>
          <w:sz w:val="24"/>
          <w:szCs w:val="24"/>
        </w:rPr>
        <w:t xml:space="preserve"> </w:t>
      </w:r>
      <w:r w:rsidR="00FB617E" w:rsidRPr="00BE2807">
        <w:rPr>
          <w:rFonts w:ascii="Open Sans" w:hAnsi="Open Sans" w:cs="Open Sans"/>
          <w:sz w:val="24"/>
          <w:szCs w:val="24"/>
        </w:rPr>
        <w:t xml:space="preserve">Because many metrics of spatial clustering or dispersion may be sensitive to geographic scale, the Monte-Carlo simulation of join-count statistics was </w:t>
      </w:r>
      <w:r w:rsidR="00C96ABA" w:rsidRPr="00BE2807">
        <w:rPr>
          <w:rFonts w:ascii="Open Sans" w:hAnsi="Open Sans" w:cs="Open Sans"/>
          <w:sz w:val="24"/>
          <w:szCs w:val="24"/>
        </w:rPr>
        <w:t xml:space="preserve">conducted for all HPI-eligible census tracts in Utah, </w:t>
      </w:r>
      <w:proofErr w:type="gramStart"/>
      <w:r w:rsidR="00C96ABA" w:rsidRPr="00BE2807">
        <w:rPr>
          <w:rFonts w:ascii="Open Sans" w:hAnsi="Open Sans" w:cs="Open Sans"/>
          <w:sz w:val="24"/>
          <w:szCs w:val="24"/>
        </w:rPr>
        <w:t>and also</w:t>
      </w:r>
      <w:proofErr w:type="gramEnd"/>
      <w:r w:rsidR="00C96ABA" w:rsidRPr="00BE2807">
        <w:rPr>
          <w:rFonts w:ascii="Open Sans" w:hAnsi="Open Sans" w:cs="Open Sans"/>
          <w:sz w:val="24"/>
          <w:szCs w:val="24"/>
        </w:rPr>
        <w:t xml:space="preserve"> for a subset of HPI-eligible census tracts only in Salt Lake, Utah, and Davis Counties.</w:t>
      </w:r>
    </w:p>
    <w:p w14:paraId="19E223D8" w14:textId="3048C78E" w:rsidR="00F7332C" w:rsidRPr="00925D6C" w:rsidRDefault="00F7332C" w:rsidP="00CA1E6B">
      <w:pPr>
        <w:pStyle w:val="Heading2"/>
        <w:spacing w:after="240"/>
        <w:rPr>
          <w:sz w:val="28"/>
          <w:szCs w:val="28"/>
        </w:rPr>
      </w:pPr>
      <w:r w:rsidRPr="00925D6C">
        <w:rPr>
          <w:sz w:val="28"/>
          <w:szCs w:val="28"/>
        </w:rPr>
        <w:t>Imputation Methodology</w:t>
      </w:r>
    </w:p>
    <w:p w14:paraId="5A6A9140" w14:textId="507A0B60" w:rsidR="006B3C3B" w:rsidRPr="00BE2807" w:rsidRDefault="004D3500" w:rsidP="004D3500">
      <w:pPr>
        <w:rPr>
          <w:rFonts w:ascii="Open Sans" w:hAnsi="Open Sans" w:cs="Open Sans"/>
          <w:sz w:val="24"/>
          <w:szCs w:val="24"/>
        </w:rPr>
      </w:pPr>
      <w:r w:rsidRPr="00BE2807">
        <w:rPr>
          <w:rFonts w:ascii="Open Sans" w:hAnsi="Open Sans" w:cs="Open Sans"/>
          <w:sz w:val="24"/>
          <w:szCs w:val="24"/>
        </w:rPr>
        <w:t xml:space="preserve">Because </w:t>
      </w:r>
      <w:r w:rsidR="00587BA9" w:rsidRPr="00BE2807">
        <w:rPr>
          <w:rFonts w:ascii="Open Sans" w:hAnsi="Open Sans" w:cs="Open Sans"/>
          <w:sz w:val="24"/>
          <w:szCs w:val="24"/>
        </w:rPr>
        <w:t>join-count statistics</w:t>
      </w:r>
      <w:r w:rsidRPr="00BE2807">
        <w:rPr>
          <w:rFonts w:ascii="Open Sans" w:hAnsi="Open Sans" w:cs="Open Sans"/>
          <w:sz w:val="24"/>
          <w:szCs w:val="24"/>
        </w:rPr>
        <w:t xml:space="preserve"> indicated that the spatial distribution of missing tracts</w:t>
      </w:r>
      <w:r w:rsidR="00587BA9" w:rsidRPr="00BE2807">
        <w:rPr>
          <w:rFonts w:ascii="Open Sans" w:hAnsi="Open Sans" w:cs="Open Sans"/>
          <w:sz w:val="24"/>
          <w:szCs w:val="24"/>
        </w:rPr>
        <w:t xml:space="preserve"> was not random, missing LEB data was imputed </w:t>
      </w:r>
      <w:r w:rsidR="00C04D8A" w:rsidRPr="00BE2807">
        <w:rPr>
          <w:rFonts w:ascii="Open Sans" w:hAnsi="Open Sans" w:cs="Open Sans"/>
          <w:sz w:val="24"/>
          <w:szCs w:val="24"/>
        </w:rPr>
        <w:t xml:space="preserve">from geographically proximate census tracts with USALEEP LEB data. </w:t>
      </w:r>
      <w:r w:rsidR="00D37A18" w:rsidRPr="00BE2807">
        <w:rPr>
          <w:rFonts w:ascii="Open Sans" w:hAnsi="Open Sans" w:cs="Open Sans"/>
          <w:sz w:val="24"/>
          <w:szCs w:val="24"/>
        </w:rPr>
        <w:t>Geographic adjacent neighbors were defined using the Rook criteria. All Utah census tracts missing LEB data had at least two adjacent neighbors</w:t>
      </w:r>
      <w:r w:rsidR="000F33BE" w:rsidRPr="00BE2807">
        <w:rPr>
          <w:rFonts w:ascii="Open Sans" w:hAnsi="Open Sans" w:cs="Open Sans"/>
          <w:sz w:val="24"/>
          <w:szCs w:val="24"/>
        </w:rPr>
        <w:t xml:space="preserve">. </w:t>
      </w:r>
      <w:r w:rsidR="00370825" w:rsidRPr="00BE2807">
        <w:rPr>
          <w:rFonts w:ascii="Open Sans" w:hAnsi="Open Sans" w:cs="Open Sans"/>
          <w:sz w:val="24"/>
          <w:szCs w:val="24"/>
        </w:rPr>
        <w:t xml:space="preserve">The imputed LEB for missing census tracts was computed using the arithmetic mean of the LEB values of </w:t>
      </w:r>
      <w:r w:rsidR="00066E47" w:rsidRPr="00BE2807">
        <w:rPr>
          <w:rFonts w:ascii="Open Sans" w:hAnsi="Open Sans" w:cs="Open Sans"/>
          <w:sz w:val="24"/>
          <w:szCs w:val="24"/>
        </w:rPr>
        <w:t xml:space="preserve">the </w:t>
      </w:r>
      <w:r w:rsidR="00E078B7" w:rsidRPr="00BE2807">
        <w:rPr>
          <w:rFonts w:ascii="Open Sans" w:hAnsi="Open Sans" w:cs="Open Sans"/>
          <w:sz w:val="24"/>
          <w:szCs w:val="24"/>
        </w:rPr>
        <w:t>identified adjacent</w:t>
      </w:r>
      <w:r w:rsidR="00066E47" w:rsidRPr="00BE2807">
        <w:rPr>
          <w:rFonts w:ascii="Open Sans" w:hAnsi="Open Sans" w:cs="Open Sans"/>
          <w:sz w:val="24"/>
          <w:szCs w:val="24"/>
        </w:rPr>
        <w:t xml:space="preserve"> census tracts.</w:t>
      </w:r>
    </w:p>
    <w:p w14:paraId="3FD73F31" w14:textId="45531852" w:rsidR="00C04D8A" w:rsidRPr="00BE2807" w:rsidRDefault="00C04D8A" w:rsidP="004D3500">
      <w:pPr>
        <w:rPr>
          <w:rFonts w:ascii="Open Sans" w:hAnsi="Open Sans" w:cs="Open Sans"/>
          <w:sz w:val="24"/>
          <w:szCs w:val="24"/>
        </w:rPr>
      </w:pPr>
      <w:r w:rsidRPr="00BE2807">
        <w:rPr>
          <w:rFonts w:ascii="Open Sans" w:hAnsi="Open Sans" w:cs="Open Sans"/>
          <w:sz w:val="24"/>
          <w:szCs w:val="24"/>
        </w:rPr>
        <w:t xml:space="preserve">All imputation analysis was conducted </w:t>
      </w:r>
      <w:r w:rsidR="006B3C3B" w:rsidRPr="00BE2807">
        <w:rPr>
          <w:rFonts w:ascii="Open Sans" w:hAnsi="Open Sans" w:cs="Open Sans"/>
          <w:sz w:val="24"/>
          <w:szCs w:val="24"/>
        </w:rPr>
        <w:t>with R version 4.1.2.</w:t>
      </w:r>
    </w:p>
    <w:p w14:paraId="516F02D5" w14:textId="36AA8946" w:rsidR="00CA5CFF" w:rsidRPr="00CA5CFF" w:rsidRDefault="00CA5CFF" w:rsidP="00CA1E6B">
      <w:pPr>
        <w:pStyle w:val="Heading1"/>
        <w:spacing w:after="240"/>
        <w:rPr>
          <w:rFonts w:cs="Open Sans"/>
          <w:b/>
          <w:bCs/>
          <w:color w:val="157B61"/>
          <w:sz w:val="32"/>
        </w:rPr>
      </w:pPr>
      <w:r>
        <w:rPr>
          <w:rFonts w:cs="Open Sans"/>
          <w:b/>
          <w:bCs/>
          <w:color w:val="157B61"/>
          <w:sz w:val="32"/>
        </w:rPr>
        <w:t>RESULTS</w:t>
      </w:r>
    </w:p>
    <w:p w14:paraId="7855DB75" w14:textId="39C21985" w:rsidR="00903810" w:rsidRDefault="00417BD5" w:rsidP="00953F59">
      <w:pPr>
        <w:rPr>
          <w:rFonts w:ascii="Open Sans" w:hAnsi="Open Sans" w:cs="Open Sans"/>
          <w:sz w:val="24"/>
          <w:szCs w:val="24"/>
        </w:rPr>
      </w:pPr>
      <w:r w:rsidRPr="00BE2807">
        <w:rPr>
          <w:rFonts w:ascii="Open Sans" w:hAnsi="Open Sans" w:cs="Open Sans"/>
          <w:sz w:val="24"/>
          <w:szCs w:val="24"/>
        </w:rPr>
        <w:t>Forty-two of the 525 HPI-eligible census tracts in Utah</w:t>
      </w:r>
      <w:r w:rsidR="009F0437" w:rsidRPr="00BE2807">
        <w:rPr>
          <w:rFonts w:ascii="Open Sans" w:hAnsi="Open Sans" w:cs="Open Sans"/>
          <w:sz w:val="24"/>
          <w:szCs w:val="24"/>
        </w:rPr>
        <w:t>, or 7.3%,</w:t>
      </w:r>
      <w:r w:rsidRPr="00BE2807">
        <w:rPr>
          <w:rFonts w:ascii="Open Sans" w:hAnsi="Open Sans" w:cs="Open Sans"/>
          <w:sz w:val="24"/>
          <w:szCs w:val="24"/>
        </w:rPr>
        <w:t xml:space="preserve"> </w:t>
      </w:r>
      <w:r w:rsidR="008448E4" w:rsidRPr="00BE2807">
        <w:rPr>
          <w:rFonts w:ascii="Open Sans" w:hAnsi="Open Sans" w:cs="Open Sans"/>
          <w:sz w:val="24"/>
          <w:szCs w:val="24"/>
        </w:rPr>
        <w:t>are</w:t>
      </w:r>
      <w:r w:rsidRPr="00BE2807">
        <w:rPr>
          <w:rFonts w:ascii="Open Sans" w:hAnsi="Open Sans" w:cs="Open Sans"/>
          <w:sz w:val="24"/>
          <w:szCs w:val="24"/>
        </w:rPr>
        <w:t xml:space="preserve"> missing life expectancy at birth data</w:t>
      </w:r>
      <w:r w:rsidR="009F0437" w:rsidRPr="00BE2807">
        <w:rPr>
          <w:rFonts w:ascii="Open Sans" w:hAnsi="Open Sans" w:cs="Open Sans"/>
          <w:sz w:val="24"/>
          <w:szCs w:val="24"/>
        </w:rPr>
        <w:t xml:space="preserve">. </w:t>
      </w:r>
      <w:proofErr w:type="gramStart"/>
      <w:r w:rsidR="004D1102" w:rsidRPr="00BE2807">
        <w:rPr>
          <w:rFonts w:ascii="Open Sans" w:hAnsi="Open Sans" w:cs="Open Sans"/>
          <w:sz w:val="24"/>
          <w:szCs w:val="24"/>
        </w:rPr>
        <w:t>The majority of</w:t>
      </w:r>
      <w:proofErr w:type="gramEnd"/>
      <w:r w:rsidR="004D1102" w:rsidRPr="00BE2807">
        <w:rPr>
          <w:rFonts w:ascii="Open Sans" w:hAnsi="Open Sans" w:cs="Open Sans"/>
          <w:sz w:val="24"/>
          <w:szCs w:val="24"/>
        </w:rPr>
        <w:t xml:space="preserve"> census tracts with missing data are in Salt Lake, Utah, and Davis counties, the three most populous counties in Utah.</w:t>
      </w:r>
    </w:p>
    <w:p w14:paraId="6659C5A0" w14:textId="1CFF81D0" w:rsidR="00925D6C" w:rsidRDefault="00925D6C" w:rsidP="00953F59">
      <w:pPr>
        <w:rPr>
          <w:rFonts w:ascii="Open Sans" w:hAnsi="Open Sans" w:cs="Open Sans"/>
          <w:sz w:val="24"/>
          <w:szCs w:val="24"/>
        </w:rPr>
      </w:pPr>
    </w:p>
    <w:p w14:paraId="1123D79D" w14:textId="27136DB7" w:rsidR="00925D6C" w:rsidRDefault="00925D6C" w:rsidP="00953F59">
      <w:pPr>
        <w:rPr>
          <w:rFonts w:ascii="Open Sans" w:hAnsi="Open Sans" w:cs="Open Sans"/>
          <w:sz w:val="24"/>
          <w:szCs w:val="24"/>
        </w:rPr>
      </w:pPr>
    </w:p>
    <w:p w14:paraId="2F64CA7E" w14:textId="48B9026A" w:rsidR="00925D6C" w:rsidRDefault="00925D6C" w:rsidP="00953F59">
      <w:pPr>
        <w:rPr>
          <w:rFonts w:ascii="Open Sans" w:hAnsi="Open Sans" w:cs="Open Sans"/>
          <w:sz w:val="24"/>
          <w:szCs w:val="24"/>
        </w:rPr>
      </w:pPr>
    </w:p>
    <w:p w14:paraId="7C9E70A6" w14:textId="65548FD5" w:rsidR="00925D6C" w:rsidRDefault="00925D6C" w:rsidP="00953F59">
      <w:pPr>
        <w:rPr>
          <w:rFonts w:ascii="Open Sans" w:hAnsi="Open Sans" w:cs="Open Sans"/>
          <w:sz w:val="24"/>
          <w:szCs w:val="24"/>
        </w:rPr>
      </w:pPr>
    </w:p>
    <w:p w14:paraId="781EBE36" w14:textId="4E7403AB" w:rsidR="00925D6C" w:rsidRDefault="00925D6C" w:rsidP="00953F59">
      <w:pPr>
        <w:rPr>
          <w:rFonts w:ascii="Open Sans" w:hAnsi="Open Sans" w:cs="Open Sans"/>
          <w:sz w:val="24"/>
          <w:szCs w:val="24"/>
        </w:rPr>
      </w:pPr>
    </w:p>
    <w:p w14:paraId="53BDA03F" w14:textId="2CB964A8" w:rsidR="00925D6C" w:rsidRDefault="00925D6C" w:rsidP="00953F59">
      <w:pPr>
        <w:rPr>
          <w:rFonts w:ascii="Open Sans" w:hAnsi="Open Sans" w:cs="Open Sans"/>
          <w:sz w:val="24"/>
          <w:szCs w:val="24"/>
        </w:rPr>
      </w:pPr>
    </w:p>
    <w:p w14:paraId="5F575DB7" w14:textId="35B329C5" w:rsidR="00925D6C" w:rsidRDefault="00925D6C" w:rsidP="00953F59">
      <w:pPr>
        <w:rPr>
          <w:rFonts w:ascii="Open Sans" w:hAnsi="Open Sans" w:cs="Open Sans"/>
          <w:sz w:val="24"/>
          <w:szCs w:val="24"/>
        </w:rPr>
      </w:pPr>
    </w:p>
    <w:p w14:paraId="355640CF" w14:textId="490121A9" w:rsidR="00925D6C" w:rsidRDefault="00925D6C" w:rsidP="00953F59">
      <w:pPr>
        <w:rPr>
          <w:rFonts w:ascii="Open Sans" w:hAnsi="Open Sans" w:cs="Open Sans"/>
          <w:sz w:val="24"/>
          <w:szCs w:val="24"/>
        </w:rPr>
      </w:pPr>
    </w:p>
    <w:p w14:paraId="4B752FC7" w14:textId="69B6C7E5" w:rsidR="00925D6C" w:rsidRDefault="00925D6C" w:rsidP="00953F59">
      <w:pPr>
        <w:rPr>
          <w:rFonts w:ascii="Open Sans" w:hAnsi="Open Sans" w:cs="Open Sans"/>
          <w:sz w:val="24"/>
          <w:szCs w:val="24"/>
        </w:rPr>
      </w:pPr>
    </w:p>
    <w:p w14:paraId="11C35369" w14:textId="77777777" w:rsidR="00925D6C" w:rsidRPr="00BE2807" w:rsidRDefault="00925D6C" w:rsidP="00953F59">
      <w:pPr>
        <w:rPr>
          <w:rFonts w:ascii="Open Sans" w:hAnsi="Open Sans" w:cs="Open Sans"/>
          <w:sz w:val="24"/>
          <w:szCs w:val="24"/>
        </w:rPr>
      </w:pPr>
    </w:p>
    <w:p w14:paraId="7D267376" w14:textId="4A8FAF8A" w:rsidR="00AC13D7" w:rsidRPr="00925D6C" w:rsidRDefault="00017144" w:rsidP="00953F59">
      <w:pPr>
        <w:rPr>
          <w:rFonts w:ascii="Open Sans" w:hAnsi="Open Sans" w:cs="Open Sans"/>
          <w:b/>
          <w:bCs/>
          <w:color w:val="4D4D4F"/>
          <w:sz w:val="24"/>
          <w:szCs w:val="24"/>
        </w:rPr>
      </w:pPr>
      <w:r w:rsidRPr="00925D6C">
        <w:rPr>
          <w:rFonts w:ascii="Open Sans" w:hAnsi="Open Sans" w:cs="Open Sans"/>
          <w:b/>
          <w:bCs/>
          <w:color w:val="4D4D4F"/>
          <w:sz w:val="24"/>
          <w:szCs w:val="24"/>
        </w:rPr>
        <w:lastRenderedPageBreak/>
        <w:t xml:space="preserve">Figure 1. </w:t>
      </w:r>
      <w:r w:rsidR="00A73A63" w:rsidRPr="00925D6C">
        <w:rPr>
          <w:rFonts w:ascii="Open Sans" w:hAnsi="Open Sans" w:cs="Open Sans"/>
          <w:b/>
          <w:bCs/>
          <w:color w:val="4D4D4F"/>
          <w:sz w:val="24"/>
          <w:szCs w:val="24"/>
        </w:rPr>
        <w:t>A) Distribution</w:t>
      </w:r>
      <w:r w:rsidRPr="00925D6C">
        <w:rPr>
          <w:rFonts w:ascii="Open Sans" w:hAnsi="Open Sans" w:cs="Open Sans"/>
          <w:b/>
          <w:bCs/>
          <w:color w:val="4D4D4F"/>
          <w:sz w:val="24"/>
          <w:szCs w:val="24"/>
        </w:rPr>
        <w:t xml:space="preserve"> of census tracts with missing </w:t>
      </w:r>
      <w:r w:rsidR="00357458" w:rsidRPr="00925D6C">
        <w:rPr>
          <w:rFonts w:ascii="Open Sans" w:hAnsi="Open Sans" w:cs="Open Sans"/>
          <w:b/>
          <w:bCs/>
          <w:color w:val="4D4D4F"/>
          <w:sz w:val="24"/>
          <w:szCs w:val="24"/>
        </w:rPr>
        <w:t xml:space="preserve">LEB data in Utah. B) Distribution of census tracts with missing LEB data </w:t>
      </w:r>
      <w:r w:rsidR="00AC13D7" w:rsidRPr="00925D6C">
        <w:rPr>
          <w:rFonts w:ascii="Open Sans" w:hAnsi="Open Sans" w:cs="Open Sans"/>
          <w:b/>
          <w:bCs/>
          <w:color w:val="4D4D4F"/>
          <w:sz w:val="24"/>
          <w:szCs w:val="24"/>
        </w:rPr>
        <w:t>in the Salt Lake City metro area.</w:t>
      </w:r>
      <w:r w:rsidR="00250206" w:rsidRPr="00925D6C">
        <w:rPr>
          <w:rFonts w:ascii="Open Sans" w:hAnsi="Open Sans" w:cs="Open Sans"/>
          <w:b/>
          <w:bCs/>
          <w:color w:val="4D4D4F"/>
          <w:sz w:val="24"/>
          <w:szCs w:val="24"/>
        </w:rPr>
        <w:t xml:space="preserve"> </w:t>
      </w:r>
    </w:p>
    <w:p w14:paraId="5E5D599E" w14:textId="43FF5BAE" w:rsidR="00FB1208" w:rsidRPr="00BE2807" w:rsidRDefault="0080376B" w:rsidP="0080376B">
      <w:pPr>
        <w:ind w:left="360"/>
        <w:rPr>
          <w:rFonts w:ascii="Open Sans" w:hAnsi="Open Sans" w:cs="Open Sans"/>
          <w:sz w:val="24"/>
          <w:szCs w:val="24"/>
        </w:rPr>
      </w:pPr>
      <w:r w:rsidRPr="00BE2807">
        <w:rPr>
          <w:rFonts w:ascii="Open Sans" w:hAnsi="Open Sans" w:cs="Open Sans"/>
          <w:sz w:val="24"/>
          <w:szCs w:val="24"/>
        </w:rPr>
        <w:t xml:space="preserve">A                                                                                    </w:t>
      </w:r>
      <w:r w:rsidR="006753D5" w:rsidRPr="00BE2807">
        <w:rPr>
          <w:rFonts w:ascii="Open Sans" w:hAnsi="Open Sans" w:cs="Open Sans"/>
          <w:sz w:val="24"/>
          <w:szCs w:val="24"/>
        </w:rPr>
        <w:t xml:space="preserve">     </w:t>
      </w:r>
      <w:r w:rsidRPr="00BE2807">
        <w:rPr>
          <w:rFonts w:ascii="Open Sans" w:hAnsi="Open Sans" w:cs="Open Sans"/>
          <w:sz w:val="24"/>
          <w:szCs w:val="24"/>
        </w:rPr>
        <w:t xml:space="preserve">      B</w:t>
      </w:r>
    </w:p>
    <w:p w14:paraId="16679186" w14:textId="0D638E88" w:rsidR="00121780" w:rsidRPr="00BE2807" w:rsidRDefault="00AC13D7" w:rsidP="00925D6C">
      <w:pPr>
        <w:ind w:left="360"/>
        <w:rPr>
          <w:rFonts w:ascii="Open Sans" w:hAnsi="Open Sans" w:cs="Open Sans"/>
          <w:sz w:val="24"/>
          <w:szCs w:val="24"/>
        </w:rPr>
      </w:pPr>
      <w:r w:rsidRPr="00BE2807">
        <w:rPr>
          <w:rFonts w:ascii="Open Sans" w:hAnsi="Open Sans" w:cs="Open Sans"/>
          <w:noProof/>
          <w:sz w:val="24"/>
          <w:szCs w:val="24"/>
        </w:rPr>
        <w:drawing>
          <wp:inline distT="0" distB="0" distL="0" distR="0" wp14:anchorId="70EDE708" wp14:editId="442D6738">
            <wp:extent cx="2901950" cy="3269650"/>
            <wp:effectExtent l="0" t="0" r="0" b="698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2861" cy="3281943"/>
                    </a:xfrm>
                    <a:prstGeom prst="rect">
                      <a:avLst/>
                    </a:prstGeom>
                  </pic:spPr>
                </pic:pic>
              </a:graphicData>
            </a:graphic>
          </wp:inline>
        </w:drawing>
      </w:r>
      <w:r w:rsidR="006753D5" w:rsidRPr="00BE2807">
        <w:rPr>
          <w:rFonts w:ascii="Open Sans" w:hAnsi="Open Sans" w:cs="Open Sans"/>
          <w:sz w:val="24"/>
          <w:szCs w:val="24"/>
        </w:rPr>
        <w:t xml:space="preserve">     </w:t>
      </w:r>
      <w:r w:rsidR="005334F1" w:rsidRPr="00BE2807">
        <w:rPr>
          <w:rFonts w:ascii="Open Sans" w:hAnsi="Open Sans" w:cs="Open Sans"/>
          <w:sz w:val="24"/>
          <w:szCs w:val="24"/>
        </w:rPr>
        <w:t xml:space="preserve"> </w:t>
      </w:r>
      <w:r w:rsidR="005334F1" w:rsidRPr="00BE2807">
        <w:rPr>
          <w:rFonts w:ascii="Open Sans" w:hAnsi="Open Sans" w:cs="Open Sans"/>
          <w:noProof/>
          <w:sz w:val="24"/>
          <w:szCs w:val="24"/>
        </w:rPr>
        <w:drawing>
          <wp:inline distT="0" distB="0" distL="0" distR="0" wp14:anchorId="11157F23" wp14:editId="7A084965">
            <wp:extent cx="2470150" cy="3263993"/>
            <wp:effectExtent l="0" t="0" r="635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6006" cy="3284945"/>
                    </a:xfrm>
                    <a:prstGeom prst="rect">
                      <a:avLst/>
                    </a:prstGeom>
                  </pic:spPr>
                </pic:pic>
              </a:graphicData>
            </a:graphic>
          </wp:inline>
        </w:drawing>
      </w:r>
    </w:p>
    <w:p w14:paraId="6E17D30F" w14:textId="20CD07AD" w:rsidR="00A654E4" w:rsidRPr="00BE2807" w:rsidRDefault="00972B97" w:rsidP="00C2339A">
      <w:pPr>
        <w:rPr>
          <w:rFonts w:ascii="Open Sans" w:hAnsi="Open Sans" w:cs="Open Sans"/>
          <w:sz w:val="24"/>
          <w:szCs w:val="24"/>
        </w:rPr>
      </w:pPr>
      <w:r w:rsidRPr="00BE2807">
        <w:rPr>
          <w:rFonts w:ascii="Open Sans" w:hAnsi="Open Sans" w:cs="Open Sans"/>
          <w:sz w:val="24"/>
          <w:szCs w:val="24"/>
        </w:rPr>
        <w:t>The Monte Carlo simulation of join-count statistic indicate</w:t>
      </w:r>
      <w:r w:rsidR="00B56986" w:rsidRPr="00BE2807">
        <w:rPr>
          <w:rFonts w:ascii="Open Sans" w:hAnsi="Open Sans" w:cs="Open Sans"/>
          <w:sz w:val="24"/>
          <w:szCs w:val="24"/>
        </w:rPr>
        <w:t>d</w:t>
      </w:r>
      <w:r w:rsidRPr="00BE2807">
        <w:rPr>
          <w:rFonts w:ascii="Open Sans" w:hAnsi="Open Sans" w:cs="Open Sans"/>
          <w:sz w:val="24"/>
          <w:szCs w:val="24"/>
        </w:rPr>
        <w:t xml:space="preserve"> that </w:t>
      </w:r>
      <w:r w:rsidR="002464AF" w:rsidRPr="00BE2807">
        <w:rPr>
          <w:rFonts w:ascii="Open Sans" w:hAnsi="Open Sans" w:cs="Open Sans"/>
          <w:sz w:val="24"/>
          <w:szCs w:val="24"/>
        </w:rPr>
        <w:t>the distribution of census tracts with missing data i</w:t>
      </w:r>
      <w:r w:rsidR="00A421CF" w:rsidRPr="00BE2807">
        <w:rPr>
          <w:rFonts w:ascii="Open Sans" w:hAnsi="Open Sans" w:cs="Open Sans"/>
          <w:sz w:val="24"/>
          <w:szCs w:val="24"/>
        </w:rPr>
        <w:t>s clustered</w:t>
      </w:r>
      <w:r w:rsidR="00925D6C">
        <w:rPr>
          <w:rFonts w:ascii="Open Sans" w:hAnsi="Open Sans" w:cs="Open Sans"/>
          <w:sz w:val="24"/>
          <w:szCs w:val="24"/>
        </w:rPr>
        <w:t xml:space="preserve"> (Table 1)</w:t>
      </w:r>
      <w:r w:rsidR="00AE1300" w:rsidRPr="00BE2807">
        <w:rPr>
          <w:rFonts w:ascii="Open Sans" w:hAnsi="Open Sans" w:cs="Open Sans"/>
          <w:sz w:val="24"/>
          <w:szCs w:val="24"/>
        </w:rPr>
        <w:t xml:space="preserve">, both when </w:t>
      </w:r>
      <w:r w:rsidR="001D4C05" w:rsidRPr="00BE2807">
        <w:rPr>
          <w:rFonts w:ascii="Open Sans" w:hAnsi="Open Sans" w:cs="Open Sans"/>
          <w:sz w:val="24"/>
          <w:szCs w:val="24"/>
        </w:rPr>
        <w:t xml:space="preserve">testing </w:t>
      </w:r>
      <w:r w:rsidR="00A654E4" w:rsidRPr="00BE2807">
        <w:rPr>
          <w:rFonts w:ascii="Open Sans" w:hAnsi="Open Sans" w:cs="Open Sans"/>
          <w:sz w:val="24"/>
          <w:szCs w:val="24"/>
        </w:rPr>
        <w:t xml:space="preserve">join-count statistics using all HPI-eligible census tracts in Utah, and when using a subset of HPI-eligible </w:t>
      </w:r>
      <w:r w:rsidR="00B56986" w:rsidRPr="00BE2807">
        <w:rPr>
          <w:rFonts w:ascii="Open Sans" w:hAnsi="Open Sans" w:cs="Open Sans"/>
          <w:sz w:val="24"/>
          <w:szCs w:val="24"/>
        </w:rPr>
        <w:t>census tracts in Salt Lake, Utah, and Davis counties.</w:t>
      </w:r>
    </w:p>
    <w:p w14:paraId="185B2E41" w14:textId="77777777" w:rsidR="00C72149" w:rsidRPr="00BE2807" w:rsidRDefault="00C72149" w:rsidP="00C2339A">
      <w:pPr>
        <w:rPr>
          <w:rFonts w:ascii="Open Sans" w:hAnsi="Open Sans" w:cs="Open Sans"/>
          <w:sz w:val="24"/>
          <w:szCs w:val="24"/>
        </w:rPr>
      </w:pPr>
    </w:p>
    <w:p w14:paraId="7D09C351" w14:textId="77777777" w:rsidR="00C72149" w:rsidRPr="00925D6C" w:rsidRDefault="00C72149" w:rsidP="00C72149">
      <w:pPr>
        <w:rPr>
          <w:rFonts w:ascii="Open Sans" w:hAnsi="Open Sans" w:cs="Open Sans"/>
          <w:b/>
          <w:color w:val="4D4D4F"/>
          <w:sz w:val="24"/>
          <w:szCs w:val="24"/>
        </w:rPr>
      </w:pPr>
      <w:r w:rsidRPr="00925D6C">
        <w:rPr>
          <w:rFonts w:ascii="Open Sans" w:hAnsi="Open Sans" w:cs="Open Sans"/>
          <w:b/>
          <w:color w:val="4D4D4F"/>
          <w:sz w:val="24"/>
          <w:szCs w:val="24"/>
        </w:rPr>
        <w:t>Table 1. Monte-Carlo Simulation of Join-Count Statistics for Census Tracts Missing LEB Data in Selected Utah Geographies</w:t>
      </w:r>
    </w:p>
    <w:tbl>
      <w:tblPr>
        <w:tblStyle w:val="TableGrid"/>
        <w:tblW w:w="927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2250"/>
        <w:gridCol w:w="2250"/>
        <w:gridCol w:w="1080"/>
        <w:gridCol w:w="1530"/>
      </w:tblGrid>
      <w:tr w:rsidR="00C72149" w:rsidRPr="00BE2807" w14:paraId="02D3A5DA" w14:textId="77777777" w:rsidTr="00D048EB">
        <w:tc>
          <w:tcPr>
            <w:tcW w:w="2160" w:type="dxa"/>
            <w:tcBorders>
              <w:top w:val="single" w:sz="4" w:space="0" w:color="auto"/>
              <w:bottom w:val="single" w:sz="4" w:space="0" w:color="auto"/>
            </w:tcBorders>
          </w:tcPr>
          <w:p w14:paraId="7A96EF3C" w14:textId="77777777" w:rsidR="00C72149" w:rsidRPr="00925D6C" w:rsidRDefault="00C72149" w:rsidP="00D048EB">
            <w:pPr>
              <w:rPr>
                <w:rFonts w:ascii="Open Sans" w:hAnsi="Open Sans" w:cs="Open Sans"/>
              </w:rPr>
            </w:pPr>
            <w:r w:rsidRPr="00925D6C">
              <w:rPr>
                <w:rFonts w:ascii="Open Sans" w:hAnsi="Open Sans" w:cs="Open Sans"/>
              </w:rPr>
              <w:t>Geography</w:t>
            </w:r>
          </w:p>
        </w:tc>
        <w:tc>
          <w:tcPr>
            <w:tcW w:w="2250" w:type="dxa"/>
            <w:tcBorders>
              <w:top w:val="single" w:sz="4" w:space="0" w:color="auto"/>
              <w:bottom w:val="single" w:sz="4" w:space="0" w:color="auto"/>
            </w:tcBorders>
          </w:tcPr>
          <w:p w14:paraId="0B64D7E5" w14:textId="77777777" w:rsidR="00C72149" w:rsidRPr="00925D6C" w:rsidRDefault="00C72149" w:rsidP="00D048EB">
            <w:pPr>
              <w:rPr>
                <w:rFonts w:ascii="Open Sans" w:hAnsi="Open Sans" w:cs="Open Sans"/>
              </w:rPr>
            </w:pPr>
            <w:r w:rsidRPr="00925D6C">
              <w:rPr>
                <w:rFonts w:ascii="Open Sans" w:hAnsi="Open Sans" w:cs="Open Sans"/>
              </w:rPr>
              <w:t>Join-Count Statistic (Observed missing-missing pairs)</w:t>
            </w:r>
          </w:p>
        </w:tc>
        <w:tc>
          <w:tcPr>
            <w:tcW w:w="2250" w:type="dxa"/>
            <w:tcBorders>
              <w:top w:val="single" w:sz="4" w:space="0" w:color="auto"/>
              <w:bottom w:val="single" w:sz="4" w:space="0" w:color="auto"/>
            </w:tcBorders>
          </w:tcPr>
          <w:p w14:paraId="36BB32DA" w14:textId="77777777" w:rsidR="00C72149" w:rsidRPr="00925D6C" w:rsidRDefault="00C72149" w:rsidP="00D048EB">
            <w:pPr>
              <w:rPr>
                <w:rFonts w:ascii="Open Sans" w:hAnsi="Open Sans" w:cs="Open Sans"/>
              </w:rPr>
            </w:pPr>
            <w:r w:rsidRPr="00925D6C">
              <w:rPr>
                <w:rFonts w:ascii="Open Sans" w:hAnsi="Open Sans" w:cs="Open Sans"/>
              </w:rPr>
              <w:t>Mean of Simulation (expected missing-missing pairs)</w:t>
            </w:r>
          </w:p>
        </w:tc>
        <w:tc>
          <w:tcPr>
            <w:tcW w:w="1080" w:type="dxa"/>
            <w:tcBorders>
              <w:top w:val="single" w:sz="4" w:space="0" w:color="auto"/>
              <w:bottom w:val="single" w:sz="4" w:space="0" w:color="auto"/>
            </w:tcBorders>
          </w:tcPr>
          <w:p w14:paraId="469A93AF" w14:textId="77777777" w:rsidR="00C72149" w:rsidRPr="00925D6C" w:rsidRDefault="00C72149" w:rsidP="00D048EB">
            <w:pPr>
              <w:jc w:val="center"/>
              <w:rPr>
                <w:rFonts w:ascii="Open Sans" w:hAnsi="Open Sans" w:cs="Open Sans"/>
              </w:rPr>
            </w:pPr>
            <w:r w:rsidRPr="00925D6C">
              <w:rPr>
                <w:rFonts w:ascii="Open Sans" w:hAnsi="Open Sans" w:cs="Open Sans"/>
              </w:rPr>
              <w:t>p Value</w:t>
            </w:r>
          </w:p>
        </w:tc>
        <w:tc>
          <w:tcPr>
            <w:tcW w:w="1530" w:type="dxa"/>
            <w:tcBorders>
              <w:top w:val="single" w:sz="4" w:space="0" w:color="auto"/>
              <w:bottom w:val="single" w:sz="4" w:space="0" w:color="auto"/>
            </w:tcBorders>
          </w:tcPr>
          <w:p w14:paraId="33208D25" w14:textId="77777777" w:rsidR="00C72149" w:rsidRPr="00925D6C" w:rsidRDefault="00C72149" w:rsidP="00D048EB">
            <w:pPr>
              <w:rPr>
                <w:rFonts w:ascii="Open Sans" w:hAnsi="Open Sans" w:cs="Open Sans"/>
              </w:rPr>
            </w:pPr>
            <w:r w:rsidRPr="00925D6C">
              <w:rPr>
                <w:rFonts w:ascii="Open Sans" w:hAnsi="Open Sans" w:cs="Open Sans"/>
              </w:rPr>
              <w:t>Distribution</w:t>
            </w:r>
          </w:p>
        </w:tc>
      </w:tr>
      <w:tr w:rsidR="00C72149" w:rsidRPr="00BE2807" w14:paraId="08700965" w14:textId="77777777" w:rsidTr="00D048EB">
        <w:trPr>
          <w:trHeight w:val="360"/>
        </w:trPr>
        <w:tc>
          <w:tcPr>
            <w:tcW w:w="2160" w:type="dxa"/>
            <w:vAlign w:val="bottom"/>
          </w:tcPr>
          <w:p w14:paraId="0C8E54C5" w14:textId="77777777" w:rsidR="00C72149" w:rsidRPr="00925D6C" w:rsidRDefault="00C72149" w:rsidP="00D048EB">
            <w:pPr>
              <w:rPr>
                <w:rFonts w:ascii="Open Sans" w:hAnsi="Open Sans" w:cs="Open Sans"/>
              </w:rPr>
            </w:pPr>
            <w:r w:rsidRPr="00925D6C">
              <w:rPr>
                <w:rFonts w:ascii="Open Sans" w:hAnsi="Open Sans" w:cs="Open Sans"/>
              </w:rPr>
              <w:t xml:space="preserve">Salt Lake, </w:t>
            </w:r>
            <w:proofErr w:type="gramStart"/>
            <w:r w:rsidRPr="00925D6C">
              <w:rPr>
                <w:rFonts w:ascii="Open Sans" w:hAnsi="Open Sans" w:cs="Open Sans"/>
              </w:rPr>
              <w:t>Utah</w:t>
            </w:r>
            <w:proofErr w:type="gramEnd"/>
            <w:r w:rsidRPr="00925D6C">
              <w:rPr>
                <w:rFonts w:ascii="Open Sans" w:hAnsi="Open Sans" w:cs="Open Sans"/>
              </w:rPr>
              <w:t xml:space="preserve"> and Davis Counties</w:t>
            </w:r>
          </w:p>
        </w:tc>
        <w:tc>
          <w:tcPr>
            <w:tcW w:w="2250" w:type="dxa"/>
            <w:vAlign w:val="bottom"/>
          </w:tcPr>
          <w:p w14:paraId="4B56C25D" w14:textId="77777777" w:rsidR="00C72149" w:rsidRPr="00925D6C" w:rsidRDefault="00C72149" w:rsidP="00D048EB">
            <w:pPr>
              <w:ind w:right="360"/>
              <w:jc w:val="right"/>
              <w:rPr>
                <w:rFonts w:ascii="Open Sans" w:hAnsi="Open Sans" w:cs="Open Sans"/>
                <w:color w:val="000000"/>
                <w:shd w:val="clear" w:color="auto" w:fill="FFFFFF"/>
              </w:rPr>
            </w:pPr>
            <w:r w:rsidRPr="00925D6C">
              <w:rPr>
                <w:rFonts w:ascii="Open Sans" w:hAnsi="Open Sans" w:cs="Open Sans"/>
                <w:color w:val="000000"/>
                <w:shd w:val="clear" w:color="auto" w:fill="FFFFFF"/>
              </w:rPr>
              <w:t>12</w:t>
            </w:r>
          </w:p>
        </w:tc>
        <w:tc>
          <w:tcPr>
            <w:tcW w:w="2250" w:type="dxa"/>
            <w:vAlign w:val="bottom"/>
          </w:tcPr>
          <w:p w14:paraId="5A6B4E7A" w14:textId="77777777" w:rsidR="00C72149" w:rsidRPr="00925D6C" w:rsidRDefault="00C72149" w:rsidP="00D048EB">
            <w:pPr>
              <w:ind w:right="360"/>
              <w:jc w:val="right"/>
              <w:rPr>
                <w:rFonts w:ascii="Open Sans" w:hAnsi="Open Sans" w:cs="Open Sans"/>
                <w:color w:val="000000"/>
                <w:shd w:val="clear" w:color="auto" w:fill="FFFFFF"/>
              </w:rPr>
            </w:pPr>
            <w:r w:rsidRPr="00925D6C">
              <w:rPr>
                <w:rFonts w:ascii="Open Sans" w:hAnsi="Open Sans" w:cs="Open Sans"/>
                <w:color w:val="000000"/>
                <w:shd w:val="clear" w:color="auto" w:fill="FFFFFF"/>
              </w:rPr>
              <w:t>6.68</w:t>
            </w:r>
          </w:p>
        </w:tc>
        <w:tc>
          <w:tcPr>
            <w:tcW w:w="1080" w:type="dxa"/>
            <w:vAlign w:val="bottom"/>
          </w:tcPr>
          <w:p w14:paraId="61AE9408" w14:textId="77777777" w:rsidR="00C72149" w:rsidRPr="00925D6C" w:rsidRDefault="00C72149" w:rsidP="00D048EB">
            <w:pPr>
              <w:ind w:right="144"/>
              <w:jc w:val="right"/>
              <w:rPr>
                <w:rFonts w:ascii="Open Sans" w:hAnsi="Open Sans" w:cs="Open Sans"/>
              </w:rPr>
            </w:pPr>
            <w:r w:rsidRPr="00925D6C">
              <w:rPr>
                <w:rFonts w:ascii="Open Sans" w:hAnsi="Open Sans" w:cs="Open Sans"/>
              </w:rPr>
              <w:t>0.02</w:t>
            </w:r>
          </w:p>
        </w:tc>
        <w:tc>
          <w:tcPr>
            <w:tcW w:w="1530" w:type="dxa"/>
            <w:vAlign w:val="bottom"/>
          </w:tcPr>
          <w:p w14:paraId="0171DE76" w14:textId="77777777" w:rsidR="00C72149" w:rsidRPr="00925D6C" w:rsidRDefault="00C72149" w:rsidP="00D048EB">
            <w:pPr>
              <w:rPr>
                <w:rFonts w:ascii="Open Sans" w:hAnsi="Open Sans" w:cs="Open Sans"/>
              </w:rPr>
            </w:pPr>
            <w:r w:rsidRPr="00925D6C">
              <w:rPr>
                <w:rFonts w:ascii="Open Sans" w:hAnsi="Open Sans" w:cs="Open Sans"/>
              </w:rPr>
              <w:t>Clustered</w:t>
            </w:r>
          </w:p>
        </w:tc>
      </w:tr>
      <w:tr w:rsidR="00C72149" w:rsidRPr="00BE2807" w14:paraId="717D263E" w14:textId="77777777" w:rsidTr="00D048EB">
        <w:trPr>
          <w:trHeight w:val="360"/>
        </w:trPr>
        <w:tc>
          <w:tcPr>
            <w:tcW w:w="2160" w:type="dxa"/>
            <w:vAlign w:val="bottom"/>
          </w:tcPr>
          <w:p w14:paraId="4D2527D5" w14:textId="77777777" w:rsidR="00C72149" w:rsidRPr="00925D6C" w:rsidRDefault="00C72149" w:rsidP="00D048EB">
            <w:pPr>
              <w:rPr>
                <w:rFonts w:ascii="Open Sans" w:hAnsi="Open Sans" w:cs="Open Sans"/>
              </w:rPr>
            </w:pPr>
            <w:r w:rsidRPr="00925D6C">
              <w:rPr>
                <w:rFonts w:ascii="Open Sans" w:hAnsi="Open Sans" w:cs="Open Sans"/>
              </w:rPr>
              <w:t>Utah State</w:t>
            </w:r>
          </w:p>
        </w:tc>
        <w:tc>
          <w:tcPr>
            <w:tcW w:w="2250" w:type="dxa"/>
            <w:vAlign w:val="bottom"/>
          </w:tcPr>
          <w:p w14:paraId="2575E7F1" w14:textId="77777777" w:rsidR="00C72149" w:rsidRPr="00925D6C" w:rsidRDefault="00C72149" w:rsidP="00D048EB">
            <w:pPr>
              <w:ind w:right="360"/>
              <w:jc w:val="right"/>
              <w:rPr>
                <w:rFonts w:ascii="Open Sans" w:eastAsia="Times New Roman" w:hAnsi="Open Sans" w:cs="Open Sans"/>
                <w:color w:val="000000"/>
              </w:rPr>
            </w:pPr>
            <w:r w:rsidRPr="00925D6C">
              <w:rPr>
                <w:rFonts w:ascii="Open Sans" w:hAnsi="Open Sans" w:cs="Open Sans"/>
                <w:color w:val="000000"/>
              </w:rPr>
              <w:t>16</w:t>
            </w:r>
          </w:p>
        </w:tc>
        <w:tc>
          <w:tcPr>
            <w:tcW w:w="2250" w:type="dxa"/>
            <w:vAlign w:val="bottom"/>
          </w:tcPr>
          <w:p w14:paraId="374FC458" w14:textId="77777777" w:rsidR="00C72149" w:rsidRPr="00925D6C" w:rsidRDefault="00C72149" w:rsidP="00D048EB">
            <w:pPr>
              <w:ind w:right="360"/>
              <w:jc w:val="right"/>
              <w:rPr>
                <w:rFonts w:ascii="Open Sans" w:hAnsi="Open Sans" w:cs="Open Sans"/>
                <w:color w:val="000000"/>
              </w:rPr>
            </w:pPr>
            <w:r w:rsidRPr="00925D6C">
              <w:rPr>
                <w:rFonts w:ascii="Open Sans" w:hAnsi="Open Sans" w:cs="Open Sans"/>
                <w:color w:val="000000"/>
              </w:rPr>
              <w:t>7.85</w:t>
            </w:r>
          </w:p>
        </w:tc>
        <w:tc>
          <w:tcPr>
            <w:tcW w:w="1080" w:type="dxa"/>
            <w:vAlign w:val="bottom"/>
          </w:tcPr>
          <w:p w14:paraId="0A2C3BDD" w14:textId="77777777" w:rsidR="00C72149" w:rsidRPr="00925D6C" w:rsidRDefault="00C72149" w:rsidP="00D048EB">
            <w:pPr>
              <w:ind w:right="144"/>
              <w:jc w:val="right"/>
              <w:rPr>
                <w:rFonts w:ascii="Open Sans" w:hAnsi="Open Sans" w:cs="Open Sans"/>
              </w:rPr>
            </w:pPr>
            <w:r w:rsidRPr="00925D6C">
              <w:rPr>
                <w:rFonts w:ascii="Open Sans" w:hAnsi="Open Sans" w:cs="Open Sans"/>
              </w:rPr>
              <w:t>0.002</w:t>
            </w:r>
          </w:p>
        </w:tc>
        <w:tc>
          <w:tcPr>
            <w:tcW w:w="1530" w:type="dxa"/>
            <w:vAlign w:val="bottom"/>
          </w:tcPr>
          <w:p w14:paraId="5E01433B" w14:textId="77777777" w:rsidR="00C72149" w:rsidRPr="00925D6C" w:rsidRDefault="00C72149" w:rsidP="00D048EB">
            <w:pPr>
              <w:rPr>
                <w:rFonts w:ascii="Open Sans" w:hAnsi="Open Sans" w:cs="Open Sans"/>
              </w:rPr>
            </w:pPr>
            <w:r w:rsidRPr="00925D6C">
              <w:rPr>
                <w:rFonts w:ascii="Open Sans" w:hAnsi="Open Sans" w:cs="Open Sans"/>
              </w:rPr>
              <w:t>Clustered</w:t>
            </w:r>
          </w:p>
        </w:tc>
      </w:tr>
    </w:tbl>
    <w:p w14:paraId="4AAA2993" w14:textId="77777777" w:rsidR="00C72149" w:rsidRPr="00BE2807" w:rsidRDefault="00C72149" w:rsidP="00C2339A">
      <w:pPr>
        <w:rPr>
          <w:rFonts w:ascii="Open Sans" w:hAnsi="Open Sans" w:cs="Open Sans"/>
          <w:sz w:val="24"/>
          <w:szCs w:val="24"/>
        </w:rPr>
      </w:pPr>
    </w:p>
    <w:p w14:paraId="2CDA7639" w14:textId="6A9377C9" w:rsidR="00C2339A" w:rsidRPr="00BE2807" w:rsidRDefault="00C2339A" w:rsidP="00C2339A">
      <w:pPr>
        <w:rPr>
          <w:rFonts w:ascii="Open Sans" w:hAnsi="Open Sans" w:cs="Open Sans"/>
          <w:sz w:val="24"/>
          <w:szCs w:val="24"/>
        </w:rPr>
      </w:pPr>
      <w:r w:rsidRPr="00BE2807">
        <w:rPr>
          <w:rFonts w:ascii="Open Sans" w:hAnsi="Open Sans" w:cs="Open Sans"/>
          <w:sz w:val="24"/>
          <w:szCs w:val="24"/>
        </w:rPr>
        <w:lastRenderedPageBreak/>
        <w:t xml:space="preserve">Because there is evidence of </w:t>
      </w:r>
      <w:r w:rsidR="00AE1300" w:rsidRPr="00BE2807">
        <w:rPr>
          <w:rFonts w:ascii="Open Sans" w:hAnsi="Open Sans" w:cs="Open Sans"/>
          <w:sz w:val="24"/>
          <w:szCs w:val="24"/>
        </w:rPr>
        <w:t xml:space="preserve">census tracts with missing data being clustered, </w:t>
      </w:r>
      <w:r w:rsidRPr="00BE2807">
        <w:rPr>
          <w:rFonts w:ascii="Open Sans" w:hAnsi="Open Sans" w:cs="Open Sans"/>
          <w:sz w:val="24"/>
          <w:szCs w:val="24"/>
        </w:rPr>
        <w:t xml:space="preserve">LEB was computed from geographically proximate census tracts with USALEEP data for LEB. </w:t>
      </w:r>
      <w:r w:rsidR="001D4C05" w:rsidRPr="00BE2807">
        <w:rPr>
          <w:rFonts w:ascii="Open Sans" w:hAnsi="Open Sans" w:cs="Open Sans"/>
          <w:sz w:val="24"/>
          <w:szCs w:val="24"/>
        </w:rPr>
        <w:t xml:space="preserve">All census tracts </w:t>
      </w:r>
      <w:r w:rsidR="00FE2925" w:rsidRPr="00BE2807">
        <w:rPr>
          <w:rFonts w:ascii="Open Sans" w:hAnsi="Open Sans" w:cs="Open Sans"/>
          <w:sz w:val="24"/>
          <w:szCs w:val="24"/>
        </w:rPr>
        <w:t xml:space="preserve">had at least two </w:t>
      </w:r>
      <w:r w:rsidR="00D86043" w:rsidRPr="00BE2807">
        <w:rPr>
          <w:rFonts w:ascii="Open Sans" w:hAnsi="Open Sans" w:cs="Open Sans"/>
          <w:sz w:val="24"/>
          <w:szCs w:val="24"/>
        </w:rPr>
        <w:t>adjacent neighbors.</w:t>
      </w:r>
    </w:p>
    <w:p w14:paraId="799A4EDA" w14:textId="75DE0A39" w:rsidR="0006468F" w:rsidRPr="00CA5CFF" w:rsidRDefault="00CA5CFF" w:rsidP="00CA1E6B">
      <w:pPr>
        <w:pStyle w:val="Heading1"/>
        <w:spacing w:after="240"/>
        <w:rPr>
          <w:rFonts w:cs="Open Sans"/>
          <w:b/>
          <w:bCs/>
          <w:color w:val="157B61"/>
          <w:sz w:val="32"/>
        </w:rPr>
      </w:pPr>
      <w:r>
        <w:rPr>
          <w:rFonts w:cs="Open Sans"/>
          <w:b/>
          <w:bCs/>
          <w:color w:val="157B61"/>
          <w:sz w:val="32"/>
        </w:rPr>
        <w:t>DISCUSSION</w:t>
      </w:r>
    </w:p>
    <w:p w14:paraId="1B14DDD4" w14:textId="7853C12B" w:rsidR="00A70F67" w:rsidRPr="00BE2807" w:rsidRDefault="007B096C" w:rsidP="00A70F67">
      <w:pPr>
        <w:rPr>
          <w:rFonts w:ascii="Open Sans" w:hAnsi="Open Sans" w:cs="Open Sans"/>
          <w:sz w:val="24"/>
          <w:szCs w:val="24"/>
        </w:rPr>
      </w:pPr>
      <w:r w:rsidRPr="00BE2807">
        <w:rPr>
          <w:rFonts w:ascii="Open Sans" w:hAnsi="Open Sans" w:cs="Open Sans"/>
          <w:sz w:val="24"/>
          <w:szCs w:val="24"/>
        </w:rPr>
        <w:t xml:space="preserve">Using join-count statistics, we found evidence that census tracts in Utah missing LEB data are </w:t>
      </w:r>
      <w:r w:rsidR="00830076" w:rsidRPr="00BE2807">
        <w:rPr>
          <w:rFonts w:ascii="Open Sans" w:hAnsi="Open Sans" w:cs="Open Sans"/>
          <w:sz w:val="24"/>
          <w:szCs w:val="24"/>
        </w:rPr>
        <w:t xml:space="preserve">clustered. Therefore, we imputed LEB for the 42 census tracts missing data using geographic neighbors, rather than covariate near neighbors. </w:t>
      </w:r>
      <w:r w:rsidR="00AE5FBD" w:rsidRPr="00BE2807">
        <w:rPr>
          <w:rFonts w:ascii="Open Sans" w:hAnsi="Open Sans" w:cs="Open Sans"/>
          <w:sz w:val="24"/>
          <w:szCs w:val="24"/>
        </w:rPr>
        <w:t>This methodology</w:t>
      </w:r>
      <w:r w:rsidR="00AA2533" w:rsidRPr="00BE2807">
        <w:rPr>
          <w:rFonts w:ascii="Open Sans" w:hAnsi="Open Sans" w:cs="Open Sans"/>
          <w:sz w:val="24"/>
          <w:szCs w:val="24"/>
        </w:rPr>
        <w:t xml:space="preserve"> to analyze </w:t>
      </w:r>
      <w:r w:rsidR="00C96DCF" w:rsidRPr="00BE2807">
        <w:rPr>
          <w:rFonts w:ascii="Open Sans" w:hAnsi="Open Sans" w:cs="Open Sans"/>
          <w:sz w:val="24"/>
          <w:szCs w:val="24"/>
        </w:rPr>
        <w:t>the geographic distribution of census tracts with missing data</w:t>
      </w:r>
      <w:r w:rsidR="00AE5FBD" w:rsidRPr="00BE2807">
        <w:rPr>
          <w:rFonts w:ascii="Open Sans" w:hAnsi="Open Sans" w:cs="Open Sans"/>
          <w:sz w:val="24"/>
          <w:szCs w:val="24"/>
        </w:rPr>
        <w:t xml:space="preserve"> differed from </w:t>
      </w:r>
      <w:r w:rsidR="00C96DCF" w:rsidRPr="00BE2807">
        <w:rPr>
          <w:rFonts w:ascii="Open Sans" w:hAnsi="Open Sans" w:cs="Open Sans"/>
          <w:sz w:val="24"/>
          <w:szCs w:val="24"/>
        </w:rPr>
        <w:t xml:space="preserve">our methodology when imputing LEB data for the California HPI. </w:t>
      </w:r>
      <w:r w:rsidR="001B52D3" w:rsidRPr="00BE2807">
        <w:rPr>
          <w:rFonts w:ascii="Open Sans" w:hAnsi="Open Sans" w:cs="Open Sans"/>
          <w:sz w:val="24"/>
          <w:szCs w:val="24"/>
        </w:rPr>
        <w:t>We previously used the Average Nearest Neighbor Index</w:t>
      </w:r>
      <w:r w:rsidR="008A4351" w:rsidRPr="00BE2807">
        <w:rPr>
          <w:rFonts w:ascii="Open Sans" w:hAnsi="Open Sans" w:cs="Open Sans"/>
          <w:sz w:val="24"/>
          <w:szCs w:val="24"/>
        </w:rPr>
        <w:t xml:space="preserve"> (ANNI)</w:t>
      </w:r>
      <w:r w:rsidR="001B52D3" w:rsidRPr="00BE2807">
        <w:rPr>
          <w:rFonts w:ascii="Open Sans" w:hAnsi="Open Sans" w:cs="Open Sans"/>
          <w:sz w:val="24"/>
          <w:szCs w:val="24"/>
        </w:rPr>
        <w:t xml:space="preserve"> to </w:t>
      </w:r>
      <w:r w:rsidR="008A4351" w:rsidRPr="00BE2807">
        <w:rPr>
          <w:rFonts w:ascii="Open Sans" w:hAnsi="Open Sans" w:cs="Open Sans"/>
          <w:sz w:val="24"/>
          <w:szCs w:val="24"/>
        </w:rPr>
        <w:t>assess clustering or dispersion of missing data. ANNI is a method for spatial point data</w:t>
      </w:r>
      <w:r w:rsidR="00CD05A3" w:rsidRPr="00BE2807">
        <w:rPr>
          <w:rFonts w:ascii="Open Sans" w:hAnsi="Open Sans" w:cs="Open Sans"/>
          <w:sz w:val="24"/>
          <w:szCs w:val="24"/>
        </w:rPr>
        <w:t xml:space="preserve"> and is calculated using distance between census tract centroids. It is therefore very sensitive to differences in census tract shape and size. </w:t>
      </w:r>
      <w:r w:rsidR="0078114C" w:rsidRPr="00BE2807">
        <w:rPr>
          <w:rFonts w:ascii="Open Sans" w:hAnsi="Open Sans" w:cs="Open Sans"/>
          <w:sz w:val="24"/>
          <w:szCs w:val="24"/>
        </w:rPr>
        <w:t xml:space="preserve">Because the join-count statistic is a measure of clustering or dispersion for areal data, </w:t>
      </w:r>
      <w:r w:rsidR="00FE2925" w:rsidRPr="00BE2807">
        <w:rPr>
          <w:rFonts w:ascii="Open Sans" w:hAnsi="Open Sans" w:cs="Open Sans"/>
          <w:sz w:val="24"/>
          <w:szCs w:val="24"/>
        </w:rPr>
        <w:t>we determined it may be a more appropriate choice.</w:t>
      </w:r>
      <w:r w:rsidR="0078114C" w:rsidRPr="00BE2807">
        <w:rPr>
          <w:rFonts w:ascii="Open Sans" w:hAnsi="Open Sans" w:cs="Open Sans"/>
          <w:sz w:val="24"/>
          <w:szCs w:val="24"/>
        </w:rPr>
        <w:t xml:space="preserve"> </w:t>
      </w:r>
    </w:p>
    <w:p w14:paraId="623B1B86" w14:textId="27A4AB92" w:rsidR="00CA5CFF" w:rsidRPr="00CA5CFF" w:rsidRDefault="00CA5CFF" w:rsidP="00CA1E6B">
      <w:pPr>
        <w:pStyle w:val="Heading1"/>
        <w:spacing w:after="240"/>
        <w:rPr>
          <w:rFonts w:cs="Open Sans"/>
          <w:b/>
          <w:bCs/>
          <w:color w:val="157B61"/>
          <w:sz w:val="32"/>
        </w:rPr>
      </w:pPr>
      <w:bookmarkStart w:id="1" w:name="_ENREF_1"/>
      <w:r>
        <w:rPr>
          <w:rFonts w:cs="Open Sans"/>
          <w:b/>
          <w:bCs/>
          <w:color w:val="157B61"/>
          <w:sz w:val="32"/>
        </w:rPr>
        <w:t>REFERENCES</w:t>
      </w:r>
    </w:p>
    <w:p w14:paraId="2A640272" w14:textId="77777777" w:rsidR="0073414B" w:rsidRPr="00BE2807" w:rsidRDefault="0073414B" w:rsidP="0073414B">
      <w:pPr>
        <w:ind w:left="360" w:hanging="360"/>
        <w:rPr>
          <w:rFonts w:ascii="Open Sans" w:hAnsi="Open Sans" w:cs="Open Sans"/>
          <w:noProof/>
          <w:sz w:val="24"/>
          <w:szCs w:val="24"/>
        </w:rPr>
      </w:pPr>
      <w:r w:rsidRPr="00BE2807">
        <w:rPr>
          <w:rFonts w:ascii="Open Sans" w:hAnsi="Open Sans" w:cs="Open Sans"/>
          <w:noProof/>
          <w:sz w:val="24"/>
          <w:szCs w:val="24"/>
        </w:rPr>
        <w:t xml:space="preserve">1. Gennings C, Sabo R, Carney E. Identifying subsets of complex mixtures most associated with complex diseases: Polychlorinated biphenyls and endometriosis as a case study. </w:t>
      </w:r>
      <w:r w:rsidRPr="00BE2807">
        <w:rPr>
          <w:rFonts w:ascii="Open Sans" w:hAnsi="Open Sans" w:cs="Open Sans"/>
          <w:i/>
          <w:noProof/>
          <w:sz w:val="24"/>
          <w:szCs w:val="24"/>
        </w:rPr>
        <w:t xml:space="preserve">Epidemiology </w:t>
      </w:r>
      <w:r w:rsidRPr="00BE2807">
        <w:rPr>
          <w:rFonts w:ascii="Open Sans" w:hAnsi="Open Sans" w:cs="Open Sans"/>
          <w:noProof/>
          <w:sz w:val="24"/>
          <w:szCs w:val="24"/>
        </w:rPr>
        <w:t xml:space="preserve">2010;21:S77–S84. </w:t>
      </w:r>
      <w:bookmarkEnd w:id="1"/>
    </w:p>
    <w:p w14:paraId="7D796D72" w14:textId="2BADB481" w:rsidR="0073414B" w:rsidRPr="00BE2807" w:rsidRDefault="0073414B" w:rsidP="005E0EA0">
      <w:pPr>
        <w:ind w:left="360" w:hanging="360"/>
        <w:rPr>
          <w:rFonts w:ascii="Open Sans" w:hAnsi="Open Sans" w:cs="Open Sans"/>
          <w:noProof/>
          <w:sz w:val="24"/>
          <w:szCs w:val="24"/>
        </w:rPr>
      </w:pPr>
      <w:bookmarkStart w:id="2" w:name="_ENREF_2"/>
      <w:r w:rsidRPr="00BE2807">
        <w:rPr>
          <w:rFonts w:ascii="Open Sans" w:hAnsi="Open Sans" w:cs="Open Sans"/>
          <w:noProof/>
          <w:sz w:val="24"/>
          <w:szCs w:val="24"/>
        </w:rPr>
        <w:t xml:space="preserve">2. Maizlish N, Delaney T, Dowling H, Chapman D, Sabo R, Woolf S, et al. California Healthy Places Index: Frames Matter. </w:t>
      </w:r>
      <w:r w:rsidRPr="00BE2807">
        <w:rPr>
          <w:rFonts w:ascii="Open Sans" w:hAnsi="Open Sans" w:cs="Open Sans"/>
          <w:i/>
          <w:noProof/>
          <w:sz w:val="24"/>
          <w:szCs w:val="24"/>
        </w:rPr>
        <w:t xml:space="preserve">Public Health Rep. </w:t>
      </w:r>
      <w:r w:rsidRPr="00BE2807">
        <w:rPr>
          <w:rFonts w:ascii="Open Sans" w:hAnsi="Open Sans" w:cs="Open Sans"/>
          <w:noProof/>
          <w:sz w:val="24"/>
          <w:szCs w:val="24"/>
        </w:rPr>
        <w:t>2019;134:354-362. https://journals.sagepub.com/doi/10.1177/0033354919849882</w:t>
      </w:r>
      <w:bookmarkEnd w:id="2"/>
    </w:p>
    <w:p w14:paraId="7CFA538B" w14:textId="03DF6619" w:rsidR="0073414B" w:rsidRPr="00BE2807" w:rsidRDefault="0073414B" w:rsidP="0073414B">
      <w:pPr>
        <w:ind w:left="360" w:hanging="360"/>
        <w:rPr>
          <w:rFonts w:ascii="Open Sans" w:hAnsi="Open Sans" w:cs="Open Sans"/>
          <w:noProof/>
          <w:sz w:val="24"/>
          <w:szCs w:val="24"/>
        </w:rPr>
      </w:pPr>
      <w:bookmarkStart w:id="3" w:name="_ENREF_4"/>
      <w:r w:rsidRPr="00BE2807">
        <w:rPr>
          <w:rFonts w:ascii="Open Sans" w:hAnsi="Open Sans" w:cs="Open Sans"/>
          <w:noProof/>
          <w:sz w:val="24"/>
          <w:szCs w:val="24"/>
        </w:rPr>
        <w:t>4. Little RJA, Rubin DB.</w:t>
      </w:r>
      <w:r w:rsidRPr="00BE2807">
        <w:rPr>
          <w:rFonts w:ascii="Open Sans" w:hAnsi="Open Sans" w:cs="Open Sans"/>
          <w:i/>
          <w:noProof/>
          <w:sz w:val="24"/>
          <w:szCs w:val="24"/>
        </w:rPr>
        <w:t xml:space="preserve"> Statistical Analysis with Missing Data</w:t>
      </w:r>
      <w:r w:rsidRPr="00BE2807">
        <w:rPr>
          <w:rFonts w:ascii="Open Sans" w:hAnsi="Open Sans" w:cs="Open Sans"/>
          <w:noProof/>
          <w:sz w:val="24"/>
          <w:szCs w:val="24"/>
        </w:rPr>
        <w:t>. New York.: John Wiley &amp; Sons; 1987.</w:t>
      </w:r>
      <w:bookmarkEnd w:id="3"/>
    </w:p>
    <w:p w14:paraId="4D28FB48" w14:textId="7D0A25D0" w:rsidR="00C972AB" w:rsidRPr="00BE2807" w:rsidRDefault="00240496" w:rsidP="00E5634D">
      <w:pPr>
        <w:rPr>
          <w:rFonts w:ascii="Open Sans" w:hAnsi="Open Sans" w:cs="Open Sans"/>
          <w:noProof/>
          <w:sz w:val="24"/>
          <w:szCs w:val="24"/>
        </w:rPr>
      </w:pPr>
      <w:r w:rsidRPr="00BE2807">
        <w:rPr>
          <w:rFonts w:ascii="Open Sans" w:hAnsi="Open Sans" w:cs="Open Sans"/>
          <w:sz w:val="24"/>
          <w:szCs w:val="24"/>
          <w:shd w:val="clear" w:color="auto" w:fill="FFFFFF"/>
        </w:rPr>
        <w:t xml:space="preserve">5. </w:t>
      </w:r>
      <w:proofErr w:type="spellStart"/>
      <w:r w:rsidRPr="00BE2807">
        <w:rPr>
          <w:rFonts w:ascii="Open Sans" w:hAnsi="Open Sans" w:cs="Open Sans"/>
          <w:sz w:val="24"/>
          <w:szCs w:val="24"/>
          <w:shd w:val="clear" w:color="auto" w:fill="FFFFFF"/>
        </w:rPr>
        <w:t>Oyana</w:t>
      </w:r>
      <w:proofErr w:type="spellEnd"/>
      <w:r w:rsidRPr="00BE2807">
        <w:rPr>
          <w:rFonts w:ascii="Open Sans" w:hAnsi="Open Sans" w:cs="Open Sans"/>
          <w:sz w:val="24"/>
          <w:szCs w:val="24"/>
          <w:shd w:val="clear" w:color="auto" w:fill="FFFFFF"/>
        </w:rPr>
        <w:t xml:space="preserve">, </w:t>
      </w:r>
      <w:proofErr w:type="spellStart"/>
      <w:r w:rsidRPr="00BE2807">
        <w:rPr>
          <w:rFonts w:ascii="Open Sans" w:hAnsi="Open Sans" w:cs="Open Sans"/>
          <w:sz w:val="24"/>
          <w:szCs w:val="24"/>
          <w:shd w:val="clear" w:color="auto" w:fill="FFFFFF"/>
        </w:rPr>
        <w:t>Tonny</w:t>
      </w:r>
      <w:proofErr w:type="spellEnd"/>
      <w:r w:rsidRPr="00BE2807">
        <w:rPr>
          <w:rFonts w:ascii="Open Sans" w:hAnsi="Open Sans" w:cs="Open Sans"/>
          <w:sz w:val="24"/>
          <w:szCs w:val="24"/>
          <w:shd w:val="clear" w:color="auto" w:fill="FFFFFF"/>
        </w:rPr>
        <w:t xml:space="preserve"> J., and Florence </w:t>
      </w:r>
      <w:proofErr w:type="spellStart"/>
      <w:r w:rsidRPr="00BE2807">
        <w:rPr>
          <w:rFonts w:ascii="Open Sans" w:hAnsi="Open Sans" w:cs="Open Sans"/>
          <w:sz w:val="24"/>
          <w:szCs w:val="24"/>
          <w:shd w:val="clear" w:color="auto" w:fill="FFFFFF"/>
        </w:rPr>
        <w:t>Margai</w:t>
      </w:r>
      <w:proofErr w:type="spellEnd"/>
      <w:r w:rsidRPr="00BE2807">
        <w:rPr>
          <w:rFonts w:ascii="Open Sans" w:hAnsi="Open Sans" w:cs="Open Sans"/>
          <w:sz w:val="24"/>
          <w:szCs w:val="24"/>
          <w:shd w:val="clear" w:color="auto" w:fill="FFFFFF"/>
        </w:rPr>
        <w:t>. </w:t>
      </w:r>
      <w:r w:rsidRPr="00BE2807">
        <w:rPr>
          <w:rFonts w:ascii="Open Sans" w:hAnsi="Open Sans" w:cs="Open Sans"/>
          <w:i/>
          <w:iCs/>
          <w:sz w:val="24"/>
          <w:szCs w:val="24"/>
        </w:rPr>
        <w:t xml:space="preserve">Spatial </w:t>
      </w:r>
      <w:proofErr w:type="gramStart"/>
      <w:r w:rsidRPr="00BE2807">
        <w:rPr>
          <w:rFonts w:ascii="Open Sans" w:hAnsi="Open Sans" w:cs="Open Sans"/>
          <w:i/>
          <w:iCs/>
          <w:sz w:val="24"/>
          <w:szCs w:val="24"/>
        </w:rPr>
        <w:t>Analysis :</w:t>
      </w:r>
      <w:proofErr w:type="gramEnd"/>
      <w:r w:rsidRPr="00BE2807">
        <w:rPr>
          <w:rFonts w:ascii="Open Sans" w:hAnsi="Open Sans" w:cs="Open Sans"/>
          <w:i/>
          <w:iCs/>
          <w:sz w:val="24"/>
          <w:szCs w:val="24"/>
        </w:rPr>
        <w:t xml:space="preserve"> Statistics, Visualization, and Computational </w:t>
      </w:r>
      <w:r w:rsidR="00FC6C50" w:rsidRPr="00BE2807">
        <w:rPr>
          <w:rFonts w:ascii="Open Sans" w:hAnsi="Open Sans" w:cs="Open Sans"/>
          <w:i/>
          <w:iCs/>
          <w:sz w:val="24"/>
          <w:szCs w:val="24"/>
        </w:rPr>
        <w:t xml:space="preserve">  </w:t>
      </w:r>
      <w:r w:rsidRPr="00BE2807">
        <w:rPr>
          <w:rFonts w:ascii="Open Sans" w:hAnsi="Open Sans" w:cs="Open Sans"/>
          <w:i/>
          <w:iCs/>
          <w:sz w:val="24"/>
          <w:szCs w:val="24"/>
        </w:rPr>
        <w:t>Methods</w:t>
      </w:r>
      <w:r w:rsidRPr="00BE2807">
        <w:rPr>
          <w:rFonts w:ascii="Open Sans" w:hAnsi="Open Sans" w:cs="Open Sans"/>
          <w:sz w:val="24"/>
          <w:szCs w:val="24"/>
          <w:shd w:val="clear" w:color="auto" w:fill="FFFFFF"/>
        </w:rPr>
        <w:t>, Taylor &amp; Francis Group, 2015.</w:t>
      </w:r>
      <w:r w:rsidRPr="00BE2807">
        <w:rPr>
          <w:rFonts w:ascii="Open Sans" w:hAnsi="Open Sans" w:cs="Open Sans"/>
          <w:i/>
          <w:iCs/>
          <w:sz w:val="24"/>
          <w:szCs w:val="24"/>
        </w:rPr>
        <w:t xml:space="preserve"> ProQuest </w:t>
      </w:r>
      <w:proofErr w:type="spellStart"/>
      <w:r w:rsidRPr="00BE2807">
        <w:rPr>
          <w:rFonts w:ascii="Open Sans" w:hAnsi="Open Sans" w:cs="Open Sans"/>
          <w:i/>
          <w:iCs/>
          <w:sz w:val="24"/>
          <w:szCs w:val="24"/>
        </w:rPr>
        <w:t>Ebook</w:t>
      </w:r>
      <w:proofErr w:type="spellEnd"/>
      <w:r w:rsidRPr="00BE2807">
        <w:rPr>
          <w:rFonts w:ascii="Open Sans" w:hAnsi="Open Sans" w:cs="Open Sans"/>
          <w:i/>
          <w:iCs/>
          <w:sz w:val="24"/>
          <w:szCs w:val="24"/>
        </w:rPr>
        <w:t xml:space="preserve"> Central</w:t>
      </w:r>
      <w:r w:rsidRPr="00BE2807">
        <w:rPr>
          <w:rFonts w:ascii="Open Sans" w:hAnsi="Open Sans" w:cs="Open Sans"/>
          <w:sz w:val="24"/>
          <w:szCs w:val="24"/>
          <w:shd w:val="clear" w:color="auto" w:fill="FFFFFF"/>
        </w:rPr>
        <w:t>, https://ebookcentral-proquest-com.proxy.lib.ohio-state.edu/lib/ohiostate-ebooks/detail.action?docID=2127158.</w:t>
      </w:r>
    </w:p>
    <w:sectPr w:rsidR="00C972AB" w:rsidRPr="00BE2807">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rienne Damicis" w:date="2022-02-07T16:03:00Z" w:initials="AD">
    <w:p w14:paraId="6B5A3249" w14:textId="71BC0576" w:rsidR="00135777" w:rsidRDefault="00135777">
      <w:pPr>
        <w:pStyle w:val="CommentText"/>
      </w:pPr>
      <w:r>
        <w:rPr>
          <w:rStyle w:val="CommentReference"/>
        </w:rPr>
        <w:annotationRef/>
      </w:r>
      <w:r>
        <w:t xml:space="preserve">Taken </w:t>
      </w:r>
      <w:r w:rsidR="00587BA9">
        <w:t>directly from Neil’s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5A324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BC142" w16cex:dateUtc="2022-02-07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5A3249" w16cid:durableId="25ABC1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36A3F" w14:textId="77777777" w:rsidR="0056278D" w:rsidRDefault="0056278D" w:rsidP="0006468F">
      <w:pPr>
        <w:spacing w:after="0" w:line="240" w:lineRule="auto"/>
      </w:pPr>
      <w:r>
        <w:separator/>
      </w:r>
    </w:p>
  </w:endnote>
  <w:endnote w:type="continuationSeparator" w:id="0">
    <w:p w14:paraId="1C8C2672" w14:textId="77777777" w:rsidR="0056278D" w:rsidRDefault="0056278D" w:rsidP="00064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B91AC" w14:textId="5B1C76FB" w:rsidR="00BE2807" w:rsidRDefault="00BE2807" w:rsidP="00BE2807">
    <w:pPr>
      <w:pStyle w:val="Footer"/>
      <w:jc w:val="center"/>
    </w:pPr>
    <w:r>
      <w:rPr>
        <w:b/>
        <w:bCs/>
        <w:noProof/>
        <w:sz w:val="32"/>
        <w:szCs w:val="32"/>
      </w:rPr>
      <w:drawing>
        <wp:inline distT="0" distB="0" distL="0" distR="0" wp14:anchorId="6E0D7337" wp14:editId="591BF0F1">
          <wp:extent cx="2785361" cy="450836"/>
          <wp:effectExtent l="0" t="0" r="0" b="6985"/>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921036" cy="47279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0A56C" w14:textId="77777777" w:rsidR="0056278D" w:rsidRDefault="0056278D" w:rsidP="0006468F">
      <w:pPr>
        <w:spacing w:after="0" w:line="240" w:lineRule="auto"/>
      </w:pPr>
      <w:r>
        <w:separator/>
      </w:r>
    </w:p>
  </w:footnote>
  <w:footnote w:type="continuationSeparator" w:id="0">
    <w:p w14:paraId="3B098820" w14:textId="77777777" w:rsidR="0056278D" w:rsidRDefault="0056278D" w:rsidP="00064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D1572" w14:textId="5E41478B" w:rsidR="0006468F" w:rsidRPr="00BE2807" w:rsidRDefault="0006468F" w:rsidP="0006468F">
    <w:pPr>
      <w:pStyle w:val="Header"/>
      <w:tabs>
        <w:tab w:val="clear" w:pos="4680"/>
        <w:tab w:val="left" w:pos="3370"/>
      </w:tabs>
      <w:rPr>
        <w:rFonts w:ascii="Open Sans" w:hAnsi="Open Sans" w:cs="Open Sans"/>
        <w:sz w:val="24"/>
        <w:szCs w:val="24"/>
      </w:rPr>
    </w:pPr>
    <w:r w:rsidRPr="00BE2807">
      <w:rPr>
        <w:rFonts w:ascii="Open Sans" w:hAnsi="Open Sans" w:cs="Open Sans"/>
        <w:sz w:val="24"/>
        <w:szCs w:val="24"/>
      </w:rPr>
      <w:t>Adrienne Damicis – 2/3/2022</w:t>
    </w:r>
    <w:r w:rsidRPr="00BE2807">
      <w:rPr>
        <w:rFonts w:ascii="Open Sans" w:hAnsi="Open Sans" w:cs="Open Sans"/>
        <w:sz w:val="24"/>
        <w:szCs w:val="24"/>
      </w:rPr>
      <w:tab/>
    </w:r>
    <w:r w:rsidR="00BE2807" w:rsidRPr="00BE2807">
      <w:rPr>
        <w:rFonts w:ascii="Open Sans" w:hAnsi="Open Sans" w:cs="Open Sans"/>
        <w:sz w:val="24"/>
        <w:szCs w:val="24"/>
      </w:rPr>
      <w:tab/>
    </w:r>
    <w:r w:rsidRPr="00BE2807">
      <w:rPr>
        <w:rFonts w:ascii="Open Sans" w:hAnsi="Open Sans" w:cs="Open Sans"/>
        <w:sz w:val="24"/>
        <w:szCs w:val="24"/>
      </w:rPr>
      <w:t xml:space="preserve">Page </w:t>
    </w:r>
    <w:r w:rsidRPr="00BE2807">
      <w:rPr>
        <w:rFonts w:ascii="Open Sans" w:hAnsi="Open Sans" w:cs="Open Sans"/>
        <w:sz w:val="24"/>
        <w:szCs w:val="24"/>
      </w:rPr>
      <w:fldChar w:fldCharType="begin"/>
    </w:r>
    <w:r w:rsidRPr="00BE2807">
      <w:rPr>
        <w:rFonts w:ascii="Open Sans" w:hAnsi="Open Sans" w:cs="Open Sans"/>
        <w:sz w:val="24"/>
        <w:szCs w:val="24"/>
      </w:rPr>
      <w:instrText xml:space="preserve"> PAGE   \* MERGEFORMAT </w:instrText>
    </w:r>
    <w:r w:rsidRPr="00BE2807">
      <w:rPr>
        <w:rFonts w:ascii="Open Sans" w:hAnsi="Open Sans" w:cs="Open Sans"/>
        <w:sz w:val="24"/>
        <w:szCs w:val="24"/>
      </w:rPr>
      <w:fldChar w:fldCharType="separate"/>
    </w:r>
    <w:r w:rsidRPr="00BE2807">
      <w:rPr>
        <w:rFonts w:ascii="Open Sans" w:hAnsi="Open Sans" w:cs="Open Sans"/>
        <w:noProof/>
        <w:sz w:val="24"/>
        <w:szCs w:val="24"/>
      </w:rPr>
      <w:t>2</w:t>
    </w:r>
    <w:r w:rsidRPr="00BE2807">
      <w:rPr>
        <w:rFonts w:ascii="Open Sans" w:hAnsi="Open Sans" w:cs="Open Sans"/>
        <w:sz w:val="24"/>
        <w:szCs w:val="24"/>
      </w:rPr>
      <w:fldChar w:fldCharType="end"/>
    </w:r>
  </w:p>
  <w:p w14:paraId="5275DE72" w14:textId="796797A8" w:rsidR="0006468F" w:rsidRDefault="000646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5C31"/>
    <w:multiLevelType w:val="hybridMultilevel"/>
    <w:tmpl w:val="700E6074"/>
    <w:lvl w:ilvl="0" w:tplc="1674A87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A3F29FC"/>
    <w:multiLevelType w:val="hybridMultilevel"/>
    <w:tmpl w:val="DDFCA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B17C4"/>
    <w:multiLevelType w:val="hybridMultilevel"/>
    <w:tmpl w:val="AD46C48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93059"/>
    <w:multiLevelType w:val="hybridMultilevel"/>
    <w:tmpl w:val="F3CE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9650C"/>
    <w:multiLevelType w:val="hybridMultilevel"/>
    <w:tmpl w:val="E864F8BC"/>
    <w:lvl w:ilvl="0" w:tplc="04090001">
      <w:start w:val="1"/>
      <w:numFmt w:val="bullet"/>
      <w:lvlText w:val=""/>
      <w:lvlJc w:val="left"/>
      <w:pPr>
        <w:ind w:left="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45013"/>
    <w:multiLevelType w:val="hybridMultilevel"/>
    <w:tmpl w:val="61A2E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A5F34"/>
    <w:multiLevelType w:val="hybridMultilevel"/>
    <w:tmpl w:val="CEFC45CE"/>
    <w:lvl w:ilvl="0" w:tplc="2AAECA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4D18B4"/>
    <w:multiLevelType w:val="hybridMultilevel"/>
    <w:tmpl w:val="5DC6F8A0"/>
    <w:lvl w:ilvl="0" w:tplc="04090001">
      <w:start w:val="1"/>
      <w:numFmt w:val="bullet"/>
      <w:lvlText w:val=""/>
      <w:lvlJc w:val="left"/>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B50C80"/>
    <w:multiLevelType w:val="hybridMultilevel"/>
    <w:tmpl w:val="7E0C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24729"/>
    <w:multiLevelType w:val="hybridMultilevel"/>
    <w:tmpl w:val="6128A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5"/>
  </w:num>
  <w:num w:numId="5">
    <w:abstractNumId w:val="7"/>
  </w:num>
  <w:num w:numId="6">
    <w:abstractNumId w:val="2"/>
  </w:num>
  <w:num w:numId="7">
    <w:abstractNumId w:val="4"/>
  </w:num>
  <w:num w:numId="8">
    <w:abstractNumId w:val="3"/>
  </w:num>
  <w:num w:numId="9">
    <w:abstractNumId w:val="0"/>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enne Damicis">
    <w15:presenceInfo w15:providerId="Windows Live" w15:userId="18419d3e41151b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8F"/>
    <w:rsid w:val="00017144"/>
    <w:rsid w:val="00036362"/>
    <w:rsid w:val="0003730B"/>
    <w:rsid w:val="000463DF"/>
    <w:rsid w:val="00052A51"/>
    <w:rsid w:val="0006468F"/>
    <w:rsid w:val="00066E47"/>
    <w:rsid w:val="000731EC"/>
    <w:rsid w:val="00095D92"/>
    <w:rsid w:val="000E01D1"/>
    <w:rsid w:val="000E2E4A"/>
    <w:rsid w:val="000F33BE"/>
    <w:rsid w:val="00106C6E"/>
    <w:rsid w:val="00115012"/>
    <w:rsid w:val="00121780"/>
    <w:rsid w:val="00133449"/>
    <w:rsid w:val="00135777"/>
    <w:rsid w:val="00144A5E"/>
    <w:rsid w:val="0017014C"/>
    <w:rsid w:val="00171839"/>
    <w:rsid w:val="001853D3"/>
    <w:rsid w:val="001A632F"/>
    <w:rsid w:val="001A7704"/>
    <w:rsid w:val="001B52D3"/>
    <w:rsid w:val="001C00A8"/>
    <w:rsid w:val="001D4C05"/>
    <w:rsid w:val="00204909"/>
    <w:rsid w:val="00205798"/>
    <w:rsid w:val="00240496"/>
    <w:rsid w:val="002464AF"/>
    <w:rsid w:val="00246C6A"/>
    <w:rsid w:val="00250206"/>
    <w:rsid w:val="0025167E"/>
    <w:rsid w:val="002A679C"/>
    <w:rsid w:val="002B091C"/>
    <w:rsid w:val="003171C3"/>
    <w:rsid w:val="003277D4"/>
    <w:rsid w:val="00340333"/>
    <w:rsid w:val="00357458"/>
    <w:rsid w:val="00370825"/>
    <w:rsid w:val="003A4AA0"/>
    <w:rsid w:val="003A6F24"/>
    <w:rsid w:val="003B787D"/>
    <w:rsid w:val="003C70E6"/>
    <w:rsid w:val="003F4F93"/>
    <w:rsid w:val="00417BD5"/>
    <w:rsid w:val="00432C7F"/>
    <w:rsid w:val="0047498D"/>
    <w:rsid w:val="004D1102"/>
    <w:rsid w:val="004D3500"/>
    <w:rsid w:val="00516C8D"/>
    <w:rsid w:val="005334F1"/>
    <w:rsid w:val="0056278D"/>
    <w:rsid w:val="005635C8"/>
    <w:rsid w:val="00587487"/>
    <w:rsid w:val="00587BA9"/>
    <w:rsid w:val="005B5D5C"/>
    <w:rsid w:val="005C59E0"/>
    <w:rsid w:val="005E0EA0"/>
    <w:rsid w:val="005E2830"/>
    <w:rsid w:val="005E3164"/>
    <w:rsid w:val="00603DC9"/>
    <w:rsid w:val="006107DB"/>
    <w:rsid w:val="00624604"/>
    <w:rsid w:val="00641DBD"/>
    <w:rsid w:val="006753D5"/>
    <w:rsid w:val="006871F9"/>
    <w:rsid w:val="006B0033"/>
    <w:rsid w:val="006B3C3B"/>
    <w:rsid w:val="006D1C7A"/>
    <w:rsid w:val="006F6D88"/>
    <w:rsid w:val="0070463B"/>
    <w:rsid w:val="00713BC0"/>
    <w:rsid w:val="00726AA3"/>
    <w:rsid w:val="0073414B"/>
    <w:rsid w:val="00750686"/>
    <w:rsid w:val="00763C31"/>
    <w:rsid w:val="00772CF8"/>
    <w:rsid w:val="0078114C"/>
    <w:rsid w:val="00783823"/>
    <w:rsid w:val="007A334A"/>
    <w:rsid w:val="007B096C"/>
    <w:rsid w:val="007B7540"/>
    <w:rsid w:val="007C3623"/>
    <w:rsid w:val="007C3F79"/>
    <w:rsid w:val="007E5B3C"/>
    <w:rsid w:val="0080376B"/>
    <w:rsid w:val="008239AE"/>
    <w:rsid w:val="00830076"/>
    <w:rsid w:val="008448E4"/>
    <w:rsid w:val="00846FCA"/>
    <w:rsid w:val="00853F65"/>
    <w:rsid w:val="0087517D"/>
    <w:rsid w:val="00890016"/>
    <w:rsid w:val="008A4351"/>
    <w:rsid w:val="008B777A"/>
    <w:rsid w:val="008C0D8D"/>
    <w:rsid w:val="00903810"/>
    <w:rsid w:val="00925D6C"/>
    <w:rsid w:val="00936C7D"/>
    <w:rsid w:val="00953F59"/>
    <w:rsid w:val="00972B97"/>
    <w:rsid w:val="00973852"/>
    <w:rsid w:val="009802DF"/>
    <w:rsid w:val="009855E9"/>
    <w:rsid w:val="009911D8"/>
    <w:rsid w:val="009F0437"/>
    <w:rsid w:val="00A10A42"/>
    <w:rsid w:val="00A21A92"/>
    <w:rsid w:val="00A421CF"/>
    <w:rsid w:val="00A471A0"/>
    <w:rsid w:val="00A61773"/>
    <w:rsid w:val="00A654E4"/>
    <w:rsid w:val="00A7067D"/>
    <w:rsid w:val="00A70F67"/>
    <w:rsid w:val="00A73A63"/>
    <w:rsid w:val="00A86C62"/>
    <w:rsid w:val="00A95A8F"/>
    <w:rsid w:val="00AA2533"/>
    <w:rsid w:val="00AC13D7"/>
    <w:rsid w:val="00AC4145"/>
    <w:rsid w:val="00AE1300"/>
    <w:rsid w:val="00AE1D50"/>
    <w:rsid w:val="00AE5FBD"/>
    <w:rsid w:val="00B44384"/>
    <w:rsid w:val="00B56986"/>
    <w:rsid w:val="00B67176"/>
    <w:rsid w:val="00BB7717"/>
    <w:rsid w:val="00BC7328"/>
    <w:rsid w:val="00BD30ED"/>
    <w:rsid w:val="00BE02F4"/>
    <w:rsid w:val="00BE2807"/>
    <w:rsid w:val="00BF129D"/>
    <w:rsid w:val="00C02C1A"/>
    <w:rsid w:val="00C04D8A"/>
    <w:rsid w:val="00C13CAF"/>
    <w:rsid w:val="00C2339A"/>
    <w:rsid w:val="00C5520F"/>
    <w:rsid w:val="00C6166F"/>
    <w:rsid w:val="00C72149"/>
    <w:rsid w:val="00C96ABA"/>
    <w:rsid w:val="00C96DCF"/>
    <w:rsid w:val="00C972AB"/>
    <w:rsid w:val="00CA1E6B"/>
    <w:rsid w:val="00CA5CFF"/>
    <w:rsid w:val="00CB1814"/>
    <w:rsid w:val="00CB257F"/>
    <w:rsid w:val="00CC516F"/>
    <w:rsid w:val="00CD05A3"/>
    <w:rsid w:val="00CD479A"/>
    <w:rsid w:val="00CE3DA1"/>
    <w:rsid w:val="00D173A0"/>
    <w:rsid w:val="00D20366"/>
    <w:rsid w:val="00D25249"/>
    <w:rsid w:val="00D3207A"/>
    <w:rsid w:val="00D37A18"/>
    <w:rsid w:val="00D41011"/>
    <w:rsid w:val="00D43086"/>
    <w:rsid w:val="00D747EF"/>
    <w:rsid w:val="00D86043"/>
    <w:rsid w:val="00DB2E30"/>
    <w:rsid w:val="00DB57DE"/>
    <w:rsid w:val="00DE0CC6"/>
    <w:rsid w:val="00E078B7"/>
    <w:rsid w:val="00E1148E"/>
    <w:rsid w:val="00E133EA"/>
    <w:rsid w:val="00E268A8"/>
    <w:rsid w:val="00E34440"/>
    <w:rsid w:val="00E556F6"/>
    <w:rsid w:val="00E5634D"/>
    <w:rsid w:val="00E64313"/>
    <w:rsid w:val="00E7489F"/>
    <w:rsid w:val="00E74A1F"/>
    <w:rsid w:val="00E85399"/>
    <w:rsid w:val="00E86C13"/>
    <w:rsid w:val="00E96B06"/>
    <w:rsid w:val="00EE22CA"/>
    <w:rsid w:val="00F7332C"/>
    <w:rsid w:val="00FA2963"/>
    <w:rsid w:val="00FB1208"/>
    <w:rsid w:val="00FB1C4A"/>
    <w:rsid w:val="00FB617E"/>
    <w:rsid w:val="00FC6C50"/>
    <w:rsid w:val="00FE2925"/>
    <w:rsid w:val="00FF22B0"/>
    <w:rsid w:val="00FF7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E13D8"/>
  <w15:chartTrackingRefBased/>
  <w15:docId w15:val="{8268639A-EA7B-46C9-9DB1-7B89A8AC6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839"/>
    <w:pPr>
      <w:keepNext/>
      <w:keepLines/>
      <w:spacing w:before="240" w:after="0"/>
      <w:outlineLvl w:val="0"/>
    </w:pPr>
    <w:rPr>
      <w:rFonts w:ascii="Open Sans" w:eastAsiaTheme="majorEastAsia" w:hAnsi="Open Sans" w:cstheme="majorBidi"/>
      <w:color w:val="15415C"/>
      <w:sz w:val="44"/>
      <w:szCs w:val="32"/>
    </w:rPr>
  </w:style>
  <w:style w:type="paragraph" w:styleId="Heading2">
    <w:name w:val="heading 2"/>
    <w:basedOn w:val="Normal"/>
    <w:next w:val="Normal"/>
    <w:link w:val="Heading2Char"/>
    <w:uiPriority w:val="9"/>
    <w:unhideWhenUsed/>
    <w:qFormat/>
    <w:rsid w:val="00925D6C"/>
    <w:pPr>
      <w:keepNext/>
      <w:keepLines/>
      <w:spacing w:before="40" w:after="0"/>
      <w:outlineLvl w:val="1"/>
    </w:pPr>
    <w:rPr>
      <w:rFonts w:ascii="Open Sans" w:eastAsiaTheme="majorEastAsia" w:hAnsi="Open Sans" w:cs="Open Sans"/>
      <w:b/>
      <w:color w:val="006C8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4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68F"/>
  </w:style>
  <w:style w:type="paragraph" w:styleId="Footer">
    <w:name w:val="footer"/>
    <w:basedOn w:val="Normal"/>
    <w:link w:val="FooterChar"/>
    <w:uiPriority w:val="99"/>
    <w:unhideWhenUsed/>
    <w:rsid w:val="00064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68F"/>
  </w:style>
  <w:style w:type="paragraph" w:styleId="Title">
    <w:name w:val="Title"/>
    <w:basedOn w:val="Normal"/>
    <w:next w:val="Normal"/>
    <w:link w:val="TitleChar"/>
    <w:uiPriority w:val="10"/>
    <w:qFormat/>
    <w:rsid w:val="00064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6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1839"/>
    <w:rPr>
      <w:rFonts w:ascii="Open Sans" w:eastAsiaTheme="majorEastAsia" w:hAnsi="Open Sans" w:cstheme="majorBidi"/>
      <w:color w:val="15415C"/>
      <w:sz w:val="44"/>
      <w:szCs w:val="32"/>
    </w:rPr>
  </w:style>
  <w:style w:type="paragraph" w:styleId="ListParagraph">
    <w:name w:val="List Paragraph"/>
    <w:basedOn w:val="Normal"/>
    <w:uiPriority w:val="34"/>
    <w:qFormat/>
    <w:rsid w:val="0006468F"/>
    <w:pPr>
      <w:ind w:left="720"/>
      <w:contextualSpacing/>
    </w:pPr>
  </w:style>
  <w:style w:type="character" w:customStyle="1" w:styleId="Heading2Char">
    <w:name w:val="Heading 2 Char"/>
    <w:basedOn w:val="DefaultParagraphFont"/>
    <w:link w:val="Heading2"/>
    <w:uiPriority w:val="9"/>
    <w:rsid w:val="00925D6C"/>
    <w:rPr>
      <w:rFonts w:ascii="Open Sans" w:eastAsiaTheme="majorEastAsia" w:hAnsi="Open Sans" w:cs="Open Sans"/>
      <w:b/>
      <w:color w:val="006C84"/>
      <w:sz w:val="24"/>
      <w:szCs w:val="24"/>
    </w:rPr>
  </w:style>
  <w:style w:type="character" w:styleId="Hyperlink">
    <w:name w:val="Hyperlink"/>
    <w:basedOn w:val="DefaultParagraphFont"/>
    <w:uiPriority w:val="99"/>
    <w:unhideWhenUsed/>
    <w:rsid w:val="00D3207A"/>
    <w:rPr>
      <w:color w:val="0563C1" w:themeColor="hyperlink"/>
      <w:u w:val="single"/>
    </w:rPr>
  </w:style>
  <w:style w:type="table" w:styleId="TableGrid">
    <w:name w:val="Table Grid"/>
    <w:basedOn w:val="TableNormal"/>
    <w:uiPriority w:val="39"/>
    <w:rsid w:val="00641DBD"/>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35777"/>
    <w:rPr>
      <w:sz w:val="16"/>
      <w:szCs w:val="16"/>
    </w:rPr>
  </w:style>
  <w:style w:type="paragraph" w:styleId="CommentText">
    <w:name w:val="annotation text"/>
    <w:basedOn w:val="Normal"/>
    <w:link w:val="CommentTextChar"/>
    <w:uiPriority w:val="99"/>
    <w:semiHidden/>
    <w:unhideWhenUsed/>
    <w:rsid w:val="00135777"/>
    <w:pPr>
      <w:spacing w:line="240" w:lineRule="auto"/>
    </w:pPr>
    <w:rPr>
      <w:sz w:val="20"/>
      <w:szCs w:val="20"/>
    </w:rPr>
  </w:style>
  <w:style w:type="character" w:customStyle="1" w:styleId="CommentTextChar">
    <w:name w:val="Comment Text Char"/>
    <w:basedOn w:val="DefaultParagraphFont"/>
    <w:link w:val="CommentText"/>
    <w:uiPriority w:val="99"/>
    <w:semiHidden/>
    <w:rsid w:val="00135777"/>
    <w:rPr>
      <w:sz w:val="20"/>
      <w:szCs w:val="20"/>
    </w:rPr>
  </w:style>
  <w:style w:type="paragraph" w:styleId="CommentSubject">
    <w:name w:val="annotation subject"/>
    <w:basedOn w:val="CommentText"/>
    <w:next w:val="CommentText"/>
    <w:link w:val="CommentSubjectChar"/>
    <w:uiPriority w:val="99"/>
    <w:semiHidden/>
    <w:unhideWhenUsed/>
    <w:rsid w:val="00135777"/>
    <w:rPr>
      <w:b/>
      <w:bCs/>
    </w:rPr>
  </w:style>
  <w:style w:type="character" w:customStyle="1" w:styleId="CommentSubjectChar">
    <w:name w:val="Comment Subject Char"/>
    <w:basedOn w:val="CommentTextChar"/>
    <w:link w:val="CommentSubject"/>
    <w:uiPriority w:val="99"/>
    <w:semiHidden/>
    <w:rsid w:val="00135777"/>
    <w:rPr>
      <w:b/>
      <w:bCs/>
      <w:sz w:val="20"/>
      <w:szCs w:val="20"/>
    </w:rPr>
  </w:style>
  <w:style w:type="paragraph" w:customStyle="1" w:styleId="Default">
    <w:name w:val="Default"/>
    <w:rsid w:val="003F4F9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nchs/nvss/usaleep/usaleep.html"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Damicis</dc:creator>
  <cp:keywords/>
  <dc:description/>
  <cp:lastModifiedBy>Adrienne Damicis</cp:lastModifiedBy>
  <cp:revision>2</cp:revision>
  <dcterms:created xsi:type="dcterms:W3CDTF">2022-02-10T14:26:00Z</dcterms:created>
  <dcterms:modified xsi:type="dcterms:W3CDTF">2022-02-10T14:26:00Z</dcterms:modified>
</cp:coreProperties>
</file>