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BD28C" w14:textId="519B27AB" w:rsidR="009E1E4E" w:rsidRDefault="3B07F99D" w:rsidP="5B6380B4">
      <w:pPr>
        <w:jc w:val="center"/>
        <w:rPr>
          <w:rFonts w:ascii="Calibri" w:eastAsia="Calibri" w:hAnsi="Calibri" w:cs="Calibri"/>
          <w:color w:val="000000" w:themeColor="text1"/>
          <w:sz w:val="28"/>
          <w:szCs w:val="28"/>
        </w:rPr>
      </w:pPr>
      <w:r w:rsidRPr="5B6380B4">
        <w:rPr>
          <w:rFonts w:ascii="Calibri" w:eastAsia="Calibri" w:hAnsi="Calibri" w:cs="Calibri"/>
          <w:color w:val="000000" w:themeColor="text1"/>
          <w:sz w:val="28"/>
          <w:szCs w:val="28"/>
        </w:rPr>
        <w:t xml:space="preserve">Differential Privacy </w:t>
      </w:r>
      <w:r w:rsidR="682C2904" w:rsidRPr="5B6380B4">
        <w:rPr>
          <w:rFonts w:ascii="Calibri" w:eastAsia="Calibri" w:hAnsi="Calibri" w:cs="Calibri"/>
          <w:color w:val="000000" w:themeColor="text1"/>
          <w:sz w:val="28"/>
          <w:szCs w:val="28"/>
        </w:rPr>
        <w:t xml:space="preserve">Notes </w:t>
      </w:r>
      <w:r w:rsidRPr="5B6380B4">
        <w:rPr>
          <w:rFonts w:ascii="Calibri" w:eastAsia="Calibri" w:hAnsi="Calibri" w:cs="Calibri"/>
          <w:color w:val="000000" w:themeColor="text1"/>
          <w:sz w:val="28"/>
          <w:szCs w:val="28"/>
        </w:rPr>
        <w:t>for CDPH Population Task Force</w:t>
      </w:r>
    </w:p>
    <w:p w14:paraId="4C8B9AE3" w14:textId="70DC2E44" w:rsidR="009E1E4E" w:rsidRDefault="008C6401" w:rsidP="5B6380B4">
      <w:pPr>
        <w:spacing w:after="0" w:line="276" w:lineRule="auto"/>
        <w:jc w:val="center"/>
        <w:rPr>
          <w:rFonts w:ascii="Calibri" w:eastAsia="Calibri" w:hAnsi="Calibri" w:cs="Calibri"/>
          <w:color w:val="000000" w:themeColor="text1"/>
        </w:rPr>
      </w:pPr>
      <w:r>
        <w:rPr>
          <w:rFonts w:ascii="Calibri" w:eastAsia="Calibri" w:hAnsi="Calibri" w:cs="Calibri"/>
          <w:color w:val="000000" w:themeColor="text1"/>
        </w:rPr>
        <w:t>January 2023</w:t>
      </w:r>
    </w:p>
    <w:p w14:paraId="1C56123E" w14:textId="3DBEB6B3" w:rsidR="009E1E4E" w:rsidRDefault="3B07F99D" w:rsidP="5B6380B4">
      <w:pPr>
        <w:spacing w:after="0" w:line="276" w:lineRule="auto"/>
        <w:jc w:val="center"/>
        <w:rPr>
          <w:rFonts w:ascii="Calibri" w:eastAsia="Calibri" w:hAnsi="Calibri" w:cs="Calibri"/>
          <w:color w:val="000000" w:themeColor="text1"/>
        </w:rPr>
      </w:pPr>
      <w:r w:rsidRPr="5B6380B4">
        <w:rPr>
          <w:rFonts w:ascii="Calibri" w:eastAsia="Calibri" w:hAnsi="Calibri" w:cs="Calibri"/>
          <w:color w:val="000000" w:themeColor="text1"/>
        </w:rPr>
        <w:t>Submitted by Liz Reosti, Yasmine Castro, Pam Lough</w:t>
      </w:r>
    </w:p>
    <w:p w14:paraId="107A8AA7" w14:textId="3C90FFBD" w:rsidR="009E1E4E" w:rsidRDefault="009E1E4E" w:rsidP="5B6380B4">
      <w:pPr>
        <w:jc w:val="center"/>
        <w:rPr>
          <w:rFonts w:ascii="Calibri" w:eastAsia="Calibri" w:hAnsi="Calibri" w:cs="Calibri"/>
          <w:color w:val="000000" w:themeColor="text1"/>
        </w:rPr>
      </w:pPr>
    </w:p>
    <w:p w14:paraId="57BD94D0" w14:textId="0C0DDF82" w:rsidR="00130C7E" w:rsidRDefault="00130C7E" w:rsidP="5B6380B4">
      <w:pPr>
        <w:rPr>
          <w:rFonts w:ascii="Calibri" w:eastAsia="Calibri" w:hAnsi="Calibri" w:cs="Calibri"/>
          <w:b/>
          <w:bCs/>
          <w:color w:val="000000" w:themeColor="text1"/>
        </w:rPr>
      </w:pPr>
      <w:r>
        <w:rPr>
          <w:rFonts w:ascii="Calibri" w:eastAsia="Calibri" w:hAnsi="Calibri" w:cs="Calibri"/>
          <w:b/>
          <w:bCs/>
          <w:color w:val="000000" w:themeColor="text1"/>
        </w:rPr>
        <w:t>Executive Summary:  Data products from the 2020 Census will have noise injected</w:t>
      </w:r>
      <w:r w:rsidR="008B4C8B">
        <w:rPr>
          <w:rFonts w:ascii="Calibri" w:eastAsia="Calibri" w:hAnsi="Calibri" w:cs="Calibri"/>
          <w:b/>
          <w:bCs/>
          <w:color w:val="000000" w:themeColor="text1"/>
        </w:rPr>
        <w:t xml:space="preserve"> under a</w:t>
      </w:r>
      <w:r w:rsidR="00B1757F">
        <w:rPr>
          <w:rFonts w:ascii="Calibri" w:eastAsia="Calibri" w:hAnsi="Calibri" w:cs="Calibri"/>
          <w:b/>
          <w:bCs/>
          <w:color w:val="000000" w:themeColor="text1"/>
        </w:rPr>
        <w:t xml:space="preserve"> framework of</w:t>
      </w:r>
      <w:r w:rsidR="008B4C8B">
        <w:rPr>
          <w:rFonts w:ascii="Calibri" w:eastAsia="Calibri" w:hAnsi="Calibri" w:cs="Calibri"/>
          <w:b/>
          <w:bCs/>
          <w:color w:val="000000" w:themeColor="text1"/>
        </w:rPr>
        <w:t xml:space="preserve"> Differential Privacy</w:t>
      </w:r>
      <w:r w:rsidR="00B1757F">
        <w:rPr>
          <w:rFonts w:ascii="Calibri" w:eastAsia="Calibri" w:hAnsi="Calibri" w:cs="Calibri"/>
          <w:b/>
          <w:bCs/>
          <w:color w:val="000000" w:themeColor="text1"/>
        </w:rPr>
        <w:t xml:space="preserve"> (DP).</w:t>
      </w:r>
      <w:r w:rsidR="008B4C8B">
        <w:rPr>
          <w:rFonts w:ascii="Calibri" w:eastAsia="Calibri" w:hAnsi="Calibri" w:cs="Calibri"/>
          <w:b/>
          <w:bCs/>
          <w:color w:val="000000" w:themeColor="text1"/>
        </w:rPr>
        <w:t xml:space="preserve">  This means that</w:t>
      </w:r>
      <w:r w:rsidR="007035EA">
        <w:rPr>
          <w:rFonts w:ascii="Calibri" w:eastAsia="Calibri" w:hAnsi="Calibri" w:cs="Calibri"/>
          <w:b/>
          <w:bCs/>
          <w:color w:val="000000" w:themeColor="text1"/>
        </w:rPr>
        <w:t>,</w:t>
      </w:r>
      <w:r w:rsidR="008B4C8B">
        <w:rPr>
          <w:rFonts w:ascii="Calibri" w:eastAsia="Calibri" w:hAnsi="Calibri" w:cs="Calibri"/>
          <w:b/>
          <w:bCs/>
          <w:color w:val="000000" w:themeColor="text1"/>
        </w:rPr>
        <w:t xml:space="preserve"> with a few exceptions, the population counts released in the 2020 Census Data Tables will not reflect the actual enumerated </w:t>
      </w:r>
      <w:r w:rsidR="00B1757F">
        <w:rPr>
          <w:rFonts w:ascii="Calibri" w:eastAsia="Calibri" w:hAnsi="Calibri" w:cs="Calibri"/>
          <w:b/>
          <w:bCs/>
          <w:color w:val="000000" w:themeColor="text1"/>
        </w:rPr>
        <w:t>count.</w:t>
      </w:r>
      <w:r w:rsidR="001F51D4">
        <w:rPr>
          <w:rFonts w:ascii="Calibri" w:eastAsia="Calibri" w:hAnsi="Calibri" w:cs="Calibri"/>
          <w:b/>
          <w:bCs/>
          <w:color w:val="000000" w:themeColor="text1"/>
        </w:rPr>
        <w:t xml:space="preserve">  </w:t>
      </w:r>
      <w:r w:rsidR="000271AD">
        <w:rPr>
          <w:rFonts w:ascii="Calibri" w:eastAsia="Calibri" w:hAnsi="Calibri" w:cs="Calibri"/>
          <w:b/>
          <w:bCs/>
          <w:color w:val="000000" w:themeColor="text1"/>
        </w:rPr>
        <w:t xml:space="preserve">The Census Bureau advises against treating block-level data as accurate and </w:t>
      </w:r>
      <w:r w:rsidR="001F51D4">
        <w:rPr>
          <w:rFonts w:ascii="Calibri" w:eastAsia="Calibri" w:hAnsi="Calibri" w:cs="Calibri"/>
          <w:b/>
          <w:bCs/>
          <w:color w:val="000000" w:themeColor="text1"/>
        </w:rPr>
        <w:t xml:space="preserve">recommends aggregating block-level data to a grouping of at minimum 450 people to avoid introducing excess error into analyses. Some scholars have found aggregations of data with DP applied with fewer than 1,000 </w:t>
      </w:r>
      <w:r w:rsidR="00B1757F">
        <w:rPr>
          <w:rFonts w:ascii="Calibri" w:eastAsia="Calibri" w:hAnsi="Calibri" w:cs="Calibri"/>
          <w:b/>
          <w:bCs/>
          <w:color w:val="000000" w:themeColor="text1"/>
        </w:rPr>
        <w:t>people can</w:t>
      </w:r>
      <w:r w:rsidR="001F51D4">
        <w:rPr>
          <w:rFonts w:ascii="Calibri" w:eastAsia="Calibri" w:hAnsi="Calibri" w:cs="Calibri"/>
          <w:b/>
          <w:bCs/>
          <w:color w:val="000000" w:themeColor="text1"/>
        </w:rPr>
        <w:t xml:space="preserve"> significantly alter rate calculations.</w:t>
      </w:r>
      <w:r w:rsidR="008B4C8B">
        <w:rPr>
          <w:rFonts w:ascii="Calibri" w:eastAsia="Calibri" w:hAnsi="Calibri" w:cs="Calibri"/>
          <w:b/>
          <w:bCs/>
          <w:color w:val="000000" w:themeColor="text1"/>
        </w:rPr>
        <w:t xml:space="preserve"> Data users should </w:t>
      </w:r>
      <w:r w:rsidR="007035EA">
        <w:rPr>
          <w:rFonts w:ascii="Calibri" w:eastAsia="Calibri" w:hAnsi="Calibri" w:cs="Calibri"/>
          <w:b/>
          <w:bCs/>
          <w:color w:val="000000" w:themeColor="text1"/>
        </w:rPr>
        <w:t xml:space="preserve">exercise </w:t>
      </w:r>
      <w:r w:rsidR="008B4C8B">
        <w:rPr>
          <w:rFonts w:ascii="Calibri" w:eastAsia="Calibri" w:hAnsi="Calibri" w:cs="Calibri"/>
          <w:b/>
          <w:bCs/>
          <w:color w:val="000000" w:themeColor="text1"/>
        </w:rPr>
        <w:t xml:space="preserve">caution </w:t>
      </w:r>
      <w:r w:rsidR="007035EA">
        <w:rPr>
          <w:rFonts w:ascii="Calibri" w:eastAsia="Calibri" w:hAnsi="Calibri" w:cs="Calibri"/>
          <w:b/>
          <w:bCs/>
          <w:color w:val="000000" w:themeColor="text1"/>
        </w:rPr>
        <w:t>when using o</w:t>
      </w:r>
      <w:r w:rsidR="005A5BA3">
        <w:rPr>
          <w:rFonts w:ascii="Calibri" w:eastAsia="Calibri" w:hAnsi="Calibri" w:cs="Calibri"/>
          <w:b/>
          <w:bCs/>
          <w:color w:val="000000" w:themeColor="text1"/>
        </w:rPr>
        <w:t>r</w:t>
      </w:r>
      <w:r w:rsidR="007035EA">
        <w:rPr>
          <w:rFonts w:ascii="Calibri" w:eastAsia="Calibri" w:hAnsi="Calibri" w:cs="Calibri"/>
          <w:b/>
          <w:bCs/>
          <w:color w:val="000000" w:themeColor="text1"/>
        </w:rPr>
        <w:t xml:space="preserve"> interpreting </w:t>
      </w:r>
      <w:r w:rsidR="005A5BA3">
        <w:rPr>
          <w:rFonts w:ascii="Calibri" w:eastAsia="Calibri" w:hAnsi="Calibri" w:cs="Calibri"/>
          <w:b/>
          <w:bCs/>
          <w:color w:val="000000" w:themeColor="text1"/>
        </w:rPr>
        <w:t xml:space="preserve">2020 census data </w:t>
      </w:r>
      <w:r w:rsidR="00C37AF2">
        <w:rPr>
          <w:rFonts w:ascii="Calibri" w:eastAsia="Calibri" w:hAnsi="Calibri" w:cs="Calibri"/>
          <w:b/>
          <w:bCs/>
          <w:color w:val="000000" w:themeColor="text1"/>
        </w:rPr>
        <w:t xml:space="preserve">representing small populations. </w:t>
      </w:r>
    </w:p>
    <w:p w14:paraId="4623D2C2" w14:textId="77777777" w:rsidR="00130C7E" w:rsidRDefault="00130C7E" w:rsidP="5B6380B4">
      <w:pPr>
        <w:rPr>
          <w:rFonts w:ascii="Calibri" w:eastAsia="Calibri" w:hAnsi="Calibri" w:cs="Calibri"/>
          <w:b/>
          <w:bCs/>
          <w:color w:val="000000" w:themeColor="text1"/>
        </w:rPr>
      </w:pPr>
    </w:p>
    <w:p w14:paraId="65E346DD" w14:textId="4D7AFB32" w:rsidR="009E1E4E" w:rsidRDefault="338958DC" w:rsidP="5B6380B4">
      <w:r w:rsidRPr="338958DC">
        <w:rPr>
          <w:rFonts w:ascii="Calibri" w:eastAsia="Calibri" w:hAnsi="Calibri" w:cs="Calibri"/>
          <w:b/>
          <w:bCs/>
          <w:color w:val="000000" w:themeColor="text1"/>
        </w:rPr>
        <w:t>Introduction</w:t>
      </w:r>
      <w:r w:rsidRPr="338958DC">
        <w:rPr>
          <w:rFonts w:ascii="Calibri" w:eastAsia="Calibri" w:hAnsi="Calibri" w:cs="Calibri"/>
          <w:b/>
          <w:bCs/>
          <w:color w:val="000000" w:themeColor="text1"/>
        </w:rPr>
        <w:t xml:space="preserve">: </w:t>
      </w:r>
      <w:r w:rsidRPr="338958DC">
        <w:rPr>
          <w:rFonts w:ascii="Calibri" w:eastAsia="Calibri" w:hAnsi="Calibri" w:cs="Calibri"/>
          <w:color w:val="000000" w:themeColor="text1"/>
        </w:rPr>
        <w:t xml:space="preserve"> The Census Bureau has adopted a new Disclosure Avoidance System (DAS) based on a theory of differential privacy (DP).  Differential Privacy refers to procedures that inject noise into data </w:t>
      </w:r>
      <w:proofErr w:type="gramStart"/>
      <w:r w:rsidRPr="338958DC">
        <w:rPr>
          <w:rFonts w:ascii="Calibri" w:eastAsia="Calibri" w:hAnsi="Calibri" w:cs="Calibri"/>
          <w:color w:val="000000" w:themeColor="text1"/>
        </w:rPr>
        <w:t>in order to</w:t>
      </w:r>
      <w:proofErr w:type="gramEnd"/>
      <w:r w:rsidRPr="338958DC">
        <w:rPr>
          <w:rFonts w:ascii="Calibri" w:eastAsia="Calibri" w:hAnsi="Calibri" w:cs="Calibri"/>
          <w:color w:val="000000" w:themeColor="text1"/>
        </w:rPr>
        <w:t xml:space="preserve"> protect privacy of individual respondents.  Differential Privacy will be applied to all tables released as part of the 2020 </w:t>
      </w:r>
      <w:r>
        <w:t xml:space="preserve">Census. As a result, published data from the 2020 census will be a less accurate representation of actual microdata than previous decennial censuses. </w:t>
      </w:r>
    </w:p>
    <w:p w14:paraId="705C1F3B" w14:textId="3BCA5850" w:rsidR="00272D8F" w:rsidRDefault="00272D8F" w:rsidP="5B6380B4">
      <w:pPr>
        <w:rPr>
          <w:rFonts w:ascii="Calibri" w:eastAsia="Calibri" w:hAnsi="Calibri" w:cs="Calibri"/>
          <w:color w:val="000000" w:themeColor="text1"/>
        </w:rPr>
      </w:pPr>
      <w:r>
        <w:rPr>
          <w:noProof/>
        </w:rPr>
        <w:drawing>
          <wp:inline distT="0" distB="0" distL="0" distR="0" wp14:anchorId="5CAAB6C6" wp14:editId="42863B12">
            <wp:extent cx="5943600" cy="180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860"/>
                    </a:xfrm>
                    <a:prstGeom prst="rect">
                      <a:avLst/>
                    </a:prstGeom>
                  </pic:spPr>
                </pic:pic>
              </a:graphicData>
            </a:graphic>
          </wp:inline>
        </w:drawing>
      </w:r>
    </w:p>
    <w:p w14:paraId="1F9D4A0D" w14:textId="171E86BF" w:rsidR="004F20D3" w:rsidRDefault="00537978" w:rsidP="5B6380B4">
      <w:pPr>
        <w:rPr>
          <w:rFonts w:ascii="Calibri" w:eastAsia="Calibri" w:hAnsi="Calibri" w:cs="Calibri"/>
          <w:color w:val="000000" w:themeColor="text1"/>
        </w:rPr>
      </w:pPr>
      <w:r w:rsidRPr="00136C22">
        <w:rPr>
          <w:rFonts w:ascii="Calibri" w:eastAsia="Calibri" w:hAnsi="Calibri" w:cs="Calibri"/>
          <w:b/>
          <w:bCs/>
          <w:color w:val="000000" w:themeColor="text1"/>
        </w:rPr>
        <w:t>Background:</w:t>
      </w:r>
      <w:r>
        <w:rPr>
          <w:rFonts w:ascii="Calibri" w:eastAsia="Calibri" w:hAnsi="Calibri" w:cs="Calibri"/>
          <w:color w:val="000000" w:themeColor="text1"/>
        </w:rPr>
        <w:t xml:space="preserve"> In the years since release of 2010 data tables, Census Bureau has demonstrated that micro-data could be reconstructed from published tables. </w:t>
      </w:r>
      <w:r w:rsidR="00136C22">
        <w:rPr>
          <w:rFonts w:ascii="Calibri" w:eastAsia="Calibri" w:hAnsi="Calibri" w:cs="Calibri"/>
          <w:color w:val="000000" w:themeColor="text1"/>
        </w:rPr>
        <w:t xml:space="preserve"> This reconstruction violated disclosure rules according to Census Bureau. </w:t>
      </w:r>
      <w:r w:rsidR="00175C43">
        <w:rPr>
          <w:rFonts w:ascii="Calibri" w:eastAsia="Calibri" w:hAnsi="Calibri" w:cs="Calibri"/>
          <w:color w:val="000000" w:themeColor="text1"/>
        </w:rPr>
        <w:t xml:space="preserve">This reconstruction also demonstrated that previous DAS like swapping and small cell suppression were not sufficient to protect individual privacy considering ~ 50% of population are, “population </w:t>
      </w:r>
      <w:proofErr w:type="spellStart"/>
      <w:r w:rsidR="00175C43">
        <w:rPr>
          <w:rFonts w:ascii="Calibri" w:eastAsia="Calibri" w:hAnsi="Calibri" w:cs="Calibri"/>
          <w:color w:val="000000" w:themeColor="text1"/>
        </w:rPr>
        <w:t>uniques</w:t>
      </w:r>
      <w:proofErr w:type="spellEnd"/>
      <w:r w:rsidR="00175C43">
        <w:rPr>
          <w:rFonts w:ascii="Calibri" w:eastAsia="Calibri" w:hAnsi="Calibri" w:cs="Calibri"/>
          <w:color w:val="000000" w:themeColor="text1"/>
        </w:rPr>
        <w:t xml:space="preserve"> on the basis of block, sex, age, race, (OMB 63 categories</w:t>
      </w:r>
      <w:r w:rsidR="00A80609">
        <w:rPr>
          <w:rStyle w:val="EndnoteReference"/>
          <w:rFonts w:ascii="Calibri" w:eastAsia="Calibri" w:hAnsi="Calibri" w:cs="Calibri"/>
          <w:color w:val="000000" w:themeColor="text1"/>
        </w:rPr>
        <w:endnoteReference w:id="1"/>
      </w:r>
      <w:r w:rsidR="00175C43">
        <w:rPr>
          <w:rFonts w:ascii="Calibri" w:eastAsia="Calibri" w:hAnsi="Calibri" w:cs="Calibri"/>
          <w:color w:val="000000" w:themeColor="text1"/>
        </w:rPr>
        <w:t xml:space="preserve">) and ethnicity” (Abowd 2021). </w:t>
      </w:r>
      <w:r w:rsidR="00790477">
        <w:rPr>
          <w:rFonts w:ascii="Calibri" w:eastAsia="Calibri" w:hAnsi="Calibri" w:cs="Calibri"/>
          <w:color w:val="000000" w:themeColor="text1"/>
        </w:rPr>
        <w:t xml:space="preserve"> With the availability of commercial data sources, someone could correctly identify </w:t>
      </w:r>
      <w:proofErr w:type="gramStart"/>
      <w:r w:rsidR="00790477">
        <w:rPr>
          <w:rFonts w:ascii="Calibri" w:eastAsia="Calibri" w:hAnsi="Calibri" w:cs="Calibri"/>
          <w:color w:val="000000" w:themeColor="text1"/>
        </w:rPr>
        <w:t>by  name</w:t>
      </w:r>
      <w:proofErr w:type="gramEnd"/>
      <w:r w:rsidR="00790477">
        <w:rPr>
          <w:rFonts w:ascii="Calibri" w:eastAsia="Calibri" w:hAnsi="Calibri" w:cs="Calibri"/>
          <w:color w:val="000000" w:themeColor="text1"/>
        </w:rPr>
        <w:t xml:space="preserve"> and address 77% of the population represented in 2010 census.</w:t>
      </w:r>
      <w:r w:rsidR="00E055DE">
        <w:rPr>
          <w:rFonts w:ascii="Calibri" w:eastAsia="Calibri" w:hAnsi="Calibri" w:cs="Calibri"/>
          <w:color w:val="000000" w:themeColor="text1"/>
        </w:rPr>
        <w:t xml:space="preserve">  </w:t>
      </w:r>
    </w:p>
    <w:p w14:paraId="0923F8A0" w14:textId="58949BC7" w:rsidR="009845AA" w:rsidRDefault="009845AA" w:rsidP="009845AA">
      <w:pPr>
        <w:jc w:val="center"/>
        <w:rPr>
          <w:rFonts w:ascii="Calibri" w:eastAsia="Calibri" w:hAnsi="Calibri" w:cs="Calibri"/>
          <w:color w:val="000000" w:themeColor="text1"/>
        </w:rPr>
      </w:pPr>
      <w:r>
        <w:rPr>
          <w:noProof/>
        </w:rPr>
        <w:lastRenderedPageBreak/>
        <w:drawing>
          <wp:inline distT="0" distB="0" distL="0" distR="0" wp14:anchorId="5828F583" wp14:editId="365F82B9">
            <wp:extent cx="4992624" cy="2468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2624" cy="2468880"/>
                    </a:xfrm>
                    <a:prstGeom prst="rect">
                      <a:avLst/>
                    </a:prstGeom>
                  </pic:spPr>
                </pic:pic>
              </a:graphicData>
            </a:graphic>
          </wp:inline>
        </w:drawing>
      </w:r>
    </w:p>
    <w:p w14:paraId="569CECDC" w14:textId="51931837" w:rsidR="009845AA" w:rsidRDefault="004F20D3" w:rsidP="5B6380B4">
      <w:pPr>
        <w:rPr>
          <w:rFonts w:ascii="Calibri" w:eastAsia="Calibri" w:hAnsi="Calibri" w:cs="Calibri"/>
          <w:color w:val="000000" w:themeColor="text1"/>
        </w:rPr>
      </w:pPr>
      <w:r>
        <w:rPr>
          <w:rFonts w:ascii="Calibri" w:eastAsia="Calibri" w:hAnsi="Calibri" w:cs="Calibri"/>
          <w:color w:val="000000" w:themeColor="text1"/>
        </w:rPr>
        <w:t>Using</w:t>
      </w:r>
      <w:r w:rsidR="0096673E">
        <w:rPr>
          <w:rFonts w:ascii="Calibri" w:eastAsia="Calibri" w:hAnsi="Calibri" w:cs="Calibri"/>
          <w:color w:val="000000" w:themeColor="text1"/>
        </w:rPr>
        <w:t xml:space="preserve"> straightforward or </w:t>
      </w:r>
      <w:r w:rsidR="009845AA">
        <w:rPr>
          <w:rFonts w:ascii="Calibri" w:eastAsia="Calibri" w:hAnsi="Calibri" w:cs="Calibri"/>
          <w:color w:val="000000" w:themeColor="text1"/>
        </w:rPr>
        <w:t>naïve</w:t>
      </w:r>
      <w:r>
        <w:rPr>
          <w:rFonts w:ascii="Calibri" w:eastAsia="Calibri" w:hAnsi="Calibri" w:cs="Calibri"/>
          <w:color w:val="000000" w:themeColor="text1"/>
        </w:rPr>
        <w:t xml:space="preserve"> DP, noise is added at the most granular level</w:t>
      </w:r>
      <w:r w:rsidR="0096673E">
        <w:rPr>
          <w:rFonts w:ascii="Calibri" w:eastAsia="Calibri" w:hAnsi="Calibri" w:cs="Calibri"/>
          <w:color w:val="000000" w:themeColor="text1"/>
        </w:rPr>
        <w:t xml:space="preserve"> (this would be block-level for </w:t>
      </w:r>
      <w:r>
        <w:rPr>
          <w:rFonts w:ascii="Calibri" w:eastAsia="Calibri" w:hAnsi="Calibri" w:cs="Calibri"/>
          <w:color w:val="000000" w:themeColor="text1"/>
        </w:rPr>
        <w:t xml:space="preserve">Census </w:t>
      </w:r>
      <w:r w:rsidR="00F430DF">
        <w:rPr>
          <w:rFonts w:ascii="Calibri" w:eastAsia="Calibri" w:hAnsi="Calibri" w:cs="Calibri"/>
          <w:color w:val="000000" w:themeColor="text1"/>
        </w:rPr>
        <w:t>data</w:t>
      </w:r>
      <w:r w:rsidR="0096673E">
        <w:rPr>
          <w:rFonts w:ascii="Calibri" w:eastAsia="Calibri" w:hAnsi="Calibri" w:cs="Calibri"/>
          <w:color w:val="000000" w:themeColor="text1"/>
        </w:rPr>
        <w:t xml:space="preserve">).  This approach does not satisfy needs of Census Bureau, which still wants </w:t>
      </w:r>
      <w:r w:rsidR="006A03B3">
        <w:rPr>
          <w:rFonts w:ascii="Calibri" w:eastAsia="Calibri" w:hAnsi="Calibri" w:cs="Calibri"/>
          <w:color w:val="000000" w:themeColor="text1"/>
        </w:rPr>
        <w:t>highly</w:t>
      </w:r>
      <w:r w:rsidR="0096673E">
        <w:rPr>
          <w:rFonts w:ascii="Calibri" w:eastAsia="Calibri" w:hAnsi="Calibri" w:cs="Calibri"/>
          <w:color w:val="000000" w:themeColor="text1"/>
        </w:rPr>
        <w:t xml:space="preserve"> aggregated data (e.g., county or state-level) to be highly accurate</w:t>
      </w:r>
      <w:r w:rsidR="00B42E8E">
        <w:rPr>
          <w:rFonts w:ascii="Calibri" w:eastAsia="Calibri" w:hAnsi="Calibri" w:cs="Calibri"/>
          <w:color w:val="000000" w:themeColor="text1"/>
        </w:rPr>
        <w:t xml:space="preserve"> and which needs data tables to be used to satisfy Voting Rights Act Section 2 majority-minority district identification</w:t>
      </w:r>
      <w:r>
        <w:rPr>
          <w:rFonts w:ascii="Calibri" w:eastAsia="Calibri" w:hAnsi="Calibri" w:cs="Calibri"/>
          <w:color w:val="000000" w:themeColor="text1"/>
        </w:rPr>
        <w:t xml:space="preserve">. </w:t>
      </w:r>
      <w:r w:rsidR="006A03B3">
        <w:rPr>
          <w:rFonts w:ascii="Calibri" w:eastAsia="Calibri" w:hAnsi="Calibri" w:cs="Calibri"/>
          <w:color w:val="000000" w:themeColor="text1"/>
        </w:rPr>
        <w:t xml:space="preserve"> </w:t>
      </w:r>
      <w:proofErr w:type="gramStart"/>
      <w:r w:rsidR="006A03B3">
        <w:rPr>
          <w:rFonts w:ascii="Calibri" w:eastAsia="Calibri" w:hAnsi="Calibri" w:cs="Calibri"/>
          <w:color w:val="000000" w:themeColor="text1"/>
        </w:rPr>
        <w:t>Instead</w:t>
      </w:r>
      <w:proofErr w:type="gramEnd"/>
      <w:r w:rsidR="006A03B3">
        <w:rPr>
          <w:rFonts w:ascii="Calibri" w:eastAsia="Calibri" w:hAnsi="Calibri" w:cs="Calibri"/>
          <w:color w:val="000000" w:themeColor="text1"/>
        </w:rPr>
        <w:t xml:space="preserve"> the Bureau uses a Top-Down DP </w:t>
      </w:r>
      <w:r w:rsidR="009845AA">
        <w:rPr>
          <w:rFonts w:ascii="Calibri" w:eastAsia="Calibri" w:hAnsi="Calibri" w:cs="Calibri"/>
          <w:color w:val="000000" w:themeColor="text1"/>
        </w:rPr>
        <w:t>Algorithm</w:t>
      </w:r>
      <w:r w:rsidR="006A03B3">
        <w:rPr>
          <w:rFonts w:ascii="Calibri" w:eastAsia="Calibri" w:hAnsi="Calibri" w:cs="Calibri"/>
          <w:color w:val="000000" w:themeColor="text1"/>
        </w:rPr>
        <w:t xml:space="preserve"> (TDA) </w:t>
      </w:r>
      <w:r w:rsidR="00846BB8">
        <w:rPr>
          <w:rFonts w:ascii="Calibri" w:eastAsia="Calibri" w:hAnsi="Calibri" w:cs="Calibri"/>
          <w:color w:val="000000" w:themeColor="text1"/>
        </w:rPr>
        <w:t xml:space="preserve">which injects noise </w:t>
      </w:r>
      <w:r w:rsidR="006A0DD6">
        <w:rPr>
          <w:rFonts w:ascii="Calibri" w:eastAsia="Calibri" w:hAnsi="Calibri" w:cs="Calibri"/>
          <w:color w:val="000000" w:themeColor="text1"/>
        </w:rPr>
        <w:t>first at the largest geographic level then to smaller sub-geographies</w:t>
      </w:r>
      <w:r w:rsidR="001C61D5">
        <w:rPr>
          <w:rFonts w:ascii="Calibri" w:eastAsia="Calibri" w:hAnsi="Calibri" w:cs="Calibri"/>
          <w:color w:val="000000" w:themeColor="text1"/>
        </w:rPr>
        <w:t>.</w:t>
      </w:r>
      <w:r w:rsidR="006A0DD6">
        <w:rPr>
          <w:rFonts w:ascii="Calibri" w:eastAsia="Calibri" w:hAnsi="Calibri" w:cs="Calibri"/>
          <w:color w:val="000000" w:themeColor="text1"/>
        </w:rPr>
        <w:t xml:space="preserve">  The process also involves post-processing the noise-injected data to ensure that a) no negative </w:t>
      </w:r>
      <w:r w:rsidR="00712607">
        <w:rPr>
          <w:rFonts w:ascii="Calibri" w:eastAsia="Calibri" w:hAnsi="Calibri" w:cs="Calibri"/>
          <w:color w:val="000000" w:themeColor="text1"/>
        </w:rPr>
        <w:t>population counts and b) population counts at high levels of aggregation or relatively accurate.</w:t>
      </w:r>
      <w:r w:rsidR="006A0DD6">
        <w:rPr>
          <w:rFonts w:ascii="Calibri" w:eastAsia="Calibri" w:hAnsi="Calibri" w:cs="Calibri"/>
          <w:color w:val="000000" w:themeColor="text1"/>
        </w:rPr>
        <w:t xml:space="preserve"> </w:t>
      </w:r>
      <w:r w:rsidR="001C61D5">
        <w:rPr>
          <w:rFonts w:ascii="Calibri" w:eastAsia="Calibri" w:hAnsi="Calibri" w:cs="Calibri"/>
          <w:color w:val="000000" w:themeColor="text1"/>
        </w:rPr>
        <w:t xml:space="preserve">  Noise is injected at the table-cell level with some exceptions (total state population, housing uni</w:t>
      </w:r>
      <w:r w:rsidR="00615620">
        <w:rPr>
          <w:rFonts w:ascii="Calibri" w:eastAsia="Calibri" w:hAnsi="Calibri" w:cs="Calibri"/>
          <w:color w:val="000000" w:themeColor="text1"/>
        </w:rPr>
        <w:t>t count/type</w:t>
      </w:r>
      <w:r w:rsidR="001C61D5">
        <w:rPr>
          <w:rFonts w:ascii="Calibri" w:eastAsia="Calibri" w:hAnsi="Calibri" w:cs="Calibri"/>
          <w:color w:val="000000" w:themeColor="text1"/>
        </w:rPr>
        <w:t>) but not to the microdata.</w:t>
      </w:r>
      <w:r w:rsidR="00846BB8">
        <w:rPr>
          <w:rFonts w:ascii="Calibri" w:eastAsia="Calibri" w:hAnsi="Calibri" w:cs="Calibri"/>
          <w:color w:val="000000" w:themeColor="text1"/>
        </w:rPr>
        <w:t xml:space="preserve"> </w:t>
      </w:r>
    </w:p>
    <w:p w14:paraId="68F4628E" w14:textId="593A4BB5" w:rsidR="006A0DD6" w:rsidRDefault="006A0DD6" w:rsidP="5B6380B4">
      <w:pPr>
        <w:rPr>
          <w:rFonts w:ascii="Calibri" w:eastAsia="Calibri" w:hAnsi="Calibri" w:cs="Calibri"/>
          <w:color w:val="000000" w:themeColor="text1"/>
        </w:rPr>
      </w:pPr>
      <w:r>
        <w:rPr>
          <w:noProof/>
        </w:rPr>
        <w:lastRenderedPageBreak/>
        <w:drawing>
          <wp:inline distT="0" distB="0" distL="0" distR="0" wp14:anchorId="2C7731B3" wp14:editId="30425115">
            <wp:extent cx="5943600" cy="625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54750"/>
                    </a:xfrm>
                    <a:prstGeom prst="rect">
                      <a:avLst/>
                    </a:prstGeom>
                  </pic:spPr>
                </pic:pic>
              </a:graphicData>
            </a:graphic>
          </wp:inline>
        </w:drawing>
      </w:r>
    </w:p>
    <w:p w14:paraId="7FF62F32" w14:textId="227D829C" w:rsidR="006A0DD6" w:rsidRDefault="006A0DD6" w:rsidP="5B6380B4">
      <w:pPr>
        <w:rPr>
          <w:rFonts w:ascii="Calibri" w:eastAsia="Calibri" w:hAnsi="Calibri" w:cs="Calibri"/>
          <w:color w:val="000000" w:themeColor="text1"/>
        </w:rPr>
      </w:pPr>
    </w:p>
    <w:p w14:paraId="44084E73" w14:textId="3C7ED6AE" w:rsidR="006A0DD6" w:rsidRDefault="006A0DD6" w:rsidP="5B6380B4">
      <w:pPr>
        <w:rPr>
          <w:rFonts w:ascii="Calibri" w:eastAsia="Calibri" w:hAnsi="Calibri" w:cs="Calibri"/>
          <w:color w:val="000000" w:themeColor="text1"/>
        </w:rPr>
      </w:pPr>
    </w:p>
    <w:p w14:paraId="371565B6" w14:textId="77777777" w:rsidR="009845AA" w:rsidRDefault="009845AA" w:rsidP="5B6380B4">
      <w:pPr>
        <w:rPr>
          <w:rFonts w:ascii="Calibri" w:eastAsia="Calibri" w:hAnsi="Calibri" w:cs="Calibri"/>
          <w:color w:val="000000" w:themeColor="text1"/>
        </w:rPr>
      </w:pPr>
    </w:p>
    <w:p w14:paraId="2A25E030" w14:textId="7C532D4D" w:rsidR="003F06C3" w:rsidRDefault="009845AA" w:rsidP="003F06C3">
      <w:pPr>
        <w:rPr>
          <w:rFonts w:ascii="Calibri" w:eastAsia="Calibri" w:hAnsi="Calibri" w:cs="Calibri"/>
          <w:color w:val="000000" w:themeColor="text1"/>
        </w:rPr>
      </w:pPr>
      <w:r w:rsidRPr="003F06C3">
        <w:rPr>
          <w:rFonts w:ascii="Calibri" w:eastAsia="Calibri" w:hAnsi="Calibri" w:cs="Calibri"/>
          <w:color w:val="000000" w:themeColor="text1"/>
        </w:rPr>
        <w:t>The level of noise introduced to the data is guided by the privacy loss budget that is defined as the absolute upper bound of privacy loss that is deemed acceptable.</w:t>
      </w:r>
      <w:r w:rsidR="003F06C3" w:rsidRPr="003F06C3">
        <w:rPr>
          <w:rFonts w:ascii="Calibri" w:eastAsia="Calibri" w:hAnsi="Calibri" w:cs="Calibri"/>
          <w:color w:val="000000" w:themeColor="text1"/>
        </w:rPr>
        <w:t xml:space="preserve"> Improving the accuracy in one dimension (such as a smaller level of geography) means there is less budget for accuracy in another dimension (such as detailed race categories). </w:t>
      </w:r>
      <w:r w:rsidR="00ED681D" w:rsidRPr="5B6380B4">
        <w:rPr>
          <w:rFonts w:ascii="Calibri" w:eastAsia="Calibri" w:hAnsi="Calibri" w:cs="Calibri"/>
          <w:color w:val="000000" w:themeColor="text1"/>
        </w:rPr>
        <w:t xml:space="preserve">The amount of noise added is independent to the size of the population of the cell (relative error will be higher for smaller populations as the underlying </w:t>
      </w:r>
      <w:r w:rsidR="00ED681D" w:rsidRPr="5B6380B4">
        <w:rPr>
          <w:rFonts w:ascii="Calibri" w:eastAsia="Calibri" w:hAnsi="Calibri" w:cs="Calibri"/>
          <w:color w:val="000000" w:themeColor="text1"/>
        </w:rPr>
        <w:lastRenderedPageBreak/>
        <w:t>population (denominator) is smaller.</w:t>
      </w:r>
      <w:r w:rsidR="00ED681D">
        <w:rPr>
          <w:rFonts w:ascii="Calibri" w:eastAsia="Calibri" w:hAnsi="Calibri" w:cs="Calibri"/>
          <w:color w:val="000000" w:themeColor="text1"/>
        </w:rPr>
        <w:t xml:space="preserve"> </w:t>
      </w:r>
      <w:r w:rsidR="003F06C3" w:rsidRPr="003F06C3">
        <w:rPr>
          <w:rFonts w:ascii="Calibri" w:eastAsia="Calibri" w:hAnsi="Calibri" w:cs="Calibri"/>
          <w:color w:val="000000" w:themeColor="text1"/>
        </w:rPr>
        <w:t xml:space="preserve">Smaller population groups, such as AIAN or NHPI groups, have a smaller budget </w:t>
      </w:r>
      <w:proofErr w:type="gramStart"/>
      <w:r w:rsidR="003F06C3" w:rsidRPr="003F06C3">
        <w:rPr>
          <w:rFonts w:ascii="Calibri" w:eastAsia="Calibri" w:hAnsi="Calibri" w:cs="Calibri"/>
          <w:color w:val="000000" w:themeColor="text1"/>
        </w:rPr>
        <w:t>as a result of</w:t>
      </w:r>
      <w:proofErr w:type="gramEnd"/>
      <w:r w:rsidR="003F06C3" w:rsidRPr="003F06C3">
        <w:rPr>
          <w:rFonts w:ascii="Calibri" w:eastAsia="Calibri" w:hAnsi="Calibri" w:cs="Calibri"/>
          <w:color w:val="000000" w:themeColor="text1"/>
        </w:rPr>
        <w:t xml:space="preserve"> their small numbers.</w:t>
      </w:r>
    </w:p>
    <w:p w14:paraId="1DFDEC2B" w14:textId="3E8F5D09" w:rsidR="00DB3020" w:rsidRDefault="004B05BF" w:rsidP="004B05BF">
      <w:pPr>
        <w:spacing w:line="240" w:lineRule="auto"/>
        <w:jc w:val="center"/>
        <w:rPr>
          <w:rFonts w:ascii="Calibri" w:eastAsia="Calibri" w:hAnsi="Calibri" w:cs="Calibri"/>
          <w:color w:val="000000" w:themeColor="text1"/>
        </w:rPr>
      </w:pPr>
      <w:r>
        <w:rPr>
          <w:noProof/>
        </w:rPr>
        <w:drawing>
          <wp:inline distT="0" distB="0" distL="0" distR="0" wp14:anchorId="1CF0FF55" wp14:editId="64802A48">
            <wp:extent cx="4200525" cy="2314575"/>
            <wp:effectExtent l="0" t="0" r="0" b="0"/>
            <wp:docPr id="447984116" name="Picture 4479841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525" cy="2314575"/>
                    </a:xfrm>
                    <a:prstGeom prst="rect">
                      <a:avLst/>
                    </a:prstGeom>
                  </pic:spPr>
                </pic:pic>
              </a:graphicData>
            </a:graphic>
          </wp:inline>
        </w:drawing>
      </w:r>
    </w:p>
    <w:p w14:paraId="3D238B66" w14:textId="77777777" w:rsidR="004B05BF" w:rsidRDefault="004B05BF" w:rsidP="004B05BF">
      <w:pPr>
        <w:pStyle w:val="ListParagraph"/>
        <w:spacing w:line="240" w:lineRule="auto"/>
        <w:jc w:val="center"/>
        <w:rPr>
          <w:rFonts w:eastAsiaTheme="minorEastAsia"/>
          <w:color w:val="000000" w:themeColor="text1"/>
        </w:rPr>
      </w:pPr>
    </w:p>
    <w:p w14:paraId="17A78B58" w14:textId="77777777" w:rsidR="004B05BF" w:rsidRPr="00C5191B" w:rsidRDefault="004B05BF" w:rsidP="004B05BF">
      <w:pPr>
        <w:pStyle w:val="ListParagraph"/>
        <w:spacing w:line="240" w:lineRule="auto"/>
        <w:jc w:val="center"/>
        <w:rPr>
          <w:rFonts w:ascii="Times New Roman" w:eastAsia="Times New Roman" w:hAnsi="Times New Roman" w:cs="Times New Roman"/>
          <w:color w:val="000000" w:themeColor="text1"/>
          <w:sz w:val="16"/>
          <w:szCs w:val="16"/>
        </w:rPr>
      </w:pPr>
      <w:r w:rsidRPr="00C5191B">
        <w:rPr>
          <w:rFonts w:ascii="Times New Roman" w:eastAsia="Times New Roman" w:hAnsi="Times New Roman" w:cs="Times New Roman"/>
          <w:color w:val="000000" w:themeColor="text1"/>
          <w:sz w:val="16"/>
          <w:szCs w:val="16"/>
        </w:rPr>
        <w:t>Source: U.S. Census Bureau (2021)</w:t>
      </w:r>
    </w:p>
    <w:p w14:paraId="637BA6F4" w14:textId="573CF74B" w:rsidR="00DB3020" w:rsidRDefault="0077719D" w:rsidP="003F06C3">
      <w:pPr>
        <w:rPr>
          <w:rFonts w:ascii="Calibri" w:eastAsia="Calibri" w:hAnsi="Calibri" w:cs="Calibri"/>
          <w:color w:val="000000" w:themeColor="text1"/>
        </w:rPr>
      </w:pPr>
      <w:r>
        <w:rPr>
          <w:rFonts w:ascii="Calibri" w:eastAsia="Calibri" w:hAnsi="Calibri" w:cs="Calibri"/>
          <w:color w:val="000000" w:themeColor="text1"/>
        </w:rPr>
        <w:t xml:space="preserve">Post-processing is conducted to ensure tables are internally and </w:t>
      </w:r>
      <w:proofErr w:type="spellStart"/>
      <w:r>
        <w:rPr>
          <w:rFonts w:ascii="Calibri" w:eastAsia="Calibri" w:hAnsi="Calibri" w:cs="Calibri"/>
          <w:color w:val="000000" w:themeColor="text1"/>
        </w:rPr>
        <w:t>hierarchicaly</w:t>
      </w:r>
      <w:proofErr w:type="spellEnd"/>
      <w:r>
        <w:rPr>
          <w:rFonts w:ascii="Calibri" w:eastAsia="Calibri" w:hAnsi="Calibri" w:cs="Calibri"/>
          <w:color w:val="000000" w:themeColor="text1"/>
        </w:rPr>
        <w:t xml:space="preserve"> consistent and that non-negative integers are not published. </w:t>
      </w:r>
      <w:r w:rsidR="00DB3020">
        <w:rPr>
          <w:rFonts w:ascii="Calibri" w:eastAsia="Calibri" w:hAnsi="Calibri" w:cs="Calibri"/>
          <w:color w:val="000000" w:themeColor="text1"/>
        </w:rPr>
        <w:t>The following statistics are considered by the bureau to be ‘invariants’ meaning the data will be released without noise infused.</w:t>
      </w:r>
    </w:p>
    <w:p w14:paraId="2CCE857C" w14:textId="33C1C321" w:rsidR="00DB3020" w:rsidRPr="00DB3020" w:rsidRDefault="00DB3020" w:rsidP="00DB3020">
      <w:pPr>
        <w:pStyle w:val="ListParagraph"/>
        <w:numPr>
          <w:ilvl w:val="0"/>
          <w:numId w:val="6"/>
        </w:numPr>
        <w:rPr>
          <w:rFonts w:ascii="Calibri" w:eastAsia="Calibri" w:hAnsi="Calibri" w:cs="Calibri"/>
          <w:color w:val="000000" w:themeColor="text1"/>
        </w:rPr>
      </w:pPr>
      <w:r w:rsidRPr="00DB3020">
        <w:rPr>
          <w:rFonts w:ascii="Calibri" w:eastAsia="Calibri" w:hAnsi="Calibri" w:cs="Calibri"/>
          <w:color w:val="000000" w:themeColor="text1"/>
        </w:rPr>
        <w:t xml:space="preserve">Total population (at the state and state-equivalents </w:t>
      </w:r>
      <w:r>
        <w:rPr>
          <w:rFonts w:ascii="Calibri" w:eastAsia="Calibri" w:hAnsi="Calibri" w:cs="Calibri"/>
          <w:color w:val="000000" w:themeColor="text1"/>
        </w:rPr>
        <w:t>level</w:t>
      </w:r>
      <w:r w:rsidRPr="00DB3020">
        <w:rPr>
          <w:rFonts w:ascii="Calibri" w:eastAsia="Calibri" w:hAnsi="Calibri" w:cs="Calibri"/>
          <w:color w:val="000000" w:themeColor="text1"/>
        </w:rPr>
        <w:t>) ​</w:t>
      </w:r>
    </w:p>
    <w:p w14:paraId="09E3C00A" w14:textId="77777777" w:rsidR="00DB3020" w:rsidRPr="00DB3020" w:rsidRDefault="00DB3020" w:rsidP="00DB3020">
      <w:pPr>
        <w:pStyle w:val="ListParagraph"/>
        <w:numPr>
          <w:ilvl w:val="0"/>
          <w:numId w:val="6"/>
        </w:numPr>
        <w:rPr>
          <w:rFonts w:ascii="Calibri" w:eastAsia="Calibri" w:hAnsi="Calibri" w:cs="Calibri"/>
          <w:color w:val="000000" w:themeColor="text1"/>
        </w:rPr>
      </w:pPr>
      <w:r w:rsidRPr="00DB3020">
        <w:rPr>
          <w:rFonts w:ascii="Calibri" w:eastAsia="Calibri" w:hAnsi="Calibri" w:cs="Calibri"/>
          <w:color w:val="000000" w:themeColor="text1"/>
        </w:rPr>
        <w:t>Total housing units (at the census block level)​</w:t>
      </w:r>
    </w:p>
    <w:p w14:paraId="014AF8E2" w14:textId="07621AE0" w:rsidR="00DB3020" w:rsidRDefault="00DB3020" w:rsidP="00DB3020">
      <w:pPr>
        <w:pStyle w:val="ListParagraph"/>
        <w:numPr>
          <w:ilvl w:val="0"/>
          <w:numId w:val="6"/>
        </w:numPr>
        <w:rPr>
          <w:rFonts w:ascii="Calibri" w:eastAsia="Calibri" w:hAnsi="Calibri" w:cs="Calibri"/>
          <w:color w:val="000000" w:themeColor="text1"/>
        </w:rPr>
      </w:pPr>
      <w:r w:rsidRPr="00DB3020">
        <w:rPr>
          <w:rFonts w:ascii="Calibri" w:eastAsia="Calibri" w:hAnsi="Calibri" w:cs="Calibri"/>
          <w:color w:val="000000" w:themeColor="text1"/>
        </w:rPr>
        <w:t>Number of group quarters facilities by type (at the census block level)</w:t>
      </w:r>
    </w:p>
    <w:p w14:paraId="59ADBCFE" w14:textId="3ABCD722" w:rsidR="001D393B" w:rsidRPr="001D393B" w:rsidRDefault="001D393B" w:rsidP="001D393B">
      <w:pPr>
        <w:rPr>
          <w:rFonts w:ascii="Calibri" w:eastAsia="Calibri" w:hAnsi="Calibri" w:cs="Calibri"/>
          <w:color w:val="000000" w:themeColor="text1"/>
        </w:rPr>
      </w:pPr>
      <w:r>
        <w:rPr>
          <w:rFonts w:ascii="Calibri" w:eastAsia="Calibri" w:hAnsi="Calibri" w:cs="Calibri"/>
          <w:color w:val="000000" w:themeColor="text1"/>
        </w:rPr>
        <w:t xml:space="preserve">Additionally, </w:t>
      </w:r>
      <w:r w:rsidRPr="001D393B">
        <w:rPr>
          <w:rFonts w:ascii="Calibri" w:eastAsia="Calibri" w:hAnsi="Calibri" w:cs="Calibri"/>
          <w:color w:val="000000" w:themeColor="text1"/>
        </w:rPr>
        <w:t xml:space="preserve">AIAN tribal area data have a separate and greater privacy-loss </w:t>
      </w:r>
      <w:r w:rsidR="00EF3891">
        <w:rPr>
          <w:rFonts w:ascii="Calibri" w:eastAsia="Calibri" w:hAnsi="Calibri" w:cs="Calibri"/>
          <w:color w:val="000000" w:themeColor="text1"/>
        </w:rPr>
        <w:t>budget</w:t>
      </w:r>
      <w:r w:rsidRPr="001D393B">
        <w:rPr>
          <w:rFonts w:ascii="Calibri" w:eastAsia="Calibri" w:hAnsi="Calibri" w:cs="Calibri"/>
          <w:color w:val="000000" w:themeColor="text1"/>
        </w:rPr>
        <w:t xml:space="preserve"> than other census data resulting in greater accuracy for these data.</w:t>
      </w:r>
    </w:p>
    <w:p w14:paraId="4768E798" w14:textId="68FEB5D6" w:rsidR="00DB3020" w:rsidRPr="003F06C3" w:rsidRDefault="004B05BF" w:rsidP="003F06C3">
      <w:pPr>
        <w:rPr>
          <w:rFonts w:eastAsiaTheme="minorEastAsia"/>
          <w:color w:val="000000" w:themeColor="text1"/>
        </w:rPr>
      </w:pPr>
      <w:r>
        <w:rPr>
          <w:noProof/>
        </w:rPr>
        <w:drawing>
          <wp:inline distT="0" distB="0" distL="0" distR="0" wp14:anchorId="0E92D0C6" wp14:editId="60197E91">
            <wp:extent cx="5943600" cy="203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7715"/>
                    </a:xfrm>
                    <a:prstGeom prst="rect">
                      <a:avLst/>
                    </a:prstGeom>
                  </pic:spPr>
                </pic:pic>
              </a:graphicData>
            </a:graphic>
          </wp:inline>
        </w:drawing>
      </w:r>
    </w:p>
    <w:p w14:paraId="4AEBC9D6" w14:textId="0A165B05" w:rsidR="009845AA" w:rsidRDefault="009845AA" w:rsidP="009845AA">
      <w:pPr>
        <w:rPr>
          <w:rFonts w:eastAsiaTheme="minorEastAsia"/>
          <w:color w:val="000000" w:themeColor="text1"/>
        </w:rPr>
      </w:pPr>
    </w:p>
    <w:p w14:paraId="44B37FB6" w14:textId="77777777" w:rsidR="009845AA" w:rsidRDefault="009845AA" w:rsidP="5B6380B4">
      <w:pPr>
        <w:rPr>
          <w:rFonts w:ascii="Calibri" w:eastAsia="Calibri" w:hAnsi="Calibri" w:cs="Calibri"/>
          <w:color w:val="000000" w:themeColor="text1"/>
        </w:rPr>
      </w:pPr>
    </w:p>
    <w:p w14:paraId="01E3FAD5" w14:textId="475C8DAA" w:rsidR="00537978" w:rsidRDefault="00E055DE" w:rsidP="5B6380B4">
      <w:pPr>
        <w:rPr>
          <w:rFonts w:ascii="Calibri" w:eastAsia="Calibri" w:hAnsi="Calibri" w:cs="Calibri"/>
          <w:color w:val="000000" w:themeColor="text1"/>
        </w:rPr>
      </w:pPr>
      <w:r>
        <w:rPr>
          <w:rFonts w:ascii="Calibri" w:eastAsia="Calibri" w:hAnsi="Calibri" w:cs="Calibri"/>
          <w:color w:val="000000" w:themeColor="text1"/>
        </w:rPr>
        <w:t xml:space="preserve">Some scholars (see Ruggles et. </w:t>
      </w:r>
      <w:proofErr w:type="gramStart"/>
      <w:r>
        <w:rPr>
          <w:rFonts w:ascii="Calibri" w:eastAsia="Calibri" w:hAnsi="Calibri" w:cs="Calibri"/>
          <w:color w:val="000000" w:themeColor="text1"/>
        </w:rPr>
        <w:t>al  2019</w:t>
      </w:r>
      <w:proofErr w:type="gramEnd"/>
      <w:r>
        <w:rPr>
          <w:rFonts w:ascii="Calibri" w:eastAsia="Calibri" w:hAnsi="Calibri" w:cs="Calibri"/>
          <w:color w:val="000000" w:themeColor="text1"/>
        </w:rPr>
        <w:t>) have challenged the Census Bureau’s assertions about risk of disclosure in 2010 tables and necessity/appropriateness of DP.</w:t>
      </w:r>
    </w:p>
    <w:p w14:paraId="0CC462D6" w14:textId="352D04A4" w:rsidR="009E1E4E" w:rsidRPr="009845AA" w:rsidRDefault="006D63B2" w:rsidP="009845AA">
      <w:pPr>
        <w:rPr>
          <w:rFonts w:eastAsiaTheme="minorEastAsia"/>
          <w:color w:val="000000" w:themeColor="text1"/>
        </w:rPr>
      </w:pPr>
      <w:r>
        <w:rPr>
          <w:rFonts w:ascii="Calibri" w:eastAsia="Calibri" w:hAnsi="Calibri" w:cs="Calibri"/>
          <w:b/>
          <w:bCs/>
          <w:color w:val="000000" w:themeColor="text1"/>
        </w:rPr>
        <w:lastRenderedPageBreak/>
        <w:t>Demonstration Data</w:t>
      </w:r>
      <w:r w:rsidRPr="00136C22">
        <w:rPr>
          <w:rFonts w:ascii="Calibri" w:eastAsia="Calibri" w:hAnsi="Calibri" w:cs="Calibri"/>
          <w:b/>
          <w:bCs/>
          <w:color w:val="000000" w:themeColor="text1"/>
        </w:rPr>
        <w:t>:</w:t>
      </w:r>
      <w:r>
        <w:rPr>
          <w:rFonts w:ascii="Calibri" w:eastAsia="Calibri" w:hAnsi="Calibri" w:cs="Calibri"/>
          <w:b/>
          <w:bCs/>
          <w:color w:val="000000" w:themeColor="text1"/>
        </w:rPr>
        <w:t xml:space="preserve"> </w:t>
      </w:r>
      <w:r w:rsidR="71310749" w:rsidRPr="009845AA">
        <w:rPr>
          <w:rFonts w:ascii="Calibri" w:eastAsia="Calibri" w:hAnsi="Calibri" w:cs="Calibri"/>
          <w:color w:val="000000" w:themeColor="text1"/>
        </w:rPr>
        <w:t>Census Bureau released  </w:t>
      </w:r>
      <w:hyperlink r:id="rId13">
        <w:r w:rsidR="71310749" w:rsidRPr="009845AA">
          <w:rPr>
            <w:rStyle w:val="Hyperlink"/>
            <w:rFonts w:ascii="Calibri" w:eastAsia="Calibri" w:hAnsi="Calibri" w:cs="Calibri"/>
            <w:color w:val="000000" w:themeColor="text1"/>
            <w:u w:val="none"/>
          </w:rPr>
          <w:t>2010 Demonstration Data Products</w:t>
        </w:r>
      </w:hyperlink>
      <w:r w:rsidR="71310749" w:rsidRPr="009845AA">
        <w:rPr>
          <w:rFonts w:ascii="Calibri" w:eastAsia="Calibri" w:hAnsi="Calibri" w:cs="Calibri"/>
          <w:color w:val="000000" w:themeColor="text1"/>
        </w:rPr>
        <w:t xml:space="preserve"> which reflect the 2010 census data with differential privacy applied allowing researchers to investigate impacts of differential privacy on analyses. </w:t>
      </w:r>
    </w:p>
    <w:p w14:paraId="4C8B6493" w14:textId="7C7F0634" w:rsidR="009E1E4E" w:rsidRDefault="71310749" w:rsidP="5B6380B4">
      <w:pPr>
        <w:pStyle w:val="ListParagraph"/>
        <w:numPr>
          <w:ilvl w:val="1"/>
          <w:numId w:val="3"/>
        </w:numPr>
        <w:rPr>
          <w:rFonts w:eastAsiaTheme="minorEastAsia"/>
          <w:color w:val="000000" w:themeColor="text1"/>
        </w:rPr>
      </w:pPr>
      <w:r w:rsidRPr="5B6380B4">
        <w:rPr>
          <w:rFonts w:ascii="Calibri" w:eastAsia="Calibri" w:hAnsi="Calibri" w:cs="Calibri"/>
          <w:color w:val="000000" w:themeColor="text1"/>
        </w:rPr>
        <w:t>The initial 2010 demonstration data were released in May 2020</w:t>
      </w:r>
    </w:p>
    <w:p w14:paraId="1CF11767" w14:textId="132A04FF" w:rsidR="009E1E4E" w:rsidRDefault="71310749" w:rsidP="5B6380B4">
      <w:pPr>
        <w:pStyle w:val="ListParagraph"/>
        <w:numPr>
          <w:ilvl w:val="1"/>
          <w:numId w:val="3"/>
        </w:numPr>
        <w:rPr>
          <w:rFonts w:eastAsiaTheme="minorEastAsia"/>
          <w:color w:val="000000" w:themeColor="text1"/>
        </w:rPr>
      </w:pPr>
      <w:r w:rsidRPr="5B6380B4">
        <w:rPr>
          <w:rFonts w:ascii="Calibri" w:eastAsia="Calibri" w:hAnsi="Calibri" w:cs="Calibri"/>
          <w:color w:val="000000" w:themeColor="text1"/>
        </w:rPr>
        <w:t>In March 2022 a modified version of the 2020 demonstration data was released with a larger privacy-loss budget and therefore less noise</w:t>
      </w:r>
    </w:p>
    <w:p w14:paraId="59BF338F" w14:textId="6D0DC25C" w:rsidR="009E1E4E" w:rsidRDefault="00934A0C" w:rsidP="007334DD">
      <w:pPr>
        <w:ind w:left="360"/>
        <w:rPr>
          <w:rFonts w:eastAsiaTheme="minorEastAsia"/>
          <w:color w:val="000000" w:themeColor="text1"/>
        </w:rPr>
      </w:pPr>
      <w:r>
        <w:rPr>
          <w:noProof/>
        </w:rPr>
        <w:drawing>
          <wp:inline distT="0" distB="0" distL="0" distR="0" wp14:anchorId="43E62953" wp14:editId="4B86CD10">
            <wp:extent cx="5943600" cy="1704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4340"/>
                    </a:xfrm>
                    <a:prstGeom prst="rect">
                      <a:avLst/>
                    </a:prstGeom>
                  </pic:spPr>
                </pic:pic>
              </a:graphicData>
            </a:graphic>
          </wp:inline>
        </w:drawing>
      </w:r>
    </w:p>
    <w:p w14:paraId="2663A09F" w14:textId="7CF01D92" w:rsidR="007334DD" w:rsidRDefault="007334DD" w:rsidP="007334DD">
      <w:pPr>
        <w:ind w:left="360"/>
        <w:rPr>
          <w:rFonts w:eastAsiaTheme="minorEastAsia"/>
          <w:color w:val="000000" w:themeColor="text1"/>
        </w:rPr>
      </w:pPr>
    </w:p>
    <w:p w14:paraId="76614DF3" w14:textId="3D74C4F1" w:rsidR="007334DD" w:rsidRPr="007334DD" w:rsidRDefault="007334DD" w:rsidP="007334DD">
      <w:pPr>
        <w:ind w:left="360"/>
        <w:rPr>
          <w:rFonts w:eastAsiaTheme="minorEastAsia"/>
          <w:color w:val="000000" w:themeColor="text1"/>
        </w:rPr>
      </w:pPr>
    </w:p>
    <w:p w14:paraId="238BD4EF" w14:textId="0491144C" w:rsidR="009E1E4E" w:rsidRDefault="008F1BD4" w:rsidP="00743B90">
      <w:pPr>
        <w:rPr>
          <w:rFonts w:ascii="Calibri" w:eastAsia="Calibri" w:hAnsi="Calibri" w:cs="Calibri"/>
          <w:color w:val="000000" w:themeColor="text1"/>
        </w:rPr>
      </w:pPr>
      <w:r>
        <w:rPr>
          <w:rFonts w:ascii="Calibri" w:eastAsia="Calibri" w:hAnsi="Calibri" w:cs="Calibri"/>
          <w:b/>
          <w:bCs/>
          <w:color w:val="000000" w:themeColor="text1"/>
        </w:rPr>
        <w:t>Assessment</w:t>
      </w:r>
      <w:r w:rsidR="00FD4C04">
        <w:rPr>
          <w:rFonts w:ascii="Calibri" w:eastAsia="Calibri" w:hAnsi="Calibri" w:cs="Calibri"/>
          <w:b/>
          <w:bCs/>
          <w:color w:val="000000" w:themeColor="text1"/>
        </w:rPr>
        <w:t>/Key Findings</w:t>
      </w:r>
      <w:r w:rsidR="71310749" w:rsidRPr="5B6380B4">
        <w:rPr>
          <w:rFonts w:ascii="Calibri" w:eastAsia="Calibri" w:hAnsi="Calibri" w:cs="Calibri"/>
          <w:b/>
          <w:bCs/>
          <w:color w:val="000000" w:themeColor="text1"/>
        </w:rPr>
        <w:t>:</w:t>
      </w:r>
      <w:r w:rsidR="00FD4C04">
        <w:rPr>
          <w:rFonts w:ascii="Calibri" w:eastAsia="Calibri" w:hAnsi="Calibri" w:cs="Calibri"/>
          <w:b/>
          <w:bCs/>
          <w:color w:val="000000" w:themeColor="text1"/>
        </w:rPr>
        <w:t xml:space="preserve">  </w:t>
      </w:r>
      <w:r w:rsidR="005E31D7">
        <w:rPr>
          <w:rFonts w:ascii="Calibri" w:eastAsia="Calibri" w:hAnsi="Calibri" w:cs="Calibri"/>
          <w:color w:val="000000" w:themeColor="text1"/>
        </w:rPr>
        <w:t>Many</w:t>
      </w:r>
      <w:r w:rsidR="00FD4C04">
        <w:rPr>
          <w:rFonts w:ascii="Calibri" w:eastAsia="Calibri" w:hAnsi="Calibri" w:cs="Calibri"/>
          <w:color w:val="000000" w:themeColor="text1"/>
        </w:rPr>
        <w:t xml:space="preserve"> analyses of the initial May 2020 demonstration data found that </w:t>
      </w:r>
      <w:r w:rsidR="00464787">
        <w:rPr>
          <w:rFonts w:ascii="Calibri" w:eastAsia="Calibri" w:hAnsi="Calibri" w:cs="Calibri"/>
          <w:color w:val="000000" w:themeColor="text1"/>
        </w:rPr>
        <w:t xml:space="preserve">relatively small </w:t>
      </w:r>
      <w:r w:rsidR="00934A0C">
        <w:rPr>
          <w:rFonts w:ascii="Calibri" w:eastAsia="Calibri" w:hAnsi="Calibri" w:cs="Calibri"/>
          <w:color w:val="000000" w:themeColor="text1"/>
        </w:rPr>
        <w:t xml:space="preserve">aggregations </w:t>
      </w:r>
      <w:r w:rsidR="00464787">
        <w:rPr>
          <w:rFonts w:ascii="Calibri" w:eastAsia="Calibri" w:hAnsi="Calibri" w:cs="Calibri"/>
          <w:color w:val="000000" w:themeColor="text1"/>
        </w:rPr>
        <w:t xml:space="preserve">of the data </w:t>
      </w:r>
      <w:r w:rsidR="009629E3">
        <w:rPr>
          <w:rFonts w:ascii="Calibri" w:eastAsia="Calibri" w:hAnsi="Calibri" w:cs="Calibri"/>
          <w:color w:val="000000" w:themeColor="text1"/>
        </w:rPr>
        <w:t>contained significant error</w:t>
      </w:r>
      <w:r w:rsidR="0010386B">
        <w:rPr>
          <w:rFonts w:ascii="Calibri" w:eastAsia="Calibri" w:hAnsi="Calibri" w:cs="Calibri"/>
          <w:color w:val="000000" w:themeColor="text1"/>
        </w:rPr>
        <w:t>, with some variation in terms of what level of aggregation is required for accurate measurement</w:t>
      </w:r>
      <w:r w:rsidR="009629E3">
        <w:rPr>
          <w:rFonts w:ascii="Calibri" w:eastAsia="Calibri" w:hAnsi="Calibri" w:cs="Calibri"/>
          <w:color w:val="000000" w:themeColor="text1"/>
        </w:rPr>
        <w:t>.</w:t>
      </w:r>
      <w:r w:rsidR="0010386B">
        <w:rPr>
          <w:rFonts w:ascii="Calibri" w:eastAsia="Calibri" w:hAnsi="Calibri" w:cs="Calibri"/>
          <w:color w:val="000000" w:themeColor="text1"/>
        </w:rPr>
        <w:t xml:space="preserve">  </w:t>
      </w:r>
      <w:r w:rsidR="0010386B" w:rsidRPr="5B6380B4">
        <w:rPr>
          <w:rFonts w:ascii="Calibri" w:eastAsia="Calibri" w:hAnsi="Calibri" w:cs="Calibri"/>
          <w:color w:val="000000" w:themeColor="text1"/>
        </w:rPr>
        <w:t>Hauer and Santos-Lozada (202</w:t>
      </w:r>
      <w:r w:rsidR="0010386B">
        <w:rPr>
          <w:rFonts w:ascii="Calibri" w:eastAsia="Calibri" w:hAnsi="Calibri" w:cs="Calibri"/>
          <w:color w:val="000000" w:themeColor="text1"/>
        </w:rPr>
        <w:t>0</w:t>
      </w:r>
      <w:r w:rsidR="0010386B" w:rsidRPr="5B6380B4">
        <w:rPr>
          <w:rFonts w:ascii="Calibri" w:eastAsia="Calibri" w:hAnsi="Calibri" w:cs="Calibri"/>
          <w:color w:val="000000" w:themeColor="text1"/>
        </w:rPr>
        <w:t xml:space="preserve">) show that population groupings with fewer than 1,000 people are subject to significant error. </w:t>
      </w:r>
      <w:r w:rsidR="0010386B">
        <w:rPr>
          <w:rFonts w:ascii="Calibri" w:eastAsia="Calibri" w:hAnsi="Calibri" w:cs="Calibri"/>
          <w:color w:val="000000" w:themeColor="text1"/>
        </w:rPr>
        <w:t xml:space="preserve">A later paper </w:t>
      </w:r>
      <w:r w:rsidR="00743B90">
        <w:rPr>
          <w:rFonts w:ascii="Calibri" w:eastAsia="Calibri" w:hAnsi="Calibri" w:cs="Calibri"/>
          <w:color w:val="000000" w:themeColor="text1"/>
        </w:rPr>
        <w:t>by the same authors</w:t>
      </w:r>
      <w:r w:rsidR="005467BD">
        <w:rPr>
          <w:rFonts w:ascii="Calibri" w:eastAsia="Calibri" w:hAnsi="Calibri" w:cs="Calibri"/>
          <w:color w:val="000000" w:themeColor="text1"/>
        </w:rPr>
        <w:t xml:space="preserve"> </w:t>
      </w:r>
      <w:r w:rsidR="0010386B">
        <w:rPr>
          <w:rFonts w:ascii="Calibri" w:eastAsia="Calibri" w:hAnsi="Calibri" w:cs="Calibri"/>
          <w:color w:val="000000" w:themeColor="text1"/>
        </w:rPr>
        <w:t xml:space="preserve">(2021), however, indicates groupings smaller than 2,500 people will distort outcome measurements. </w:t>
      </w:r>
      <w:r w:rsidR="00743B90">
        <w:rPr>
          <w:rFonts w:ascii="Calibri" w:eastAsia="Calibri" w:hAnsi="Calibri" w:cs="Calibri"/>
          <w:color w:val="000000" w:themeColor="text1"/>
        </w:rPr>
        <w:t xml:space="preserve"> </w:t>
      </w:r>
      <w:r w:rsidR="00803B39">
        <w:rPr>
          <w:rFonts w:ascii="Calibri" w:eastAsia="Calibri" w:hAnsi="Calibri" w:cs="Calibri"/>
          <w:color w:val="000000" w:themeColor="text1"/>
        </w:rPr>
        <w:t>For reference in the 2010 Census Data, &gt;99% of California blocks had fewer than 1,000 people and 23% of block groups had fewer than 1,000 people.</w:t>
      </w:r>
    </w:p>
    <w:p w14:paraId="40D29B9E" w14:textId="000B2722" w:rsidR="001D09A9" w:rsidRDefault="001D09A9" w:rsidP="001D09A9">
      <w:pPr>
        <w:rPr>
          <w:rFonts w:ascii="Calibri" w:eastAsia="Calibri" w:hAnsi="Calibri" w:cs="Calibri"/>
          <w:color w:val="000000" w:themeColor="text1"/>
        </w:rPr>
      </w:pPr>
      <w:r>
        <w:rPr>
          <w:rFonts w:ascii="Calibri" w:eastAsia="Calibri" w:hAnsi="Calibri" w:cs="Calibri"/>
          <w:color w:val="000000" w:themeColor="text1"/>
        </w:rPr>
        <w:t>In their 2020 paper, Hauer and Santos-Lozada</w:t>
      </w:r>
      <w:r w:rsidRPr="5B6380B4">
        <w:rPr>
          <w:rFonts w:ascii="Calibri" w:eastAsia="Calibri" w:hAnsi="Calibri" w:cs="Calibri"/>
          <w:color w:val="000000" w:themeColor="text1"/>
        </w:rPr>
        <w:t xml:space="preserve"> suggest that differential privacy will more strongly affect mortality rate estimates for non-Hispanic blacks and Hispanics than estimates for non-Hispanic whites, with significant changes in estimated mortality rates for less populous areas and more pronounced changes when stratified by race/ethnicity.</w:t>
      </w:r>
      <w:r w:rsidR="0016582F">
        <w:rPr>
          <w:rFonts w:ascii="Calibri" w:eastAsia="Calibri" w:hAnsi="Calibri" w:cs="Calibri"/>
          <w:color w:val="000000" w:themeColor="text1"/>
        </w:rPr>
        <w:t xml:space="preserve">  They also find that the error introduced through DP will </w:t>
      </w:r>
      <w:r w:rsidR="00EE0B64">
        <w:rPr>
          <w:rFonts w:ascii="Calibri" w:eastAsia="Calibri" w:hAnsi="Calibri" w:cs="Calibri"/>
          <w:color w:val="000000" w:themeColor="text1"/>
        </w:rPr>
        <w:t>disproportionately</w:t>
      </w:r>
      <w:r w:rsidR="0016582F">
        <w:rPr>
          <w:rFonts w:ascii="Calibri" w:eastAsia="Calibri" w:hAnsi="Calibri" w:cs="Calibri"/>
          <w:color w:val="000000" w:themeColor="text1"/>
        </w:rPr>
        <w:t xml:space="preserve"> impact rural areas. </w:t>
      </w:r>
    </w:p>
    <w:p w14:paraId="72E48E17" w14:textId="77777777" w:rsidR="003B51A0" w:rsidRDefault="003B51A0" w:rsidP="003B51A0">
      <w:pPr>
        <w:rPr>
          <w:rFonts w:ascii="Calibri" w:eastAsia="Calibri" w:hAnsi="Calibri" w:cs="Calibri"/>
          <w:color w:val="000000" w:themeColor="text1"/>
        </w:rPr>
      </w:pPr>
      <w:r w:rsidRPr="5B6380B4">
        <w:rPr>
          <w:rFonts w:ascii="Calibri" w:eastAsia="Calibri" w:hAnsi="Calibri" w:cs="Calibri"/>
          <w:color w:val="000000" w:themeColor="text1"/>
        </w:rPr>
        <w:t xml:space="preserve">Krieger et. al. (2021) </w:t>
      </w:r>
      <w:proofErr w:type="gramStart"/>
      <w:r w:rsidRPr="5B6380B4">
        <w:rPr>
          <w:rFonts w:ascii="Calibri" w:eastAsia="Calibri" w:hAnsi="Calibri" w:cs="Calibri"/>
          <w:color w:val="000000" w:themeColor="text1"/>
        </w:rPr>
        <w:t>find</w:t>
      </w:r>
      <w:proofErr w:type="gramEnd"/>
      <w:r w:rsidRPr="5B6380B4">
        <w:rPr>
          <w:rFonts w:ascii="Calibri" w:eastAsia="Calibri" w:hAnsi="Calibri" w:cs="Calibri"/>
          <w:color w:val="000000" w:themeColor="text1"/>
        </w:rPr>
        <w:t xml:space="preserve"> that measures of health inequities at the census-tract level were not impacted by using 2010 Census data with DP applied. </w:t>
      </w:r>
    </w:p>
    <w:p w14:paraId="08B37E6A" w14:textId="0EEDA7D9" w:rsidR="00C7476C" w:rsidRDefault="00C7476C" w:rsidP="001D09A9">
      <w:pPr>
        <w:rPr>
          <w:rFonts w:ascii="Calibri" w:eastAsia="Calibri" w:hAnsi="Calibri" w:cs="Calibri"/>
          <w:color w:val="000000" w:themeColor="text1"/>
        </w:rPr>
      </w:pPr>
      <w:r>
        <w:rPr>
          <w:rFonts w:ascii="Calibri" w:eastAsia="Calibri" w:hAnsi="Calibri" w:cs="Calibri"/>
          <w:color w:val="000000" w:themeColor="text1"/>
        </w:rPr>
        <w:t xml:space="preserve">The CDC found that county-level Covid-19 incidence rates for racial minority groups were disproportionality impacted using the March 2022 released demonstration data. </w:t>
      </w:r>
    </w:p>
    <w:p w14:paraId="1C3BCA70" w14:textId="4FB77FB2" w:rsidR="00C7476C" w:rsidRDefault="00C7476C" w:rsidP="001D09A9">
      <w:pPr>
        <w:rPr>
          <w:rFonts w:ascii="Calibri" w:eastAsia="Calibri" w:hAnsi="Calibri" w:cs="Calibri"/>
          <w:color w:val="000000" w:themeColor="text1"/>
        </w:rPr>
      </w:pPr>
      <w:r>
        <w:rPr>
          <w:noProof/>
        </w:rPr>
        <w:lastRenderedPageBreak/>
        <w:drawing>
          <wp:inline distT="0" distB="0" distL="0" distR="0" wp14:anchorId="4824505A" wp14:editId="6D6988B6">
            <wp:extent cx="5943600" cy="3311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1525"/>
                    </a:xfrm>
                    <a:prstGeom prst="rect">
                      <a:avLst/>
                    </a:prstGeom>
                  </pic:spPr>
                </pic:pic>
              </a:graphicData>
            </a:graphic>
          </wp:inline>
        </w:drawing>
      </w:r>
    </w:p>
    <w:p w14:paraId="4DAAAC20" w14:textId="26F0A17B" w:rsidR="002B333A" w:rsidRDefault="002B333A" w:rsidP="001D09A9">
      <w:pPr>
        <w:rPr>
          <w:rFonts w:ascii="Calibri" w:eastAsia="Calibri" w:hAnsi="Calibri" w:cs="Calibri"/>
          <w:color w:val="000000" w:themeColor="text1"/>
        </w:rPr>
      </w:pPr>
      <w:r>
        <w:rPr>
          <w:noProof/>
        </w:rPr>
        <w:drawing>
          <wp:inline distT="0" distB="0" distL="0" distR="0" wp14:anchorId="786FA54D" wp14:editId="6C49C01E">
            <wp:extent cx="5943600" cy="3152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2140"/>
                    </a:xfrm>
                    <a:prstGeom prst="rect">
                      <a:avLst/>
                    </a:prstGeom>
                  </pic:spPr>
                </pic:pic>
              </a:graphicData>
            </a:graphic>
          </wp:inline>
        </w:drawing>
      </w:r>
    </w:p>
    <w:p w14:paraId="69FE05AF" w14:textId="512CFA97" w:rsidR="005467BD" w:rsidRDefault="005467BD" w:rsidP="005467BD">
      <w:pPr>
        <w:rPr>
          <w:rFonts w:ascii="Calibri" w:eastAsia="Calibri" w:hAnsi="Calibri" w:cs="Calibri"/>
          <w:color w:val="000000" w:themeColor="text1"/>
        </w:rPr>
      </w:pPr>
    </w:p>
    <w:p w14:paraId="7278BF94" w14:textId="77777777" w:rsidR="00790DA1" w:rsidRDefault="005467BD" w:rsidP="00790DA1">
      <w:pPr>
        <w:rPr>
          <w:rFonts w:ascii="Calibri" w:eastAsia="Calibri" w:hAnsi="Calibri" w:cs="Calibri"/>
          <w:color w:val="000000" w:themeColor="text1"/>
        </w:rPr>
      </w:pPr>
      <w:r w:rsidRPr="005467BD">
        <w:rPr>
          <w:rFonts w:ascii="Calibri" w:eastAsia="Calibri" w:hAnsi="Calibri" w:cs="Calibri"/>
          <w:b/>
          <w:bCs/>
          <w:color w:val="000000" w:themeColor="text1"/>
        </w:rPr>
        <w:t>Other Relevant Findings:</w:t>
      </w:r>
      <w:r w:rsidR="008D22A8" w:rsidRPr="008D22A8">
        <w:rPr>
          <w:rFonts w:ascii="Calibri" w:eastAsia="Calibri" w:hAnsi="Calibri" w:cs="Calibri"/>
          <w:color w:val="000000" w:themeColor="text1"/>
        </w:rPr>
        <w:t xml:space="preserve"> </w:t>
      </w:r>
      <w:r w:rsidR="00790DA1" w:rsidRPr="00790DA1">
        <w:rPr>
          <w:rFonts w:ascii="Calibri" w:eastAsia="Calibri" w:hAnsi="Calibri" w:cs="Calibri"/>
          <w:color w:val="000000" w:themeColor="text1"/>
        </w:rPr>
        <w:t xml:space="preserve">Kenny et. al. (2021) find “(differential </w:t>
      </w:r>
      <w:proofErr w:type="gramStart"/>
      <w:r w:rsidR="00790DA1" w:rsidRPr="00790DA1">
        <w:rPr>
          <w:rFonts w:ascii="Calibri" w:eastAsia="Calibri" w:hAnsi="Calibri" w:cs="Calibri"/>
          <w:color w:val="000000" w:themeColor="text1"/>
        </w:rPr>
        <w:t>privacy)…</w:t>
      </w:r>
      <w:proofErr w:type="gramEnd"/>
      <w:r w:rsidR="00790DA1" w:rsidRPr="00790DA1">
        <w:rPr>
          <w:rFonts w:ascii="Calibri" w:eastAsia="Calibri" w:hAnsi="Calibri" w:cs="Calibri"/>
          <w:color w:val="000000" w:themeColor="text1"/>
        </w:rPr>
        <w:t xml:space="preserve"> has a tendency to transfer population across geographies in ways that artificially reduce racial …. heterogeneity. “</w:t>
      </w:r>
    </w:p>
    <w:p w14:paraId="21D585B8" w14:textId="1D5A7625" w:rsidR="008D22A8" w:rsidRDefault="008D22A8" w:rsidP="008D22A8">
      <w:pPr>
        <w:rPr>
          <w:rFonts w:ascii="Calibri" w:eastAsia="Calibri" w:hAnsi="Calibri" w:cs="Calibri"/>
          <w:color w:val="000000" w:themeColor="text1"/>
        </w:rPr>
      </w:pPr>
      <w:proofErr w:type="spellStart"/>
      <w:r w:rsidRPr="5B6380B4">
        <w:rPr>
          <w:rFonts w:ascii="Calibri" w:eastAsia="Calibri" w:hAnsi="Calibri" w:cs="Calibri"/>
          <w:color w:val="000000" w:themeColor="text1"/>
        </w:rPr>
        <w:t>Dyda</w:t>
      </w:r>
      <w:proofErr w:type="spellEnd"/>
      <w:r w:rsidRPr="5B6380B4">
        <w:rPr>
          <w:rFonts w:ascii="Calibri" w:eastAsia="Calibri" w:hAnsi="Calibri" w:cs="Calibri"/>
          <w:color w:val="000000" w:themeColor="text1"/>
        </w:rPr>
        <w:t>, Purcell, and Curtis, et al (2021) pilot a new differential privacy tool, COVID-19 Real-Time Information System for Preparedness and Epidemic Response (CRISPER), to provide real-time data for the health sector.</w:t>
      </w:r>
    </w:p>
    <w:p w14:paraId="749568EE" w14:textId="7CF1665D" w:rsidR="005B002A" w:rsidRDefault="005B002A" w:rsidP="008D22A8">
      <w:pPr>
        <w:rPr>
          <w:rFonts w:ascii="Calibri" w:eastAsia="Calibri" w:hAnsi="Calibri" w:cs="Calibri"/>
          <w:color w:val="000000" w:themeColor="text1"/>
        </w:rPr>
      </w:pPr>
      <w:r>
        <w:rPr>
          <w:rFonts w:ascii="Calibri" w:eastAsia="Calibri" w:hAnsi="Calibri" w:cs="Calibri"/>
          <w:color w:val="000000" w:themeColor="text1"/>
        </w:rPr>
        <w:lastRenderedPageBreak/>
        <w:t xml:space="preserve">Hodges and Cortes (2020) from </w:t>
      </w:r>
      <w:proofErr w:type="spellStart"/>
      <w:r>
        <w:rPr>
          <w:rFonts w:ascii="Calibri" w:eastAsia="Calibri" w:hAnsi="Calibri" w:cs="Calibri"/>
          <w:color w:val="000000" w:themeColor="text1"/>
        </w:rPr>
        <w:t>Claritas</w:t>
      </w:r>
      <w:proofErr w:type="spellEnd"/>
      <w:r>
        <w:rPr>
          <w:rFonts w:ascii="Calibri" w:eastAsia="Calibri" w:hAnsi="Calibri" w:cs="Calibri"/>
          <w:color w:val="000000" w:themeColor="text1"/>
        </w:rPr>
        <w:t xml:space="preserve"> found inconsistencies in the person and household counts in the initial demonstration data – cases where there were households but no population </w:t>
      </w:r>
      <w:r w:rsidR="00D32404">
        <w:rPr>
          <w:rFonts w:ascii="Calibri" w:eastAsia="Calibri" w:hAnsi="Calibri" w:cs="Calibri"/>
          <w:color w:val="000000" w:themeColor="text1"/>
        </w:rPr>
        <w:t xml:space="preserve">or more householders than there were population </w:t>
      </w:r>
      <w:r>
        <w:rPr>
          <w:rFonts w:ascii="Calibri" w:eastAsia="Calibri" w:hAnsi="Calibri" w:cs="Calibri"/>
          <w:color w:val="000000" w:themeColor="text1"/>
        </w:rPr>
        <w:t xml:space="preserve">in </w:t>
      </w:r>
      <w:r w:rsidR="00D32404">
        <w:rPr>
          <w:rFonts w:ascii="Calibri" w:eastAsia="Calibri" w:hAnsi="Calibri" w:cs="Calibri"/>
          <w:color w:val="000000" w:themeColor="text1"/>
        </w:rPr>
        <w:t xml:space="preserve">block groups.  </w:t>
      </w:r>
    </w:p>
    <w:p w14:paraId="1777B897" w14:textId="77777777" w:rsidR="008D22A8" w:rsidRDefault="008D22A8" w:rsidP="008D22A8">
      <w:pPr>
        <w:rPr>
          <w:rFonts w:ascii="Calibri" w:eastAsia="Calibri" w:hAnsi="Calibri" w:cs="Calibri"/>
          <w:color w:val="000000" w:themeColor="text1"/>
        </w:rPr>
      </w:pPr>
      <w:r w:rsidRPr="5B6380B4">
        <w:rPr>
          <w:rFonts w:ascii="Calibri" w:eastAsia="Calibri" w:hAnsi="Calibri" w:cs="Calibri"/>
          <w:color w:val="000000" w:themeColor="text1"/>
        </w:rPr>
        <w:t>Kurz, König, and Emmert-Fees, et al, (2022) find the DP method introduces errors up to 10% into counts and proportions of Medicaid participation rate accuracy at the county level, especially for small subpopulations and racial and ethnic minority groups.</w:t>
      </w:r>
    </w:p>
    <w:p w14:paraId="66F13D0A" w14:textId="77777777" w:rsidR="008D22A8" w:rsidRDefault="008D22A8" w:rsidP="008D22A8">
      <w:pPr>
        <w:rPr>
          <w:rFonts w:ascii="Calibri" w:eastAsia="Calibri" w:hAnsi="Calibri" w:cs="Calibri"/>
          <w:color w:val="000000" w:themeColor="text1"/>
        </w:rPr>
      </w:pPr>
      <w:r w:rsidRPr="5B6380B4">
        <w:rPr>
          <w:rFonts w:ascii="Calibri" w:eastAsia="Calibri" w:hAnsi="Calibri" w:cs="Calibri"/>
          <w:color w:val="000000" w:themeColor="text1"/>
        </w:rPr>
        <w:t xml:space="preserve">Petti and Flaxman (2020) list seven key choices that balance accuracy and privacy when implementing the Census Bureau’s </w:t>
      </w:r>
      <w:proofErr w:type="spellStart"/>
      <w:r w:rsidRPr="5B6380B4">
        <w:rPr>
          <w:rFonts w:ascii="Calibri" w:eastAsia="Calibri" w:hAnsi="Calibri" w:cs="Calibri"/>
          <w:color w:val="000000" w:themeColor="text1"/>
        </w:rPr>
        <w:t>TopDown</w:t>
      </w:r>
      <w:proofErr w:type="spellEnd"/>
      <w:r w:rsidRPr="5B6380B4">
        <w:rPr>
          <w:rFonts w:ascii="Calibri" w:eastAsia="Calibri" w:hAnsi="Calibri" w:cs="Calibri"/>
          <w:color w:val="000000" w:themeColor="text1"/>
        </w:rPr>
        <w:t xml:space="preserve"> approach to differential privacy.</w:t>
      </w:r>
    </w:p>
    <w:p w14:paraId="4FBF8DB6" w14:textId="77777777" w:rsidR="008D22A8" w:rsidRDefault="008D22A8" w:rsidP="008D22A8">
      <w:pPr>
        <w:rPr>
          <w:rFonts w:ascii="Calibri" w:eastAsia="Calibri" w:hAnsi="Calibri" w:cs="Calibri"/>
          <w:strike/>
          <w:color w:val="000000" w:themeColor="text1"/>
        </w:rPr>
      </w:pPr>
      <w:r w:rsidRPr="5B6380B4">
        <w:rPr>
          <w:rFonts w:ascii="Calibri" w:eastAsia="Calibri" w:hAnsi="Calibri" w:cs="Calibri"/>
          <w:color w:val="000000" w:themeColor="text1"/>
        </w:rPr>
        <w:t xml:space="preserve">Walter </w:t>
      </w:r>
      <w:proofErr w:type="spellStart"/>
      <w:r w:rsidRPr="5B6380B4">
        <w:rPr>
          <w:rFonts w:ascii="Calibri" w:eastAsia="Calibri" w:hAnsi="Calibri" w:cs="Calibri"/>
          <w:color w:val="000000" w:themeColor="text1"/>
        </w:rPr>
        <w:t>Schwarm</w:t>
      </w:r>
      <w:proofErr w:type="spellEnd"/>
      <w:r w:rsidRPr="5B6380B4">
        <w:rPr>
          <w:rFonts w:ascii="Calibri" w:eastAsia="Calibri" w:hAnsi="Calibri" w:cs="Calibri"/>
          <w:color w:val="000000" w:themeColor="text1"/>
        </w:rPr>
        <w:t xml:space="preserve"> and Jonathan Buttle of the California Department of Finance Demographic Unit compare an aspect of differential privacy to a privacy budget that is reduced by increased accuracy in data. They describe two methods of allocating the privacy budget, sequential and parallel, and propose methods to measure accuracy, </w:t>
      </w:r>
      <w:proofErr w:type="gramStart"/>
      <w:r w:rsidRPr="5B6380B4">
        <w:rPr>
          <w:rFonts w:ascii="Calibri" w:eastAsia="Calibri" w:hAnsi="Calibri" w:cs="Calibri"/>
          <w:color w:val="000000" w:themeColor="text1"/>
        </w:rPr>
        <w:t>bias</w:t>
      </w:r>
      <w:proofErr w:type="gramEnd"/>
      <w:r w:rsidRPr="5B6380B4">
        <w:rPr>
          <w:rFonts w:ascii="Calibri" w:eastAsia="Calibri" w:hAnsi="Calibri" w:cs="Calibri"/>
          <w:color w:val="000000" w:themeColor="text1"/>
        </w:rPr>
        <w:t xml:space="preserve"> and outliers. The 2020 Census was planning to address issues caused by differential privacy methods.</w:t>
      </w:r>
    </w:p>
    <w:p w14:paraId="02AC5A3C" w14:textId="0824E2E2" w:rsidR="008D22A8" w:rsidRDefault="008D22A8" w:rsidP="008D22A8">
      <w:r w:rsidRPr="00FD4C04">
        <w:rPr>
          <w:rFonts w:ascii="Calibri" w:eastAsia="Calibri" w:hAnsi="Calibri" w:cs="Calibri"/>
          <w:b/>
          <w:bCs/>
          <w:color w:val="000000" w:themeColor="text1"/>
        </w:rPr>
        <w:t xml:space="preserve">Recommendations: </w:t>
      </w:r>
      <w:r w:rsidRPr="00FD4C04">
        <w:rPr>
          <w:rFonts w:ascii="Calibri" w:eastAsia="Calibri" w:hAnsi="Calibri" w:cs="Calibri"/>
          <w:color w:val="000000" w:themeColor="text1"/>
        </w:rPr>
        <w:t>The Census Bureau recommends aggregating block-level data before use</w:t>
      </w:r>
      <w:r>
        <w:rPr>
          <w:rFonts w:ascii="Calibri" w:eastAsia="Calibri" w:hAnsi="Calibri" w:cs="Calibri"/>
          <w:color w:val="000000" w:themeColor="text1"/>
        </w:rPr>
        <w:t xml:space="preserve">.  They note that block groups of minimum size of 450-499 people are sufficiently large to provide reliable data.  For census place and civil </w:t>
      </w:r>
      <w:proofErr w:type="gramStart"/>
      <w:r>
        <w:rPr>
          <w:rFonts w:ascii="Calibri" w:eastAsia="Calibri" w:hAnsi="Calibri" w:cs="Calibri"/>
          <w:color w:val="000000" w:themeColor="text1"/>
        </w:rPr>
        <w:t>divisions</w:t>
      </w:r>
      <w:proofErr w:type="gramEnd"/>
      <w:r>
        <w:rPr>
          <w:rFonts w:ascii="Calibri" w:eastAsia="Calibri" w:hAnsi="Calibri" w:cs="Calibri"/>
          <w:color w:val="000000" w:themeColor="text1"/>
        </w:rPr>
        <w:t xml:space="preserve"> a minimum population size of 200-249 is needed for accurate data.   Census Bureau indicates, “</w:t>
      </w:r>
      <w:r>
        <w:t>Counts are consistent within tables, across tables, and across geographies. For example, rows within a table sum up to the parent row and universe.”   Users should be cautious about drawing inferences based on observed changes between 2010 census data and 2020 census data at very small geographies (</w:t>
      </w:r>
      <w:proofErr w:type="gramStart"/>
      <w:r>
        <w:t>i.e.</w:t>
      </w:r>
      <w:proofErr w:type="gramEnd"/>
      <w:r>
        <w:t xml:space="preserve"> blocks).  </w:t>
      </w:r>
      <w:r w:rsidR="008314DB">
        <w:t xml:space="preserve">They also underscore that coverage error and sampling error exist in all census data previously released and that their estimates are that the errors due to coverage and sampling will be greater than the error introduced due to DP. </w:t>
      </w:r>
    </w:p>
    <w:p w14:paraId="274B4E62" w14:textId="77777777" w:rsidR="008D22A8" w:rsidRDefault="008D22A8" w:rsidP="008D22A8">
      <w:r>
        <w:t xml:space="preserve">Cohen et. al. (2022) </w:t>
      </w:r>
      <w:proofErr w:type="gramStart"/>
      <w:r>
        <w:t>note</w:t>
      </w:r>
      <w:proofErr w:type="gramEnd"/>
      <w:r>
        <w:t xml:space="preserve"> that excluding and/or weighting observations with small counts can reasonably correct the attenuation bias you would see in a regression model using precinct-level data.</w:t>
      </w:r>
    </w:p>
    <w:p w14:paraId="2A195716" w14:textId="77777777" w:rsidR="006559A5" w:rsidRDefault="008D22A8" w:rsidP="006559A5">
      <w:pPr>
        <w:rPr>
          <w:rFonts w:ascii="Calibri" w:eastAsia="Calibri" w:hAnsi="Calibri" w:cs="Calibri"/>
          <w:color w:val="000000" w:themeColor="text1"/>
        </w:rPr>
      </w:pPr>
      <w:proofErr w:type="spellStart"/>
      <w:r w:rsidRPr="5B6380B4">
        <w:rPr>
          <w:rFonts w:ascii="Calibri" w:eastAsia="Calibri" w:hAnsi="Calibri" w:cs="Calibri"/>
          <w:color w:val="000000" w:themeColor="text1"/>
        </w:rPr>
        <w:t>Dyrting</w:t>
      </w:r>
      <w:proofErr w:type="spellEnd"/>
      <w:r>
        <w:rPr>
          <w:rFonts w:ascii="Calibri" w:eastAsia="Calibri" w:hAnsi="Calibri" w:cs="Calibri"/>
          <w:color w:val="000000" w:themeColor="text1"/>
        </w:rPr>
        <w:t xml:space="preserve">, Flaxman and </w:t>
      </w:r>
      <w:r w:rsidRPr="5B6380B4">
        <w:rPr>
          <w:rFonts w:ascii="Calibri" w:eastAsia="Calibri" w:hAnsi="Calibri" w:cs="Calibri"/>
          <w:color w:val="000000" w:themeColor="text1"/>
        </w:rPr>
        <w:t>Sharygin</w:t>
      </w:r>
      <w:r>
        <w:rPr>
          <w:rFonts w:ascii="Calibri" w:eastAsia="Calibri" w:hAnsi="Calibri" w:cs="Calibri"/>
          <w:color w:val="000000" w:themeColor="text1"/>
        </w:rPr>
        <w:t xml:space="preserve"> (2022) show that smoothing age distributions from the 2022 demonstration data </w:t>
      </w:r>
    </w:p>
    <w:p w14:paraId="346DD6FA" w14:textId="5DA550CB" w:rsidR="006559A5" w:rsidRDefault="006559A5" w:rsidP="006559A5">
      <w:pPr>
        <w:rPr>
          <w:rFonts w:ascii="Calibri" w:eastAsia="Calibri" w:hAnsi="Calibri" w:cs="Calibri"/>
          <w:color w:val="000000" w:themeColor="text1"/>
        </w:rPr>
      </w:pPr>
      <w:r w:rsidRPr="5B6380B4">
        <w:rPr>
          <w:rFonts w:ascii="Calibri" w:eastAsia="Calibri" w:hAnsi="Calibri" w:cs="Calibri"/>
          <w:color w:val="000000" w:themeColor="text1"/>
        </w:rPr>
        <w:t>Jiang, Feuer, and Li, et al, (2020) propose a bias-corrected rate estimator as well as it</w:t>
      </w:r>
      <w:r>
        <w:rPr>
          <w:rFonts w:ascii="Calibri" w:eastAsia="Calibri" w:hAnsi="Calibri" w:cs="Calibri"/>
          <w:color w:val="000000" w:themeColor="text1"/>
        </w:rPr>
        <w:t>s</w:t>
      </w:r>
      <w:r w:rsidRPr="5B6380B4">
        <w:rPr>
          <w:rFonts w:ascii="Calibri" w:eastAsia="Calibri" w:hAnsi="Calibri" w:cs="Calibri"/>
          <w:color w:val="000000" w:themeColor="text1"/>
        </w:rPr>
        <w:t xml:space="preserve"> corresponding variance estimator that </w:t>
      </w:r>
      <w:proofErr w:type="gramStart"/>
      <w:r w:rsidRPr="5B6380B4">
        <w:rPr>
          <w:rFonts w:ascii="Calibri" w:eastAsia="Calibri" w:hAnsi="Calibri" w:cs="Calibri"/>
          <w:color w:val="000000" w:themeColor="text1"/>
        </w:rPr>
        <w:t>takes into account</w:t>
      </w:r>
      <w:proofErr w:type="gramEnd"/>
      <w:r w:rsidRPr="5B6380B4">
        <w:rPr>
          <w:rFonts w:ascii="Calibri" w:eastAsia="Calibri" w:hAnsi="Calibri" w:cs="Calibri"/>
          <w:color w:val="000000" w:themeColor="text1"/>
        </w:rPr>
        <w:t xml:space="preserve"> sampling errors in the denominators for age-standardized cancer rates.</w:t>
      </w:r>
    </w:p>
    <w:p w14:paraId="0F0ACAD7" w14:textId="74DD0212" w:rsidR="008D22A8" w:rsidRDefault="008D22A8" w:rsidP="008D22A8"/>
    <w:p w14:paraId="2C14474A" w14:textId="77777777" w:rsidR="008D22A8" w:rsidRDefault="008D22A8" w:rsidP="008D22A8"/>
    <w:p w14:paraId="20FFA9AB" w14:textId="77777777" w:rsidR="008D22A8" w:rsidRPr="00FD4C04" w:rsidRDefault="008D22A8" w:rsidP="008D22A8">
      <w:pPr>
        <w:rPr>
          <w:rFonts w:ascii="Calibri" w:eastAsia="Calibri" w:hAnsi="Calibri" w:cs="Calibri"/>
          <w:b/>
          <w:bCs/>
          <w:color w:val="000000" w:themeColor="text1"/>
        </w:rPr>
      </w:pPr>
      <w:r w:rsidRPr="00490BEC">
        <w:rPr>
          <w:b/>
          <w:bCs/>
        </w:rPr>
        <w:t>Future Impacts:</w:t>
      </w:r>
      <w:r>
        <w:t xml:space="preserve"> The Census Bureau has indicated that they do intend to eventually apply DP to the American Community Survey (ACS) but that that would not occur prior to 2025.  </w:t>
      </w:r>
    </w:p>
    <w:p w14:paraId="459661E6" w14:textId="0B1CB90D" w:rsidR="005467BD" w:rsidRPr="005467BD" w:rsidRDefault="005467BD" w:rsidP="005467BD">
      <w:pPr>
        <w:rPr>
          <w:rFonts w:ascii="Calibri" w:eastAsia="Calibri" w:hAnsi="Calibri" w:cs="Calibri"/>
          <w:b/>
          <w:bCs/>
          <w:color w:val="000000" w:themeColor="text1"/>
        </w:rPr>
      </w:pPr>
    </w:p>
    <w:p w14:paraId="001F4756" w14:textId="77777777" w:rsidR="005467BD" w:rsidRDefault="005467BD" w:rsidP="001D09A9">
      <w:pPr>
        <w:rPr>
          <w:rFonts w:ascii="Calibri" w:eastAsia="Calibri" w:hAnsi="Calibri" w:cs="Calibri"/>
          <w:color w:val="000000" w:themeColor="text1"/>
        </w:rPr>
      </w:pPr>
    </w:p>
    <w:p w14:paraId="15CBA701" w14:textId="77777777" w:rsidR="001D09A9" w:rsidRDefault="001D09A9" w:rsidP="00743B90">
      <w:pPr>
        <w:rPr>
          <w:rFonts w:ascii="Calibri" w:eastAsia="Calibri" w:hAnsi="Calibri" w:cs="Calibri"/>
          <w:color w:val="000000" w:themeColor="text1"/>
        </w:rPr>
      </w:pPr>
    </w:p>
    <w:p w14:paraId="1FB3A6FA" w14:textId="4893ABFB" w:rsidR="00803B39" w:rsidRDefault="00803B39" w:rsidP="5B6380B4">
      <w:pPr>
        <w:rPr>
          <w:rFonts w:ascii="Calibri" w:eastAsia="Calibri" w:hAnsi="Calibri" w:cs="Calibri"/>
          <w:color w:val="000000" w:themeColor="text1"/>
        </w:rPr>
      </w:pPr>
      <w:r>
        <w:rPr>
          <w:noProof/>
        </w:rPr>
        <w:lastRenderedPageBreak/>
        <w:drawing>
          <wp:inline distT="0" distB="0" distL="0" distR="0" wp14:anchorId="5ED1138D" wp14:editId="3902B45D">
            <wp:extent cx="5943600"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29150"/>
                    </a:xfrm>
                    <a:prstGeom prst="rect">
                      <a:avLst/>
                    </a:prstGeom>
                  </pic:spPr>
                </pic:pic>
              </a:graphicData>
            </a:graphic>
          </wp:inline>
        </w:drawing>
      </w:r>
    </w:p>
    <w:p w14:paraId="6439926D" w14:textId="0FB33C10" w:rsidR="00C125AC" w:rsidRDefault="00C125AC" w:rsidP="5B6380B4">
      <w:pPr>
        <w:rPr>
          <w:rFonts w:ascii="Calibri" w:eastAsia="Calibri" w:hAnsi="Calibri" w:cs="Calibri"/>
          <w:color w:val="000000" w:themeColor="text1"/>
        </w:rPr>
      </w:pPr>
    </w:p>
    <w:p w14:paraId="6A13EAD5" w14:textId="2598D501" w:rsidR="00C125AC" w:rsidRDefault="00C125AC" w:rsidP="5B6380B4">
      <w:pPr>
        <w:rPr>
          <w:rFonts w:ascii="Calibri" w:eastAsia="Calibri" w:hAnsi="Calibri" w:cs="Calibri"/>
          <w:color w:val="000000" w:themeColor="text1"/>
        </w:rPr>
      </w:pPr>
      <w:r>
        <w:rPr>
          <w:noProof/>
        </w:rPr>
        <w:lastRenderedPageBreak/>
        <w:drawing>
          <wp:inline distT="0" distB="0" distL="0" distR="0" wp14:anchorId="733054FC" wp14:editId="52F54484">
            <wp:extent cx="5943600" cy="444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5000"/>
                    </a:xfrm>
                    <a:prstGeom prst="rect">
                      <a:avLst/>
                    </a:prstGeom>
                  </pic:spPr>
                </pic:pic>
              </a:graphicData>
            </a:graphic>
          </wp:inline>
        </w:drawing>
      </w:r>
    </w:p>
    <w:p w14:paraId="448E4426" w14:textId="2F2F44FC" w:rsidR="009E1E4E" w:rsidRDefault="71310749" w:rsidP="5B6380B4">
      <w:pPr>
        <w:pStyle w:val="Heading1"/>
        <w:spacing w:beforeAutospacing="1" w:afterAutospacing="1" w:line="240" w:lineRule="auto"/>
        <w:rPr>
          <w:rFonts w:ascii="Calibri" w:eastAsia="Calibri" w:hAnsi="Calibri" w:cs="Calibri"/>
          <w:b/>
          <w:bCs/>
          <w:color w:val="000000" w:themeColor="text1"/>
          <w:sz w:val="22"/>
          <w:szCs w:val="22"/>
        </w:rPr>
      </w:pPr>
      <w:r w:rsidRPr="5B6380B4">
        <w:rPr>
          <w:rFonts w:ascii="Calibri" w:eastAsia="Calibri" w:hAnsi="Calibri" w:cs="Calibri"/>
          <w:b/>
          <w:bCs/>
          <w:color w:val="000000" w:themeColor="text1"/>
          <w:sz w:val="22"/>
          <w:szCs w:val="22"/>
        </w:rPr>
        <w:t>References:</w:t>
      </w:r>
      <w:r w:rsidR="00FD4C04">
        <w:rPr>
          <w:rFonts w:ascii="Calibri" w:eastAsia="Calibri" w:hAnsi="Calibri" w:cs="Calibri"/>
          <w:b/>
          <w:bCs/>
          <w:color w:val="000000" w:themeColor="text1"/>
          <w:sz w:val="22"/>
          <w:szCs w:val="22"/>
        </w:rPr>
        <w:t xml:space="preserve">  </w:t>
      </w:r>
    </w:p>
    <w:p w14:paraId="5481C2AD" w14:textId="6BE46A38" w:rsidR="006A0DD6" w:rsidRDefault="00F65CF8" w:rsidP="5B6380B4">
      <w:pPr>
        <w:spacing w:after="0" w:line="276" w:lineRule="auto"/>
        <w:rPr>
          <w:rFonts w:ascii="Calibri" w:eastAsia="Calibri" w:hAnsi="Calibri" w:cs="Calibri"/>
          <w:color w:val="000000" w:themeColor="text1"/>
        </w:rPr>
      </w:pPr>
      <w:hyperlink r:id="rId19" w:history="1">
        <w:r w:rsidR="006A0DD6" w:rsidRPr="003C1992">
          <w:rPr>
            <w:rStyle w:val="Hyperlink"/>
            <w:rFonts w:ascii="Calibri" w:eastAsia="Calibri" w:hAnsi="Calibri" w:cs="Calibri"/>
          </w:rPr>
          <w:t>https://www2.census.gov/programs-surveys/decennial/2020/program-management/planning-docs/2020-oper-plan5-and-memo.pdf</w:t>
        </w:r>
      </w:hyperlink>
    </w:p>
    <w:p w14:paraId="344EE895" w14:textId="77777777" w:rsidR="006A0DD6" w:rsidRDefault="006A0DD6" w:rsidP="5B6380B4">
      <w:pPr>
        <w:spacing w:after="0" w:line="276" w:lineRule="auto"/>
        <w:rPr>
          <w:rFonts w:ascii="Calibri" w:eastAsia="Calibri" w:hAnsi="Calibri" w:cs="Calibri"/>
          <w:color w:val="000000" w:themeColor="text1"/>
        </w:rPr>
      </w:pPr>
    </w:p>
    <w:p w14:paraId="2E1EA437" w14:textId="6CB77148" w:rsidR="009E1E4E" w:rsidRDefault="71310749" w:rsidP="5B6380B4">
      <w:pPr>
        <w:spacing w:after="0" w:line="276" w:lineRule="auto"/>
        <w:rPr>
          <w:rFonts w:ascii="Calibri" w:eastAsia="Calibri" w:hAnsi="Calibri" w:cs="Calibri"/>
          <w:color w:val="000000" w:themeColor="text1"/>
        </w:rPr>
      </w:pPr>
      <w:r w:rsidRPr="5B6380B4">
        <w:rPr>
          <w:rFonts w:ascii="Calibri" w:eastAsia="Calibri" w:hAnsi="Calibri" w:cs="Calibri"/>
          <w:color w:val="000000" w:themeColor="text1"/>
        </w:rPr>
        <w:t>Census Bureau, Disclosure Avoidance for the 2020 Census: An Introduction, U.S. Government  </w:t>
      </w:r>
    </w:p>
    <w:p w14:paraId="51D91F76" w14:textId="33223F64" w:rsidR="009E1E4E" w:rsidRDefault="71310749" w:rsidP="5B6380B4">
      <w:pPr>
        <w:spacing w:line="276" w:lineRule="auto"/>
        <w:rPr>
          <w:rFonts w:ascii="Calibri" w:eastAsia="Calibri" w:hAnsi="Calibri" w:cs="Calibri"/>
          <w:color w:val="000000" w:themeColor="text1"/>
        </w:rPr>
      </w:pPr>
      <w:r w:rsidRPr="5B6380B4">
        <w:rPr>
          <w:rFonts w:ascii="Calibri" w:eastAsia="Calibri" w:hAnsi="Calibri" w:cs="Calibri"/>
          <w:color w:val="000000" w:themeColor="text1"/>
        </w:rPr>
        <w:t>Publishing Office, Washington, DC, November 2021.  </w:t>
      </w:r>
    </w:p>
    <w:p w14:paraId="02058E62" w14:textId="053B1B04" w:rsidR="009E1E4E" w:rsidRDefault="338958DC" w:rsidP="00256CFE">
      <w:pPr>
        <w:spacing w:before="100" w:beforeAutospacing="1" w:after="100" w:afterAutospacing="1" w:line="240" w:lineRule="auto"/>
        <w:rPr>
          <w:rFonts w:ascii="Calibri" w:eastAsia="Calibri" w:hAnsi="Calibri" w:cs="Calibri"/>
          <w:b/>
          <w:bCs/>
          <w:color w:val="000000" w:themeColor="text1"/>
        </w:rPr>
      </w:pPr>
      <w:r w:rsidRPr="338958DC">
        <w:rPr>
          <w:rFonts w:ascii="Calibri" w:eastAsia="Calibri" w:hAnsi="Calibri" w:cs="Calibri"/>
          <w:color w:val="000000" w:themeColor="text1"/>
        </w:rPr>
        <w:t xml:space="preserve">Census Bureau (2022, April 12).  Protecting the Confidentiality of 2020 Census Redistricting Data. </w:t>
      </w:r>
      <w:hyperlink r:id="rId20">
        <w:r w:rsidRPr="338958DC">
          <w:rPr>
            <w:rStyle w:val="Hyperlink"/>
            <w:rFonts w:ascii="Calibri" w:eastAsia="Calibri" w:hAnsi="Calibri" w:cs="Calibri"/>
            <w:color w:val="000000" w:themeColor="text1"/>
            <w:u w:val="none"/>
          </w:rPr>
          <w:t>https://www.census.gov/library/fact-sheets/2021/protecting-the-confidentiality-of-the-2020-census-redistricting-data.html</w:t>
        </w:r>
      </w:hyperlink>
    </w:p>
    <w:p w14:paraId="55DA4BDB" w14:textId="625BF18D" w:rsidR="338958DC" w:rsidRDefault="338958DC" w:rsidP="338958DC">
      <w:pPr>
        <w:spacing w:beforeAutospacing="1" w:afterAutospacing="1" w:line="240" w:lineRule="auto"/>
        <w:rPr>
          <w:rFonts w:ascii="Calibri" w:eastAsia="Calibri" w:hAnsi="Calibri" w:cs="Calibri"/>
          <w:color w:val="000000" w:themeColor="text1"/>
        </w:rPr>
      </w:pPr>
    </w:p>
    <w:p w14:paraId="66F93F74" w14:textId="2E0FF312" w:rsidR="009E1E4E" w:rsidRPr="00256CFE" w:rsidRDefault="338958DC" w:rsidP="00256CFE">
      <w:pPr>
        <w:spacing w:before="100" w:beforeAutospacing="1" w:after="100" w:afterAutospacing="1" w:line="240" w:lineRule="auto"/>
      </w:pPr>
      <w:r w:rsidRPr="338958DC">
        <w:rPr>
          <w:rFonts w:ascii="Calibri" w:eastAsia="Calibri" w:hAnsi="Calibri" w:cs="Calibri"/>
          <w:color w:val="000000" w:themeColor="text1"/>
        </w:rPr>
        <w:t xml:space="preserve">Abowd, John (2020) The U.S. Census Bureau Adopts Differential Privacy. Proceedings of the 24th ACM SIGKDD International Conference on Knowledge Discovery &amp; Data Mining, </w:t>
      </w:r>
      <w:hyperlink r:id="rId21">
        <w:r>
          <w:t>https://dl.acm.org/doi/abs/10.1145/3219819.3226070</w:t>
        </w:r>
      </w:hyperlink>
    </w:p>
    <w:p w14:paraId="2B9C1179" w14:textId="44E7E0F3" w:rsidR="338958DC" w:rsidRDefault="338958DC" w:rsidP="338958DC">
      <w:pPr>
        <w:spacing w:beforeAutospacing="1" w:afterAutospacing="1" w:line="240" w:lineRule="auto"/>
      </w:pPr>
    </w:p>
    <w:p w14:paraId="3CE13B3B" w14:textId="083F3F34" w:rsidR="00E02541" w:rsidRPr="00256CFE" w:rsidRDefault="338958DC" w:rsidP="338958DC">
      <w:pPr>
        <w:spacing w:before="100" w:beforeAutospacing="1" w:after="100" w:afterAutospacing="1" w:line="240" w:lineRule="auto"/>
        <w:rPr>
          <w:rFonts w:ascii="Calibri" w:eastAsia="Calibri" w:hAnsi="Calibri" w:cs="Calibri"/>
          <w:color w:val="000000" w:themeColor="text1"/>
        </w:rPr>
      </w:pPr>
      <w:r>
        <w:lastRenderedPageBreak/>
        <w:t xml:space="preserve">Abowd, John (2021) Differential Privacy and the 2020 Census in the United States. Presentation for American University  </w:t>
      </w:r>
      <w:hyperlink r:id="rId22" w:history="1">
        <w:r w:rsidRPr="338958DC">
          <w:rPr>
            <w:rStyle w:val="Hyperlink"/>
            <w:rFonts w:ascii="Calibri" w:eastAsia="Calibri" w:hAnsi="Calibri" w:cs="Calibri"/>
          </w:rPr>
          <w:t>https://www.youtube.com/watch?v=u5h8ZC8C1uE</w:t>
        </w:r>
      </w:hyperlink>
    </w:p>
    <w:p w14:paraId="5A3ABBC5" w14:textId="64F160D8" w:rsidR="338958DC" w:rsidRDefault="338958DC" w:rsidP="338958DC">
      <w:pPr>
        <w:spacing w:beforeAutospacing="1" w:afterAutospacing="1" w:line="240" w:lineRule="auto"/>
        <w:rPr>
          <w:rFonts w:ascii="Calibri" w:eastAsia="Calibri" w:hAnsi="Calibri" w:cs="Calibri"/>
          <w:color w:val="000000" w:themeColor="text1"/>
        </w:rPr>
      </w:pPr>
    </w:p>
    <w:p w14:paraId="71234DB3" w14:textId="0FE04140" w:rsidR="009E1E4E" w:rsidRDefault="338958DC" w:rsidP="00256CFE">
      <w:pPr>
        <w:spacing w:before="100" w:beforeAutospacing="1" w:after="100" w:afterAutospacing="1" w:line="240" w:lineRule="auto"/>
        <w:rPr>
          <w:rFonts w:ascii="Calibri" w:eastAsia="Calibri" w:hAnsi="Calibri" w:cs="Calibri"/>
          <w:color w:val="000000" w:themeColor="text1"/>
        </w:rPr>
      </w:pPr>
      <w:r w:rsidRPr="338958DC">
        <w:rPr>
          <w:rFonts w:ascii="Calibri" w:eastAsia="Calibri" w:hAnsi="Calibri" w:cs="Calibri"/>
          <w:color w:val="000000" w:themeColor="text1"/>
        </w:rPr>
        <w:t xml:space="preserve">Cohen, </w:t>
      </w:r>
      <w:proofErr w:type="spellStart"/>
      <w:r w:rsidRPr="338958DC">
        <w:rPr>
          <w:rFonts w:ascii="Calibri" w:eastAsia="Calibri" w:hAnsi="Calibri" w:cs="Calibri"/>
          <w:color w:val="000000" w:themeColor="text1"/>
        </w:rPr>
        <w:t>Aloni</w:t>
      </w:r>
      <w:proofErr w:type="spellEnd"/>
      <w:r w:rsidRPr="338958DC">
        <w:rPr>
          <w:rFonts w:ascii="Calibri" w:eastAsia="Calibri" w:hAnsi="Calibri" w:cs="Calibri"/>
          <w:color w:val="000000" w:themeColor="text1"/>
        </w:rPr>
        <w:t xml:space="preserve">, </w:t>
      </w:r>
      <w:proofErr w:type="spellStart"/>
      <w:r w:rsidRPr="338958DC">
        <w:rPr>
          <w:rFonts w:ascii="Calibri" w:eastAsia="Calibri" w:hAnsi="Calibri" w:cs="Calibri"/>
          <w:color w:val="000000" w:themeColor="text1"/>
        </w:rPr>
        <w:t>Duchin</w:t>
      </w:r>
      <w:proofErr w:type="spellEnd"/>
      <w:r w:rsidRPr="338958DC">
        <w:rPr>
          <w:rFonts w:ascii="Calibri" w:eastAsia="Calibri" w:hAnsi="Calibri" w:cs="Calibri"/>
          <w:color w:val="000000" w:themeColor="text1"/>
        </w:rPr>
        <w:t xml:space="preserve">, M, </w:t>
      </w:r>
      <w:proofErr w:type="gramStart"/>
      <w:r w:rsidRPr="338958DC">
        <w:rPr>
          <w:rFonts w:ascii="Calibri" w:eastAsia="Calibri" w:hAnsi="Calibri" w:cs="Calibri"/>
          <w:color w:val="000000" w:themeColor="text1"/>
        </w:rPr>
        <w:t>Matthews,  JN</w:t>
      </w:r>
      <w:proofErr w:type="gramEnd"/>
      <w:r w:rsidRPr="338958DC">
        <w:rPr>
          <w:rFonts w:ascii="Calibri" w:eastAsia="Calibri" w:hAnsi="Calibri" w:cs="Calibri"/>
          <w:color w:val="000000" w:themeColor="text1"/>
        </w:rPr>
        <w:t xml:space="preserve"> and Bhushan </w:t>
      </w:r>
      <w:proofErr w:type="spellStart"/>
      <w:r w:rsidRPr="338958DC">
        <w:rPr>
          <w:rFonts w:ascii="Calibri" w:eastAsia="Calibri" w:hAnsi="Calibri" w:cs="Calibri"/>
          <w:color w:val="000000" w:themeColor="text1"/>
        </w:rPr>
        <w:t>Suwal</w:t>
      </w:r>
      <w:proofErr w:type="spellEnd"/>
      <w:r w:rsidRPr="338958DC">
        <w:rPr>
          <w:rFonts w:ascii="Calibri" w:eastAsia="Calibri" w:hAnsi="Calibri" w:cs="Calibri"/>
          <w:color w:val="000000" w:themeColor="text1"/>
        </w:rPr>
        <w:t xml:space="preserve">; 2nd Symposium on Foundations of Responsible Computing (FORC 2021). Census </w:t>
      </w:r>
      <w:proofErr w:type="spellStart"/>
      <w:r w:rsidRPr="338958DC">
        <w:rPr>
          <w:rFonts w:ascii="Calibri" w:eastAsia="Calibri" w:hAnsi="Calibri" w:cs="Calibri"/>
          <w:color w:val="000000" w:themeColor="text1"/>
        </w:rPr>
        <w:t>TopDown</w:t>
      </w:r>
      <w:proofErr w:type="spellEnd"/>
      <w:r w:rsidRPr="338958DC">
        <w:rPr>
          <w:rFonts w:ascii="Calibri" w:eastAsia="Calibri" w:hAnsi="Calibri" w:cs="Calibri"/>
          <w:color w:val="000000" w:themeColor="text1"/>
        </w:rPr>
        <w:t xml:space="preserve">: The Impacts of Differential Privacy on Redistricting </w:t>
      </w:r>
      <w:hyperlink r:id="rId23">
        <w:r w:rsidRPr="338958DC">
          <w:rPr>
            <w:rStyle w:val="Hyperlink"/>
            <w:rFonts w:ascii="Calibri" w:eastAsia="Calibri" w:hAnsi="Calibri" w:cs="Calibri"/>
          </w:rPr>
          <w:t>https://arxiv.org/pdf/2203.05085.pdf</w:t>
        </w:r>
      </w:hyperlink>
    </w:p>
    <w:p w14:paraId="4EF3E847" w14:textId="20B8E713" w:rsidR="338958DC" w:rsidRDefault="338958DC" w:rsidP="338958DC">
      <w:pPr>
        <w:spacing w:beforeAutospacing="1" w:afterAutospacing="1" w:line="240" w:lineRule="auto"/>
        <w:rPr>
          <w:rFonts w:ascii="Arial" w:hAnsi="Arial" w:cs="Arial"/>
          <w:color w:val="222222"/>
          <w:sz w:val="20"/>
          <w:szCs w:val="20"/>
        </w:rPr>
      </w:pPr>
    </w:p>
    <w:p w14:paraId="205DAB73" w14:textId="67000BDC" w:rsidR="00626B34" w:rsidRPr="00256CFE" w:rsidRDefault="00626B34" w:rsidP="00256CFE">
      <w:pPr>
        <w:spacing w:before="100" w:beforeAutospacing="1" w:after="100" w:afterAutospacing="1" w:line="240" w:lineRule="auto"/>
        <w:rPr>
          <w:rFonts w:ascii="Calibri" w:eastAsia="Calibri" w:hAnsi="Calibri" w:cs="Calibri"/>
          <w:color w:val="000000" w:themeColor="text1"/>
        </w:rPr>
      </w:pPr>
      <w:r>
        <w:rPr>
          <w:rFonts w:ascii="Arial" w:hAnsi="Arial" w:cs="Arial"/>
          <w:color w:val="222222"/>
          <w:sz w:val="20"/>
          <w:szCs w:val="20"/>
          <w:shd w:val="clear" w:color="auto" w:fill="FFFFFF"/>
        </w:rPr>
        <w:t xml:space="preserve">Cohen, A., </w:t>
      </w:r>
      <w:proofErr w:type="spellStart"/>
      <w:r>
        <w:rPr>
          <w:rFonts w:ascii="Arial" w:hAnsi="Arial" w:cs="Arial"/>
          <w:color w:val="222222"/>
          <w:sz w:val="20"/>
          <w:szCs w:val="20"/>
          <w:shd w:val="clear" w:color="auto" w:fill="FFFFFF"/>
        </w:rPr>
        <w:t>Duchin</w:t>
      </w:r>
      <w:proofErr w:type="spellEnd"/>
      <w:r>
        <w:rPr>
          <w:rFonts w:ascii="Arial" w:hAnsi="Arial" w:cs="Arial"/>
          <w:color w:val="222222"/>
          <w:sz w:val="20"/>
          <w:szCs w:val="20"/>
          <w:shd w:val="clear" w:color="auto" w:fill="FFFFFF"/>
        </w:rPr>
        <w:t xml:space="preserve">, M., Matthews, J. N., &amp; </w:t>
      </w:r>
      <w:proofErr w:type="spellStart"/>
      <w:r>
        <w:rPr>
          <w:rFonts w:ascii="Arial" w:hAnsi="Arial" w:cs="Arial"/>
          <w:color w:val="222222"/>
          <w:sz w:val="20"/>
          <w:szCs w:val="20"/>
          <w:shd w:val="clear" w:color="auto" w:fill="FFFFFF"/>
        </w:rPr>
        <w:t>Suwal</w:t>
      </w:r>
      <w:proofErr w:type="spellEnd"/>
      <w:r>
        <w:rPr>
          <w:rFonts w:ascii="Arial" w:hAnsi="Arial" w:cs="Arial"/>
          <w:color w:val="222222"/>
          <w:sz w:val="20"/>
          <w:szCs w:val="20"/>
          <w:shd w:val="clear" w:color="auto" w:fill="FFFFFF"/>
        </w:rPr>
        <w:t>, B. (2022). Private numbers in public policy: Census, differential privacy, and redistricting. </w:t>
      </w:r>
      <w:r w:rsidRPr="338958DC">
        <w:rPr>
          <w:rFonts w:ascii="Arial" w:hAnsi="Arial" w:cs="Arial"/>
          <w:i/>
          <w:iCs/>
          <w:color w:val="222222"/>
          <w:sz w:val="20"/>
          <w:szCs w:val="20"/>
          <w:shd w:val="clear" w:color="auto" w:fill="FFFFFF"/>
        </w:rPr>
        <w:t>Harvard Data Science Review</w:t>
      </w:r>
      <w:r>
        <w:rPr>
          <w:rFonts w:ascii="Arial" w:hAnsi="Arial" w:cs="Arial"/>
          <w:color w:val="222222"/>
          <w:sz w:val="20"/>
          <w:szCs w:val="20"/>
          <w:shd w:val="clear" w:color="auto" w:fill="FFFFFF"/>
        </w:rPr>
        <w:t>, (Special Issue 2).</w:t>
      </w:r>
    </w:p>
    <w:p w14:paraId="2A167A25" w14:textId="553E03F6" w:rsidR="338958DC" w:rsidRDefault="338958DC" w:rsidP="338958DC">
      <w:pPr>
        <w:spacing w:beforeAutospacing="1" w:afterAutospacing="1" w:line="240" w:lineRule="auto"/>
        <w:rPr>
          <w:rFonts w:ascii="Calibri" w:eastAsia="Calibri" w:hAnsi="Calibri" w:cs="Calibri"/>
          <w:color w:val="000000" w:themeColor="text1"/>
        </w:rPr>
      </w:pPr>
    </w:p>
    <w:p w14:paraId="1474B6E0" w14:textId="6E7EC66F" w:rsidR="009E1E4E" w:rsidRPr="00256CFE" w:rsidRDefault="338958DC" w:rsidP="00256CFE">
      <w:pPr>
        <w:spacing w:before="100" w:beforeAutospacing="1" w:after="100" w:afterAutospacing="1" w:line="240" w:lineRule="auto"/>
        <w:rPr>
          <w:rFonts w:ascii="Calibri" w:eastAsia="Calibri" w:hAnsi="Calibri" w:cs="Calibri"/>
          <w:color w:val="000000" w:themeColor="text1"/>
        </w:rPr>
      </w:pPr>
      <w:proofErr w:type="spellStart"/>
      <w:r w:rsidRPr="338958DC">
        <w:rPr>
          <w:rFonts w:ascii="Calibri" w:eastAsia="Calibri" w:hAnsi="Calibri" w:cs="Calibri"/>
          <w:color w:val="000000" w:themeColor="text1"/>
        </w:rPr>
        <w:t>Dyda</w:t>
      </w:r>
      <w:proofErr w:type="spellEnd"/>
      <w:r w:rsidRPr="338958DC">
        <w:rPr>
          <w:rFonts w:ascii="Calibri" w:eastAsia="Calibri" w:hAnsi="Calibri" w:cs="Calibri"/>
          <w:color w:val="000000" w:themeColor="text1"/>
        </w:rPr>
        <w:t xml:space="preserve"> A, Purcell M, Curtis S, Field E, Pillai P, Ricardo K, Weng H, Moore JC, Hewett M, Williams G, Lau CL. Differential privacy for public health data: An innovative tool to optimize information sharing while protecting data confidentiality. Patterns (N Y). 2021 Dec 10;2(12):100366. </w:t>
      </w:r>
      <w:proofErr w:type="spellStart"/>
      <w:r w:rsidRPr="338958DC">
        <w:rPr>
          <w:rFonts w:ascii="Calibri" w:eastAsia="Calibri" w:hAnsi="Calibri" w:cs="Calibri"/>
          <w:color w:val="000000" w:themeColor="text1"/>
        </w:rPr>
        <w:t>doi</w:t>
      </w:r>
      <w:proofErr w:type="spellEnd"/>
      <w:r w:rsidRPr="338958DC">
        <w:rPr>
          <w:rFonts w:ascii="Calibri" w:eastAsia="Calibri" w:hAnsi="Calibri" w:cs="Calibri"/>
          <w:color w:val="000000" w:themeColor="text1"/>
        </w:rPr>
        <w:t xml:space="preserve">: 10.1016/j.patter.2021.100366. PMID: 34909703; PMCID: </w:t>
      </w:r>
      <w:hyperlink r:id="rId24">
        <w:r>
          <w:t>PMC8662814</w:t>
        </w:r>
      </w:hyperlink>
      <w:r w:rsidRPr="338958DC">
        <w:rPr>
          <w:rFonts w:ascii="Calibri" w:eastAsia="Calibri" w:hAnsi="Calibri" w:cs="Calibri"/>
          <w:color w:val="000000" w:themeColor="text1"/>
        </w:rPr>
        <w:t>.</w:t>
      </w:r>
    </w:p>
    <w:p w14:paraId="3D0B4576" w14:textId="3020E214" w:rsidR="338958DC" w:rsidRDefault="338958DC" w:rsidP="338958DC">
      <w:pPr>
        <w:pStyle w:val="Heading1"/>
        <w:spacing w:beforeAutospacing="1" w:afterAutospacing="1" w:line="240" w:lineRule="auto"/>
        <w:rPr>
          <w:rFonts w:ascii="Calibri" w:eastAsia="Calibri" w:hAnsi="Calibri" w:cs="Calibri"/>
          <w:color w:val="000000" w:themeColor="text1"/>
          <w:sz w:val="22"/>
          <w:szCs w:val="22"/>
        </w:rPr>
      </w:pPr>
    </w:p>
    <w:p w14:paraId="412C326A" w14:textId="28A0FCE1" w:rsidR="009E1E4E" w:rsidRPr="004A393E" w:rsidRDefault="338958DC" w:rsidP="004A393E">
      <w:pPr>
        <w:pStyle w:val="Heading1"/>
        <w:spacing w:beforeAutospacing="1" w:afterAutospacing="1" w:line="240" w:lineRule="auto"/>
        <w:rPr>
          <w:rFonts w:ascii="Calibri" w:eastAsia="Calibri" w:hAnsi="Calibri" w:cs="Calibri"/>
          <w:color w:val="000000" w:themeColor="text1"/>
          <w:sz w:val="22"/>
          <w:szCs w:val="22"/>
        </w:rPr>
      </w:pPr>
      <w:proofErr w:type="spellStart"/>
      <w:r w:rsidRPr="338958DC">
        <w:rPr>
          <w:rFonts w:ascii="Calibri" w:eastAsia="Calibri" w:hAnsi="Calibri" w:cs="Calibri"/>
          <w:color w:val="000000" w:themeColor="text1"/>
          <w:sz w:val="22"/>
          <w:szCs w:val="22"/>
        </w:rPr>
        <w:t>Dyrting</w:t>
      </w:r>
      <w:proofErr w:type="spellEnd"/>
      <w:r w:rsidRPr="338958DC">
        <w:rPr>
          <w:rFonts w:ascii="Calibri" w:eastAsia="Calibri" w:hAnsi="Calibri" w:cs="Calibri"/>
          <w:color w:val="000000" w:themeColor="text1"/>
          <w:sz w:val="22"/>
          <w:szCs w:val="22"/>
        </w:rPr>
        <w:t xml:space="preserve">, S., Flaxman, A. &amp; Sharygin, E. Reconstruction of age distributions from differentially private census data. </w:t>
      </w:r>
      <w:proofErr w:type="spellStart"/>
      <w:r w:rsidRPr="338958DC">
        <w:rPr>
          <w:rFonts w:ascii="Calibri" w:eastAsia="Calibri" w:hAnsi="Calibri" w:cs="Calibri"/>
          <w:color w:val="000000" w:themeColor="text1"/>
          <w:sz w:val="22"/>
          <w:szCs w:val="22"/>
        </w:rPr>
        <w:t>Popul</w:t>
      </w:r>
      <w:proofErr w:type="spellEnd"/>
      <w:r w:rsidRPr="338958DC">
        <w:rPr>
          <w:rFonts w:ascii="Calibri" w:eastAsia="Calibri" w:hAnsi="Calibri" w:cs="Calibri"/>
          <w:color w:val="000000" w:themeColor="text1"/>
          <w:sz w:val="22"/>
          <w:szCs w:val="22"/>
        </w:rPr>
        <w:t xml:space="preserve"> Res Policy Rev 41, 2311–2329 (2022). </w:t>
      </w:r>
      <w:hyperlink r:id="rId25">
        <w:r w:rsidRPr="338958DC">
          <w:rPr>
            <w:rFonts w:ascii="Calibri" w:eastAsia="Calibri" w:hAnsi="Calibri" w:cs="Calibri"/>
            <w:color w:val="000000" w:themeColor="text1"/>
            <w:sz w:val="22"/>
            <w:szCs w:val="22"/>
          </w:rPr>
          <w:t>https://doi.org/10.1007/s11113-022-09734-2</w:t>
        </w:r>
      </w:hyperlink>
    </w:p>
    <w:p w14:paraId="41D44611" w14:textId="18F14D01" w:rsidR="338958DC" w:rsidRDefault="338958DC" w:rsidP="338958DC">
      <w:pPr>
        <w:spacing w:beforeAutospacing="1" w:afterAutospacing="1" w:line="240" w:lineRule="auto"/>
        <w:rPr>
          <w:rFonts w:ascii="Calibri" w:eastAsia="Calibri" w:hAnsi="Calibri" w:cs="Calibri"/>
          <w:color w:val="000000" w:themeColor="text1"/>
        </w:rPr>
      </w:pPr>
    </w:p>
    <w:p w14:paraId="43193B90" w14:textId="4EEA2D1E" w:rsidR="009E1E4E" w:rsidRPr="00256CFE" w:rsidRDefault="338958DC" w:rsidP="338958DC">
      <w:pPr>
        <w:spacing w:beforeAutospacing="1" w:afterAutospacing="1" w:line="240" w:lineRule="auto"/>
        <w:rPr>
          <w:rFonts w:ascii="Calibri" w:eastAsia="Calibri" w:hAnsi="Calibri" w:cs="Calibri"/>
          <w:color w:val="000000" w:themeColor="text1"/>
        </w:rPr>
      </w:pPr>
      <w:proofErr w:type="spellStart"/>
      <w:r w:rsidRPr="338958DC">
        <w:rPr>
          <w:rFonts w:ascii="Calibri" w:eastAsia="Calibri" w:hAnsi="Calibri" w:cs="Calibri"/>
          <w:color w:val="000000" w:themeColor="text1"/>
        </w:rPr>
        <w:t>Hotz</w:t>
      </w:r>
      <w:proofErr w:type="spellEnd"/>
      <w:r w:rsidRPr="338958DC">
        <w:rPr>
          <w:rFonts w:ascii="Calibri" w:eastAsia="Calibri" w:hAnsi="Calibri" w:cs="Calibri"/>
          <w:color w:val="000000" w:themeColor="text1"/>
        </w:rPr>
        <w:t xml:space="preserve">, V. J., &amp; Salvo, J. (2022). A Chronicle of the Application of Differential Privacy to the 2020 Census. Harvard Data Science Review, (Special Issue 2). </w:t>
      </w:r>
      <w:hyperlink r:id="rId26" w:history="1">
        <w:r w:rsidRPr="338958DC">
          <w:rPr>
            <w:rStyle w:val="Hyperlink"/>
            <w:rFonts w:ascii="Calibri" w:eastAsia="Calibri" w:hAnsi="Calibri" w:cs="Calibri"/>
          </w:rPr>
          <w:t>https://doi.org/10.1162/99608f92.ff891fe5</w:t>
        </w:r>
      </w:hyperlink>
    </w:p>
    <w:p w14:paraId="6A27D373" w14:textId="07D2DCCB" w:rsidR="338958DC" w:rsidRDefault="338958DC" w:rsidP="338958DC">
      <w:pPr>
        <w:pStyle w:val="Heading1"/>
        <w:spacing w:beforeAutospacing="1" w:afterAutospacing="1" w:line="240" w:lineRule="auto"/>
        <w:rPr>
          <w:rFonts w:ascii="Calibri" w:eastAsia="Calibri" w:hAnsi="Calibri" w:cs="Calibri"/>
          <w:color w:val="000000" w:themeColor="text1"/>
          <w:sz w:val="22"/>
          <w:szCs w:val="22"/>
        </w:rPr>
      </w:pPr>
    </w:p>
    <w:p w14:paraId="61C6C853" w14:textId="65CF81F2" w:rsidR="009E1E4E" w:rsidRPr="00256CFE" w:rsidRDefault="338958DC" w:rsidP="5B6380B4">
      <w:pPr>
        <w:pStyle w:val="Heading1"/>
        <w:spacing w:beforeAutospacing="1" w:afterAutospacing="1" w:line="240" w:lineRule="auto"/>
        <w:rPr>
          <w:rFonts w:ascii="Calibri" w:eastAsia="Calibri" w:hAnsi="Calibri" w:cs="Calibri"/>
          <w:color w:val="000000" w:themeColor="text1"/>
          <w:sz w:val="22"/>
          <w:szCs w:val="22"/>
        </w:rPr>
      </w:pPr>
      <w:r w:rsidRPr="338958DC">
        <w:rPr>
          <w:rFonts w:ascii="Calibri" w:eastAsia="Calibri" w:hAnsi="Calibri" w:cs="Calibri"/>
          <w:color w:val="000000" w:themeColor="text1"/>
          <w:sz w:val="22"/>
          <w:szCs w:val="22"/>
        </w:rPr>
        <w:t xml:space="preserve">Jiang J, Feuer EJ, Li Y, Nguyen T, Yu M. Inference about age-standardized rates with sampling errors in the denominators. Stat Methods Med Res. 2021 Feb;30(2):535-548. </w:t>
      </w:r>
      <w:proofErr w:type="spellStart"/>
      <w:r w:rsidRPr="338958DC">
        <w:rPr>
          <w:rFonts w:ascii="Calibri" w:eastAsia="Calibri" w:hAnsi="Calibri" w:cs="Calibri"/>
          <w:color w:val="000000" w:themeColor="text1"/>
          <w:sz w:val="22"/>
          <w:szCs w:val="22"/>
        </w:rPr>
        <w:t>doi</w:t>
      </w:r>
      <w:proofErr w:type="spellEnd"/>
      <w:r w:rsidRPr="338958DC">
        <w:rPr>
          <w:rFonts w:ascii="Calibri" w:eastAsia="Calibri" w:hAnsi="Calibri" w:cs="Calibri"/>
          <w:color w:val="000000" w:themeColor="text1"/>
          <w:sz w:val="22"/>
          <w:szCs w:val="22"/>
        </w:rPr>
        <w:t xml:space="preserve">: 10.1177/0962280220962516. </w:t>
      </w:r>
      <w:proofErr w:type="spellStart"/>
      <w:r w:rsidRPr="338958DC">
        <w:rPr>
          <w:rFonts w:ascii="Calibri" w:eastAsia="Calibri" w:hAnsi="Calibri" w:cs="Calibri"/>
          <w:color w:val="000000" w:themeColor="text1"/>
          <w:sz w:val="22"/>
          <w:szCs w:val="22"/>
        </w:rPr>
        <w:t>Epub</w:t>
      </w:r>
      <w:proofErr w:type="spellEnd"/>
      <w:r w:rsidRPr="338958DC">
        <w:rPr>
          <w:rFonts w:ascii="Calibri" w:eastAsia="Calibri" w:hAnsi="Calibri" w:cs="Calibri"/>
          <w:color w:val="000000" w:themeColor="text1"/>
          <w:sz w:val="22"/>
          <w:szCs w:val="22"/>
        </w:rPr>
        <w:t xml:space="preserve"> 2020 Oct 15. PMID: 33059531.</w:t>
      </w:r>
    </w:p>
    <w:p w14:paraId="4994E1A8" w14:textId="3E2A053A" w:rsidR="338958DC" w:rsidRDefault="338958DC" w:rsidP="338958DC">
      <w:pPr>
        <w:rPr>
          <w:rFonts w:ascii="Calibri" w:eastAsia="Calibri" w:hAnsi="Calibri" w:cs="Calibri"/>
          <w:color w:val="000000" w:themeColor="text1"/>
        </w:rPr>
      </w:pPr>
    </w:p>
    <w:p w14:paraId="60E3D159" w14:textId="65F0314C" w:rsidR="009E1E4E" w:rsidRDefault="71310749" w:rsidP="5B6380B4">
      <w:pPr>
        <w:rPr>
          <w:rFonts w:ascii="Calibri" w:eastAsia="Calibri" w:hAnsi="Calibri" w:cs="Calibri"/>
          <w:color w:val="000000" w:themeColor="text1"/>
        </w:rPr>
      </w:pPr>
      <w:r w:rsidRPr="5B6380B4">
        <w:rPr>
          <w:rFonts w:ascii="Calibri" w:eastAsia="Calibri" w:hAnsi="Calibri" w:cs="Calibri"/>
          <w:color w:val="000000" w:themeColor="text1"/>
        </w:rPr>
        <w:t xml:space="preserve">Kenny, Christopher T., Shiro </w:t>
      </w:r>
      <w:proofErr w:type="spellStart"/>
      <w:r w:rsidRPr="5B6380B4">
        <w:rPr>
          <w:rFonts w:ascii="Calibri" w:eastAsia="Calibri" w:hAnsi="Calibri" w:cs="Calibri"/>
          <w:color w:val="000000" w:themeColor="text1"/>
        </w:rPr>
        <w:t>Kuriwaki</w:t>
      </w:r>
      <w:proofErr w:type="spellEnd"/>
      <w:r w:rsidRPr="5B6380B4">
        <w:rPr>
          <w:rFonts w:ascii="Calibri" w:eastAsia="Calibri" w:hAnsi="Calibri" w:cs="Calibri"/>
          <w:color w:val="000000" w:themeColor="text1"/>
        </w:rPr>
        <w:t xml:space="preserve">, Cory McCartan, Evan Rosenman, Tyler </w:t>
      </w:r>
      <w:proofErr w:type="spellStart"/>
      <w:r w:rsidRPr="5B6380B4">
        <w:rPr>
          <w:rFonts w:ascii="Calibri" w:eastAsia="Calibri" w:hAnsi="Calibri" w:cs="Calibri"/>
          <w:color w:val="000000" w:themeColor="text1"/>
        </w:rPr>
        <w:t>Simko</w:t>
      </w:r>
      <w:proofErr w:type="spellEnd"/>
      <w:r w:rsidRPr="5B6380B4">
        <w:rPr>
          <w:rFonts w:ascii="Calibri" w:eastAsia="Calibri" w:hAnsi="Calibri" w:cs="Calibri"/>
          <w:color w:val="000000" w:themeColor="text1"/>
        </w:rPr>
        <w:t>, and Kosuke Imai. (2021</w:t>
      </w:r>
      <w:proofErr w:type="gramStart"/>
      <w:r w:rsidRPr="5B6380B4">
        <w:rPr>
          <w:rFonts w:ascii="Calibri" w:eastAsia="Calibri" w:hAnsi="Calibri" w:cs="Calibri"/>
          <w:color w:val="000000" w:themeColor="text1"/>
        </w:rPr>
        <w:t xml:space="preserve">) </w:t>
      </w:r>
      <w:r w:rsidRPr="00256CFE">
        <w:rPr>
          <w:rFonts w:ascii="Calibri" w:eastAsia="Calibri" w:hAnsi="Calibri" w:cs="Calibri"/>
          <w:color w:val="000000" w:themeColor="text1"/>
        </w:rPr>
        <w:t>.</w:t>
      </w:r>
      <w:proofErr w:type="gramEnd"/>
      <w:r w:rsidRPr="5B6380B4">
        <w:rPr>
          <w:rFonts w:ascii="Calibri" w:eastAsia="Calibri" w:hAnsi="Calibri" w:cs="Calibri"/>
          <w:color w:val="000000" w:themeColor="text1"/>
        </w:rPr>
        <w:t>``The Use of Differential Privacy for Census Data and its Impact on Redistricting: The Case of the 2020 U.S. Census.'' Science Advances, Vol. 7, No. 7 (October), pp. 1-17.</w:t>
      </w:r>
    </w:p>
    <w:p w14:paraId="3CEFB7AC" w14:textId="79A52E74" w:rsidR="009E1E4E" w:rsidRDefault="71310749" w:rsidP="5B6380B4">
      <w:pPr>
        <w:rPr>
          <w:rFonts w:ascii="Calibri" w:eastAsia="Calibri" w:hAnsi="Calibri" w:cs="Calibri"/>
          <w:color w:val="000000" w:themeColor="text1"/>
        </w:rPr>
      </w:pPr>
      <w:r w:rsidRPr="5B6380B4">
        <w:rPr>
          <w:rFonts w:ascii="Calibri" w:eastAsia="Calibri" w:hAnsi="Calibri" w:cs="Calibri"/>
          <w:color w:val="000000" w:themeColor="text1"/>
        </w:rPr>
        <w:t xml:space="preserve">Krieger N, </w:t>
      </w:r>
      <w:proofErr w:type="spellStart"/>
      <w:r w:rsidRPr="5B6380B4">
        <w:rPr>
          <w:rFonts w:ascii="Calibri" w:eastAsia="Calibri" w:hAnsi="Calibri" w:cs="Calibri"/>
          <w:color w:val="000000" w:themeColor="text1"/>
        </w:rPr>
        <w:t>Nethery</w:t>
      </w:r>
      <w:proofErr w:type="spellEnd"/>
      <w:r w:rsidRPr="5B6380B4">
        <w:rPr>
          <w:rFonts w:ascii="Calibri" w:eastAsia="Calibri" w:hAnsi="Calibri" w:cs="Calibri"/>
          <w:color w:val="000000" w:themeColor="text1"/>
        </w:rPr>
        <w:t xml:space="preserve"> RC, Chen JT, Waterman PD, Wright E, </w:t>
      </w:r>
      <w:proofErr w:type="spellStart"/>
      <w:r w:rsidRPr="5B6380B4">
        <w:rPr>
          <w:rFonts w:ascii="Calibri" w:eastAsia="Calibri" w:hAnsi="Calibri" w:cs="Calibri"/>
          <w:color w:val="000000" w:themeColor="text1"/>
        </w:rPr>
        <w:t>Rushovich</w:t>
      </w:r>
      <w:proofErr w:type="spellEnd"/>
      <w:r w:rsidRPr="5B6380B4">
        <w:rPr>
          <w:rFonts w:ascii="Calibri" w:eastAsia="Calibri" w:hAnsi="Calibri" w:cs="Calibri"/>
          <w:color w:val="000000" w:themeColor="text1"/>
        </w:rPr>
        <w:t xml:space="preserve"> T, </w:t>
      </w:r>
      <w:proofErr w:type="spellStart"/>
      <w:r w:rsidRPr="5B6380B4">
        <w:rPr>
          <w:rFonts w:ascii="Calibri" w:eastAsia="Calibri" w:hAnsi="Calibri" w:cs="Calibri"/>
          <w:color w:val="000000" w:themeColor="text1"/>
        </w:rPr>
        <w:t>Coull</w:t>
      </w:r>
      <w:proofErr w:type="spellEnd"/>
      <w:r w:rsidRPr="5B6380B4">
        <w:rPr>
          <w:rFonts w:ascii="Calibri" w:eastAsia="Calibri" w:hAnsi="Calibri" w:cs="Calibri"/>
          <w:color w:val="000000" w:themeColor="text1"/>
        </w:rPr>
        <w:t xml:space="preserve"> BA. Impact of Differential Privacy and Census Tract Data Source (Decennial Census Versus American Community Survey) for Monitoring Health Inequities. Am J Public Health. 2021 Feb;111(2):265-268. </w:t>
      </w:r>
      <w:proofErr w:type="spellStart"/>
      <w:r w:rsidRPr="5B6380B4">
        <w:rPr>
          <w:rFonts w:ascii="Calibri" w:eastAsia="Calibri" w:hAnsi="Calibri" w:cs="Calibri"/>
          <w:color w:val="000000" w:themeColor="text1"/>
        </w:rPr>
        <w:t>doi</w:t>
      </w:r>
      <w:proofErr w:type="spellEnd"/>
      <w:r w:rsidRPr="5B6380B4">
        <w:rPr>
          <w:rFonts w:ascii="Calibri" w:eastAsia="Calibri" w:hAnsi="Calibri" w:cs="Calibri"/>
          <w:color w:val="000000" w:themeColor="text1"/>
        </w:rPr>
        <w:t xml:space="preserve">: 10.2105/AJPH.2020.305989. </w:t>
      </w:r>
      <w:proofErr w:type="spellStart"/>
      <w:r w:rsidRPr="5B6380B4">
        <w:rPr>
          <w:rFonts w:ascii="Calibri" w:eastAsia="Calibri" w:hAnsi="Calibri" w:cs="Calibri"/>
          <w:color w:val="000000" w:themeColor="text1"/>
        </w:rPr>
        <w:t>Epub</w:t>
      </w:r>
      <w:proofErr w:type="spellEnd"/>
      <w:r w:rsidRPr="5B6380B4">
        <w:rPr>
          <w:rFonts w:ascii="Calibri" w:eastAsia="Calibri" w:hAnsi="Calibri" w:cs="Calibri"/>
          <w:color w:val="000000" w:themeColor="text1"/>
        </w:rPr>
        <w:t xml:space="preserve"> 2020 Dec 22. PMID: 33351654; PMCID: PMC7811099.</w:t>
      </w:r>
    </w:p>
    <w:p w14:paraId="0D9B3AA8" w14:textId="3F117847" w:rsidR="009E1E4E" w:rsidRDefault="71310749" w:rsidP="5B6380B4">
      <w:pPr>
        <w:rPr>
          <w:rFonts w:ascii="Calibri" w:eastAsia="Calibri" w:hAnsi="Calibri" w:cs="Calibri"/>
          <w:color w:val="000000" w:themeColor="text1"/>
        </w:rPr>
      </w:pPr>
      <w:r w:rsidRPr="5B6380B4">
        <w:rPr>
          <w:rFonts w:ascii="Calibri" w:eastAsia="Calibri" w:hAnsi="Calibri" w:cs="Calibri"/>
          <w:color w:val="000000" w:themeColor="text1"/>
        </w:rPr>
        <w:lastRenderedPageBreak/>
        <w:t xml:space="preserve">Kurz CF, König AN, Emmert-Fees KMF, Allen LD. The effect of differential privacy on Medicaid participation among racial and ethnic minority groups. Health Serv Res. 2022 Dec;57 Suppl 2:207-213. </w:t>
      </w:r>
      <w:proofErr w:type="spellStart"/>
      <w:r w:rsidRPr="5B6380B4">
        <w:rPr>
          <w:rFonts w:ascii="Calibri" w:eastAsia="Calibri" w:hAnsi="Calibri" w:cs="Calibri"/>
          <w:color w:val="000000" w:themeColor="text1"/>
        </w:rPr>
        <w:t>doi</w:t>
      </w:r>
      <w:proofErr w:type="spellEnd"/>
      <w:r w:rsidRPr="5B6380B4">
        <w:rPr>
          <w:rFonts w:ascii="Calibri" w:eastAsia="Calibri" w:hAnsi="Calibri" w:cs="Calibri"/>
          <w:color w:val="000000" w:themeColor="text1"/>
        </w:rPr>
        <w:t xml:space="preserve">: 10.1111/1475-6773.14000. </w:t>
      </w:r>
      <w:proofErr w:type="spellStart"/>
      <w:r w:rsidRPr="5B6380B4">
        <w:rPr>
          <w:rFonts w:ascii="Calibri" w:eastAsia="Calibri" w:hAnsi="Calibri" w:cs="Calibri"/>
          <w:color w:val="000000" w:themeColor="text1"/>
        </w:rPr>
        <w:t>Epub</w:t>
      </w:r>
      <w:proofErr w:type="spellEnd"/>
      <w:r w:rsidRPr="5B6380B4">
        <w:rPr>
          <w:rFonts w:ascii="Calibri" w:eastAsia="Calibri" w:hAnsi="Calibri" w:cs="Calibri"/>
          <w:color w:val="000000" w:themeColor="text1"/>
        </w:rPr>
        <w:t xml:space="preserve"> 2022 May 20. PMID: 35524543.</w:t>
      </w:r>
    </w:p>
    <w:p w14:paraId="76D1279F" w14:textId="20ABCFCC" w:rsidR="009E1E4E" w:rsidRPr="00256CFE" w:rsidRDefault="71310749" w:rsidP="000E7781">
      <w:pPr>
        <w:rPr>
          <w:rFonts w:ascii="Calibri" w:eastAsia="Calibri" w:hAnsi="Calibri" w:cs="Calibri"/>
          <w:color w:val="000000" w:themeColor="text1"/>
        </w:rPr>
      </w:pPr>
      <w:r w:rsidRPr="5B6380B4">
        <w:rPr>
          <w:rFonts w:ascii="Calibri" w:eastAsia="Calibri" w:hAnsi="Calibri" w:cs="Calibri"/>
          <w:color w:val="000000" w:themeColor="text1"/>
        </w:rPr>
        <w:t>Hauer, M. E., &amp; Santos-Lozada, A. R. (2021). Differential Privacy in the 2020 Census Will Distort COVID-19 Rates. Socius, 7. </w:t>
      </w:r>
      <w:hyperlink r:id="rId27">
        <w:r w:rsidRPr="000E7781">
          <w:rPr>
            <w:rFonts w:ascii="Calibri" w:eastAsia="Calibri" w:hAnsi="Calibri" w:cs="Calibri"/>
            <w:color w:val="000000" w:themeColor="text1"/>
          </w:rPr>
          <w:t>https://doi.org/10.1177/2378023121994014</w:t>
        </w:r>
      </w:hyperlink>
    </w:p>
    <w:p w14:paraId="3DEA8DD9" w14:textId="0A8BE3DD" w:rsidR="009E1E4E" w:rsidRPr="00256CFE" w:rsidRDefault="71310749" w:rsidP="000E7781">
      <w:pPr>
        <w:rPr>
          <w:rFonts w:ascii="Calibri" w:eastAsia="Calibri" w:hAnsi="Calibri" w:cs="Calibri"/>
          <w:color w:val="000000" w:themeColor="text1"/>
        </w:rPr>
      </w:pPr>
      <w:r w:rsidRPr="5B6380B4">
        <w:rPr>
          <w:rFonts w:ascii="Calibri" w:eastAsia="Calibri" w:hAnsi="Calibri" w:cs="Calibri"/>
          <w:color w:val="000000" w:themeColor="text1"/>
        </w:rPr>
        <w:t>Mueller, J.T., Santos-Lozada, A.R. The 2020 US Census Differential Privacy Method Introduces Disproportionate Discrepancies for Rural and Non-White Populations. </w:t>
      </w:r>
      <w:proofErr w:type="spellStart"/>
      <w:r w:rsidRPr="5B6380B4">
        <w:rPr>
          <w:rFonts w:ascii="Calibri" w:eastAsia="Calibri" w:hAnsi="Calibri" w:cs="Calibri"/>
          <w:color w:val="000000" w:themeColor="text1"/>
        </w:rPr>
        <w:t>Popul</w:t>
      </w:r>
      <w:proofErr w:type="spellEnd"/>
      <w:r w:rsidRPr="5B6380B4">
        <w:rPr>
          <w:rFonts w:ascii="Calibri" w:eastAsia="Calibri" w:hAnsi="Calibri" w:cs="Calibri"/>
          <w:color w:val="000000" w:themeColor="text1"/>
        </w:rPr>
        <w:t xml:space="preserve"> Res Policy Rev 41, 1417–1430 (2022). </w:t>
      </w:r>
      <w:hyperlink r:id="rId28">
        <w:r w:rsidRPr="000E7781">
          <w:rPr>
            <w:rFonts w:ascii="Calibri" w:eastAsia="Calibri" w:hAnsi="Calibri" w:cs="Calibri"/>
            <w:color w:val="000000" w:themeColor="text1"/>
          </w:rPr>
          <w:t>https://doi.org/10.1007/s11113-022-09698-3</w:t>
        </w:r>
      </w:hyperlink>
    </w:p>
    <w:p w14:paraId="3E81A0C2" w14:textId="1032FFBE" w:rsidR="009E1E4E" w:rsidRPr="00256CFE" w:rsidRDefault="009E1E4E" w:rsidP="5B6380B4">
      <w:pPr>
        <w:spacing w:beforeAutospacing="1" w:afterAutospacing="1" w:line="240" w:lineRule="auto"/>
        <w:rPr>
          <w:rFonts w:ascii="Calibri" w:eastAsia="Calibri" w:hAnsi="Calibri" w:cs="Calibri"/>
          <w:color w:val="000000" w:themeColor="text1"/>
        </w:rPr>
      </w:pPr>
    </w:p>
    <w:p w14:paraId="7C05CFA2" w14:textId="727E65D1" w:rsidR="009E1E4E" w:rsidRPr="00256CFE" w:rsidRDefault="338958DC" w:rsidP="5B6380B4">
      <w:pPr>
        <w:pStyle w:val="Heading1"/>
        <w:spacing w:beforeAutospacing="1" w:afterAutospacing="1" w:line="240" w:lineRule="auto"/>
        <w:rPr>
          <w:rFonts w:ascii="Calibri" w:eastAsia="Calibri" w:hAnsi="Calibri" w:cs="Calibri"/>
          <w:color w:val="000000" w:themeColor="text1"/>
          <w:sz w:val="22"/>
          <w:szCs w:val="22"/>
        </w:rPr>
      </w:pPr>
      <w:r w:rsidRPr="338958DC">
        <w:rPr>
          <w:rFonts w:ascii="Calibri" w:eastAsia="Calibri" w:hAnsi="Calibri" w:cs="Calibri"/>
          <w:color w:val="000000" w:themeColor="text1"/>
          <w:sz w:val="22"/>
          <w:szCs w:val="22"/>
        </w:rPr>
        <w:t xml:space="preserve">Petti S, Flaxman A. Differential privacy in the 2020 US census: what will it do? Quantifying the accuracy/privacy tradeoff. Gates Open Res. 2020 Apr </w:t>
      </w:r>
      <w:proofErr w:type="gramStart"/>
      <w:r w:rsidRPr="338958DC">
        <w:rPr>
          <w:rFonts w:ascii="Calibri" w:eastAsia="Calibri" w:hAnsi="Calibri" w:cs="Calibri"/>
          <w:color w:val="000000" w:themeColor="text1"/>
          <w:sz w:val="22"/>
          <w:szCs w:val="22"/>
        </w:rPr>
        <w:t>6;3:1722</w:t>
      </w:r>
      <w:proofErr w:type="gramEnd"/>
      <w:r w:rsidRPr="338958DC">
        <w:rPr>
          <w:rFonts w:ascii="Calibri" w:eastAsia="Calibri" w:hAnsi="Calibri" w:cs="Calibri"/>
          <w:color w:val="000000" w:themeColor="text1"/>
          <w:sz w:val="22"/>
          <w:szCs w:val="22"/>
        </w:rPr>
        <w:t xml:space="preserve">. </w:t>
      </w:r>
      <w:proofErr w:type="spellStart"/>
      <w:r w:rsidRPr="338958DC">
        <w:rPr>
          <w:rFonts w:ascii="Calibri" w:eastAsia="Calibri" w:hAnsi="Calibri" w:cs="Calibri"/>
          <w:color w:val="000000" w:themeColor="text1"/>
          <w:sz w:val="22"/>
          <w:szCs w:val="22"/>
        </w:rPr>
        <w:t>doi</w:t>
      </w:r>
      <w:proofErr w:type="spellEnd"/>
      <w:r w:rsidRPr="338958DC">
        <w:rPr>
          <w:rFonts w:ascii="Calibri" w:eastAsia="Calibri" w:hAnsi="Calibri" w:cs="Calibri"/>
          <w:color w:val="000000" w:themeColor="text1"/>
          <w:sz w:val="22"/>
          <w:szCs w:val="22"/>
        </w:rPr>
        <w:t xml:space="preserve">: 10.12688/gatesopenres.13089.2. PMID: 32478311; PMCID: PMC7216402. </w:t>
      </w:r>
    </w:p>
    <w:p w14:paraId="2AF5CCD9" w14:textId="2FF03191" w:rsidR="338958DC" w:rsidRDefault="338958DC" w:rsidP="338958DC">
      <w:pPr>
        <w:pStyle w:val="Heading1"/>
        <w:spacing w:beforeAutospacing="1" w:afterAutospacing="1" w:line="240" w:lineRule="auto"/>
        <w:rPr>
          <w:rFonts w:ascii="Calibri" w:eastAsia="Calibri" w:hAnsi="Calibri" w:cs="Calibri"/>
          <w:color w:val="000000" w:themeColor="text1"/>
          <w:sz w:val="22"/>
          <w:szCs w:val="22"/>
        </w:rPr>
      </w:pPr>
    </w:p>
    <w:p w14:paraId="3FFE9AE9" w14:textId="5FF76887" w:rsidR="009E1E4E" w:rsidRPr="00256CFE" w:rsidRDefault="338958DC" w:rsidP="5B6380B4">
      <w:pPr>
        <w:pStyle w:val="Heading1"/>
        <w:spacing w:beforeAutospacing="1" w:afterAutospacing="1" w:line="240" w:lineRule="auto"/>
        <w:rPr>
          <w:rFonts w:ascii="Calibri" w:eastAsia="Calibri" w:hAnsi="Calibri" w:cs="Calibri"/>
          <w:color w:val="000000" w:themeColor="text1"/>
          <w:sz w:val="22"/>
          <w:szCs w:val="22"/>
        </w:rPr>
      </w:pPr>
      <w:r w:rsidRPr="338958DC">
        <w:rPr>
          <w:rFonts w:ascii="Calibri" w:eastAsia="Calibri" w:hAnsi="Calibri" w:cs="Calibri"/>
          <w:color w:val="000000" w:themeColor="text1"/>
          <w:sz w:val="22"/>
          <w:szCs w:val="22"/>
        </w:rPr>
        <w:t>Ruggles, Steven, Catherine Fitch, Diana Magnuson, and Jonathan Schroeder. 2019. "Differential Privacy and Census Data: Implications for Social and Economic Research." AEA Papers and Proceedings, 109: 403-08. DOI: 10.1257/pandp.20191107</w:t>
      </w:r>
    </w:p>
    <w:p w14:paraId="6C54CD29" w14:textId="233C983C" w:rsidR="338958DC" w:rsidRDefault="338958DC" w:rsidP="338958DC">
      <w:pPr>
        <w:rPr>
          <w:rFonts w:ascii="Calibri" w:eastAsia="Calibri" w:hAnsi="Calibri" w:cs="Calibri"/>
          <w:color w:val="000000" w:themeColor="text1"/>
        </w:rPr>
      </w:pPr>
    </w:p>
    <w:p w14:paraId="4438171D" w14:textId="1C6836F8" w:rsidR="009E1E4E" w:rsidRDefault="71310749" w:rsidP="5B6380B4">
      <w:pPr>
        <w:rPr>
          <w:rFonts w:ascii="Calibri" w:eastAsia="Calibri" w:hAnsi="Calibri" w:cs="Calibri"/>
          <w:color w:val="000000" w:themeColor="text1"/>
        </w:rPr>
      </w:pPr>
      <w:r w:rsidRPr="5B6380B4">
        <w:rPr>
          <w:rFonts w:ascii="Calibri" w:eastAsia="Calibri" w:hAnsi="Calibri" w:cs="Calibri"/>
          <w:color w:val="000000" w:themeColor="text1"/>
        </w:rPr>
        <w:t xml:space="preserve">Santos-Lozada AR, Howard JT, </w:t>
      </w:r>
      <w:proofErr w:type="spellStart"/>
      <w:r w:rsidRPr="5B6380B4">
        <w:rPr>
          <w:rFonts w:ascii="Calibri" w:eastAsia="Calibri" w:hAnsi="Calibri" w:cs="Calibri"/>
          <w:color w:val="000000" w:themeColor="text1"/>
        </w:rPr>
        <w:t>Verdery</w:t>
      </w:r>
      <w:proofErr w:type="spellEnd"/>
      <w:r w:rsidRPr="5B6380B4">
        <w:rPr>
          <w:rFonts w:ascii="Calibri" w:eastAsia="Calibri" w:hAnsi="Calibri" w:cs="Calibri"/>
          <w:color w:val="000000" w:themeColor="text1"/>
        </w:rPr>
        <w:t xml:space="preserve"> AM. How differential privacy will affect our understanding of health disparities in the United States. Proc Natl </w:t>
      </w:r>
      <w:proofErr w:type="spellStart"/>
      <w:r w:rsidRPr="5B6380B4">
        <w:rPr>
          <w:rFonts w:ascii="Calibri" w:eastAsia="Calibri" w:hAnsi="Calibri" w:cs="Calibri"/>
          <w:color w:val="000000" w:themeColor="text1"/>
        </w:rPr>
        <w:t>Acad</w:t>
      </w:r>
      <w:proofErr w:type="spellEnd"/>
      <w:r w:rsidRPr="5B6380B4">
        <w:rPr>
          <w:rFonts w:ascii="Calibri" w:eastAsia="Calibri" w:hAnsi="Calibri" w:cs="Calibri"/>
          <w:color w:val="000000" w:themeColor="text1"/>
        </w:rPr>
        <w:t xml:space="preserve"> Sci U S A. 2020 Jun 16;117(24):13405-13412. </w:t>
      </w:r>
      <w:proofErr w:type="spellStart"/>
      <w:r w:rsidRPr="5B6380B4">
        <w:rPr>
          <w:rFonts w:ascii="Calibri" w:eastAsia="Calibri" w:hAnsi="Calibri" w:cs="Calibri"/>
          <w:color w:val="000000" w:themeColor="text1"/>
        </w:rPr>
        <w:t>doi</w:t>
      </w:r>
      <w:proofErr w:type="spellEnd"/>
      <w:r w:rsidRPr="5B6380B4">
        <w:rPr>
          <w:rFonts w:ascii="Calibri" w:eastAsia="Calibri" w:hAnsi="Calibri" w:cs="Calibri"/>
          <w:color w:val="000000" w:themeColor="text1"/>
        </w:rPr>
        <w:t xml:space="preserve">: 10.1073/pnas.2003714117. </w:t>
      </w:r>
      <w:proofErr w:type="spellStart"/>
      <w:r w:rsidRPr="5B6380B4">
        <w:rPr>
          <w:rFonts w:ascii="Calibri" w:eastAsia="Calibri" w:hAnsi="Calibri" w:cs="Calibri"/>
          <w:color w:val="000000" w:themeColor="text1"/>
        </w:rPr>
        <w:t>Epub</w:t>
      </w:r>
      <w:proofErr w:type="spellEnd"/>
      <w:r w:rsidRPr="5B6380B4">
        <w:rPr>
          <w:rFonts w:ascii="Calibri" w:eastAsia="Calibri" w:hAnsi="Calibri" w:cs="Calibri"/>
          <w:color w:val="000000" w:themeColor="text1"/>
        </w:rPr>
        <w:t xml:space="preserve"> 2020 May 28. PMID: 32467167; PMCID: PMC 7306796. </w:t>
      </w:r>
      <w:hyperlink r:id="rId29">
        <w:r w:rsidRPr="00256CFE">
          <w:t>P</w:t>
        </w:r>
        <w:r w:rsidRPr="00256CFE">
          <w:rPr>
            <w:rFonts w:ascii="Arial" w:eastAsia="Calibri" w:hAnsi="Arial" w:cs="Arial"/>
          </w:rPr>
          <w:t>￼</w:t>
        </w:r>
      </w:hyperlink>
    </w:p>
    <w:p w14:paraId="202929C8" w14:textId="35D33284" w:rsidR="009E1E4E" w:rsidRDefault="71310749" w:rsidP="5B6380B4">
      <w:pPr>
        <w:rPr>
          <w:rFonts w:ascii="Calibri" w:eastAsia="Calibri" w:hAnsi="Calibri" w:cs="Calibri"/>
          <w:color w:val="000000" w:themeColor="text1"/>
        </w:rPr>
      </w:pPr>
      <w:r w:rsidRPr="5B6380B4">
        <w:rPr>
          <w:rFonts w:ascii="Calibri" w:eastAsia="Calibri" w:hAnsi="Calibri" w:cs="Calibri"/>
          <w:color w:val="000000" w:themeColor="text1"/>
        </w:rPr>
        <w:t xml:space="preserve">Walter </w:t>
      </w:r>
      <w:proofErr w:type="spellStart"/>
      <w:r w:rsidRPr="5B6380B4">
        <w:rPr>
          <w:rFonts w:ascii="Calibri" w:eastAsia="Calibri" w:hAnsi="Calibri" w:cs="Calibri"/>
          <w:color w:val="000000" w:themeColor="text1"/>
        </w:rPr>
        <w:t>Schwarm</w:t>
      </w:r>
      <w:proofErr w:type="spellEnd"/>
      <w:r w:rsidRPr="5B6380B4">
        <w:rPr>
          <w:rFonts w:ascii="Calibri" w:eastAsia="Calibri" w:hAnsi="Calibri" w:cs="Calibri"/>
          <w:color w:val="000000" w:themeColor="text1"/>
        </w:rPr>
        <w:t xml:space="preserve">, Jonathan Buttle. California Department of Finance Demographic Research Unit. Differential Privacy and Census Data. [2020?] Available at: </w:t>
      </w:r>
      <w:hyperlink r:id="rId30">
        <w:r w:rsidRPr="00256CFE">
          <w:t>https://scag.ca.gov/sites/main/files/file-attachments/jonathanbuttle.pdf?1604614125</w:t>
        </w:r>
      </w:hyperlink>
    </w:p>
    <w:p w14:paraId="2C078E63" w14:textId="15DF51E8" w:rsidR="009E1E4E" w:rsidRDefault="71310749" w:rsidP="5B6380B4">
      <w:pPr>
        <w:rPr>
          <w:rFonts w:ascii="Calibri" w:eastAsia="Calibri" w:hAnsi="Calibri" w:cs="Calibri"/>
          <w:color w:val="000000" w:themeColor="text1"/>
        </w:rPr>
      </w:pPr>
      <w:r w:rsidRPr="5B6380B4">
        <w:rPr>
          <w:rFonts w:ascii="Calibri" w:eastAsia="Calibri" w:hAnsi="Calibri" w:cs="Calibri"/>
          <w:color w:val="000000" w:themeColor="text1"/>
        </w:rPr>
        <w:t>Wines, Michael (2022, April) “The 2020 Census Suggests That People Live Underwater. There’s a Reason.”  New York Times</w:t>
      </w:r>
    </w:p>
    <w:p w14:paraId="3355EDAD" w14:textId="27A1F27B" w:rsidR="00FC447C" w:rsidRDefault="00FC447C" w:rsidP="5B6380B4">
      <w:pPr>
        <w:rPr>
          <w:rFonts w:ascii="Calibri" w:eastAsia="Calibri" w:hAnsi="Calibri" w:cs="Calibri"/>
          <w:color w:val="000000" w:themeColor="text1"/>
        </w:rPr>
      </w:pPr>
      <w:r>
        <w:rPr>
          <w:rFonts w:ascii="Calibri" w:eastAsia="Calibri" w:hAnsi="Calibri" w:cs="Calibri"/>
          <w:color w:val="000000" w:themeColor="text1"/>
        </w:rPr>
        <w:t>Presentations from the June 2022 Meeting of the National Academy of Sciences Committee on National Statistics, “</w:t>
      </w:r>
      <w:r w:rsidRPr="00256CFE">
        <w:rPr>
          <w:rFonts w:ascii="Calibri" w:eastAsia="Calibri" w:hAnsi="Calibri" w:cs="Calibri"/>
          <w:color w:val="000000" w:themeColor="text1"/>
        </w:rPr>
        <w:t xml:space="preserve">2020 Census Data Products—Public Workshop on the Demographic and Housing Characteristics </w:t>
      </w:r>
      <w:proofErr w:type="gramStart"/>
      <w:r w:rsidRPr="00256CFE">
        <w:rPr>
          <w:rFonts w:ascii="Calibri" w:eastAsia="Calibri" w:hAnsi="Calibri" w:cs="Calibri"/>
          <w:color w:val="000000" w:themeColor="text1"/>
        </w:rPr>
        <w:t>Files”  https://www.nationalacademies.org/event/06-21-2022/2020-census-data-products-workshop-on-the-demographic-and-housing-characteristics-files?utm_campaign=20220719msdecs1ccdtars&amp;utm_medium=email&amp;utm_source=govdelivery</w:t>
      </w:r>
      <w:proofErr w:type="gramEnd"/>
    </w:p>
    <w:sectPr w:rsidR="00FC4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C9A3C" w14:textId="77777777" w:rsidR="00A80609" w:rsidRDefault="00A80609" w:rsidP="00A80609">
      <w:pPr>
        <w:spacing w:after="0" w:line="240" w:lineRule="auto"/>
      </w:pPr>
      <w:r>
        <w:separator/>
      </w:r>
    </w:p>
  </w:endnote>
  <w:endnote w:type="continuationSeparator" w:id="0">
    <w:p w14:paraId="17C6AAB8" w14:textId="77777777" w:rsidR="00A80609" w:rsidRDefault="00A80609" w:rsidP="00A80609">
      <w:pPr>
        <w:spacing w:after="0" w:line="240" w:lineRule="auto"/>
      </w:pPr>
      <w:r>
        <w:continuationSeparator/>
      </w:r>
    </w:p>
  </w:endnote>
  <w:endnote w:id="1">
    <w:p w14:paraId="7A1082ED" w14:textId="2FD40C85" w:rsidR="00A80609" w:rsidRDefault="00A80609">
      <w:pPr>
        <w:pStyle w:val="EndnoteText"/>
        <w:rPr>
          <w:sz w:val="16"/>
          <w:szCs w:val="16"/>
        </w:rPr>
      </w:pPr>
      <w:r>
        <w:rPr>
          <w:rStyle w:val="EndnoteReference"/>
        </w:rPr>
        <w:endnoteRef/>
      </w:r>
      <w:r>
        <w:t xml:space="preserve"> </w:t>
      </w:r>
      <w:r w:rsidRPr="00A80609">
        <w:rPr>
          <w:sz w:val="16"/>
          <w:szCs w:val="16"/>
        </w:rPr>
        <w:t>There are 63 potential single and multiple race categories -- 6 categories for those who marked exactly one race and 57 categories for those who marked two or more races. These 57 categories of two or more races include the 15 possible combinations of two races (for example, Asian and White), the 20 possible combinations of three races, the 15 possible combinations of four races, the 6 possible combinations of five races, and the 1 possible combination of all six races.</w:t>
      </w:r>
    </w:p>
    <w:p w14:paraId="74F120A2" w14:textId="151A56BA" w:rsidR="00305279" w:rsidRDefault="00305279">
      <w:pPr>
        <w:pStyle w:val="EndnoteText"/>
        <w:rPr>
          <w:sz w:val="16"/>
          <w:szCs w:val="16"/>
        </w:rPr>
      </w:pPr>
    </w:p>
    <w:p w14:paraId="2E7DCAE7" w14:textId="2ADDD5A3" w:rsidR="00305279" w:rsidRDefault="00305279">
      <w:pPr>
        <w:pStyle w:val="EndnoteText"/>
        <w:rPr>
          <w:sz w:val="16"/>
          <w:szCs w:val="16"/>
        </w:rPr>
      </w:pPr>
    </w:p>
    <w:p w14:paraId="1B59A044" w14:textId="2ECD81D1" w:rsidR="00305279" w:rsidRDefault="00305279">
      <w:pPr>
        <w:pStyle w:val="EndnoteText"/>
      </w:pPr>
      <w:r>
        <w:rPr>
          <w:noProof/>
        </w:rPr>
        <w:drawing>
          <wp:inline distT="0" distB="0" distL="0" distR="0" wp14:anchorId="0059EA42" wp14:editId="74990E7B">
            <wp:extent cx="5943600" cy="4274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4274185"/>
                    </a:xfrm>
                    <a:prstGeom prst="rect">
                      <a:avLst/>
                    </a:prstGeom>
                  </pic:spPr>
                </pic:pic>
              </a:graphicData>
            </a:graphic>
          </wp:inline>
        </w:drawing>
      </w:r>
    </w:p>
    <w:p w14:paraId="1CF9EF97" w14:textId="7CAD6AD6" w:rsidR="00305279" w:rsidRDefault="00305279">
      <w:pPr>
        <w:pStyle w:val="EndnoteText"/>
      </w:pPr>
      <w:r>
        <w:t xml:space="preserve">Source: Mueller, Tom County-level Discrepancies between SF-1 and DHC across the Rural-Urban Continuum. Presentation to </w:t>
      </w:r>
      <w:proofErr w:type="gramStart"/>
      <w:r>
        <w:t xml:space="preserve">the </w:t>
      </w:r>
      <w:r>
        <w:rPr>
          <w:rFonts w:ascii="Calibri" w:eastAsia="Calibri" w:hAnsi="Calibri" w:cs="Calibri"/>
          <w:color w:val="000000" w:themeColor="text1"/>
        </w:rPr>
        <w:t xml:space="preserve"> June</w:t>
      </w:r>
      <w:proofErr w:type="gramEnd"/>
      <w:r>
        <w:rPr>
          <w:rFonts w:ascii="Calibri" w:eastAsia="Calibri" w:hAnsi="Calibri" w:cs="Calibri"/>
          <w:color w:val="000000" w:themeColor="text1"/>
        </w:rPr>
        <w:t xml:space="preserve"> 2022 Meeting of the National Academy of Sciences Committee on National 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4A93" w14:textId="77777777" w:rsidR="00A80609" w:rsidRDefault="00A80609" w:rsidP="00A80609">
      <w:pPr>
        <w:spacing w:after="0" w:line="240" w:lineRule="auto"/>
      </w:pPr>
      <w:r>
        <w:separator/>
      </w:r>
    </w:p>
  </w:footnote>
  <w:footnote w:type="continuationSeparator" w:id="0">
    <w:p w14:paraId="2783320C" w14:textId="77777777" w:rsidR="00A80609" w:rsidRDefault="00A80609" w:rsidP="00A806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C380"/>
    <w:multiLevelType w:val="hybridMultilevel"/>
    <w:tmpl w:val="BCFC8D5A"/>
    <w:lvl w:ilvl="0" w:tplc="4F84E592">
      <w:start w:val="1"/>
      <w:numFmt w:val="bullet"/>
      <w:lvlText w:val="-"/>
      <w:lvlJc w:val="left"/>
      <w:pPr>
        <w:ind w:left="720" w:hanging="360"/>
      </w:pPr>
      <w:rPr>
        <w:rFonts w:ascii="Calibri" w:hAnsi="Calibri" w:hint="default"/>
      </w:rPr>
    </w:lvl>
    <w:lvl w:ilvl="1" w:tplc="91306752">
      <w:start w:val="1"/>
      <w:numFmt w:val="bullet"/>
      <w:lvlText w:val="o"/>
      <w:lvlJc w:val="left"/>
      <w:pPr>
        <w:ind w:left="1440" w:hanging="360"/>
      </w:pPr>
      <w:rPr>
        <w:rFonts w:ascii="Courier New" w:hAnsi="Courier New" w:hint="default"/>
      </w:rPr>
    </w:lvl>
    <w:lvl w:ilvl="2" w:tplc="1692609E">
      <w:start w:val="1"/>
      <w:numFmt w:val="bullet"/>
      <w:lvlText w:val=""/>
      <w:lvlJc w:val="left"/>
      <w:pPr>
        <w:ind w:left="2160" w:hanging="360"/>
      </w:pPr>
      <w:rPr>
        <w:rFonts w:ascii="Wingdings" w:hAnsi="Wingdings" w:hint="default"/>
      </w:rPr>
    </w:lvl>
    <w:lvl w:ilvl="3" w:tplc="E9DC524E">
      <w:start w:val="1"/>
      <w:numFmt w:val="bullet"/>
      <w:lvlText w:val=""/>
      <w:lvlJc w:val="left"/>
      <w:pPr>
        <w:ind w:left="2880" w:hanging="360"/>
      </w:pPr>
      <w:rPr>
        <w:rFonts w:ascii="Symbol" w:hAnsi="Symbol" w:hint="default"/>
      </w:rPr>
    </w:lvl>
    <w:lvl w:ilvl="4" w:tplc="D5D610E0">
      <w:start w:val="1"/>
      <w:numFmt w:val="bullet"/>
      <w:lvlText w:val="o"/>
      <w:lvlJc w:val="left"/>
      <w:pPr>
        <w:ind w:left="3600" w:hanging="360"/>
      </w:pPr>
      <w:rPr>
        <w:rFonts w:ascii="Courier New" w:hAnsi="Courier New" w:hint="default"/>
      </w:rPr>
    </w:lvl>
    <w:lvl w:ilvl="5" w:tplc="DF0C6740">
      <w:start w:val="1"/>
      <w:numFmt w:val="bullet"/>
      <w:lvlText w:val=""/>
      <w:lvlJc w:val="left"/>
      <w:pPr>
        <w:ind w:left="4320" w:hanging="360"/>
      </w:pPr>
      <w:rPr>
        <w:rFonts w:ascii="Wingdings" w:hAnsi="Wingdings" w:hint="default"/>
      </w:rPr>
    </w:lvl>
    <w:lvl w:ilvl="6" w:tplc="8A6E02C2">
      <w:start w:val="1"/>
      <w:numFmt w:val="bullet"/>
      <w:lvlText w:val=""/>
      <w:lvlJc w:val="left"/>
      <w:pPr>
        <w:ind w:left="5040" w:hanging="360"/>
      </w:pPr>
      <w:rPr>
        <w:rFonts w:ascii="Symbol" w:hAnsi="Symbol" w:hint="default"/>
      </w:rPr>
    </w:lvl>
    <w:lvl w:ilvl="7" w:tplc="16308DA2">
      <w:start w:val="1"/>
      <w:numFmt w:val="bullet"/>
      <w:lvlText w:val="o"/>
      <w:lvlJc w:val="left"/>
      <w:pPr>
        <w:ind w:left="5760" w:hanging="360"/>
      </w:pPr>
      <w:rPr>
        <w:rFonts w:ascii="Courier New" w:hAnsi="Courier New" w:hint="default"/>
      </w:rPr>
    </w:lvl>
    <w:lvl w:ilvl="8" w:tplc="12FC8DC6">
      <w:start w:val="1"/>
      <w:numFmt w:val="bullet"/>
      <w:lvlText w:val=""/>
      <w:lvlJc w:val="left"/>
      <w:pPr>
        <w:ind w:left="6480" w:hanging="360"/>
      </w:pPr>
      <w:rPr>
        <w:rFonts w:ascii="Wingdings" w:hAnsi="Wingdings" w:hint="default"/>
      </w:rPr>
    </w:lvl>
  </w:abstractNum>
  <w:abstractNum w:abstractNumId="1" w15:restartNumberingAfterBreak="0">
    <w:nsid w:val="15032F86"/>
    <w:multiLevelType w:val="hybridMultilevel"/>
    <w:tmpl w:val="5C2C5A98"/>
    <w:lvl w:ilvl="0" w:tplc="0AC0DC56">
      <w:start w:val="1"/>
      <w:numFmt w:val="bullet"/>
      <w:lvlText w:val="-"/>
      <w:lvlJc w:val="left"/>
      <w:pPr>
        <w:ind w:left="720" w:hanging="360"/>
      </w:pPr>
      <w:rPr>
        <w:rFonts w:ascii="Calibri" w:hAnsi="Calibri" w:hint="default"/>
      </w:rPr>
    </w:lvl>
    <w:lvl w:ilvl="1" w:tplc="5C56D39E">
      <w:start w:val="1"/>
      <w:numFmt w:val="bullet"/>
      <w:lvlText w:val="o"/>
      <w:lvlJc w:val="left"/>
      <w:pPr>
        <w:ind w:left="1440" w:hanging="360"/>
      </w:pPr>
      <w:rPr>
        <w:rFonts w:ascii="Courier New" w:hAnsi="Courier New" w:hint="default"/>
      </w:rPr>
    </w:lvl>
    <w:lvl w:ilvl="2" w:tplc="CF1E2712">
      <w:start w:val="1"/>
      <w:numFmt w:val="bullet"/>
      <w:lvlText w:val=""/>
      <w:lvlJc w:val="left"/>
      <w:pPr>
        <w:ind w:left="2160" w:hanging="360"/>
      </w:pPr>
      <w:rPr>
        <w:rFonts w:ascii="Wingdings" w:hAnsi="Wingdings" w:hint="default"/>
      </w:rPr>
    </w:lvl>
    <w:lvl w:ilvl="3" w:tplc="58D8F3D0">
      <w:start w:val="1"/>
      <w:numFmt w:val="bullet"/>
      <w:lvlText w:val=""/>
      <w:lvlJc w:val="left"/>
      <w:pPr>
        <w:ind w:left="2880" w:hanging="360"/>
      </w:pPr>
      <w:rPr>
        <w:rFonts w:ascii="Symbol" w:hAnsi="Symbol" w:hint="default"/>
      </w:rPr>
    </w:lvl>
    <w:lvl w:ilvl="4" w:tplc="0C4E5CC4">
      <w:start w:val="1"/>
      <w:numFmt w:val="bullet"/>
      <w:lvlText w:val="o"/>
      <w:lvlJc w:val="left"/>
      <w:pPr>
        <w:ind w:left="3600" w:hanging="360"/>
      </w:pPr>
      <w:rPr>
        <w:rFonts w:ascii="Courier New" w:hAnsi="Courier New" w:hint="default"/>
      </w:rPr>
    </w:lvl>
    <w:lvl w:ilvl="5" w:tplc="652CDFE6">
      <w:start w:val="1"/>
      <w:numFmt w:val="bullet"/>
      <w:lvlText w:val=""/>
      <w:lvlJc w:val="left"/>
      <w:pPr>
        <w:ind w:left="4320" w:hanging="360"/>
      </w:pPr>
      <w:rPr>
        <w:rFonts w:ascii="Wingdings" w:hAnsi="Wingdings" w:hint="default"/>
      </w:rPr>
    </w:lvl>
    <w:lvl w:ilvl="6" w:tplc="09CAD952">
      <w:start w:val="1"/>
      <w:numFmt w:val="bullet"/>
      <w:lvlText w:val=""/>
      <w:lvlJc w:val="left"/>
      <w:pPr>
        <w:ind w:left="5040" w:hanging="360"/>
      </w:pPr>
      <w:rPr>
        <w:rFonts w:ascii="Symbol" w:hAnsi="Symbol" w:hint="default"/>
      </w:rPr>
    </w:lvl>
    <w:lvl w:ilvl="7" w:tplc="A554FFE8">
      <w:start w:val="1"/>
      <w:numFmt w:val="bullet"/>
      <w:lvlText w:val="o"/>
      <w:lvlJc w:val="left"/>
      <w:pPr>
        <w:ind w:left="5760" w:hanging="360"/>
      </w:pPr>
      <w:rPr>
        <w:rFonts w:ascii="Courier New" w:hAnsi="Courier New" w:hint="default"/>
      </w:rPr>
    </w:lvl>
    <w:lvl w:ilvl="8" w:tplc="2F181C7C">
      <w:start w:val="1"/>
      <w:numFmt w:val="bullet"/>
      <w:lvlText w:val=""/>
      <w:lvlJc w:val="left"/>
      <w:pPr>
        <w:ind w:left="6480" w:hanging="360"/>
      </w:pPr>
      <w:rPr>
        <w:rFonts w:ascii="Wingdings" w:hAnsi="Wingdings" w:hint="default"/>
      </w:rPr>
    </w:lvl>
  </w:abstractNum>
  <w:abstractNum w:abstractNumId="2" w15:restartNumberingAfterBreak="0">
    <w:nsid w:val="169D45E1"/>
    <w:multiLevelType w:val="multilevel"/>
    <w:tmpl w:val="2438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93B8E"/>
    <w:multiLevelType w:val="hybridMultilevel"/>
    <w:tmpl w:val="E47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00F22"/>
    <w:multiLevelType w:val="multilevel"/>
    <w:tmpl w:val="7FF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31B5DD"/>
    <w:multiLevelType w:val="hybridMultilevel"/>
    <w:tmpl w:val="3AAAEF84"/>
    <w:lvl w:ilvl="0" w:tplc="29FC102E">
      <w:start w:val="1"/>
      <w:numFmt w:val="bullet"/>
      <w:lvlText w:val="-"/>
      <w:lvlJc w:val="left"/>
      <w:pPr>
        <w:ind w:left="720" w:hanging="360"/>
      </w:pPr>
      <w:rPr>
        <w:rFonts w:ascii="Calibri" w:hAnsi="Calibri" w:hint="default"/>
      </w:rPr>
    </w:lvl>
    <w:lvl w:ilvl="1" w:tplc="2D78C84C">
      <w:start w:val="1"/>
      <w:numFmt w:val="bullet"/>
      <w:lvlText w:val="o"/>
      <w:lvlJc w:val="left"/>
      <w:pPr>
        <w:ind w:left="1440" w:hanging="360"/>
      </w:pPr>
      <w:rPr>
        <w:rFonts w:ascii="Courier New" w:hAnsi="Courier New" w:hint="default"/>
      </w:rPr>
    </w:lvl>
    <w:lvl w:ilvl="2" w:tplc="9AB23F3E">
      <w:start w:val="1"/>
      <w:numFmt w:val="bullet"/>
      <w:lvlText w:val=""/>
      <w:lvlJc w:val="left"/>
      <w:pPr>
        <w:ind w:left="2160" w:hanging="360"/>
      </w:pPr>
      <w:rPr>
        <w:rFonts w:ascii="Wingdings" w:hAnsi="Wingdings" w:hint="default"/>
      </w:rPr>
    </w:lvl>
    <w:lvl w:ilvl="3" w:tplc="B0CACE32">
      <w:start w:val="1"/>
      <w:numFmt w:val="bullet"/>
      <w:lvlText w:val=""/>
      <w:lvlJc w:val="left"/>
      <w:pPr>
        <w:ind w:left="2880" w:hanging="360"/>
      </w:pPr>
      <w:rPr>
        <w:rFonts w:ascii="Symbol" w:hAnsi="Symbol" w:hint="default"/>
      </w:rPr>
    </w:lvl>
    <w:lvl w:ilvl="4" w:tplc="F2B6B7B8">
      <w:start w:val="1"/>
      <w:numFmt w:val="bullet"/>
      <w:lvlText w:val="o"/>
      <w:lvlJc w:val="left"/>
      <w:pPr>
        <w:ind w:left="3600" w:hanging="360"/>
      </w:pPr>
      <w:rPr>
        <w:rFonts w:ascii="Courier New" w:hAnsi="Courier New" w:hint="default"/>
      </w:rPr>
    </w:lvl>
    <w:lvl w:ilvl="5" w:tplc="A970C370">
      <w:start w:val="1"/>
      <w:numFmt w:val="bullet"/>
      <w:lvlText w:val=""/>
      <w:lvlJc w:val="left"/>
      <w:pPr>
        <w:ind w:left="4320" w:hanging="360"/>
      </w:pPr>
      <w:rPr>
        <w:rFonts w:ascii="Wingdings" w:hAnsi="Wingdings" w:hint="default"/>
      </w:rPr>
    </w:lvl>
    <w:lvl w:ilvl="6" w:tplc="26CCE720">
      <w:start w:val="1"/>
      <w:numFmt w:val="bullet"/>
      <w:lvlText w:val=""/>
      <w:lvlJc w:val="left"/>
      <w:pPr>
        <w:ind w:left="5040" w:hanging="360"/>
      </w:pPr>
      <w:rPr>
        <w:rFonts w:ascii="Symbol" w:hAnsi="Symbol" w:hint="default"/>
      </w:rPr>
    </w:lvl>
    <w:lvl w:ilvl="7" w:tplc="6EECD0D4">
      <w:start w:val="1"/>
      <w:numFmt w:val="bullet"/>
      <w:lvlText w:val="o"/>
      <w:lvlJc w:val="left"/>
      <w:pPr>
        <w:ind w:left="5760" w:hanging="360"/>
      </w:pPr>
      <w:rPr>
        <w:rFonts w:ascii="Courier New" w:hAnsi="Courier New" w:hint="default"/>
      </w:rPr>
    </w:lvl>
    <w:lvl w:ilvl="8" w:tplc="158608EC">
      <w:start w:val="1"/>
      <w:numFmt w:val="bullet"/>
      <w:lvlText w:val=""/>
      <w:lvlJc w:val="left"/>
      <w:pPr>
        <w:ind w:left="6480" w:hanging="360"/>
      </w:pPr>
      <w:rPr>
        <w:rFonts w:ascii="Wingdings" w:hAnsi="Wingdings" w:hint="default"/>
      </w:rPr>
    </w:lvl>
  </w:abstractNum>
  <w:num w:numId="1" w16cid:durableId="1454834960">
    <w:abstractNumId w:val="1"/>
  </w:num>
  <w:num w:numId="2" w16cid:durableId="1698966182">
    <w:abstractNumId w:val="5"/>
  </w:num>
  <w:num w:numId="3" w16cid:durableId="935871339">
    <w:abstractNumId w:val="0"/>
  </w:num>
  <w:num w:numId="4" w16cid:durableId="1888253003">
    <w:abstractNumId w:val="4"/>
  </w:num>
  <w:num w:numId="5" w16cid:durableId="902642090">
    <w:abstractNumId w:val="2"/>
  </w:num>
  <w:num w:numId="6" w16cid:durableId="368457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65C383C0"/>
    <w:rsid w:val="000271AD"/>
    <w:rsid w:val="000E7781"/>
    <w:rsid w:val="0010386B"/>
    <w:rsid w:val="00104049"/>
    <w:rsid w:val="0011260C"/>
    <w:rsid w:val="00130C7E"/>
    <w:rsid w:val="00136C22"/>
    <w:rsid w:val="0016582F"/>
    <w:rsid w:val="00175C43"/>
    <w:rsid w:val="001C61D5"/>
    <w:rsid w:val="001D09A9"/>
    <w:rsid w:val="001D393B"/>
    <w:rsid w:val="001F51D4"/>
    <w:rsid w:val="002114B3"/>
    <w:rsid w:val="002168A0"/>
    <w:rsid w:val="00256CFE"/>
    <w:rsid w:val="00272D8F"/>
    <w:rsid w:val="002B333A"/>
    <w:rsid w:val="00305279"/>
    <w:rsid w:val="00335959"/>
    <w:rsid w:val="00341E39"/>
    <w:rsid w:val="00395EEF"/>
    <w:rsid w:val="003B51A0"/>
    <w:rsid w:val="003F06C3"/>
    <w:rsid w:val="00447D7D"/>
    <w:rsid w:val="00464787"/>
    <w:rsid w:val="00471177"/>
    <w:rsid w:val="00490BEC"/>
    <w:rsid w:val="004A393E"/>
    <w:rsid w:val="004B05BF"/>
    <w:rsid w:val="004D5BF8"/>
    <w:rsid w:val="004F20D3"/>
    <w:rsid w:val="00537978"/>
    <w:rsid w:val="005467BD"/>
    <w:rsid w:val="00595085"/>
    <w:rsid w:val="005A5BA3"/>
    <w:rsid w:val="005B002A"/>
    <w:rsid w:val="005E31D7"/>
    <w:rsid w:val="005F504C"/>
    <w:rsid w:val="00615620"/>
    <w:rsid w:val="00626B34"/>
    <w:rsid w:val="00630C22"/>
    <w:rsid w:val="006559A5"/>
    <w:rsid w:val="00687B01"/>
    <w:rsid w:val="006A03B3"/>
    <w:rsid w:val="006A0DD6"/>
    <w:rsid w:val="006D63B2"/>
    <w:rsid w:val="007035EA"/>
    <w:rsid w:val="00712607"/>
    <w:rsid w:val="007239C9"/>
    <w:rsid w:val="007334DD"/>
    <w:rsid w:val="00736834"/>
    <w:rsid w:val="00743B90"/>
    <w:rsid w:val="0077719D"/>
    <w:rsid w:val="00790477"/>
    <w:rsid w:val="00790DA1"/>
    <w:rsid w:val="007A1DA5"/>
    <w:rsid w:val="00803B39"/>
    <w:rsid w:val="008220B2"/>
    <w:rsid w:val="008314DB"/>
    <w:rsid w:val="00846BB8"/>
    <w:rsid w:val="008A7B08"/>
    <w:rsid w:val="008B4C8B"/>
    <w:rsid w:val="008C6401"/>
    <w:rsid w:val="008D22A8"/>
    <w:rsid w:val="008F1BD4"/>
    <w:rsid w:val="00934A0C"/>
    <w:rsid w:val="009629E3"/>
    <w:rsid w:val="0096673E"/>
    <w:rsid w:val="009845AA"/>
    <w:rsid w:val="00995D41"/>
    <w:rsid w:val="009C0B56"/>
    <w:rsid w:val="009E1E4E"/>
    <w:rsid w:val="00A02EC2"/>
    <w:rsid w:val="00A749A5"/>
    <w:rsid w:val="00A80609"/>
    <w:rsid w:val="00B1757F"/>
    <w:rsid w:val="00B42E8E"/>
    <w:rsid w:val="00C125AC"/>
    <w:rsid w:val="00C37AF2"/>
    <w:rsid w:val="00C5191B"/>
    <w:rsid w:val="00C7476C"/>
    <w:rsid w:val="00CB1C0B"/>
    <w:rsid w:val="00CF3DFA"/>
    <w:rsid w:val="00D32404"/>
    <w:rsid w:val="00D422AF"/>
    <w:rsid w:val="00DB006C"/>
    <w:rsid w:val="00DB3020"/>
    <w:rsid w:val="00E02541"/>
    <w:rsid w:val="00E055DE"/>
    <w:rsid w:val="00EC345B"/>
    <w:rsid w:val="00ED681D"/>
    <w:rsid w:val="00EE0B64"/>
    <w:rsid w:val="00EF3891"/>
    <w:rsid w:val="00F430DF"/>
    <w:rsid w:val="00F53F37"/>
    <w:rsid w:val="00F65CF8"/>
    <w:rsid w:val="00FA7003"/>
    <w:rsid w:val="00FC447C"/>
    <w:rsid w:val="00FD4C04"/>
    <w:rsid w:val="00FE4430"/>
    <w:rsid w:val="00FF0EE1"/>
    <w:rsid w:val="10EB99E5"/>
    <w:rsid w:val="156980C9"/>
    <w:rsid w:val="19511C7F"/>
    <w:rsid w:val="1BD8C24D"/>
    <w:rsid w:val="1E248DA2"/>
    <w:rsid w:val="215C2E64"/>
    <w:rsid w:val="2D92A3FE"/>
    <w:rsid w:val="338958DC"/>
    <w:rsid w:val="3B07F99D"/>
    <w:rsid w:val="45A29ED6"/>
    <w:rsid w:val="5B6380B4"/>
    <w:rsid w:val="60C8E332"/>
    <w:rsid w:val="645DB5AB"/>
    <w:rsid w:val="65C383C0"/>
    <w:rsid w:val="682C2904"/>
    <w:rsid w:val="71310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014D"/>
  <w15:docId w15:val="{AA4E3A43-BBAF-4CCB-B6CB-CAF8FD656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A806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0609"/>
    <w:rPr>
      <w:sz w:val="20"/>
      <w:szCs w:val="20"/>
    </w:rPr>
  </w:style>
  <w:style w:type="character" w:styleId="EndnoteReference">
    <w:name w:val="endnote reference"/>
    <w:basedOn w:val="DefaultParagraphFont"/>
    <w:uiPriority w:val="99"/>
    <w:semiHidden/>
    <w:unhideWhenUsed/>
    <w:rsid w:val="00A80609"/>
    <w:rPr>
      <w:vertAlign w:val="superscript"/>
    </w:rPr>
  </w:style>
  <w:style w:type="character" w:styleId="UnresolvedMention">
    <w:name w:val="Unresolved Mention"/>
    <w:basedOn w:val="DefaultParagraphFont"/>
    <w:uiPriority w:val="99"/>
    <w:semiHidden/>
    <w:unhideWhenUsed/>
    <w:rsid w:val="006A0DD6"/>
    <w:rPr>
      <w:color w:val="605E5C"/>
      <w:shd w:val="clear" w:color="auto" w:fill="E1DFDD"/>
    </w:rPr>
  </w:style>
  <w:style w:type="paragraph" w:styleId="NormalWeb">
    <w:name w:val="Normal (Web)"/>
    <w:basedOn w:val="Normal"/>
    <w:uiPriority w:val="99"/>
    <w:semiHidden/>
    <w:unhideWhenUsed/>
    <w:rsid w:val="00DB30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43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ensus.gov/programs-surveys/decennial-census/2020-census/planning-management/2020-census-data-products/2010-demonstration-data-products.html" TargetMode="External"/><Relationship Id="rId18" Type="http://schemas.openxmlformats.org/officeDocument/2006/relationships/image" Target="media/image11.png"/><Relationship Id="rId26" Type="http://schemas.openxmlformats.org/officeDocument/2006/relationships/hyperlink" Target="https://doi.org/10.1162/99608f92.ff891fe5" TargetMode="External"/><Relationship Id="rId3" Type="http://schemas.openxmlformats.org/officeDocument/2006/relationships/styles" Target="styles.xml"/><Relationship Id="rId21" Type="http://schemas.openxmlformats.org/officeDocument/2006/relationships/hyperlink" Target="https://dl.acm.org/doi/abs/10.1145/3219819.3226070"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i.org/10.1007/s11113-022-09734-2"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ensus.gov/library/fact-sheets/2021/protecting-the-confidentiality-of-the-2020-census-redistricting-data.html" TargetMode="External"/><Relationship Id="rId29" Type="http://schemas.openxmlformats.org/officeDocument/2006/relationships/hyperlink" Target="https://www.ncbi.nlm.nih.gov/pmc/articles/PMC7306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ncbi.nlm.nih.gov/pmc/articles/PMC866281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2203.05085.pdf" TargetMode="External"/><Relationship Id="rId28" Type="http://schemas.openxmlformats.org/officeDocument/2006/relationships/hyperlink" Target="https://doi.org/10.1007/s11113-022-09698-3" TargetMode="External"/><Relationship Id="rId10" Type="http://schemas.openxmlformats.org/officeDocument/2006/relationships/image" Target="media/image4.png"/><Relationship Id="rId19" Type="http://schemas.openxmlformats.org/officeDocument/2006/relationships/hyperlink" Target="https://www2.census.gov/programs-surveys/decennial/2020/program-management/planning-docs/2020-oper-plan5-and-memo.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youtube.com/watch?v=u5h8ZC8C1uE" TargetMode="External"/><Relationship Id="rId27" Type="http://schemas.openxmlformats.org/officeDocument/2006/relationships/hyperlink" Target="https://doi.org/10.1177/2378023121994014" TargetMode="External"/><Relationship Id="rId30" Type="http://schemas.openxmlformats.org/officeDocument/2006/relationships/hyperlink" Target="https://scag.ca.gov/sites/main/files/file-attachments/jonathanbuttle.pdf?1604614125" TargetMode="External"/><Relationship Id="rId35" Type="http://schemas.openxmlformats.org/officeDocument/2006/relationships/customXml" Target="../customXml/item4.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EDEA8580D0CD647B4E26C1F9B172543" ma:contentTypeVersion="6" ma:contentTypeDescription="Create a new document." ma:contentTypeScope="" ma:versionID="dec174c533078cf220ed42a8a0e12e3d">
  <xsd:schema xmlns:xsd="http://www.w3.org/2001/XMLSchema" xmlns:xs="http://www.w3.org/2001/XMLSchema" xmlns:p="http://schemas.microsoft.com/office/2006/metadata/properties" xmlns:ns2="5acbbc8c-ddd3-410f-9913-9e2fc549b4df" xmlns:ns3="eb0dc5f3-e86f-48b2-8f25-84733e40d43b" targetNamespace="http://schemas.microsoft.com/office/2006/metadata/properties" ma:root="true" ma:fieldsID="848bc6121cfeda7716c39bf1850fcfc3" ns2:_="" ns3:_="">
    <xsd:import namespace="5acbbc8c-ddd3-410f-9913-9e2fc549b4df"/>
    <xsd:import namespace="eb0dc5f3-e86f-48b2-8f25-84733e40d43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cbbc8c-ddd3-410f-9913-9e2fc549b4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0dc5f3-e86f-48b2-8f25-84733e40d43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42EF5F-DC5C-45D2-B140-6F86ABA76308}">
  <ds:schemaRefs>
    <ds:schemaRef ds:uri="http://schemas.openxmlformats.org/officeDocument/2006/bibliography"/>
  </ds:schemaRefs>
</ds:datastoreItem>
</file>

<file path=customXml/itemProps2.xml><?xml version="1.0" encoding="utf-8"?>
<ds:datastoreItem xmlns:ds="http://schemas.openxmlformats.org/officeDocument/2006/customXml" ds:itemID="{7A42239B-ECE1-4D5F-A377-37A7DA6955FB}"/>
</file>

<file path=customXml/itemProps3.xml><?xml version="1.0" encoding="utf-8"?>
<ds:datastoreItem xmlns:ds="http://schemas.openxmlformats.org/officeDocument/2006/customXml" ds:itemID="{2A4586B4-4610-4BC2-A574-8F190468A994}"/>
</file>

<file path=customXml/itemProps4.xml><?xml version="1.0" encoding="utf-8"?>
<ds:datastoreItem xmlns:ds="http://schemas.openxmlformats.org/officeDocument/2006/customXml" ds:itemID="{B3441188-E800-414B-9425-88A6E80A85EC}"/>
</file>

<file path=docProps/app.xml><?xml version="1.0" encoding="utf-8"?>
<Properties xmlns="http://schemas.openxmlformats.org/officeDocument/2006/extended-properties" xmlns:vt="http://schemas.openxmlformats.org/officeDocument/2006/docPropsVTypes">
  <Template>Normal</Template>
  <TotalTime>0</TotalTime>
  <Pages>12</Pages>
  <Words>2327</Words>
  <Characters>13267</Characters>
  <Application>Microsoft Office Word</Application>
  <DocSecurity>4</DocSecurity>
  <Lines>110</Lines>
  <Paragraphs>31</Paragraphs>
  <ScaleCrop>false</ScaleCrop>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Lough, Pam@CDPH</dc:creator>
  <cp:keywords/>
  <dc:description/>
  <cp:lastModifiedBy>Reosti, Elizabeth@CDPH</cp:lastModifiedBy>
  <cp:revision>2</cp:revision>
  <dcterms:created xsi:type="dcterms:W3CDTF">2023-02-13T22:07:00Z</dcterms:created>
  <dcterms:modified xsi:type="dcterms:W3CDTF">2023-02-13T22:07:00Z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0x0101001EDEA8580D0CD647B4E26C1F9B172543</vt:lpwstr>
  </property>
</Properties>
</file>