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99FB7" w14:textId="3C402FC3" w:rsidR="005003D9" w:rsidRPr="005003D9" w:rsidRDefault="005003D9" w:rsidP="006C1FCE">
      <w:pPr>
        <w:spacing w:after="0" w:line="216" w:lineRule="auto"/>
        <w:jc w:val="center"/>
        <w:rPr>
          <w:sz w:val="32"/>
          <w:szCs w:val="32"/>
        </w:rPr>
      </w:pPr>
      <w:r w:rsidRPr="005003D9">
        <w:rPr>
          <w:sz w:val="32"/>
          <w:szCs w:val="32"/>
        </w:rPr>
        <w:t>Population Data Sources Descriptions – Working Draft</w:t>
      </w:r>
    </w:p>
    <w:p w14:paraId="2FCE9E44" w14:textId="77777777" w:rsidR="005003D9" w:rsidRPr="005003D9" w:rsidRDefault="005003D9" w:rsidP="006C1FCE">
      <w:pPr>
        <w:spacing w:after="0" w:line="216" w:lineRule="auto"/>
        <w:jc w:val="center"/>
        <w:rPr>
          <w:sz w:val="32"/>
          <w:szCs w:val="32"/>
        </w:rPr>
      </w:pPr>
      <w:r w:rsidRPr="005003D9">
        <w:rPr>
          <w:sz w:val="32"/>
          <w:szCs w:val="32"/>
        </w:rPr>
        <w:t>CDPH/LHJ Populations Data Sources Task Force</w:t>
      </w:r>
    </w:p>
    <w:p w14:paraId="05751FFD" w14:textId="4B9B9AA9" w:rsidR="005003D9" w:rsidRPr="005003D9" w:rsidRDefault="005003D9" w:rsidP="006C1FCE">
      <w:pPr>
        <w:spacing w:after="0" w:line="216" w:lineRule="auto"/>
        <w:jc w:val="center"/>
        <w:rPr>
          <w:sz w:val="32"/>
          <w:szCs w:val="32"/>
        </w:rPr>
      </w:pPr>
      <w:r w:rsidRPr="005003D9">
        <w:rPr>
          <w:sz w:val="32"/>
          <w:szCs w:val="32"/>
        </w:rPr>
        <w:t>Not for Further Distribution</w:t>
      </w:r>
    </w:p>
    <w:p w14:paraId="037A787A" w14:textId="4DFAD932" w:rsidR="005003D9" w:rsidRPr="005003D9" w:rsidRDefault="005003D9" w:rsidP="006C1FCE">
      <w:pPr>
        <w:spacing w:after="0" w:line="216" w:lineRule="auto"/>
        <w:jc w:val="center"/>
        <w:rPr>
          <w:sz w:val="32"/>
          <w:szCs w:val="32"/>
        </w:rPr>
      </w:pPr>
      <w:r w:rsidRPr="005003D9">
        <w:rPr>
          <w:sz w:val="32"/>
          <w:szCs w:val="32"/>
        </w:rPr>
        <w:t>10/13/2022</w:t>
      </w:r>
    </w:p>
    <w:p w14:paraId="2B6B39F8" w14:textId="77777777" w:rsidR="005003D9" w:rsidRPr="005003D9" w:rsidRDefault="005003D9" w:rsidP="006C1FCE">
      <w:pPr>
        <w:spacing w:after="0" w:line="216" w:lineRule="auto"/>
        <w:jc w:val="center"/>
        <w:rPr>
          <w:sz w:val="32"/>
          <w:szCs w:val="32"/>
        </w:rPr>
      </w:pPr>
    </w:p>
    <w:p w14:paraId="3D57A04E" w14:textId="397C379C" w:rsidR="005003D9" w:rsidRPr="0036301B" w:rsidRDefault="005003D9" w:rsidP="006C1FCE">
      <w:pPr>
        <w:spacing w:after="0" w:line="216" w:lineRule="auto"/>
        <w:rPr>
          <w:rFonts w:cstheme="minorHAnsi"/>
          <w:sz w:val="24"/>
          <w:szCs w:val="24"/>
        </w:rPr>
      </w:pPr>
      <w:r w:rsidRPr="0036301B">
        <w:rPr>
          <w:rFonts w:cstheme="minorHAnsi"/>
          <w:sz w:val="24"/>
          <w:szCs w:val="24"/>
        </w:rPr>
        <w:t>Data Sources:</w:t>
      </w:r>
    </w:p>
    <w:p w14:paraId="37A5F8A9" w14:textId="77777777" w:rsidR="0095778C" w:rsidRPr="0036301B" w:rsidRDefault="0095778C" w:rsidP="006C1FCE">
      <w:pPr>
        <w:spacing w:after="0" w:line="216" w:lineRule="auto"/>
        <w:rPr>
          <w:rFonts w:cstheme="minorHAnsi"/>
          <w:sz w:val="24"/>
          <w:szCs w:val="24"/>
        </w:rPr>
      </w:pPr>
    </w:p>
    <w:p w14:paraId="61F8F843" w14:textId="77777777" w:rsidR="0095778C" w:rsidRPr="0036301B" w:rsidRDefault="0095778C" w:rsidP="006C1FCE">
      <w:pPr>
        <w:spacing w:after="0" w:line="216" w:lineRule="auto"/>
        <w:rPr>
          <w:rFonts w:cstheme="minorHAnsi"/>
          <w:sz w:val="24"/>
          <w:szCs w:val="24"/>
        </w:rPr>
      </w:pPr>
    </w:p>
    <w:p w14:paraId="6637D216" w14:textId="69809464" w:rsidR="008F2B0C" w:rsidRPr="0036301B" w:rsidRDefault="008F2B0C" w:rsidP="006C1FCE">
      <w:pPr>
        <w:pStyle w:val="ListParagraph"/>
        <w:numPr>
          <w:ilvl w:val="0"/>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California Specific</w:t>
      </w:r>
    </w:p>
    <w:p w14:paraId="06837D9F"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California Department of Finance (DOF)</w:t>
      </w:r>
    </w:p>
    <w:p w14:paraId="61D84BCB" w14:textId="29F08871" w:rsidR="00D563E3" w:rsidRPr="0036301B" w:rsidRDefault="00D563E3" w:rsidP="00D563E3">
      <w:pPr>
        <w:pStyle w:val="ListParagraph"/>
        <w:numPr>
          <w:ilvl w:val="2"/>
          <w:numId w:val="2"/>
        </w:numPr>
        <w:spacing w:line="216" w:lineRule="auto"/>
        <w:rPr>
          <w:rFonts w:asciiTheme="minorHAnsi" w:hAnsiTheme="minorHAnsi" w:cstheme="minorHAnsi"/>
          <w:color w:val="2F5496" w:themeColor="accent1" w:themeShade="BF"/>
          <w:sz w:val="22"/>
          <w:szCs w:val="22"/>
        </w:rPr>
      </w:pPr>
      <w:r w:rsidRPr="0036301B">
        <w:rPr>
          <w:rFonts w:asciiTheme="minorHAnsi" w:hAnsiTheme="minorHAnsi" w:cstheme="minorHAnsi"/>
          <w:color w:val="2F5496" w:themeColor="accent1" w:themeShade="BF"/>
          <w:sz w:val="22"/>
          <w:szCs w:val="22"/>
        </w:rPr>
        <w:t>Main data used by many CDPH programs and LHJs, for many purposes</w:t>
      </w:r>
    </w:p>
    <w:p w14:paraId="41E09093" w14:textId="77777777" w:rsidR="00D563E3" w:rsidRPr="0036301B" w:rsidRDefault="00D563E3" w:rsidP="00D563E3">
      <w:pPr>
        <w:pStyle w:val="ListParagraph"/>
        <w:numPr>
          <w:ilvl w:val="2"/>
          <w:numId w:val="2"/>
        </w:numPr>
        <w:spacing w:line="216" w:lineRule="auto"/>
        <w:rPr>
          <w:rFonts w:asciiTheme="minorHAnsi" w:hAnsiTheme="minorHAnsi" w:cstheme="minorHAnsi"/>
          <w:color w:val="2F5496" w:themeColor="accent1" w:themeShade="BF"/>
          <w:sz w:val="22"/>
          <w:szCs w:val="22"/>
        </w:rPr>
      </w:pPr>
      <w:r w:rsidRPr="0036301B">
        <w:rPr>
          <w:rFonts w:asciiTheme="minorHAnsi" w:hAnsiTheme="minorHAnsi" w:cstheme="minorHAnsi"/>
          <w:color w:val="2F5496" w:themeColor="accent1" w:themeShade="BF"/>
          <w:sz w:val="22"/>
          <w:szCs w:val="22"/>
        </w:rPr>
        <w:t>Recent issues have arisen with accuracy and errors</w:t>
      </w:r>
    </w:p>
    <w:p w14:paraId="62B9E339" w14:textId="5F172B78" w:rsidR="003A1412" w:rsidRPr="0036301B" w:rsidRDefault="00D563E3" w:rsidP="00D563E3">
      <w:pPr>
        <w:pStyle w:val="ListParagraph"/>
        <w:numPr>
          <w:ilvl w:val="2"/>
          <w:numId w:val="2"/>
        </w:numPr>
        <w:spacing w:line="216" w:lineRule="auto"/>
        <w:rPr>
          <w:rFonts w:asciiTheme="minorHAnsi" w:hAnsiTheme="minorHAnsi" w:cstheme="minorHAnsi"/>
          <w:color w:val="2F5496" w:themeColor="accent1" w:themeShade="BF"/>
          <w:sz w:val="22"/>
          <w:szCs w:val="22"/>
        </w:rPr>
      </w:pPr>
      <w:r w:rsidRPr="0036301B">
        <w:rPr>
          <w:rFonts w:asciiTheme="minorHAnsi" w:hAnsiTheme="minorHAnsi" w:cstheme="minorHAnsi"/>
          <w:color w:val="2F5496" w:themeColor="accent1" w:themeShade="BF"/>
          <w:sz w:val="22"/>
          <w:szCs w:val="22"/>
        </w:rPr>
        <w:t>Not at census tract or zip code levels; no “disaggregated” race/ethnicity data</w:t>
      </w:r>
    </w:p>
    <w:p w14:paraId="7D76F840" w14:textId="77777777" w:rsidR="008F2B0C" w:rsidRPr="0036301B" w:rsidRDefault="008F2B0C" w:rsidP="006C1FCE">
      <w:pPr>
        <w:pStyle w:val="ListParagraph"/>
        <w:numPr>
          <w:ilvl w:val="0"/>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US Census</w:t>
      </w:r>
    </w:p>
    <w:p w14:paraId="581EB7FE"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Decennial Census</w:t>
      </w:r>
    </w:p>
    <w:p w14:paraId="2D857825"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Census “Vintage” Estimates</w:t>
      </w:r>
    </w:p>
    <w:p w14:paraId="745EFA5B"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American Community Survey (ACS) – direct</w:t>
      </w:r>
    </w:p>
    <w:p w14:paraId="3B9E3ED4" w14:textId="77777777" w:rsidR="009317DB" w:rsidRPr="0036301B" w:rsidRDefault="009317DB" w:rsidP="009317DB">
      <w:pPr>
        <w:pStyle w:val="ListParagraph"/>
        <w:numPr>
          <w:ilvl w:val="2"/>
          <w:numId w:val="2"/>
        </w:numPr>
        <w:spacing w:line="216" w:lineRule="auto"/>
        <w:rPr>
          <w:rFonts w:asciiTheme="minorHAnsi" w:hAnsiTheme="minorHAnsi" w:cstheme="minorHAnsi"/>
          <w:color w:val="2F5496" w:themeColor="accent1" w:themeShade="BF"/>
          <w:sz w:val="22"/>
          <w:szCs w:val="22"/>
        </w:rPr>
      </w:pPr>
      <w:r w:rsidRPr="0036301B">
        <w:rPr>
          <w:rFonts w:asciiTheme="minorHAnsi" w:hAnsiTheme="minorHAnsi" w:cstheme="minorHAnsi"/>
          <w:color w:val="2F5496" w:themeColor="accent1" w:themeShade="BF"/>
          <w:sz w:val="22"/>
          <w:szCs w:val="22"/>
        </w:rPr>
        <w:t>Used by many CDPH programs and LHJs for census tract and other sub-county work</w:t>
      </w:r>
    </w:p>
    <w:p w14:paraId="6E67276C" w14:textId="40DD19EA" w:rsidR="009317DB" w:rsidRPr="0036301B" w:rsidRDefault="009317DB" w:rsidP="009317DB">
      <w:pPr>
        <w:pStyle w:val="ListParagraph"/>
        <w:numPr>
          <w:ilvl w:val="2"/>
          <w:numId w:val="2"/>
        </w:numPr>
        <w:spacing w:line="216" w:lineRule="auto"/>
        <w:rPr>
          <w:rFonts w:asciiTheme="minorHAnsi" w:hAnsiTheme="minorHAnsi" w:cstheme="minorHAnsi"/>
          <w:sz w:val="22"/>
          <w:szCs w:val="22"/>
        </w:rPr>
      </w:pPr>
      <w:r w:rsidRPr="0036301B">
        <w:rPr>
          <w:rFonts w:asciiTheme="minorHAnsi" w:hAnsiTheme="minorHAnsi" w:cstheme="minorHAnsi"/>
          <w:color w:val="2F5496" w:themeColor="accent1" w:themeShade="BF"/>
          <w:sz w:val="22"/>
          <w:szCs w:val="22"/>
        </w:rPr>
        <w:t>Does not include all demographic detail needed for some purposes</w:t>
      </w:r>
    </w:p>
    <w:p w14:paraId="7AB769DE"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American Community Survey (ACS) Public Use Microdata Sample (PUMS)</w:t>
      </w:r>
    </w:p>
    <w:p w14:paraId="696570BE" w14:textId="77777777" w:rsidR="008F2B0C" w:rsidRPr="0036301B" w:rsidRDefault="008F2B0C" w:rsidP="006C1FCE">
      <w:pPr>
        <w:pStyle w:val="ListParagraph"/>
        <w:numPr>
          <w:ilvl w:val="0"/>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Other Federal Data</w:t>
      </w:r>
    </w:p>
    <w:p w14:paraId="73A3160B"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SEER</w:t>
      </w:r>
    </w:p>
    <w:p w14:paraId="529188D9" w14:textId="77777777" w:rsidR="008F2B0C" w:rsidRPr="0036301B" w:rsidRDefault="008F2B0C" w:rsidP="006C1FCE">
      <w:pPr>
        <w:pStyle w:val="ListParagraph"/>
        <w:numPr>
          <w:ilvl w:val="0"/>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Commercial Data</w:t>
      </w:r>
    </w:p>
    <w:p w14:paraId="343BD98E"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ESRI</w:t>
      </w:r>
    </w:p>
    <w:p w14:paraId="78E425FC" w14:textId="231B5C87" w:rsidR="009317DB" w:rsidRPr="0036301B" w:rsidRDefault="009317DB" w:rsidP="009317DB">
      <w:pPr>
        <w:pStyle w:val="ListParagraph"/>
        <w:numPr>
          <w:ilvl w:val="2"/>
          <w:numId w:val="2"/>
        </w:numPr>
        <w:spacing w:line="216" w:lineRule="auto"/>
        <w:rPr>
          <w:rFonts w:asciiTheme="minorHAnsi" w:hAnsiTheme="minorHAnsi" w:cstheme="minorHAnsi"/>
          <w:color w:val="2F5496" w:themeColor="accent1" w:themeShade="BF"/>
          <w:sz w:val="22"/>
          <w:szCs w:val="22"/>
        </w:rPr>
      </w:pPr>
      <w:r w:rsidRPr="0036301B">
        <w:rPr>
          <w:rFonts w:asciiTheme="minorHAnsi" w:hAnsiTheme="minorHAnsi" w:cstheme="minorHAnsi"/>
          <w:color w:val="2F5496" w:themeColor="accent1" w:themeShade="BF"/>
          <w:sz w:val="22"/>
          <w:szCs w:val="22"/>
        </w:rPr>
        <w:t>Use</w:t>
      </w:r>
      <w:r w:rsidR="00BD6D7A">
        <w:rPr>
          <w:rFonts w:asciiTheme="minorHAnsi" w:hAnsiTheme="minorHAnsi" w:cstheme="minorHAnsi"/>
          <w:color w:val="2F5496" w:themeColor="accent1" w:themeShade="BF"/>
          <w:sz w:val="22"/>
          <w:szCs w:val="22"/>
        </w:rPr>
        <w:t>d</w:t>
      </w:r>
      <w:r w:rsidRPr="0036301B">
        <w:rPr>
          <w:rFonts w:asciiTheme="minorHAnsi" w:hAnsiTheme="minorHAnsi" w:cstheme="minorHAnsi"/>
          <w:color w:val="2F5496" w:themeColor="accent1" w:themeShade="BF"/>
          <w:sz w:val="22"/>
          <w:szCs w:val="22"/>
        </w:rPr>
        <w:t xml:space="preserve"> by CDPH and some LHJs for some purposes</w:t>
      </w:r>
    </w:p>
    <w:p w14:paraId="63922B9B" w14:textId="77777777" w:rsidR="009317DB" w:rsidRPr="0036301B" w:rsidRDefault="009317DB" w:rsidP="009317DB">
      <w:pPr>
        <w:pStyle w:val="ListParagraph"/>
        <w:numPr>
          <w:ilvl w:val="2"/>
          <w:numId w:val="2"/>
        </w:numPr>
        <w:spacing w:line="216" w:lineRule="auto"/>
        <w:rPr>
          <w:rFonts w:asciiTheme="minorHAnsi" w:hAnsiTheme="minorHAnsi" w:cstheme="minorHAnsi"/>
          <w:color w:val="2F5496" w:themeColor="accent1" w:themeShade="BF"/>
          <w:sz w:val="22"/>
          <w:szCs w:val="22"/>
        </w:rPr>
      </w:pPr>
      <w:r w:rsidRPr="0036301B">
        <w:rPr>
          <w:rFonts w:asciiTheme="minorHAnsi" w:hAnsiTheme="minorHAnsi" w:cstheme="minorHAnsi"/>
          <w:color w:val="2F5496" w:themeColor="accent1" w:themeShade="BF"/>
          <w:sz w:val="22"/>
          <w:szCs w:val="22"/>
        </w:rPr>
        <w:t>Routine data does not include required information needed</w:t>
      </w:r>
    </w:p>
    <w:p w14:paraId="25E4F0EB" w14:textId="799FCB45" w:rsidR="009317DB" w:rsidRPr="0036301B" w:rsidRDefault="009317DB" w:rsidP="009317DB">
      <w:pPr>
        <w:pStyle w:val="ListParagraph"/>
        <w:numPr>
          <w:ilvl w:val="2"/>
          <w:numId w:val="2"/>
        </w:numPr>
        <w:spacing w:line="216" w:lineRule="auto"/>
        <w:rPr>
          <w:rFonts w:asciiTheme="minorHAnsi" w:hAnsiTheme="minorHAnsi" w:cstheme="minorHAnsi"/>
          <w:color w:val="2F5496" w:themeColor="accent1" w:themeShade="BF"/>
        </w:rPr>
      </w:pPr>
      <w:r w:rsidRPr="0036301B">
        <w:rPr>
          <w:rFonts w:asciiTheme="minorHAnsi" w:hAnsiTheme="minorHAnsi" w:cstheme="minorHAnsi"/>
          <w:color w:val="2F5496" w:themeColor="accent1" w:themeShade="BF"/>
          <w:sz w:val="22"/>
          <w:szCs w:val="22"/>
        </w:rPr>
        <w:t>May be mechanisms to get special California data</w:t>
      </w:r>
    </w:p>
    <w:p w14:paraId="7715E590" w14:textId="68F64B68"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Claritas</w:t>
      </w:r>
    </w:p>
    <w:p w14:paraId="4BB7BE6E" w14:textId="6A22F77D" w:rsidR="005003D9" w:rsidRPr="00DA3781" w:rsidRDefault="005003D9" w:rsidP="006C1FCE">
      <w:pPr>
        <w:spacing w:after="0"/>
        <w:rPr>
          <w:rFonts w:eastAsiaTheme="minorEastAsia" w:cstheme="minorHAnsi"/>
          <w:color w:val="000000" w:themeColor="text1"/>
          <w:kern w:val="24"/>
          <w:sz w:val="20"/>
          <w:szCs w:val="20"/>
        </w:rPr>
      </w:pPr>
      <w:r w:rsidRPr="00DA3781">
        <w:rPr>
          <w:rFonts w:eastAsiaTheme="minorEastAsia" w:cstheme="minorHAnsi"/>
          <w:color w:val="000000" w:themeColor="text1"/>
          <w:kern w:val="24"/>
          <w:sz w:val="20"/>
          <w:szCs w:val="20"/>
        </w:rPr>
        <w:br w:type="page"/>
      </w:r>
    </w:p>
    <w:p w14:paraId="3D450B15" w14:textId="77777777" w:rsidR="008F2B0C" w:rsidRPr="008F2B0C" w:rsidRDefault="008F2B0C" w:rsidP="006C1FCE">
      <w:pPr>
        <w:spacing w:after="0" w:line="216" w:lineRule="auto"/>
        <w:rPr>
          <w:sz w:val="20"/>
        </w:rPr>
      </w:pPr>
    </w:p>
    <w:tbl>
      <w:tblPr>
        <w:tblStyle w:val="TableGrid"/>
        <w:tblW w:w="13495" w:type="dxa"/>
        <w:tblLook w:val="04A0" w:firstRow="1" w:lastRow="0" w:firstColumn="1" w:lastColumn="0" w:noHBand="0" w:noVBand="1"/>
      </w:tblPr>
      <w:tblGrid>
        <w:gridCol w:w="1367"/>
        <w:gridCol w:w="4672"/>
        <w:gridCol w:w="2061"/>
        <w:gridCol w:w="5395"/>
      </w:tblGrid>
      <w:tr w:rsidR="001271F8" w:rsidRPr="00B25605" w14:paraId="22864711" w14:textId="77777777" w:rsidTr="007C3074">
        <w:trPr>
          <w:tblHeader/>
        </w:trPr>
        <w:tc>
          <w:tcPr>
            <w:tcW w:w="1281" w:type="dxa"/>
          </w:tcPr>
          <w:p w14:paraId="00B94779" w14:textId="5EC3003D" w:rsidR="001271F8" w:rsidRPr="00B25605" w:rsidRDefault="001271F8" w:rsidP="006C1FCE">
            <w:pPr>
              <w:spacing w:line="216" w:lineRule="auto"/>
              <w:rPr>
                <w:rFonts w:eastAsiaTheme="minorEastAsia" w:cstheme="minorHAnsi"/>
                <w:b/>
                <w:bCs/>
                <w:color w:val="000000" w:themeColor="text1"/>
                <w:kern w:val="24"/>
                <w:sz w:val="20"/>
                <w:szCs w:val="20"/>
              </w:rPr>
            </w:pPr>
            <w:bookmarkStart w:id="0" w:name="_Hlk116566789"/>
            <w:r w:rsidRPr="00B25605">
              <w:rPr>
                <w:rFonts w:eastAsiaTheme="minorEastAsia" w:cstheme="minorHAnsi"/>
                <w:b/>
                <w:bCs/>
                <w:color w:val="000000" w:themeColor="text1"/>
                <w:kern w:val="24"/>
                <w:sz w:val="20"/>
                <w:szCs w:val="20"/>
              </w:rPr>
              <w:t>Source</w:t>
            </w:r>
          </w:p>
        </w:tc>
        <w:tc>
          <w:tcPr>
            <w:tcW w:w="4744" w:type="dxa"/>
          </w:tcPr>
          <w:p w14:paraId="5EF792B8" w14:textId="71F43A24" w:rsidR="001271F8" w:rsidRPr="00B25605" w:rsidRDefault="001271F8" w:rsidP="006C1FCE">
            <w:pPr>
              <w:rPr>
                <w:rFonts w:cstheme="minorHAnsi"/>
                <w:b/>
                <w:bCs/>
                <w:sz w:val="20"/>
                <w:szCs w:val="20"/>
              </w:rPr>
            </w:pPr>
            <w:r w:rsidRPr="00B25605">
              <w:rPr>
                <w:rFonts w:cstheme="minorHAnsi"/>
                <w:b/>
                <w:bCs/>
                <w:sz w:val="20"/>
                <w:szCs w:val="20"/>
              </w:rPr>
              <w:t>Description</w:t>
            </w:r>
          </w:p>
        </w:tc>
        <w:tc>
          <w:tcPr>
            <w:tcW w:w="2070" w:type="dxa"/>
          </w:tcPr>
          <w:p w14:paraId="5AC48BAA" w14:textId="5FC8ACE4" w:rsidR="001271F8" w:rsidRPr="00B25605" w:rsidRDefault="001271F8" w:rsidP="006C1FCE">
            <w:pPr>
              <w:rPr>
                <w:rFonts w:cstheme="minorHAnsi"/>
                <w:b/>
                <w:bCs/>
                <w:sz w:val="20"/>
                <w:szCs w:val="20"/>
              </w:rPr>
            </w:pPr>
            <w:r w:rsidRPr="00B25605">
              <w:rPr>
                <w:rFonts w:cstheme="minorHAnsi"/>
                <w:b/>
                <w:bCs/>
                <w:sz w:val="20"/>
                <w:szCs w:val="20"/>
              </w:rPr>
              <w:t>Types of Data</w:t>
            </w:r>
          </w:p>
        </w:tc>
        <w:tc>
          <w:tcPr>
            <w:tcW w:w="5400" w:type="dxa"/>
          </w:tcPr>
          <w:p w14:paraId="412ED080" w14:textId="0EEBE4A5" w:rsidR="001271F8" w:rsidRPr="00B25605" w:rsidRDefault="001271F8" w:rsidP="006C1FCE">
            <w:pPr>
              <w:rPr>
                <w:rFonts w:cstheme="minorHAnsi"/>
                <w:b/>
                <w:bCs/>
                <w:sz w:val="20"/>
                <w:szCs w:val="20"/>
              </w:rPr>
            </w:pPr>
            <w:r w:rsidRPr="00B25605">
              <w:rPr>
                <w:rFonts w:cstheme="minorHAnsi"/>
                <w:b/>
                <w:bCs/>
                <w:sz w:val="20"/>
                <w:szCs w:val="20"/>
              </w:rPr>
              <w:t>Data and other Links</w:t>
            </w:r>
          </w:p>
        </w:tc>
      </w:tr>
      <w:tr w:rsidR="001271F8" w:rsidRPr="00B25605" w14:paraId="0322D92E" w14:textId="035B4CF3" w:rsidTr="007C3074">
        <w:tc>
          <w:tcPr>
            <w:tcW w:w="1281" w:type="dxa"/>
          </w:tcPr>
          <w:p w14:paraId="46CB7728" w14:textId="77777777" w:rsidR="001271F8" w:rsidRPr="00B25605" w:rsidRDefault="001271F8" w:rsidP="006C1FCE">
            <w:pPr>
              <w:spacing w:line="216" w:lineRule="auto"/>
              <w:rPr>
                <w:rFonts w:cstheme="minorHAnsi"/>
                <w:sz w:val="20"/>
                <w:szCs w:val="20"/>
              </w:rPr>
            </w:pPr>
            <w:r w:rsidRPr="00B25605">
              <w:rPr>
                <w:rFonts w:eastAsiaTheme="minorEastAsia" w:cstheme="minorHAnsi"/>
                <w:color w:val="000000" w:themeColor="text1"/>
                <w:kern w:val="24"/>
                <w:sz w:val="20"/>
                <w:szCs w:val="20"/>
              </w:rPr>
              <w:t>California Department of Finance (DOF)</w:t>
            </w:r>
          </w:p>
          <w:p w14:paraId="7873A269" w14:textId="77777777" w:rsidR="001271F8" w:rsidRPr="00B25605" w:rsidRDefault="001271F8" w:rsidP="006C1FCE">
            <w:pPr>
              <w:rPr>
                <w:rFonts w:cstheme="minorHAnsi"/>
                <w:sz w:val="20"/>
                <w:szCs w:val="20"/>
              </w:rPr>
            </w:pPr>
          </w:p>
        </w:tc>
        <w:tc>
          <w:tcPr>
            <w:tcW w:w="4744" w:type="dxa"/>
          </w:tcPr>
          <w:p w14:paraId="072A94DA" w14:textId="02787DB1" w:rsidR="001271F8" w:rsidRPr="00B25605" w:rsidRDefault="001271F8" w:rsidP="006C1FCE">
            <w:pPr>
              <w:rPr>
                <w:rFonts w:cstheme="minorHAnsi"/>
                <w:sz w:val="20"/>
                <w:szCs w:val="20"/>
              </w:rPr>
            </w:pPr>
            <w:r w:rsidRPr="00B25605">
              <w:rPr>
                <w:rFonts w:cstheme="minorHAnsi"/>
                <w:sz w:val="20"/>
                <w:szCs w:val="20"/>
              </w:rPr>
              <w:t>The Demographic Research Unit (DRU) of the California Department of Finance produces California population estimates and is designated as the single official source of demographic data for state planning and budgeting. Population data are used to establish appropriation limitations, distribute funds from a range of State and Federal programs, allocate capital outlay funds, and aid in the planning and evaluation of programs. DOF data have long been the main source of County (and LHJs, by extrapolation) and State population data, including by race/ethnicity, sex, and age, for many CDPH programs and many local health departments.  While a core and useful source of data, there is no [legal] mandate that CDPH is required to use these data for analysis and planning purposes. There ha</w:t>
            </w:r>
            <w:r w:rsidR="00C76F46">
              <w:rPr>
                <w:rFonts w:cstheme="minorHAnsi"/>
                <w:sz w:val="20"/>
                <w:szCs w:val="20"/>
              </w:rPr>
              <w:t>ve</w:t>
            </w:r>
            <w:r w:rsidRPr="00B25605">
              <w:rPr>
                <w:rFonts w:cstheme="minorHAnsi"/>
                <w:sz w:val="20"/>
                <w:szCs w:val="20"/>
              </w:rPr>
              <w:t xml:space="preserve"> been recent concerns about the reliability of DOF population estimates at the county level, by race/ethnicity and age.</w:t>
            </w:r>
          </w:p>
        </w:tc>
        <w:tc>
          <w:tcPr>
            <w:tcW w:w="2070" w:type="dxa"/>
          </w:tcPr>
          <w:p w14:paraId="0F38813A" w14:textId="62DE70DD" w:rsidR="001271F8" w:rsidRPr="00B25605" w:rsidRDefault="001271F8" w:rsidP="006C1FCE">
            <w:pPr>
              <w:rPr>
                <w:rFonts w:cstheme="minorHAnsi"/>
                <w:sz w:val="20"/>
                <w:szCs w:val="20"/>
              </w:rPr>
            </w:pPr>
            <w:r w:rsidRPr="00B25605">
              <w:rPr>
                <w:rFonts w:cstheme="minorHAnsi"/>
                <w:sz w:val="20"/>
                <w:szCs w:val="20"/>
              </w:rPr>
              <w:t>P3 file has population projections at county level, by age (single years of age),  sex, race/ethnicity (7 levels), for 2010 to 2060.</w:t>
            </w:r>
          </w:p>
          <w:p w14:paraId="0867C8E3" w14:textId="77777777" w:rsidR="001271F8" w:rsidRPr="00B25605" w:rsidRDefault="001271F8" w:rsidP="006C1FCE">
            <w:pPr>
              <w:rPr>
                <w:rFonts w:cstheme="minorHAnsi"/>
                <w:sz w:val="20"/>
                <w:szCs w:val="20"/>
              </w:rPr>
            </w:pPr>
          </w:p>
          <w:p w14:paraId="079D28AB" w14:textId="74CBC68E" w:rsidR="001271F8" w:rsidRPr="00B25605" w:rsidRDefault="001271F8" w:rsidP="006C1FCE">
            <w:pPr>
              <w:rPr>
                <w:rFonts w:cstheme="minorHAnsi"/>
                <w:sz w:val="20"/>
                <w:szCs w:val="20"/>
              </w:rPr>
            </w:pPr>
            <w:r w:rsidRPr="00B25605">
              <w:rPr>
                <w:rFonts w:cstheme="minorHAnsi"/>
                <w:sz w:val="20"/>
                <w:szCs w:val="20"/>
              </w:rPr>
              <w:t xml:space="preserve">E-1 has </w:t>
            </w:r>
            <w:r w:rsidR="003E0B03">
              <w:rPr>
                <w:rFonts w:cstheme="minorHAnsi"/>
                <w:sz w:val="20"/>
                <w:szCs w:val="20"/>
              </w:rPr>
              <w:t xml:space="preserve">total </w:t>
            </w:r>
            <w:r w:rsidRPr="00B25605">
              <w:rPr>
                <w:rFonts w:cstheme="minorHAnsi"/>
                <w:sz w:val="20"/>
                <w:szCs w:val="20"/>
              </w:rPr>
              <w:t xml:space="preserve">population estimates </w:t>
            </w:r>
            <w:r w:rsidR="003E0B03">
              <w:rPr>
                <w:rFonts w:cstheme="minorHAnsi"/>
                <w:sz w:val="20"/>
                <w:szCs w:val="20"/>
              </w:rPr>
              <w:t xml:space="preserve">at the </w:t>
            </w:r>
            <w:r w:rsidRPr="00B25605">
              <w:rPr>
                <w:rFonts w:cstheme="minorHAnsi"/>
                <w:sz w:val="20"/>
                <w:szCs w:val="20"/>
              </w:rPr>
              <w:t xml:space="preserve">city level (and county and state) </w:t>
            </w:r>
            <w:r w:rsidR="003E0B03">
              <w:rPr>
                <w:rFonts w:cstheme="minorHAnsi"/>
                <w:sz w:val="20"/>
                <w:szCs w:val="20"/>
              </w:rPr>
              <w:t xml:space="preserve">for the current year. E-4 </w:t>
            </w:r>
            <w:r w:rsidR="00584A3E">
              <w:rPr>
                <w:rFonts w:cstheme="minorHAnsi"/>
                <w:sz w:val="20"/>
                <w:szCs w:val="20"/>
              </w:rPr>
              <w:t>has historical estimates</w:t>
            </w:r>
            <w:r w:rsidR="003F0067">
              <w:rPr>
                <w:rFonts w:cstheme="minorHAnsi"/>
                <w:sz w:val="20"/>
                <w:szCs w:val="20"/>
              </w:rPr>
              <w:t xml:space="preserve"> at the same geography levels.</w:t>
            </w:r>
          </w:p>
        </w:tc>
        <w:tc>
          <w:tcPr>
            <w:tcW w:w="5400" w:type="dxa"/>
          </w:tcPr>
          <w:p w14:paraId="5F9E6D54" w14:textId="78864DAA" w:rsidR="001271F8" w:rsidRPr="00B25605" w:rsidRDefault="002632F9" w:rsidP="006C1FCE">
            <w:pPr>
              <w:numPr>
                <w:ilvl w:val="0"/>
                <w:numId w:val="7"/>
              </w:numPr>
              <w:spacing w:line="276" w:lineRule="auto"/>
              <w:contextualSpacing/>
              <w:rPr>
                <w:rFonts w:cstheme="minorHAnsi"/>
                <w:sz w:val="20"/>
                <w:szCs w:val="20"/>
              </w:rPr>
            </w:pPr>
            <w:hyperlink r:id="rId6" w:history="1">
              <w:r w:rsidR="001271F8" w:rsidRPr="00B25605">
                <w:rPr>
                  <w:rFonts w:cstheme="minorHAnsi"/>
                  <w:color w:val="0563C1" w:themeColor="hyperlink"/>
                  <w:sz w:val="20"/>
                  <w:szCs w:val="20"/>
                  <w:u w:val="single"/>
                </w:rPr>
                <w:t>Complete P-3 R</w:t>
              </w:r>
              <w:r w:rsidR="001271F8" w:rsidRPr="00B25605">
                <w:rPr>
                  <w:rFonts w:cstheme="minorHAnsi"/>
                  <w:color w:val="0563C1" w:themeColor="hyperlink"/>
                  <w:sz w:val="20"/>
                  <w:szCs w:val="20"/>
                  <w:u w:val="single"/>
                </w:rPr>
                <w:t>a</w:t>
              </w:r>
              <w:r w:rsidR="001271F8" w:rsidRPr="00B25605">
                <w:rPr>
                  <w:rFonts w:cstheme="minorHAnsi"/>
                  <w:color w:val="0563C1" w:themeColor="hyperlink"/>
                  <w:sz w:val="20"/>
                  <w:szCs w:val="20"/>
                  <w:u w:val="single"/>
                </w:rPr>
                <w:t>ce/Ethnicity and Sex by Age for California and Counties</w:t>
              </w:r>
            </w:hyperlink>
            <w:r w:rsidR="001271F8" w:rsidRPr="00B25605">
              <w:rPr>
                <w:rFonts w:cstheme="minorHAnsi"/>
                <w:sz w:val="20"/>
                <w:szCs w:val="20"/>
              </w:rPr>
              <w:t xml:space="preserve"> (July 1 projections) - county race/sex/age data </w:t>
            </w:r>
          </w:p>
          <w:p w14:paraId="5BD52A9F" w14:textId="6873044A" w:rsidR="001271F8" w:rsidRPr="00B25605" w:rsidRDefault="002632F9" w:rsidP="006C1FCE">
            <w:pPr>
              <w:numPr>
                <w:ilvl w:val="0"/>
                <w:numId w:val="7"/>
              </w:numPr>
              <w:spacing w:line="276" w:lineRule="auto"/>
              <w:contextualSpacing/>
              <w:rPr>
                <w:rFonts w:cstheme="minorHAnsi"/>
                <w:sz w:val="20"/>
                <w:szCs w:val="20"/>
              </w:rPr>
            </w:pPr>
            <w:hyperlink r:id="rId7" w:history="1">
              <w:r w:rsidR="001271F8" w:rsidRPr="00B25605">
                <w:rPr>
                  <w:rFonts w:cstheme="minorHAnsi"/>
                  <w:color w:val="0563C1" w:themeColor="hyperlink"/>
                  <w:sz w:val="20"/>
                  <w:szCs w:val="20"/>
                  <w:u w:val="single"/>
                </w:rPr>
                <w:t>E-1 Cities, Counties, and the State Population Estimates with Annual Percent Change</w:t>
              </w:r>
            </w:hyperlink>
            <w:r w:rsidR="001271F8" w:rsidRPr="00B25605">
              <w:rPr>
                <w:rFonts w:cstheme="minorHAnsi"/>
                <w:sz w:val="20"/>
                <w:szCs w:val="20"/>
              </w:rPr>
              <w:t xml:space="preserve"> (January 1 estimates) - city totals</w:t>
            </w:r>
          </w:p>
          <w:p w14:paraId="332DE7D0" w14:textId="77777777" w:rsidR="001271F8" w:rsidRPr="00B25605" w:rsidRDefault="001271F8" w:rsidP="006C1FCE">
            <w:pPr>
              <w:rPr>
                <w:rFonts w:cstheme="minorHAnsi"/>
                <w:sz w:val="20"/>
                <w:szCs w:val="20"/>
              </w:rPr>
            </w:pPr>
          </w:p>
        </w:tc>
      </w:tr>
      <w:tr w:rsidR="001271F8" w:rsidRPr="00B25605" w14:paraId="0CE0FFAC" w14:textId="032B5D86" w:rsidTr="007C3074">
        <w:tc>
          <w:tcPr>
            <w:tcW w:w="1281" w:type="dxa"/>
          </w:tcPr>
          <w:p w14:paraId="6AF2592E" w14:textId="75318346" w:rsidR="001271F8" w:rsidRPr="00B25605" w:rsidRDefault="001271F8" w:rsidP="006C1FCE">
            <w:pPr>
              <w:rPr>
                <w:rFonts w:cstheme="minorHAnsi"/>
                <w:sz w:val="20"/>
                <w:szCs w:val="20"/>
              </w:rPr>
            </w:pPr>
            <w:r w:rsidRPr="00B25605">
              <w:rPr>
                <w:rFonts w:eastAsiaTheme="minorEastAsia" w:cstheme="minorHAnsi"/>
                <w:color w:val="000000" w:themeColor="text1"/>
                <w:kern w:val="24"/>
                <w:sz w:val="20"/>
                <w:szCs w:val="20"/>
              </w:rPr>
              <w:t>Decennial Census</w:t>
            </w:r>
          </w:p>
        </w:tc>
        <w:tc>
          <w:tcPr>
            <w:tcW w:w="4744" w:type="dxa"/>
          </w:tcPr>
          <w:p w14:paraId="6E541EA4" w14:textId="75217D1A" w:rsidR="001271F8" w:rsidRPr="00B25605" w:rsidRDefault="001271F8" w:rsidP="006C1FCE">
            <w:pPr>
              <w:rPr>
                <w:rFonts w:cstheme="minorHAnsi"/>
                <w:sz w:val="20"/>
                <w:szCs w:val="20"/>
              </w:rPr>
            </w:pPr>
            <w:r w:rsidRPr="00B25605">
              <w:rPr>
                <w:rFonts w:cstheme="minorHAnsi"/>
                <w:sz w:val="20"/>
                <w:szCs w:val="20"/>
              </w:rPr>
              <w:t>The Census is conducted every ten years to count the size of the US population and selected characteristics. It is the “gold standard” data backbone for many other data sources that estimate population sizes. Among many important purposes, census population counts are used to apportion the 435 seats of the U.S. House of Representatives among the 50 states for 10 years. The US Constitution mandates that the census asks questions of people in homes and group living situations, including how many people live or stay in each home, and the sex, age and race and ethnicity of each person</w:t>
            </w:r>
          </w:p>
        </w:tc>
        <w:tc>
          <w:tcPr>
            <w:tcW w:w="2070" w:type="dxa"/>
          </w:tcPr>
          <w:p w14:paraId="2C285DC2" w14:textId="6BB971BE" w:rsidR="001271F8" w:rsidRPr="00B25605" w:rsidRDefault="001271F8" w:rsidP="006C1FCE">
            <w:pPr>
              <w:rPr>
                <w:rFonts w:cstheme="minorHAnsi"/>
                <w:sz w:val="20"/>
                <w:szCs w:val="20"/>
              </w:rPr>
            </w:pPr>
            <w:r w:rsidRPr="00B25605">
              <w:rPr>
                <w:rFonts w:cstheme="minorHAnsi"/>
                <w:sz w:val="20"/>
                <w:szCs w:val="20"/>
              </w:rPr>
              <w:t>The core/basic data include population counts by sex and age</w:t>
            </w:r>
            <w:r w:rsidR="0053213F">
              <w:rPr>
                <w:rFonts w:cstheme="minorHAnsi"/>
                <w:sz w:val="20"/>
                <w:szCs w:val="20"/>
              </w:rPr>
              <w:t>, by</w:t>
            </w:r>
            <w:r w:rsidR="00BD6D7A">
              <w:rPr>
                <w:rFonts w:cstheme="minorHAnsi"/>
                <w:sz w:val="20"/>
                <w:szCs w:val="20"/>
              </w:rPr>
              <w:t xml:space="preserve"> </w:t>
            </w:r>
            <w:r w:rsidRPr="00B25605">
              <w:rPr>
                <w:rFonts w:cstheme="minorHAnsi"/>
                <w:sz w:val="20"/>
                <w:szCs w:val="20"/>
              </w:rPr>
              <w:t>race/ethnicity</w:t>
            </w:r>
            <w:r w:rsidR="00AE5263">
              <w:rPr>
                <w:rFonts w:cstheme="minorHAnsi"/>
                <w:sz w:val="20"/>
                <w:szCs w:val="20"/>
              </w:rPr>
              <w:t xml:space="preserve"> including multi-race combinations</w:t>
            </w:r>
            <w:r w:rsidRPr="00B25605">
              <w:rPr>
                <w:rFonts w:cstheme="minorHAnsi"/>
                <w:sz w:val="20"/>
                <w:szCs w:val="20"/>
              </w:rPr>
              <w:t>, at multiple geographic levels.</w:t>
            </w:r>
          </w:p>
        </w:tc>
        <w:tc>
          <w:tcPr>
            <w:tcW w:w="5400" w:type="dxa"/>
          </w:tcPr>
          <w:p w14:paraId="1BFE2F3A" w14:textId="372D0B02" w:rsidR="001271F8" w:rsidRPr="00B25605" w:rsidRDefault="002632F9" w:rsidP="006C1FCE">
            <w:pPr>
              <w:numPr>
                <w:ilvl w:val="0"/>
                <w:numId w:val="6"/>
              </w:numPr>
              <w:spacing w:line="276" w:lineRule="auto"/>
              <w:contextualSpacing/>
              <w:rPr>
                <w:rFonts w:cstheme="minorHAnsi"/>
                <w:sz w:val="20"/>
                <w:szCs w:val="20"/>
              </w:rPr>
            </w:pPr>
            <w:hyperlink r:id="rId8">
              <w:r w:rsidR="001271F8" w:rsidRPr="00B25605">
                <w:rPr>
                  <w:rFonts w:cstheme="minorHAnsi"/>
                  <w:color w:val="0563C1" w:themeColor="hyperlink"/>
                  <w:sz w:val="20"/>
                  <w:szCs w:val="20"/>
                  <w:u w:val="single"/>
                </w:rPr>
                <w:t>Race 20</w:t>
              </w:r>
              <w:r w:rsidR="001271F8" w:rsidRPr="00B25605">
                <w:rPr>
                  <w:rFonts w:cstheme="minorHAnsi"/>
                  <w:color w:val="0563C1" w:themeColor="hyperlink"/>
                  <w:sz w:val="20"/>
                  <w:szCs w:val="20"/>
                  <w:u w:val="single"/>
                </w:rPr>
                <w:t>2</w:t>
              </w:r>
              <w:r w:rsidR="001271F8" w:rsidRPr="00B25605">
                <w:rPr>
                  <w:rFonts w:cstheme="minorHAnsi"/>
                  <w:color w:val="0563C1" w:themeColor="hyperlink"/>
                  <w:sz w:val="20"/>
                  <w:szCs w:val="20"/>
                  <w:u w:val="single"/>
                </w:rPr>
                <w:t>0 (P1 Redistricting Data)</w:t>
              </w:r>
            </w:hyperlink>
            <w:r w:rsidR="001271F8" w:rsidRPr="00B25605">
              <w:rPr>
                <w:rFonts w:cstheme="minorHAnsi"/>
                <w:sz w:val="20"/>
                <w:szCs w:val="20"/>
              </w:rPr>
              <w:t xml:space="preserve">  note that any California county can be selected, and the data easily downloaded)</w:t>
            </w:r>
          </w:p>
          <w:p w14:paraId="01667980" w14:textId="77777777" w:rsidR="001271F8" w:rsidRPr="00B25605" w:rsidRDefault="002632F9" w:rsidP="006C1FCE">
            <w:pPr>
              <w:numPr>
                <w:ilvl w:val="0"/>
                <w:numId w:val="6"/>
              </w:numPr>
              <w:spacing w:line="276" w:lineRule="auto"/>
              <w:contextualSpacing/>
              <w:rPr>
                <w:rFonts w:cstheme="minorHAnsi"/>
                <w:sz w:val="20"/>
                <w:szCs w:val="20"/>
              </w:rPr>
            </w:pPr>
            <w:hyperlink r:id="rId9" w:history="1">
              <w:r w:rsidR="001271F8" w:rsidRPr="00B25605">
                <w:rPr>
                  <w:rFonts w:cstheme="minorHAnsi"/>
                  <w:color w:val="0563C1" w:themeColor="hyperlink"/>
                  <w:sz w:val="20"/>
                  <w:szCs w:val="20"/>
                  <w:u w:val="single"/>
                </w:rPr>
                <w:t>Ethnicity 2020 (P2 Redistricting Data)</w:t>
              </w:r>
            </w:hyperlink>
            <w:r w:rsidR="001271F8" w:rsidRPr="00B25605">
              <w:rPr>
                <w:rFonts w:cstheme="minorHAnsi"/>
                <w:color w:val="0563C1" w:themeColor="hyperlink"/>
                <w:sz w:val="20"/>
                <w:szCs w:val="20"/>
                <w:u w:val="single"/>
              </w:rPr>
              <w:t xml:space="preserve"> - </w:t>
            </w:r>
            <w:r w:rsidR="001271F8" w:rsidRPr="00B25605">
              <w:rPr>
                <w:rFonts w:cstheme="minorHAnsi"/>
                <w:sz w:val="20"/>
                <w:szCs w:val="20"/>
              </w:rPr>
              <w:t>Hispanic or Latino, and not Hispanic or Latino by race</w:t>
            </w:r>
          </w:p>
          <w:p w14:paraId="534FC42B" w14:textId="77777777" w:rsidR="001271F8" w:rsidRPr="00B25605" w:rsidRDefault="001271F8" w:rsidP="006C1FCE">
            <w:pPr>
              <w:numPr>
                <w:ilvl w:val="0"/>
                <w:numId w:val="6"/>
              </w:numPr>
              <w:spacing w:line="276" w:lineRule="auto"/>
              <w:contextualSpacing/>
              <w:rPr>
                <w:rFonts w:cstheme="minorHAnsi"/>
                <w:sz w:val="20"/>
                <w:szCs w:val="20"/>
              </w:rPr>
            </w:pPr>
            <w:r w:rsidRPr="00B25605">
              <w:rPr>
                <w:rFonts w:cstheme="minorHAnsi"/>
                <w:sz w:val="20"/>
                <w:szCs w:val="20"/>
              </w:rPr>
              <w:t>Documentation (selected)</w:t>
            </w:r>
          </w:p>
          <w:p w14:paraId="362586F4" w14:textId="1D894740" w:rsidR="001271F8" w:rsidRPr="00B25605" w:rsidRDefault="002632F9" w:rsidP="006C1FCE">
            <w:pPr>
              <w:numPr>
                <w:ilvl w:val="1"/>
                <w:numId w:val="6"/>
              </w:numPr>
              <w:spacing w:line="276" w:lineRule="auto"/>
              <w:contextualSpacing/>
              <w:rPr>
                <w:rFonts w:eastAsiaTheme="minorEastAsia" w:cstheme="minorHAnsi"/>
                <w:sz w:val="20"/>
                <w:szCs w:val="20"/>
              </w:rPr>
            </w:pPr>
            <w:hyperlink r:id="rId10">
              <w:r w:rsidR="001271F8" w:rsidRPr="00B25605">
                <w:rPr>
                  <w:rFonts w:cstheme="minorHAnsi"/>
                  <w:color w:val="0563C1" w:themeColor="hyperlink"/>
                  <w:sz w:val="20"/>
                  <w:szCs w:val="20"/>
                  <w:u w:val="single"/>
                </w:rPr>
                <w:t>2020 Census National Redistricting Technical Documentation</w:t>
              </w:r>
            </w:hyperlink>
          </w:p>
          <w:p w14:paraId="58B72212" w14:textId="3B59BBA2" w:rsidR="001271F8" w:rsidRPr="00B25605" w:rsidRDefault="002632F9" w:rsidP="006C1FCE">
            <w:pPr>
              <w:numPr>
                <w:ilvl w:val="1"/>
                <w:numId w:val="6"/>
              </w:numPr>
              <w:spacing w:line="276" w:lineRule="auto"/>
              <w:contextualSpacing/>
              <w:rPr>
                <w:rFonts w:eastAsiaTheme="minorEastAsia" w:cstheme="minorHAnsi"/>
                <w:sz w:val="20"/>
                <w:szCs w:val="20"/>
              </w:rPr>
            </w:pPr>
            <w:hyperlink r:id="rId11" w:history="1">
              <w:r w:rsidR="001271F8" w:rsidRPr="00B25605">
                <w:rPr>
                  <w:rStyle w:val="Hyperlink"/>
                  <w:rFonts w:eastAsiaTheme="minorEastAsia" w:cstheme="minorHAnsi"/>
                  <w:sz w:val="20"/>
                  <w:szCs w:val="20"/>
                </w:rPr>
                <w:t>About 2020 Census Data Products</w:t>
              </w:r>
            </w:hyperlink>
            <w:hyperlink r:id="rId12" w:history="1">
              <w:r w:rsidR="006C2929">
                <w:rPr>
                  <w:rStyle w:val="Hyperlink"/>
                </w:rPr>
                <w:t>https://www.census.gov/programs-surveys/decennial-census/decade/2020/planning-management/release/about-2020-data-products.html</w:t>
              </w:r>
            </w:hyperlink>
          </w:p>
          <w:p w14:paraId="7AE7739B" w14:textId="77777777" w:rsidR="001271F8" w:rsidRPr="00B25605" w:rsidRDefault="001271F8" w:rsidP="006C1FCE">
            <w:pPr>
              <w:spacing w:line="276" w:lineRule="auto"/>
              <w:ind w:left="720"/>
              <w:contextualSpacing/>
              <w:rPr>
                <w:rFonts w:eastAsiaTheme="minorEastAsia" w:cstheme="minorHAnsi"/>
                <w:sz w:val="20"/>
                <w:szCs w:val="20"/>
              </w:rPr>
            </w:pPr>
          </w:p>
          <w:p w14:paraId="23A1AFC6" w14:textId="77777777" w:rsidR="001271F8" w:rsidRPr="00B25605" w:rsidRDefault="001271F8" w:rsidP="006C1FCE">
            <w:pPr>
              <w:rPr>
                <w:rFonts w:cstheme="minorHAnsi"/>
                <w:sz w:val="20"/>
                <w:szCs w:val="20"/>
              </w:rPr>
            </w:pPr>
          </w:p>
        </w:tc>
      </w:tr>
      <w:tr w:rsidR="001271F8" w:rsidRPr="00B25605" w14:paraId="350501BA" w14:textId="36D3A38B" w:rsidTr="007C3074">
        <w:tc>
          <w:tcPr>
            <w:tcW w:w="1281" w:type="dxa"/>
          </w:tcPr>
          <w:p w14:paraId="2EBD1A90" w14:textId="5B11924E" w:rsidR="001271F8" w:rsidRPr="00B25605" w:rsidRDefault="001271F8" w:rsidP="006C1FCE">
            <w:pPr>
              <w:rPr>
                <w:rFonts w:cstheme="minorHAnsi"/>
                <w:sz w:val="20"/>
                <w:szCs w:val="20"/>
              </w:rPr>
            </w:pPr>
            <w:r w:rsidRPr="00B25605">
              <w:rPr>
                <w:rFonts w:cstheme="minorHAnsi"/>
                <w:sz w:val="20"/>
                <w:szCs w:val="20"/>
              </w:rPr>
              <w:lastRenderedPageBreak/>
              <w:t>Census “Vintage” Estimates</w:t>
            </w:r>
          </w:p>
        </w:tc>
        <w:tc>
          <w:tcPr>
            <w:tcW w:w="4744" w:type="dxa"/>
          </w:tcPr>
          <w:p w14:paraId="27B0DF2E" w14:textId="0C26D9F0" w:rsidR="001271F8" w:rsidRPr="00B25605" w:rsidRDefault="001271F8" w:rsidP="006C1FCE">
            <w:pPr>
              <w:rPr>
                <w:rFonts w:cstheme="minorHAnsi"/>
                <w:sz w:val="20"/>
                <w:szCs w:val="20"/>
              </w:rPr>
            </w:pPr>
            <w:r w:rsidRPr="00B25605">
              <w:rPr>
                <w:rFonts w:cstheme="minorHAnsi"/>
                <w:sz w:val="20"/>
                <w:szCs w:val="20"/>
              </w:rPr>
              <w:t>Each year the Census Bureau creates new “vintage” estimates of state and county populations, based on the latest data available, for a small set of core demographic characteristics. Each vintage include</w:t>
            </w:r>
            <w:r w:rsidR="00CA7A6D">
              <w:rPr>
                <w:rFonts w:cstheme="minorHAnsi"/>
                <w:sz w:val="20"/>
                <w:szCs w:val="20"/>
              </w:rPr>
              <w:t>s</w:t>
            </w:r>
            <w:r w:rsidRPr="00B25605">
              <w:rPr>
                <w:rFonts w:cstheme="minorHAnsi"/>
                <w:sz w:val="20"/>
                <w:szCs w:val="20"/>
              </w:rPr>
              <w:t xml:space="preserve"> revisions to previous years' estimates stretching back to the most recent census.</w:t>
            </w:r>
          </w:p>
        </w:tc>
        <w:tc>
          <w:tcPr>
            <w:tcW w:w="2070" w:type="dxa"/>
          </w:tcPr>
          <w:p w14:paraId="3B27F23F" w14:textId="6D2A0E8F" w:rsidR="001271F8" w:rsidRPr="00B25605" w:rsidRDefault="001271F8" w:rsidP="001B4A3E">
            <w:pPr>
              <w:pStyle w:val="ListParagraph"/>
              <w:numPr>
                <w:ilvl w:val="0"/>
                <w:numId w:val="9"/>
              </w:numPr>
              <w:rPr>
                <w:rFonts w:asciiTheme="minorHAnsi" w:hAnsiTheme="minorHAnsi" w:cstheme="minorHAnsi"/>
                <w:sz w:val="20"/>
                <w:szCs w:val="20"/>
              </w:rPr>
            </w:pPr>
            <w:r w:rsidRPr="00B25605">
              <w:rPr>
                <w:rFonts w:asciiTheme="minorHAnsi" w:hAnsiTheme="minorHAnsi" w:cstheme="minorHAnsi"/>
                <w:sz w:val="20"/>
                <w:szCs w:val="20"/>
              </w:rPr>
              <w:t>Population counts at the state and county levels, by age (1</w:t>
            </w:r>
            <w:r w:rsidR="006C2929">
              <w:rPr>
                <w:rFonts w:asciiTheme="minorHAnsi" w:hAnsiTheme="minorHAnsi" w:cstheme="minorHAnsi"/>
                <w:sz w:val="20"/>
                <w:szCs w:val="20"/>
              </w:rPr>
              <w:t>8</w:t>
            </w:r>
            <w:r w:rsidRPr="00B25605">
              <w:rPr>
                <w:rFonts w:asciiTheme="minorHAnsi" w:hAnsiTheme="minorHAnsi" w:cstheme="minorHAnsi"/>
                <w:sz w:val="20"/>
                <w:szCs w:val="20"/>
              </w:rPr>
              <w:t xml:space="preserve"> groups), sex, and race/ethnicity</w:t>
            </w:r>
          </w:p>
          <w:p w14:paraId="06852B97" w14:textId="63B01421" w:rsidR="001271F8" w:rsidRPr="00B25605" w:rsidRDefault="001271F8" w:rsidP="001B4A3E">
            <w:pPr>
              <w:pStyle w:val="ListParagraph"/>
              <w:numPr>
                <w:ilvl w:val="0"/>
                <w:numId w:val="9"/>
              </w:numPr>
              <w:rPr>
                <w:rFonts w:asciiTheme="minorHAnsi" w:hAnsiTheme="minorHAnsi" w:cstheme="minorHAnsi"/>
                <w:sz w:val="20"/>
                <w:szCs w:val="20"/>
              </w:rPr>
            </w:pPr>
            <w:r w:rsidRPr="00B25605">
              <w:rPr>
                <w:rFonts w:asciiTheme="minorHAnsi" w:hAnsiTheme="minorHAnsi" w:cstheme="minorHAnsi"/>
                <w:sz w:val="20"/>
                <w:szCs w:val="20"/>
              </w:rPr>
              <w:t>Total population counts at city, metropolitan and micropolitan statistical areas</w:t>
            </w:r>
          </w:p>
          <w:p w14:paraId="476EAB85" w14:textId="49947277" w:rsidR="001271F8" w:rsidRPr="00B25605" w:rsidRDefault="001271F8" w:rsidP="001B4A3E">
            <w:pPr>
              <w:pStyle w:val="ListParagraph"/>
              <w:numPr>
                <w:ilvl w:val="0"/>
                <w:numId w:val="9"/>
              </w:numPr>
              <w:rPr>
                <w:rFonts w:asciiTheme="minorHAnsi" w:hAnsiTheme="minorHAnsi" w:cstheme="minorHAnsi"/>
                <w:sz w:val="20"/>
                <w:szCs w:val="20"/>
              </w:rPr>
            </w:pPr>
            <w:r w:rsidRPr="00B25605">
              <w:rPr>
                <w:rFonts w:asciiTheme="minorHAnsi" w:hAnsiTheme="minorHAnsi" w:cstheme="minorHAnsi"/>
                <w:sz w:val="20"/>
                <w:szCs w:val="20"/>
              </w:rPr>
              <w:t>Total housing unit estimates at county level</w:t>
            </w:r>
          </w:p>
        </w:tc>
        <w:tc>
          <w:tcPr>
            <w:tcW w:w="5400" w:type="dxa"/>
          </w:tcPr>
          <w:p w14:paraId="0727DF60" w14:textId="77777777" w:rsidR="001271F8" w:rsidRPr="00B25605" w:rsidRDefault="001271F8" w:rsidP="0093044C">
            <w:pPr>
              <w:pStyle w:val="ListParagraph"/>
              <w:numPr>
                <w:ilvl w:val="0"/>
                <w:numId w:val="9"/>
              </w:numPr>
              <w:spacing w:after="200" w:line="276" w:lineRule="auto"/>
              <w:rPr>
                <w:rFonts w:asciiTheme="minorHAnsi" w:hAnsiTheme="minorHAnsi" w:cstheme="minorHAnsi"/>
                <w:sz w:val="20"/>
                <w:szCs w:val="20"/>
              </w:rPr>
            </w:pPr>
            <w:r w:rsidRPr="00B25605">
              <w:rPr>
                <w:rFonts w:asciiTheme="minorHAnsi" w:hAnsiTheme="minorHAnsi" w:cstheme="minorHAnsi"/>
                <w:sz w:val="20"/>
                <w:szCs w:val="20"/>
              </w:rPr>
              <w:t xml:space="preserve">Current  </w:t>
            </w:r>
            <w:hyperlink r:id="rId13">
              <w:r w:rsidRPr="00B25605">
                <w:rPr>
                  <w:rStyle w:val="Hyperlink"/>
                  <w:rFonts w:asciiTheme="minorHAnsi" w:hAnsiTheme="minorHAnsi" w:cstheme="minorHAnsi"/>
                  <w:sz w:val="20"/>
                  <w:szCs w:val="20"/>
                </w:rPr>
                <w:t>Population and Housing Unit Estimates Tables</w:t>
              </w:r>
            </w:hyperlink>
            <w:r w:rsidRPr="00B25605">
              <w:rPr>
                <w:rFonts w:asciiTheme="minorHAnsi" w:hAnsiTheme="minorHAnsi" w:cstheme="minorHAnsi"/>
                <w:sz w:val="20"/>
                <w:szCs w:val="20"/>
              </w:rPr>
              <w:t xml:space="preserve"> </w:t>
            </w:r>
          </w:p>
          <w:p w14:paraId="1FB10952" w14:textId="7818241C" w:rsidR="001271F8" w:rsidRPr="00B25605" w:rsidRDefault="002632F9" w:rsidP="0093044C">
            <w:pPr>
              <w:pStyle w:val="ListParagraph"/>
              <w:numPr>
                <w:ilvl w:val="0"/>
                <w:numId w:val="9"/>
              </w:numPr>
              <w:spacing w:after="200" w:line="276" w:lineRule="auto"/>
              <w:rPr>
                <w:rFonts w:asciiTheme="minorHAnsi" w:hAnsiTheme="minorHAnsi" w:cstheme="minorHAnsi"/>
                <w:sz w:val="20"/>
                <w:szCs w:val="20"/>
              </w:rPr>
            </w:pPr>
            <w:hyperlink r:id="rId14">
              <w:r w:rsidR="001271F8" w:rsidRPr="00B25605">
                <w:rPr>
                  <w:rStyle w:val="Hyperlink"/>
                  <w:rFonts w:asciiTheme="minorHAnsi" w:hAnsiTheme="minorHAnsi" w:cstheme="minorHAnsi"/>
                  <w:sz w:val="20"/>
                  <w:szCs w:val="20"/>
                </w:rPr>
                <w:t>County Population by Characteristics: 2010-2019</w:t>
              </w:r>
            </w:hyperlink>
            <w:r w:rsidR="001271F8" w:rsidRPr="00B25605">
              <w:rPr>
                <w:rFonts w:asciiTheme="minorHAnsi" w:hAnsiTheme="minorHAnsi" w:cstheme="minorHAnsi"/>
                <w:sz w:val="20"/>
                <w:szCs w:val="20"/>
              </w:rPr>
              <w:t xml:space="preserve"> </w:t>
            </w:r>
          </w:p>
          <w:p w14:paraId="7BB6F5EA" w14:textId="77777777" w:rsidR="001271F8" w:rsidRPr="00B25605" w:rsidRDefault="001271F8" w:rsidP="006C1FCE">
            <w:pPr>
              <w:rPr>
                <w:rFonts w:cstheme="minorHAnsi"/>
                <w:sz w:val="20"/>
                <w:szCs w:val="20"/>
              </w:rPr>
            </w:pPr>
          </w:p>
        </w:tc>
      </w:tr>
      <w:tr w:rsidR="001271F8" w:rsidRPr="00B25605" w14:paraId="11E0D0F4" w14:textId="5DD16FBE" w:rsidTr="007C3074">
        <w:tc>
          <w:tcPr>
            <w:tcW w:w="1281" w:type="dxa"/>
          </w:tcPr>
          <w:p w14:paraId="1C200FD1" w14:textId="315DB8C9" w:rsidR="001271F8" w:rsidRPr="00B25605" w:rsidRDefault="001271F8" w:rsidP="006C1FCE">
            <w:pPr>
              <w:rPr>
                <w:rFonts w:cstheme="minorHAnsi"/>
                <w:sz w:val="20"/>
                <w:szCs w:val="20"/>
              </w:rPr>
            </w:pPr>
            <w:r w:rsidRPr="00B25605">
              <w:rPr>
                <w:rFonts w:cstheme="minorHAnsi"/>
                <w:sz w:val="20"/>
                <w:szCs w:val="20"/>
              </w:rPr>
              <w:t>American Community Survey (ACS) – direct</w:t>
            </w:r>
          </w:p>
        </w:tc>
        <w:tc>
          <w:tcPr>
            <w:tcW w:w="4744" w:type="dxa"/>
          </w:tcPr>
          <w:p w14:paraId="150B9733" w14:textId="37F784D2" w:rsidR="001271F8" w:rsidRPr="00B25605" w:rsidRDefault="001271F8" w:rsidP="006C1FCE">
            <w:pPr>
              <w:rPr>
                <w:rFonts w:cstheme="minorHAnsi"/>
                <w:sz w:val="20"/>
                <w:szCs w:val="20"/>
              </w:rPr>
            </w:pPr>
            <w:r w:rsidRPr="00B25605">
              <w:rPr>
                <w:rFonts w:cstheme="minorHAnsi"/>
                <w:sz w:val="20"/>
                <w:szCs w:val="20"/>
              </w:rPr>
              <w:t>The ACS is a nationwide demographic survey conducted by the US Census Bureau every year. It is the nation’s mo</w:t>
            </w:r>
            <w:r w:rsidR="00BD6D7A">
              <w:rPr>
                <w:rFonts w:cstheme="minorHAnsi"/>
                <w:sz w:val="20"/>
                <w:szCs w:val="20"/>
              </w:rPr>
              <w:t>st</w:t>
            </w:r>
            <w:r w:rsidRPr="00B25605">
              <w:rPr>
                <w:rFonts w:cstheme="minorHAnsi"/>
                <w:sz w:val="20"/>
                <w:szCs w:val="20"/>
              </w:rPr>
              <w:t xml:space="preserve"> current, reliable, and accessible data source for local statistics for critical planning topics including socioeconomic status, employment, housing, insurance and special populations including veterans. It collects data previously contained only in the long form of the decennial census.</w:t>
            </w:r>
          </w:p>
        </w:tc>
        <w:tc>
          <w:tcPr>
            <w:tcW w:w="2070" w:type="dxa"/>
          </w:tcPr>
          <w:p w14:paraId="78B443EF" w14:textId="2D85D602" w:rsidR="001271F8" w:rsidRPr="00B25605" w:rsidRDefault="001271F8" w:rsidP="006C1FCE">
            <w:pPr>
              <w:rPr>
                <w:rFonts w:cstheme="minorHAnsi"/>
                <w:sz w:val="20"/>
                <w:szCs w:val="20"/>
              </w:rPr>
            </w:pPr>
            <w:r w:rsidRPr="00B25605">
              <w:rPr>
                <w:rFonts w:cstheme="minorHAnsi"/>
                <w:sz w:val="20"/>
                <w:szCs w:val="20"/>
              </w:rPr>
              <w:t>Population sizes at multiple levels of geography (e.g. state, county, tract, ZCTA), by sex, age and race/ethnicity and characteristics including income/poverty, education, employment, ancestry, citizenship, language proficiency, migration, disability, housing characteristics, and others</w:t>
            </w:r>
          </w:p>
        </w:tc>
        <w:tc>
          <w:tcPr>
            <w:tcW w:w="5400" w:type="dxa"/>
          </w:tcPr>
          <w:p w14:paraId="21C975C8" w14:textId="77777777" w:rsidR="001271F8" w:rsidRPr="00A21CCB" w:rsidRDefault="001271F8" w:rsidP="00A21CCB">
            <w:pPr>
              <w:numPr>
                <w:ilvl w:val="0"/>
                <w:numId w:val="6"/>
              </w:numPr>
              <w:spacing w:after="200" w:line="276" w:lineRule="auto"/>
              <w:contextualSpacing/>
              <w:rPr>
                <w:rFonts w:cstheme="minorHAnsi"/>
                <w:sz w:val="20"/>
                <w:szCs w:val="20"/>
              </w:rPr>
            </w:pPr>
            <w:r w:rsidRPr="00A21CCB">
              <w:rPr>
                <w:rFonts w:cstheme="minorHAnsi"/>
                <w:sz w:val="20"/>
                <w:szCs w:val="20"/>
              </w:rPr>
              <w:t>Data access (examples)</w:t>
            </w:r>
          </w:p>
          <w:p w14:paraId="48B8341A" w14:textId="77777777" w:rsidR="001271F8" w:rsidRPr="00A21CCB" w:rsidRDefault="002632F9" w:rsidP="00A21CCB">
            <w:pPr>
              <w:numPr>
                <w:ilvl w:val="1"/>
                <w:numId w:val="6"/>
              </w:numPr>
              <w:spacing w:after="200" w:line="276" w:lineRule="auto"/>
              <w:contextualSpacing/>
              <w:rPr>
                <w:rFonts w:cstheme="minorHAnsi"/>
                <w:sz w:val="20"/>
                <w:szCs w:val="20"/>
              </w:rPr>
            </w:pPr>
            <w:hyperlink r:id="rId15" w:history="1">
              <w:r w:rsidR="001271F8" w:rsidRPr="00A21CCB">
                <w:rPr>
                  <w:rFonts w:cstheme="minorHAnsi"/>
                  <w:color w:val="0563C1" w:themeColor="hyperlink"/>
                  <w:sz w:val="20"/>
                  <w:szCs w:val="20"/>
                  <w:u w:val="single"/>
                </w:rPr>
                <w:t>Table B01001 – Sex by Age</w:t>
              </w:r>
            </w:hyperlink>
          </w:p>
          <w:p w14:paraId="5DB396FF" w14:textId="77777777" w:rsidR="001271F8" w:rsidRPr="00A21CCB" w:rsidRDefault="002632F9" w:rsidP="00A21CCB">
            <w:pPr>
              <w:numPr>
                <w:ilvl w:val="1"/>
                <w:numId w:val="6"/>
              </w:numPr>
              <w:spacing w:after="200" w:line="276" w:lineRule="auto"/>
              <w:contextualSpacing/>
              <w:rPr>
                <w:rFonts w:cstheme="minorHAnsi"/>
                <w:sz w:val="20"/>
                <w:szCs w:val="20"/>
              </w:rPr>
            </w:pPr>
            <w:hyperlink r:id="rId16" w:history="1">
              <w:r w:rsidR="001271F8" w:rsidRPr="00A21CCB">
                <w:rPr>
                  <w:rFonts w:cstheme="minorHAnsi"/>
                  <w:color w:val="0563C1" w:themeColor="hyperlink"/>
                  <w:sz w:val="20"/>
                  <w:szCs w:val="20"/>
                  <w:u w:val="single"/>
                </w:rPr>
                <w:t>Table B03002 – Hispanic origin by race</w:t>
              </w:r>
            </w:hyperlink>
          </w:p>
          <w:p w14:paraId="4DB48E66" w14:textId="77777777" w:rsidR="001271F8" w:rsidRPr="00A21CCB" w:rsidRDefault="001271F8" w:rsidP="00A21CCB">
            <w:pPr>
              <w:numPr>
                <w:ilvl w:val="0"/>
                <w:numId w:val="6"/>
              </w:numPr>
              <w:spacing w:after="200" w:line="276" w:lineRule="auto"/>
              <w:contextualSpacing/>
              <w:rPr>
                <w:rFonts w:cstheme="minorHAnsi"/>
                <w:sz w:val="20"/>
                <w:szCs w:val="20"/>
              </w:rPr>
            </w:pPr>
            <w:r w:rsidRPr="00A21CCB">
              <w:rPr>
                <w:rFonts w:cstheme="minorHAnsi"/>
                <w:sz w:val="20"/>
                <w:szCs w:val="20"/>
              </w:rPr>
              <w:t>Documentation/information</w:t>
            </w:r>
          </w:p>
          <w:p w14:paraId="22C7D020" w14:textId="77777777" w:rsidR="001271F8" w:rsidRPr="00A21CCB" w:rsidRDefault="002632F9" w:rsidP="00A21CCB">
            <w:pPr>
              <w:numPr>
                <w:ilvl w:val="1"/>
                <w:numId w:val="6"/>
              </w:numPr>
              <w:spacing w:after="200" w:line="276" w:lineRule="auto"/>
              <w:contextualSpacing/>
              <w:rPr>
                <w:rFonts w:cstheme="minorHAnsi"/>
                <w:sz w:val="20"/>
                <w:szCs w:val="20"/>
              </w:rPr>
            </w:pPr>
            <w:hyperlink r:id="rId17">
              <w:r w:rsidR="001271F8" w:rsidRPr="00A21CCB">
                <w:rPr>
                  <w:rFonts w:cstheme="minorHAnsi"/>
                  <w:color w:val="0563C1" w:themeColor="hyperlink"/>
                  <w:sz w:val="20"/>
                  <w:szCs w:val="20"/>
                  <w:u w:val="single"/>
                </w:rPr>
                <w:t>Methodology</w:t>
              </w:r>
            </w:hyperlink>
            <w:r w:rsidR="001271F8" w:rsidRPr="00A21CCB">
              <w:rPr>
                <w:rFonts w:cstheme="minorHAnsi"/>
                <w:sz w:val="20"/>
                <w:szCs w:val="20"/>
              </w:rPr>
              <w:t xml:space="preserve"> </w:t>
            </w:r>
          </w:p>
          <w:p w14:paraId="668812C5" w14:textId="77777777" w:rsidR="001271F8" w:rsidRPr="00A21CCB" w:rsidRDefault="002632F9" w:rsidP="00A21CCB">
            <w:pPr>
              <w:numPr>
                <w:ilvl w:val="1"/>
                <w:numId w:val="6"/>
              </w:numPr>
              <w:spacing w:after="200" w:line="276" w:lineRule="auto"/>
              <w:contextualSpacing/>
              <w:rPr>
                <w:rFonts w:cstheme="minorHAnsi"/>
                <w:sz w:val="20"/>
                <w:szCs w:val="20"/>
              </w:rPr>
            </w:pPr>
            <w:hyperlink r:id="rId18">
              <w:r w:rsidR="001271F8" w:rsidRPr="00A21CCB">
                <w:rPr>
                  <w:rFonts w:cstheme="minorHAnsi"/>
                  <w:color w:val="0563C1" w:themeColor="hyperlink"/>
                  <w:sz w:val="20"/>
                  <w:szCs w:val="20"/>
                  <w:u w:val="single"/>
                </w:rPr>
                <w:t>American Community Survey, General/Public, Information Guide</w:t>
              </w:r>
            </w:hyperlink>
            <w:r w:rsidR="001271F8" w:rsidRPr="00A21CCB">
              <w:rPr>
                <w:rFonts w:cstheme="minorHAnsi"/>
                <w:color w:val="0563C1" w:themeColor="hyperlink"/>
                <w:sz w:val="20"/>
                <w:szCs w:val="20"/>
                <w:u w:val="single"/>
              </w:rPr>
              <w:t xml:space="preserve"> (excellent general overview and clear, general, methods)</w:t>
            </w:r>
          </w:p>
          <w:p w14:paraId="369F21CF" w14:textId="77777777" w:rsidR="001271F8" w:rsidRPr="00B25605" w:rsidRDefault="001271F8" w:rsidP="006C1FCE">
            <w:pPr>
              <w:rPr>
                <w:rFonts w:cstheme="minorHAnsi"/>
                <w:sz w:val="20"/>
                <w:szCs w:val="20"/>
              </w:rPr>
            </w:pPr>
          </w:p>
        </w:tc>
      </w:tr>
      <w:tr w:rsidR="001271F8" w:rsidRPr="00B25605" w14:paraId="38159DDF" w14:textId="35A5D69D" w:rsidTr="007C3074">
        <w:tc>
          <w:tcPr>
            <w:tcW w:w="1281" w:type="dxa"/>
          </w:tcPr>
          <w:p w14:paraId="78BCD071" w14:textId="6C8478B3" w:rsidR="001271F8" w:rsidRPr="00B25605" w:rsidRDefault="001271F8" w:rsidP="006C1FCE">
            <w:pPr>
              <w:rPr>
                <w:rFonts w:cstheme="minorHAnsi"/>
                <w:sz w:val="20"/>
                <w:szCs w:val="20"/>
              </w:rPr>
            </w:pPr>
            <w:r w:rsidRPr="00B25605">
              <w:rPr>
                <w:rFonts w:cstheme="minorHAnsi"/>
                <w:sz w:val="20"/>
                <w:szCs w:val="20"/>
              </w:rPr>
              <w:t xml:space="preserve">American Community Survey (ACS) Public Use Microdata </w:t>
            </w:r>
            <w:r w:rsidRPr="00B25605">
              <w:rPr>
                <w:rFonts w:cstheme="minorHAnsi"/>
                <w:sz w:val="20"/>
                <w:szCs w:val="20"/>
              </w:rPr>
              <w:lastRenderedPageBreak/>
              <w:t>Sample (PUMS)</w:t>
            </w:r>
          </w:p>
        </w:tc>
        <w:tc>
          <w:tcPr>
            <w:tcW w:w="4744" w:type="dxa"/>
          </w:tcPr>
          <w:p w14:paraId="7E957AE7" w14:textId="020D715C" w:rsidR="001271F8" w:rsidRPr="00B25605" w:rsidRDefault="001271F8" w:rsidP="006C1FCE">
            <w:pPr>
              <w:rPr>
                <w:rFonts w:cstheme="minorHAnsi"/>
                <w:sz w:val="20"/>
                <w:szCs w:val="20"/>
              </w:rPr>
            </w:pPr>
            <w:r w:rsidRPr="00B25605">
              <w:rPr>
                <w:rFonts w:cstheme="minorHAnsi"/>
                <w:sz w:val="20"/>
                <w:szCs w:val="20"/>
              </w:rPr>
              <w:lastRenderedPageBreak/>
              <w:t xml:space="preserve">The ACS PUMS is not a separate data collection  system from the “direct” ACS system described above.  It is system for accessing and extracting approximately 250 person-level and approximately 200 housing-level variables available not available through regular published ACS tables. PUMS allows users to create </w:t>
            </w:r>
            <w:r w:rsidRPr="00B25605">
              <w:rPr>
                <w:rFonts w:cstheme="minorHAnsi"/>
                <w:sz w:val="20"/>
                <w:szCs w:val="20"/>
              </w:rPr>
              <w:lastRenderedPageBreak/>
              <w:t>custom variables and “cross tabulations” for local purposes.  The only geography available with PUMS data is the State and Public Use Microdata Area, or “PUMA”. PUMAs are non-overlapping areas containing around 100,000 residents. For some counties, PUMAs can be aggregated/summed to obtain county-level estimates; for other, smaller counties, PUMAs cross county boundaries.</w:t>
            </w:r>
          </w:p>
        </w:tc>
        <w:tc>
          <w:tcPr>
            <w:tcW w:w="2070" w:type="dxa"/>
          </w:tcPr>
          <w:p w14:paraId="4798F9DC" w14:textId="202D228A" w:rsidR="001271F8" w:rsidRPr="00B25605" w:rsidRDefault="001271F8" w:rsidP="006C1FCE">
            <w:pPr>
              <w:rPr>
                <w:rFonts w:cstheme="minorHAnsi"/>
                <w:sz w:val="20"/>
                <w:szCs w:val="20"/>
              </w:rPr>
            </w:pPr>
          </w:p>
        </w:tc>
        <w:tc>
          <w:tcPr>
            <w:tcW w:w="5400" w:type="dxa"/>
          </w:tcPr>
          <w:p w14:paraId="26124540" w14:textId="50D5E2A5" w:rsidR="001271F8" w:rsidRPr="00B25605" w:rsidRDefault="001271F8" w:rsidP="00595611">
            <w:pPr>
              <w:rPr>
                <w:rFonts w:cstheme="minorHAnsi"/>
                <w:sz w:val="20"/>
                <w:szCs w:val="20"/>
              </w:rPr>
            </w:pPr>
            <w:r w:rsidRPr="00B25605">
              <w:rPr>
                <w:rFonts w:cstheme="minorHAnsi"/>
                <w:sz w:val="20"/>
                <w:szCs w:val="20"/>
              </w:rPr>
              <w:t xml:space="preserve">In general PUMS record-level data will be extracted via API or FTP, and processed by users using software such as R or SAS.  But, some tabular data can be extracted using the Census tool here, </w:t>
            </w:r>
            <w:hyperlink r:id="rId19" w:anchor="/" w:history="1">
              <w:r w:rsidRPr="00B25605">
                <w:rPr>
                  <w:rStyle w:val="Hyperlink"/>
                  <w:rFonts w:cstheme="minorHAnsi"/>
                  <w:sz w:val="20"/>
                  <w:szCs w:val="20"/>
                </w:rPr>
                <w:t>https://data.census.gov/mdat/#/</w:t>
              </w:r>
            </w:hyperlink>
          </w:p>
          <w:p w14:paraId="1FADA26B" w14:textId="77777777" w:rsidR="001271F8" w:rsidRPr="00B25605" w:rsidRDefault="001271F8" w:rsidP="00595611">
            <w:pPr>
              <w:rPr>
                <w:rFonts w:cstheme="minorHAnsi"/>
                <w:sz w:val="20"/>
                <w:szCs w:val="20"/>
              </w:rPr>
            </w:pPr>
          </w:p>
          <w:p w14:paraId="0815138A" w14:textId="589D2552" w:rsidR="001271F8" w:rsidRPr="00B25605" w:rsidRDefault="001271F8" w:rsidP="00595611">
            <w:pPr>
              <w:rPr>
                <w:rFonts w:cstheme="minorHAnsi"/>
                <w:sz w:val="20"/>
                <w:szCs w:val="20"/>
              </w:rPr>
            </w:pPr>
            <w:r w:rsidRPr="00B25605">
              <w:rPr>
                <w:rFonts w:cstheme="minorHAnsi"/>
                <w:sz w:val="20"/>
                <w:szCs w:val="20"/>
              </w:rPr>
              <w:t>Documentation</w:t>
            </w:r>
          </w:p>
          <w:p w14:paraId="2B9B4D68" w14:textId="6BADB81C" w:rsidR="001271F8" w:rsidRPr="00B25605" w:rsidRDefault="001271F8" w:rsidP="004C20CB">
            <w:pPr>
              <w:pStyle w:val="ListParagraph"/>
              <w:numPr>
                <w:ilvl w:val="0"/>
                <w:numId w:val="10"/>
              </w:numPr>
              <w:rPr>
                <w:rFonts w:asciiTheme="minorHAnsi" w:hAnsiTheme="minorHAnsi" w:cstheme="minorHAnsi"/>
                <w:sz w:val="20"/>
                <w:szCs w:val="20"/>
              </w:rPr>
            </w:pPr>
            <w:r w:rsidRPr="00B25605">
              <w:rPr>
                <w:rFonts w:asciiTheme="minorHAnsi" w:hAnsiTheme="minorHAnsi" w:cstheme="minorHAnsi"/>
                <w:sz w:val="20"/>
                <w:szCs w:val="20"/>
              </w:rPr>
              <w:lastRenderedPageBreak/>
              <w:t>https://www2.census.gov/about/training-workshops/2020/2020-03-11-acs-presentation.pdf</w:t>
            </w:r>
          </w:p>
          <w:p w14:paraId="52B65632" w14:textId="461709B3" w:rsidR="001271F8" w:rsidRPr="00B25605" w:rsidRDefault="001271F8" w:rsidP="004C20CB">
            <w:pPr>
              <w:pStyle w:val="ListParagraph"/>
              <w:numPr>
                <w:ilvl w:val="0"/>
                <w:numId w:val="10"/>
              </w:numPr>
              <w:rPr>
                <w:rFonts w:asciiTheme="minorHAnsi" w:hAnsiTheme="minorHAnsi" w:cstheme="minorHAnsi"/>
                <w:sz w:val="20"/>
                <w:szCs w:val="20"/>
              </w:rPr>
            </w:pPr>
            <w:r w:rsidRPr="00B25605">
              <w:rPr>
                <w:rFonts w:asciiTheme="minorHAnsi" w:hAnsiTheme="minorHAnsi" w:cstheme="minorHAnsi"/>
                <w:sz w:val="20"/>
                <w:szCs w:val="20"/>
              </w:rPr>
              <w:t>https://www.census.gov/programs-surveys/acs/microdata/documentation.html</w:t>
            </w:r>
          </w:p>
        </w:tc>
      </w:tr>
      <w:tr w:rsidR="001271F8" w:rsidRPr="00B25605" w14:paraId="0B22E0FB" w14:textId="125D3124" w:rsidTr="007C3074">
        <w:tc>
          <w:tcPr>
            <w:tcW w:w="1281" w:type="dxa"/>
          </w:tcPr>
          <w:p w14:paraId="30564875" w14:textId="2839E314" w:rsidR="001271F8" w:rsidRPr="00B25605" w:rsidRDefault="001271F8" w:rsidP="006C1FCE">
            <w:pPr>
              <w:rPr>
                <w:rFonts w:cstheme="minorHAnsi"/>
                <w:sz w:val="20"/>
                <w:szCs w:val="20"/>
              </w:rPr>
            </w:pPr>
            <w:r w:rsidRPr="00B25605">
              <w:rPr>
                <w:rFonts w:cstheme="minorHAnsi"/>
                <w:sz w:val="20"/>
                <w:szCs w:val="20"/>
              </w:rPr>
              <w:lastRenderedPageBreak/>
              <w:t>SEER</w:t>
            </w:r>
            <w:r w:rsidR="002632F9">
              <w:rPr>
                <w:rFonts w:cstheme="minorHAnsi"/>
                <w:sz w:val="20"/>
                <w:szCs w:val="20"/>
              </w:rPr>
              <w:t xml:space="preserve"> (</w:t>
            </w:r>
            <w:r w:rsidR="002632F9" w:rsidRPr="002632F9">
              <w:rPr>
                <w:rFonts w:cstheme="minorHAnsi"/>
                <w:sz w:val="20"/>
                <w:szCs w:val="20"/>
              </w:rPr>
              <w:t>Surveillance, Epidemiology, and End Results)</w:t>
            </w:r>
          </w:p>
        </w:tc>
        <w:tc>
          <w:tcPr>
            <w:tcW w:w="4744" w:type="dxa"/>
          </w:tcPr>
          <w:p w14:paraId="79267F2D" w14:textId="6564980E" w:rsidR="001271F8" w:rsidRPr="00B25605" w:rsidRDefault="001271F8" w:rsidP="006C1FCE">
            <w:pPr>
              <w:rPr>
                <w:rFonts w:cstheme="minorHAnsi"/>
                <w:sz w:val="20"/>
                <w:szCs w:val="20"/>
              </w:rPr>
            </w:pPr>
            <w:r w:rsidRPr="00B25605">
              <w:rPr>
                <w:rFonts w:cstheme="minorHAnsi"/>
                <w:sz w:val="20"/>
                <w:szCs w:val="20"/>
              </w:rPr>
              <w:t>The National Cancer Institute (NCI) procures and maintains U. S. population data for the denominators of incidence and mortality rates. Annual mid-year population estimates stratified by age, gender, bridged race, and Hispanic ethnicity are available at county and census tract levels.  County population estimates are produced under a collaborative arrangement between the U. S. Census Bureau and the National Center for Health Statistics with support from NCI through an interagency agreement.  Census tract population estimates are produced by Woods &amp; Poole Economics, Inc. (W&amp;P) with support from NCI through a contract with methodology jointly developed by NCI, W&amp;P, and the North American Association of Central Cancer Registries (NAACCR).</w:t>
            </w:r>
          </w:p>
        </w:tc>
        <w:tc>
          <w:tcPr>
            <w:tcW w:w="2070" w:type="dxa"/>
          </w:tcPr>
          <w:p w14:paraId="54E9D6E9" w14:textId="3556D47B" w:rsidR="001271F8" w:rsidRPr="00B25605" w:rsidRDefault="00710A00" w:rsidP="006C1FCE">
            <w:pPr>
              <w:rPr>
                <w:rFonts w:cstheme="minorHAnsi"/>
                <w:sz w:val="20"/>
                <w:szCs w:val="20"/>
              </w:rPr>
            </w:pPr>
            <w:r>
              <w:rPr>
                <w:rFonts w:cstheme="minorHAnsi"/>
                <w:sz w:val="20"/>
                <w:szCs w:val="20"/>
              </w:rPr>
              <w:t xml:space="preserve">At tract or county level, </w:t>
            </w:r>
            <w:r w:rsidR="00EF0C67">
              <w:rPr>
                <w:rFonts w:cstheme="minorHAnsi"/>
                <w:sz w:val="20"/>
                <w:szCs w:val="20"/>
              </w:rPr>
              <w:t xml:space="preserve">race/ethnic (only </w:t>
            </w:r>
            <w:r w:rsidR="003D7E97">
              <w:rPr>
                <w:rFonts w:cstheme="minorHAnsi"/>
                <w:sz w:val="20"/>
                <w:szCs w:val="20"/>
              </w:rPr>
              <w:t>5 categories), age (19 group), sex</w:t>
            </w:r>
          </w:p>
        </w:tc>
        <w:tc>
          <w:tcPr>
            <w:tcW w:w="5400" w:type="dxa"/>
          </w:tcPr>
          <w:p w14:paraId="359F8CD9" w14:textId="77777777" w:rsidR="00A24CD1" w:rsidRPr="00A24CD1" w:rsidRDefault="00A24CD1" w:rsidP="007516AE">
            <w:pPr>
              <w:numPr>
                <w:ilvl w:val="0"/>
                <w:numId w:val="11"/>
              </w:numPr>
              <w:spacing w:after="200" w:line="276" w:lineRule="auto"/>
              <w:contextualSpacing/>
              <w:rPr>
                <w:rFonts w:cstheme="minorHAnsi"/>
                <w:color w:val="000000" w:themeColor="text1"/>
                <w:sz w:val="20"/>
                <w:szCs w:val="20"/>
              </w:rPr>
            </w:pPr>
            <w:r w:rsidRPr="00A24CD1">
              <w:rPr>
                <w:rFonts w:cstheme="minorHAnsi"/>
                <w:color w:val="000000" w:themeColor="text1"/>
                <w:sz w:val="20"/>
                <w:szCs w:val="20"/>
              </w:rPr>
              <w:t xml:space="preserve">Link for tract data: </w:t>
            </w:r>
            <w:hyperlink r:id="rId20" w:history="1">
              <w:r w:rsidRPr="00A24CD1">
                <w:rPr>
                  <w:rFonts w:cstheme="minorHAnsi"/>
                  <w:color w:val="0563C1" w:themeColor="hyperlink"/>
                  <w:sz w:val="20"/>
                  <w:szCs w:val="20"/>
                  <w:u w:val="single"/>
                </w:rPr>
                <w:t>https://seer.cancer.gov/censustract-pops/</w:t>
              </w:r>
            </w:hyperlink>
          </w:p>
          <w:p w14:paraId="44EB3EDE" w14:textId="77777777" w:rsidR="00A24CD1" w:rsidRPr="00A24CD1" w:rsidRDefault="00A24CD1" w:rsidP="007516AE">
            <w:pPr>
              <w:numPr>
                <w:ilvl w:val="0"/>
                <w:numId w:val="11"/>
              </w:numPr>
              <w:spacing w:after="200" w:line="276" w:lineRule="auto"/>
              <w:contextualSpacing/>
              <w:rPr>
                <w:rFonts w:cstheme="minorHAnsi"/>
                <w:color w:val="000000" w:themeColor="text1"/>
                <w:sz w:val="20"/>
                <w:szCs w:val="20"/>
              </w:rPr>
            </w:pPr>
            <w:r w:rsidRPr="00A24CD1">
              <w:rPr>
                <w:rFonts w:cstheme="minorHAnsi"/>
                <w:color w:val="000000" w:themeColor="text1"/>
                <w:sz w:val="20"/>
                <w:szCs w:val="20"/>
              </w:rPr>
              <w:t xml:space="preserve">Link for county data: </w:t>
            </w:r>
            <w:hyperlink r:id="rId21" w:history="1">
              <w:r w:rsidRPr="00A24CD1">
                <w:rPr>
                  <w:rFonts w:cstheme="minorHAnsi"/>
                  <w:color w:val="0563C1" w:themeColor="hyperlink"/>
                  <w:sz w:val="20"/>
                  <w:szCs w:val="20"/>
                  <w:u w:val="single"/>
                </w:rPr>
                <w:t>https://seer.cancer.gov/popdata/</w:t>
              </w:r>
            </w:hyperlink>
          </w:p>
          <w:p w14:paraId="0FD7A2EB" w14:textId="583AD936" w:rsidR="00A24CD1" w:rsidRPr="00A24CD1" w:rsidRDefault="00A24CD1" w:rsidP="007516AE">
            <w:pPr>
              <w:numPr>
                <w:ilvl w:val="0"/>
                <w:numId w:val="11"/>
              </w:numPr>
              <w:spacing w:after="200" w:line="276" w:lineRule="auto"/>
              <w:contextualSpacing/>
              <w:rPr>
                <w:rFonts w:eastAsiaTheme="minorEastAsia" w:cstheme="minorHAnsi"/>
                <w:color w:val="000000" w:themeColor="text1"/>
                <w:sz w:val="20"/>
                <w:szCs w:val="20"/>
              </w:rPr>
            </w:pPr>
            <w:r w:rsidRPr="00A24CD1">
              <w:rPr>
                <w:rFonts w:cstheme="minorHAnsi"/>
                <w:color w:val="000000" w:themeColor="text1"/>
                <w:sz w:val="20"/>
                <w:szCs w:val="20"/>
              </w:rPr>
              <w:t xml:space="preserve">Links to other data </w:t>
            </w:r>
            <w:r w:rsidR="003D30AF" w:rsidRPr="00B25605">
              <w:rPr>
                <w:rFonts w:cstheme="minorHAnsi"/>
                <w:color w:val="000000" w:themeColor="text1"/>
                <w:sz w:val="20"/>
                <w:szCs w:val="20"/>
              </w:rPr>
              <w:t xml:space="preserve">and </w:t>
            </w:r>
            <w:r w:rsidRPr="00A24CD1">
              <w:rPr>
                <w:rFonts w:cstheme="minorHAnsi"/>
                <w:color w:val="000000" w:themeColor="text1"/>
                <w:sz w:val="20"/>
                <w:szCs w:val="20"/>
              </w:rPr>
              <w:t>information</w:t>
            </w:r>
          </w:p>
          <w:p w14:paraId="5E91C3CC" w14:textId="77777777" w:rsidR="00A24CD1" w:rsidRPr="00A24CD1" w:rsidRDefault="002632F9" w:rsidP="007516AE">
            <w:pPr>
              <w:numPr>
                <w:ilvl w:val="1"/>
                <w:numId w:val="11"/>
              </w:numPr>
              <w:spacing w:after="200" w:line="276" w:lineRule="auto"/>
              <w:contextualSpacing/>
              <w:rPr>
                <w:rFonts w:cstheme="minorHAnsi"/>
                <w:color w:val="000000" w:themeColor="text1"/>
                <w:sz w:val="20"/>
                <w:szCs w:val="20"/>
              </w:rPr>
            </w:pPr>
            <w:hyperlink r:id="rId22" w:history="1">
              <w:r w:rsidR="00A24CD1" w:rsidRPr="00A24CD1">
                <w:rPr>
                  <w:rFonts w:cstheme="minorHAnsi"/>
                  <w:color w:val="0563C1" w:themeColor="hyperlink"/>
                  <w:sz w:val="20"/>
                  <w:szCs w:val="20"/>
                  <w:u w:val="single"/>
                </w:rPr>
                <w:t>https://seer</w:t>
              </w:r>
              <w:r w:rsidR="00A24CD1" w:rsidRPr="00A24CD1">
                <w:rPr>
                  <w:rFonts w:cstheme="minorHAnsi"/>
                  <w:color w:val="0563C1" w:themeColor="hyperlink"/>
                  <w:sz w:val="20"/>
                  <w:szCs w:val="20"/>
                  <w:u w:val="single"/>
                </w:rPr>
                <w:t>.</w:t>
              </w:r>
              <w:r w:rsidR="00A24CD1" w:rsidRPr="00A24CD1">
                <w:rPr>
                  <w:rFonts w:cstheme="minorHAnsi"/>
                  <w:color w:val="0563C1" w:themeColor="hyperlink"/>
                  <w:sz w:val="20"/>
                  <w:szCs w:val="20"/>
                  <w:u w:val="single"/>
                </w:rPr>
                <w:t>cancer.gov/data-software/datasets.html</w:t>
              </w:r>
            </w:hyperlink>
          </w:p>
          <w:p w14:paraId="29E68256" w14:textId="77777777" w:rsidR="001271F8" w:rsidRPr="00B25605" w:rsidRDefault="001271F8" w:rsidP="006C1FCE">
            <w:pPr>
              <w:rPr>
                <w:rFonts w:cstheme="minorHAnsi"/>
                <w:sz w:val="20"/>
                <w:szCs w:val="20"/>
              </w:rPr>
            </w:pPr>
          </w:p>
        </w:tc>
      </w:tr>
      <w:tr w:rsidR="001271F8" w:rsidRPr="00B25605" w14:paraId="5F5D562B" w14:textId="6946B71E" w:rsidTr="007C3074">
        <w:tc>
          <w:tcPr>
            <w:tcW w:w="1281" w:type="dxa"/>
          </w:tcPr>
          <w:p w14:paraId="09F50A62" w14:textId="63456423" w:rsidR="001271F8" w:rsidRPr="00B25605" w:rsidRDefault="001271F8" w:rsidP="006C1FCE">
            <w:pPr>
              <w:rPr>
                <w:rFonts w:cstheme="minorHAnsi"/>
                <w:sz w:val="20"/>
                <w:szCs w:val="20"/>
              </w:rPr>
            </w:pPr>
            <w:r w:rsidRPr="00B25605">
              <w:rPr>
                <w:rFonts w:cstheme="minorHAnsi"/>
                <w:sz w:val="20"/>
                <w:szCs w:val="20"/>
              </w:rPr>
              <w:t>ESRI</w:t>
            </w:r>
          </w:p>
        </w:tc>
        <w:tc>
          <w:tcPr>
            <w:tcW w:w="4744" w:type="dxa"/>
          </w:tcPr>
          <w:p w14:paraId="189BF9B1" w14:textId="5CAD89FF" w:rsidR="001271F8" w:rsidRPr="00B25605" w:rsidRDefault="001271F8" w:rsidP="006C1FCE">
            <w:pPr>
              <w:rPr>
                <w:rFonts w:cstheme="minorHAnsi"/>
                <w:sz w:val="20"/>
                <w:szCs w:val="20"/>
              </w:rPr>
            </w:pPr>
            <w:r w:rsidRPr="00B25605">
              <w:rPr>
                <w:rFonts w:cstheme="minorHAnsi"/>
                <w:sz w:val="20"/>
                <w:szCs w:val="20"/>
              </w:rPr>
              <w:t>Esri, a commercial source of population data, “is the global market leader in geographic information system (GIS) software, location intelligence, and mapping.” Along with an array of GIS/mapping products, they produce population estimates, including detailed estimates, for example by race/ethnicity, sex, and age at the census tract level.  Some data are available publicly (?), some along with licenses for Esri GIS products, and some by direct purchase.</w:t>
            </w:r>
          </w:p>
        </w:tc>
        <w:tc>
          <w:tcPr>
            <w:tcW w:w="2070" w:type="dxa"/>
          </w:tcPr>
          <w:p w14:paraId="32C6B599" w14:textId="73E3FAB3" w:rsidR="001271F8" w:rsidRPr="00B25605" w:rsidRDefault="001271F8" w:rsidP="006C1FCE">
            <w:pPr>
              <w:rPr>
                <w:rFonts w:cstheme="minorHAnsi"/>
                <w:sz w:val="20"/>
                <w:szCs w:val="20"/>
              </w:rPr>
            </w:pPr>
            <w:r w:rsidRPr="00B25605">
              <w:rPr>
                <w:rFonts w:cstheme="minorHAnsi"/>
                <w:sz w:val="20"/>
                <w:szCs w:val="20"/>
              </w:rPr>
              <w:t>Age group (5 year) by sex by race/ethnicity (not OBS standard) available at multiple geographic level (city, zip code, county subdivisions, block groups, census tracts)</w:t>
            </w:r>
          </w:p>
        </w:tc>
        <w:tc>
          <w:tcPr>
            <w:tcW w:w="5400" w:type="dxa"/>
          </w:tcPr>
          <w:p w14:paraId="1344D1F8" w14:textId="77777777" w:rsidR="001271F8" w:rsidRPr="00B25605" w:rsidRDefault="002632F9" w:rsidP="006C1FCE">
            <w:pPr>
              <w:numPr>
                <w:ilvl w:val="0"/>
                <w:numId w:val="6"/>
              </w:numPr>
              <w:spacing w:line="276" w:lineRule="auto"/>
              <w:contextualSpacing/>
              <w:rPr>
                <w:rFonts w:cstheme="minorHAnsi"/>
                <w:sz w:val="20"/>
                <w:szCs w:val="20"/>
              </w:rPr>
            </w:pPr>
            <w:hyperlink r:id="rId23" w:history="1">
              <w:r w:rsidR="001271F8" w:rsidRPr="00B25605">
                <w:rPr>
                  <w:rFonts w:cstheme="minorHAnsi"/>
                  <w:color w:val="0563C1" w:themeColor="hyperlink"/>
                  <w:sz w:val="20"/>
                  <w:szCs w:val="20"/>
                  <w:u w:val="single"/>
                </w:rPr>
                <w:t>2022/2027 ESRI updated demographics methodology</w:t>
              </w:r>
            </w:hyperlink>
          </w:p>
          <w:p w14:paraId="0C316E33" w14:textId="77777777" w:rsidR="001271F8" w:rsidRPr="00B25605" w:rsidRDefault="001271F8" w:rsidP="006C1FCE">
            <w:pPr>
              <w:rPr>
                <w:rFonts w:cstheme="minorHAnsi"/>
                <w:sz w:val="20"/>
                <w:szCs w:val="20"/>
              </w:rPr>
            </w:pPr>
          </w:p>
        </w:tc>
      </w:tr>
      <w:tr w:rsidR="001271F8" w:rsidRPr="00B25605" w14:paraId="453E64BC" w14:textId="6AAB0561" w:rsidTr="007C3074">
        <w:tc>
          <w:tcPr>
            <w:tcW w:w="1281" w:type="dxa"/>
          </w:tcPr>
          <w:p w14:paraId="1ABF9FF1" w14:textId="21B61BE1" w:rsidR="001271F8" w:rsidRPr="00B25605" w:rsidRDefault="001271F8" w:rsidP="006C1FCE">
            <w:pPr>
              <w:rPr>
                <w:rFonts w:cstheme="minorHAnsi"/>
                <w:sz w:val="20"/>
                <w:szCs w:val="20"/>
              </w:rPr>
            </w:pPr>
            <w:r w:rsidRPr="00B25605">
              <w:rPr>
                <w:rFonts w:cstheme="minorHAnsi"/>
                <w:sz w:val="20"/>
                <w:szCs w:val="20"/>
              </w:rPr>
              <w:t>Claritas</w:t>
            </w:r>
          </w:p>
        </w:tc>
        <w:tc>
          <w:tcPr>
            <w:tcW w:w="4744" w:type="dxa"/>
          </w:tcPr>
          <w:p w14:paraId="44679EBE" w14:textId="050DF56B" w:rsidR="001271F8" w:rsidRPr="00B25605" w:rsidRDefault="00801877" w:rsidP="006C1FCE">
            <w:pPr>
              <w:rPr>
                <w:rFonts w:cstheme="minorHAnsi"/>
                <w:sz w:val="20"/>
                <w:szCs w:val="20"/>
              </w:rPr>
            </w:pPr>
            <w:r>
              <w:rPr>
                <w:rFonts w:cstheme="minorHAnsi"/>
                <w:sz w:val="20"/>
                <w:szCs w:val="20"/>
              </w:rPr>
              <w:t>Commercial data source</w:t>
            </w:r>
            <w:r w:rsidR="00583875">
              <w:rPr>
                <w:rFonts w:cstheme="minorHAnsi"/>
                <w:sz w:val="20"/>
                <w:szCs w:val="20"/>
              </w:rPr>
              <w:t xml:space="preserve"> that might have needed population data. Used by some local health jurisdictions. More information is needed.</w:t>
            </w:r>
          </w:p>
        </w:tc>
        <w:tc>
          <w:tcPr>
            <w:tcW w:w="2070" w:type="dxa"/>
          </w:tcPr>
          <w:p w14:paraId="5641AFB8" w14:textId="6D52F888" w:rsidR="001271F8" w:rsidRPr="00B25605" w:rsidRDefault="003D4957" w:rsidP="006C1FCE">
            <w:pPr>
              <w:rPr>
                <w:rFonts w:cstheme="minorHAnsi"/>
                <w:sz w:val="20"/>
                <w:szCs w:val="20"/>
              </w:rPr>
            </w:pPr>
            <w:r>
              <w:rPr>
                <w:rFonts w:cstheme="minorHAnsi"/>
                <w:sz w:val="20"/>
                <w:szCs w:val="20"/>
              </w:rPr>
              <w:t>“</w:t>
            </w:r>
            <w:r w:rsidRPr="003D4957">
              <w:rPr>
                <w:rFonts w:cstheme="minorHAnsi"/>
                <w:sz w:val="20"/>
                <w:szCs w:val="20"/>
              </w:rPr>
              <w:t>Age, income, education, household composition, wealth, home ownership and more</w:t>
            </w:r>
            <w:r>
              <w:rPr>
                <w:rFonts w:cstheme="minorHAnsi"/>
                <w:sz w:val="20"/>
                <w:szCs w:val="20"/>
              </w:rPr>
              <w:t>”</w:t>
            </w:r>
          </w:p>
        </w:tc>
        <w:tc>
          <w:tcPr>
            <w:tcW w:w="5400" w:type="dxa"/>
          </w:tcPr>
          <w:p w14:paraId="30FF17BC" w14:textId="61C58EAF" w:rsidR="009D5FE8" w:rsidRPr="00B25605" w:rsidRDefault="002632F9" w:rsidP="009D5FE8">
            <w:pPr>
              <w:rPr>
                <w:rFonts w:cstheme="minorHAnsi"/>
                <w:sz w:val="20"/>
                <w:szCs w:val="20"/>
              </w:rPr>
            </w:pPr>
            <w:hyperlink r:id="rId24" w:history="1">
              <w:r w:rsidR="009D5FE8" w:rsidRPr="00B20773">
                <w:rPr>
                  <w:rStyle w:val="Hyperlink"/>
                  <w:rFonts w:cstheme="minorHAnsi"/>
                  <w:sz w:val="20"/>
                  <w:szCs w:val="20"/>
                </w:rPr>
                <w:t>https://claritas.com/data/</w:t>
              </w:r>
            </w:hyperlink>
          </w:p>
        </w:tc>
      </w:tr>
      <w:bookmarkEnd w:id="0"/>
    </w:tbl>
    <w:p w14:paraId="39C298E7" w14:textId="77777777" w:rsidR="00892066" w:rsidRDefault="00892066" w:rsidP="007269D4">
      <w:pPr>
        <w:spacing w:after="0"/>
      </w:pPr>
    </w:p>
    <w:sectPr w:rsidR="00892066" w:rsidSect="0089206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F3C"/>
    <w:multiLevelType w:val="hybridMultilevel"/>
    <w:tmpl w:val="4992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D4546"/>
    <w:multiLevelType w:val="hybridMultilevel"/>
    <w:tmpl w:val="8EEA4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D7A02"/>
    <w:multiLevelType w:val="hybridMultilevel"/>
    <w:tmpl w:val="E3E20968"/>
    <w:lvl w:ilvl="0" w:tplc="26FE3218">
      <w:start w:val="1"/>
      <w:numFmt w:val="bullet"/>
      <w:lvlText w:val="•"/>
      <w:lvlJc w:val="left"/>
      <w:pPr>
        <w:tabs>
          <w:tab w:val="num" w:pos="720"/>
        </w:tabs>
        <w:ind w:left="720" w:hanging="360"/>
      </w:pPr>
      <w:rPr>
        <w:rFonts w:ascii="Arial" w:hAnsi="Arial" w:hint="default"/>
      </w:rPr>
    </w:lvl>
    <w:lvl w:ilvl="1" w:tplc="3C249064">
      <w:numFmt w:val="bullet"/>
      <w:lvlText w:val="•"/>
      <w:lvlJc w:val="left"/>
      <w:pPr>
        <w:tabs>
          <w:tab w:val="num" w:pos="1440"/>
        </w:tabs>
        <w:ind w:left="1440" w:hanging="360"/>
      </w:pPr>
      <w:rPr>
        <w:rFonts w:ascii="Arial" w:hAnsi="Arial" w:hint="default"/>
      </w:rPr>
    </w:lvl>
    <w:lvl w:ilvl="2" w:tplc="D1C28846" w:tentative="1">
      <w:start w:val="1"/>
      <w:numFmt w:val="bullet"/>
      <w:lvlText w:val="•"/>
      <w:lvlJc w:val="left"/>
      <w:pPr>
        <w:tabs>
          <w:tab w:val="num" w:pos="2160"/>
        </w:tabs>
        <w:ind w:left="2160" w:hanging="360"/>
      </w:pPr>
      <w:rPr>
        <w:rFonts w:ascii="Arial" w:hAnsi="Arial" w:hint="default"/>
      </w:rPr>
    </w:lvl>
    <w:lvl w:ilvl="3" w:tplc="67F226DE" w:tentative="1">
      <w:start w:val="1"/>
      <w:numFmt w:val="bullet"/>
      <w:lvlText w:val="•"/>
      <w:lvlJc w:val="left"/>
      <w:pPr>
        <w:tabs>
          <w:tab w:val="num" w:pos="2880"/>
        </w:tabs>
        <w:ind w:left="2880" w:hanging="360"/>
      </w:pPr>
      <w:rPr>
        <w:rFonts w:ascii="Arial" w:hAnsi="Arial" w:hint="default"/>
      </w:rPr>
    </w:lvl>
    <w:lvl w:ilvl="4" w:tplc="8F6CA3C8" w:tentative="1">
      <w:start w:val="1"/>
      <w:numFmt w:val="bullet"/>
      <w:lvlText w:val="•"/>
      <w:lvlJc w:val="left"/>
      <w:pPr>
        <w:tabs>
          <w:tab w:val="num" w:pos="3600"/>
        </w:tabs>
        <w:ind w:left="3600" w:hanging="360"/>
      </w:pPr>
      <w:rPr>
        <w:rFonts w:ascii="Arial" w:hAnsi="Arial" w:hint="default"/>
      </w:rPr>
    </w:lvl>
    <w:lvl w:ilvl="5" w:tplc="B73AAC74" w:tentative="1">
      <w:start w:val="1"/>
      <w:numFmt w:val="bullet"/>
      <w:lvlText w:val="•"/>
      <w:lvlJc w:val="left"/>
      <w:pPr>
        <w:tabs>
          <w:tab w:val="num" w:pos="4320"/>
        </w:tabs>
        <w:ind w:left="4320" w:hanging="360"/>
      </w:pPr>
      <w:rPr>
        <w:rFonts w:ascii="Arial" w:hAnsi="Arial" w:hint="default"/>
      </w:rPr>
    </w:lvl>
    <w:lvl w:ilvl="6" w:tplc="8848BDB6" w:tentative="1">
      <w:start w:val="1"/>
      <w:numFmt w:val="bullet"/>
      <w:lvlText w:val="•"/>
      <w:lvlJc w:val="left"/>
      <w:pPr>
        <w:tabs>
          <w:tab w:val="num" w:pos="5040"/>
        </w:tabs>
        <w:ind w:left="5040" w:hanging="360"/>
      </w:pPr>
      <w:rPr>
        <w:rFonts w:ascii="Arial" w:hAnsi="Arial" w:hint="default"/>
      </w:rPr>
    </w:lvl>
    <w:lvl w:ilvl="7" w:tplc="96EAFE22" w:tentative="1">
      <w:start w:val="1"/>
      <w:numFmt w:val="bullet"/>
      <w:lvlText w:val="•"/>
      <w:lvlJc w:val="left"/>
      <w:pPr>
        <w:tabs>
          <w:tab w:val="num" w:pos="5760"/>
        </w:tabs>
        <w:ind w:left="5760" w:hanging="360"/>
      </w:pPr>
      <w:rPr>
        <w:rFonts w:ascii="Arial" w:hAnsi="Arial" w:hint="default"/>
      </w:rPr>
    </w:lvl>
    <w:lvl w:ilvl="8" w:tplc="1494F9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566BA2"/>
    <w:multiLevelType w:val="hybridMultilevel"/>
    <w:tmpl w:val="0090F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BE3599"/>
    <w:multiLevelType w:val="hybridMultilevel"/>
    <w:tmpl w:val="C3EA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00465"/>
    <w:multiLevelType w:val="hybridMultilevel"/>
    <w:tmpl w:val="5BF081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A765CD"/>
    <w:multiLevelType w:val="hybridMultilevel"/>
    <w:tmpl w:val="4A34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76F97"/>
    <w:multiLevelType w:val="hybridMultilevel"/>
    <w:tmpl w:val="A93AA5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5EB3B0F"/>
    <w:multiLevelType w:val="hybridMultilevel"/>
    <w:tmpl w:val="B43CCE6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045B45"/>
    <w:multiLevelType w:val="hybridMultilevel"/>
    <w:tmpl w:val="3CB2C744"/>
    <w:lvl w:ilvl="0" w:tplc="F03A62E8">
      <w:start w:val="1"/>
      <w:numFmt w:val="bullet"/>
      <w:lvlText w:val="•"/>
      <w:lvlJc w:val="left"/>
      <w:pPr>
        <w:tabs>
          <w:tab w:val="num" w:pos="720"/>
        </w:tabs>
        <w:ind w:left="720" w:hanging="360"/>
      </w:pPr>
      <w:rPr>
        <w:rFonts w:ascii="Arial" w:hAnsi="Arial" w:hint="default"/>
      </w:rPr>
    </w:lvl>
    <w:lvl w:ilvl="1" w:tplc="FA86A452">
      <w:numFmt w:val="bullet"/>
      <w:lvlText w:val="•"/>
      <w:lvlJc w:val="left"/>
      <w:pPr>
        <w:tabs>
          <w:tab w:val="num" w:pos="1440"/>
        </w:tabs>
        <w:ind w:left="1440" w:hanging="360"/>
      </w:pPr>
      <w:rPr>
        <w:rFonts w:ascii="Arial" w:hAnsi="Arial" w:hint="default"/>
      </w:rPr>
    </w:lvl>
    <w:lvl w:ilvl="2" w:tplc="45D684B0">
      <w:start w:val="1"/>
      <w:numFmt w:val="bullet"/>
      <w:lvlText w:val="•"/>
      <w:lvlJc w:val="left"/>
      <w:pPr>
        <w:tabs>
          <w:tab w:val="num" w:pos="2160"/>
        </w:tabs>
        <w:ind w:left="2160" w:hanging="360"/>
      </w:pPr>
      <w:rPr>
        <w:rFonts w:ascii="Arial" w:hAnsi="Arial" w:hint="default"/>
      </w:rPr>
    </w:lvl>
    <w:lvl w:ilvl="3" w:tplc="CA5CAEA2" w:tentative="1">
      <w:start w:val="1"/>
      <w:numFmt w:val="bullet"/>
      <w:lvlText w:val="•"/>
      <w:lvlJc w:val="left"/>
      <w:pPr>
        <w:tabs>
          <w:tab w:val="num" w:pos="2880"/>
        </w:tabs>
        <w:ind w:left="2880" w:hanging="360"/>
      </w:pPr>
      <w:rPr>
        <w:rFonts w:ascii="Arial" w:hAnsi="Arial" w:hint="default"/>
      </w:rPr>
    </w:lvl>
    <w:lvl w:ilvl="4" w:tplc="0058735A" w:tentative="1">
      <w:start w:val="1"/>
      <w:numFmt w:val="bullet"/>
      <w:lvlText w:val="•"/>
      <w:lvlJc w:val="left"/>
      <w:pPr>
        <w:tabs>
          <w:tab w:val="num" w:pos="3600"/>
        </w:tabs>
        <w:ind w:left="3600" w:hanging="360"/>
      </w:pPr>
      <w:rPr>
        <w:rFonts w:ascii="Arial" w:hAnsi="Arial" w:hint="default"/>
      </w:rPr>
    </w:lvl>
    <w:lvl w:ilvl="5" w:tplc="A82AD648" w:tentative="1">
      <w:start w:val="1"/>
      <w:numFmt w:val="bullet"/>
      <w:lvlText w:val="•"/>
      <w:lvlJc w:val="left"/>
      <w:pPr>
        <w:tabs>
          <w:tab w:val="num" w:pos="4320"/>
        </w:tabs>
        <w:ind w:left="4320" w:hanging="360"/>
      </w:pPr>
      <w:rPr>
        <w:rFonts w:ascii="Arial" w:hAnsi="Arial" w:hint="default"/>
      </w:rPr>
    </w:lvl>
    <w:lvl w:ilvl="6" w:tplc="03CCF432" w:tentative="1">
      <w:start w:val="1"/>
      <w:numFmt w:val="bullet"/>
      <w:lvlText w:val="•"/>
      <w:lvlJc w:val="left"/>
      <w:pPr>
        <w:tabs>
          <w:tab w:val="num" w:pos="5040"/>
        </w:tabs>
        <w:ind w:left="5040" w:hanging="360"/>
      </w:pPr>
      <w:rPr>
        <w:rFonts w:ascii="Arial" w:hAnsi="Arial" w:hint="default"/>
      </w:rPr>
    </w:lvl>
    <w:lvl w:ilvl="7" w:tplc="CFB00E50" w:tentative="1">
      <w:start w:val="1"/>
      <w:numFmt w:val="bullet"/>
      <w:lvlText w:val="•"/>
      <w:lvlJc w:val="left"/>
      <w:pPr>
        <w:tabs>
          <w:tab w:val="num" w:pos="5760"/>
        </w:tabs>
        <w:ind w:left="5760" w:hanging="360"/>
      </w:pPr>
      <w:rPr>
        <w:rFonts w:ascii="Arial" w:hAnsi="Arial" w:hint="default"/>
      </w:rPr>
    </w:lvl>
    <w:lvl w:ilvl="8" w:tplc="58E8476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3206CA2"/>
    <w:multiLevelType w:val="hybridMultilevel"/>
    <w:tmpl w:val="C08ADE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1"/>
  </w:num>
  <w:num w:numId="5">
    <w:abstractNumId w:val="10"/>
  </w:num>
  <w:num w:numId="6">
    <w:abstractNumId w:val="8"/>
  </w:num>
  <w:num w:numId="7">
    <w:abstractNumId w:val="3"/>
  </w:num>
  <w:num w:numId="8">
    <w:abstractNumId w:val="6"/>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0C"/>
    <w:rsid w:val="0001471E"/>
    <w:rsid w:val="00031674"/>
    <w:rsid w:val="00074018"/>
    <w:rsid w:val="000D5E4C"/>
    <w:rsid w:val="00104E79"/>
    <w:rsid w:val="001271F8"/>
    <w:rsid w:val="00177B71"/>
    <w:rsid w:val="001B4A3E"/>
    <w:rsid w:val="001F70A7"/>
    <w:rsid w:val="0021718B"/>
    <w:rsid w:val="00243251"/>
    <w:rsid w:val="002632F9"/>
    <w:rsid w:val="0036301B"/>
    <w:rsid w:val="00385AAC"/>
    <w:rsid w:val="003A1412"/>
    <w:rsid w:val="003D30AF"/>
    <w:rsid w:val="003D4957"/>
    <w:rsid w:val="003D7E97"/>
    <w:rsid w:val="003E0B03"/>
    <w:rsid w:val="003F0067"/>
    <w:rsid w:val="00405F6D"/>
    <w:rsid w:val="00464ADA"/>
    <w:rsid w:val="004740D7"/>
    <w:rsid w:val="004B05DF"/>
    <w:rsid w:val="004C20CB"/>
    <w:rsid w:val="005003D9"/>
    <w:rsid w:val="00505267"/>
    <w:rsid w:val="0053213F"/>
    <w:rsid w:val="005702E8"/>
    <w:rsid w:val="00575295"/>
    <w:rsid w:val="00583875"/>
    <w:rsid w:val="00584A3E"/>
    <w:rsid w:val="00595611"/>
    <w:rsid w:val="005F40FB"/>
    <w:rsid w:val="006417F3"/>
    <w:rsid w:val="006442D1"/>
    <w:rsid w:val="006B41C3"/>
    <w:rsid w:val="006C1FCE"/>
    <w:rsid w:val="006C2929"/>
    <w:rsid w:val="00710A00"/>
    <w:rsid w:val="0071113A"/>
    <w:rsid w:val="007147AC"/>
    <w:rsid w:val="00720969"/>
    <w:rsid w:val="007269D4"/>
    <w:rsid w:val="007516AE"/>
    <w:rsid w:val="007C3074"/>
    <w:rsid w:val="00801877"/>
    <w:rsid w:val="008219A8"/>
    <w:rsid w:val="00871E34"/>
    <w:rsid w:val="00887060"/>
    <w:rsid w:val="00891243"/>
    <w:rsid w:val="00892066"/>
    <w:rsid w:val="008C2EC7"/>
    <w:rsid w:val="008C7D9D"/>
    <w:rsid w:val="008F2B0C"/>
    <w:rsid w:val="00922170"/>
    <w:rsid w:val="0093044C"/>
    <w:rsid w:val="009317DB"/>
    <w:rsid w:val="0095778C"/>
    <w:rsid w:val="009D5FE8"/>
    <w:rsid w:val="00A21CCB"/>
    <w:rsid w:val="00A24CD1"/>
    <w:rsid w:val="00A427E8"/>
    <w:rsid w:val="00AE5263"/>
    <w:rsid w:val="00B14E88"/>
    <w:rsid w:val="00B25605"/>
    <w:rsid w:val="00B9507E"/>
    <w:rsid w:val="00BD6D7A"/>
    <w:rsid w:val="00C76F46"/>
    <w:rsid w:val="00C76F66"/>
    <w:rsid w:val="00C84695"/>
    <w:rsid w:val="00CA7A6D"/>
    <w:rsid w:val="00D47C48"/>
    <w:rsid w:val="00D563E3"/>
    <w:rsid w:val="00DA3781"/>
    <w:rsid w:val="00EC3858"/>
    <w:rsid w:val="00EC46A7"/>
    <w:rsid w:val="00EF0C67"/>
    <w:rsid w:val="00F2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68A7"/>
  <w15:chartTrackingRefBased/>
  <w15:docId w15:val="{75D1C503-3B84-4139-BC76-693D52CE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B0C"/>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8F2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8FE"/>
    <w:rPr>
      <w:color w:val="0563C1" w:themeColor="hyperlink"/>
      <w:u w:val="single"/>
    </w:rPr>
  </w:style>
  <w:style w:type="character" w:styleId="UnresolvedMention">
    <w:name w:val="Unresolved Mention"/>
    <w:basedOn w:val="DefaultParagraphFont"/>
    <w:uiPriority w:val="99"/>
    <w:semiHidden/>
    <w:unhideWhenUsed/>
    <w:rsid w:val="00F268FE"/>
    <w:rPr>
      <w:color w:val="605E5C"/>
      <w:shd w:val="clear" w:color="auto" w:fill="E1DFDD"/>
    </w:rPr>
  </w:style>
  <w:style w:type="character" w:styleId="FollowedHyperlink">
    <w:name w:val="FollowedHyperlink"/>
    <w:basedOn w:val="DefaultParagraphFont"/>
    <w:uiPriority w:val="99"/>
    <w:semiHidden/>
    <w:unhideWhenUsed/>
    <w:rsid w:val="00F268FE"/>
    <w:rPr>
      <w:color w:val="954F72" w:themeColor="followedHyperlink"/>
      <w:u w:val="single"/>
    </w:rPr>
  </w:style>
  <w:style w:type="character" w:styleId="CommentReference">
    <w:name w:val="annotation reference"/>
    <w:basedOn w:val="DefaultParagraphFont"/>
    <w:uiPriority w:val="99"/>
    <w:semiHidden/>
    <w:unhideWhenUsed/>
    <w:rsid w:val="00074018"/>
    <w:rPr>
      <w:sz w:val="16"/>
      <w:szCs w:val="16"/>
    </w:rPr>
  </w:style>
  <w:style w:type="paragraph" w:styleId="CommentText">
    <w:name w:val="annotation text"/>
    <w:basedOn w:val="Normal"/>
    <w:link w:val="CommentTextChar"/>
    <w:uiPriority w:val="99"/>
    <w:semiHidden/>
    <w:unhideWhenUsed/>
    <w:rsid w:val="00074018"/>
    <w:pPr>
      <w:spacing w:line="240" w:lineRule="auto"/>
    </w:pPr>
    <w:rPr>
      <w:sz w:val="20"/>
      <w:szCs w:val="20"/>
    </w:rPr>
  </w:style>
  <w:style w:type="character" w:customStyle="1" w:styleId="CommentTextChar">
    <w:name w:val="Comment Text Char"/>
    <w:basedOn w:val="DefaultParagraphFont"/>
    <w:link w:val="CommentText"/>
    <w:uiPriority w:val="99"/>
    <w:semiHidden/>
    <w:rsid w:val="00074018"/>
    <w:rPr>
      <w:sz w:val="20"/>
      <w:szCs w:val="20"/>
    </w:rPr>
  </w:style>
  <w:style w:type="paragraph" w:styleId="CommentSubject">
    <w:name w:val="annotation subject"/>
    <w:basedOn w:val="CommentText"/>
    <w:next w:val="CommentText"/>
    <w:link w:val="CommentSubjectChar"/>
    <w:uiPriority w:val="99"/>
    <w:semiHidden/>
    <w:unhideWhenUsed/>
    <w:rsid w:val="00074018"/>
    <w:rPr>
      <w:b/>
      <w:bCs/>
    </w:rPr>
  </w:style>
  <w:style w:type="character" w:customStyle="1" w:styleId="CommentSubjectChar">
    <w:name w:val="Comment Subject Char"/>
    <w:basedOn w:val="CommentTextChar"/>
    <w:link w:val="CommentSubject"/>
    <w:uiPriority w:val="99"/>
    <w:semiHidden/>
    <w:rsid w:val="000740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016581">
      <w:bodyDiv w:val="1"/>
      <w:marLeft w:val="0"/>
      <w:marRight w:val="0"/>
      <w:marTop w:val="0"/>
      <w:marBottom w:val="0"/>
      <w:divBdr>
        <w:top w:val="none" w:sz="0" w:space="0" w:color="auto"/>
        <w:left w:val="none" w:sz="0" w:space="0" w:color="auto"/>
        <w:bottom w:val="none" w:sz="0" w:space="0" w:color="auto"/>
        <w:right w:val="none" w:sz="0" w:space="0" w:color="auto"/>
      </w:divBdr>
      <w:divsChild>
        <w:div w:id="1365708893">
          <w:marLeft w:val="360"/>
          <w:marRight w:val="0"/>
          <w:marTop w:val="200"/>
          <w:marBottom w:val="0"/>
          <w:divBdr>
            <w:top w:val="none" w:sz="0" w:space="0" w:color="auto"/>
            <w:left w:val="none" w:sz="0" w:space="0" w:color="auto"/>
            <w:bottom w:val="none" w:sz="0" w:space="0" w:color="auto"/>
            <w:right w:val="none" w:sz="0" w:space="0" w:color="auto"/>
          </w:divBdr>
        </w:div>
        <w:div w:id="1259486287">
          <w:marLeft w:val="1080"/>
          <w:marRight w:val="0"/>
          <w:marTop w:val="100"/>
          <w:marBottom w:val="0"/>
          <w:divBdr>
            <w:top w:val="none" w:sz="0" w:space="0" w:color="auto"/>
            <w:left w:val="none" w:sz="0" w:space="0" w:color="auto"/>
            <w:bottom w:val="none" w:sz="0" w:space="0" w:color="auto"/>
            <w:right w:val="none" w:sz="0" w:space="0" w:color="auto"/>
          </w:divBdr>
        </w:div>
        <w:div w:id="1563371521">
          <w:marLeft w:val="360"/>
          <w:marRight w:val="0"/>
          <w:marTop w:val="200"/>
          <w:marBottom w:val="0"/>
          <w:divBdr>
            <w:top w:val="none" w:sz="0" w:space="0" w:color="auto"/>
            <w:left w:val="none" w:sz="0" w:space="0" w:color="auto"/>
            <w:bottom w:val="none" w:sz="0" w:space="0" w:color="auto"/>
            <w:right w:val="none" w:sz="0" w:space="0" w:color="auto"/>
          </w:divBdr>
        </w:div>
        <w:div w:id="824202167">
          <w:marLeft w:val="1080"/>
          <w:marRight w:val="0"/>
          <w:marTop w:val="100"/>
          <w:marBottom w:val="0"/>
          <w:divBdr>
            <w:top w:val="none" w:sz="0" w:space="0" w:color="auto"/>
            <w:left w:val="none" w:sz="0" w:space="0" w:color="auto"/>
            <w:bottom w:val="none" w:sz="0" w:space="0" w:color="auto"/>
            <w:right w:val="none" w:sz="0" w:space="0" w:color="auto"/>
          </w:divBdr>
        </w:div>
        <w:div w:id="299269663">
          <w:marLeft w:val="1080"/>
          <w:marRight w:val="0"/>
          <w:marTop w:val="100"/>
          <w:marBottom w:val="0"/>
          <w:divBdr>
            <w:top w:val="none" w:sz="0" w:space="0" w:color="auto"/>
            <w:left w:val="none" w:sz="0" w:space="0" w:color="auto"/>
            <w:bottom w:val="none" w:sz="0" w:space="0" w:color="auto"/>
            <w:right w:val="none" w:sz="0" w:space="0" w:color="auto"/>
          </w:divBdr>
        </w:div>
        <w:div w:id="1849559030">
          <w:marLeft w:val="1080"/>
          <w:marRight w:val="0"/>
          <w:marTop w:val="100"/>
          <w:marBottom w:val="0"/>
          <w:divBdr>
            <w:top w:val="none" w:sz="0" w:space="0" w:color="auto"/>
            <w:left w:val="none" w:sz="0" w:space="0" w:color="auto"/>
            <w:bottom w:val="none" w:sz="0" w:space="0" w:color="auto"/>
            <w:right w:val="none" w:sz="0" w:space="0" w:color="auto"/>
          </w:divBdr>
        </w:div>
        <w:div w:id="615600739">
          <w:marLeft w:val="1080"/>
          <w:marRight w:val="0"/>
          <w:marTop w:val="100"/>
          <w:marBottom w:val="0"/>
          <w:divBdr>
            <w:top w:val="none" w:sz="0" w:space="0" w:color="auto"/>
            <w:left w:val="none" w:sz="0" w:space="0" w:color="auto"/>
            <w:bottom w:val="none" w:sz="0" w:space="0" w:color="auto"/>
            <w:right w:val="none" w:sz="0" w:space="0" w:color="auto"/>
          </w:divBdr>
        </w:div>
        <w:div w:id="1422875470">
          <w:marLeft w:val="360"/>
          <w:marRight w:val="0"/>
          <w:marTop w:val="200"/>
          <w:marBottom w:val="0"/>
          <w:divBdr>
            <w:top w:val="none" w:sz="0" w:space="0" w:color="auto"/>
            <w:left w:val="none" w:sz="0" w:space="0" w:color="auto"/>
            <w:bottom w:val="none" w:sz="0" w:space="0" w:color="auto"/>
            <w:right w:val="none" w:sz="0" w:space="0" w:color="auto"/>
          </w:divBdr>
        </w:div>
        <w:div w:id="1425103263">
          <w:marLeft w:val="1080"/>
          <w:marRight w:val="0"/>
          <w:marTop w:val="100"/>
          <w:marBottom w:val="0"/>
          <w:divBdr>
            <w:top w:val="none" w:sz="0" w:space="0" w:color="auto"/>
            <w:left w:val="none" w:sz="0" w:space="0" w:color="auto"/>
            <w:bottom w:val="none" w:sz="0" w:space="0" w:color="auto"/>
            <w:right w:val="none" w:sz="0" w:space="0" w:color="auto"/>
          </w:divBdr>
        </w:div>
        <w:div w:id="1392383606">
          <w:marLeft w:val="360"/>
          <w:marRight w:val="0"/>
          <w:marTop w:val="200"/>
          <w:marBottom w:val="0"/>
          <w:divBdr>
            <w:top w:val="none" w:sz="0" w:space="0" w:color="auto"/>
            <w:left w:val="none" w:sz="0" w:space="0" w:color="auto"/>
            <w:bottom w:val="none" w:sz="0" w:space="0" w:color="auto"/>
            <w:right w:val="none" w:sz="0" w:space="0" w:color="auto"/>
          </w:divBdr>
        </w:div>
        <w:div w:id="1514373092">
          <w:marLeft w:val="1080"/>
          <w:marRight w:val="0"/>
          <w:marTop w:val="100"/>
          <w:marBottom w:val="0"/>
          <w:divBdr>
            <w:top w:val="none" w:sz="0" w:space="0" w:color="auto"/>
            <w:left w:val="none" w:sz="0" w:space="0" w:color="auto"/>
            <w:bottom w:val="none" w:sz="0" w:space="0" w:color="auto"/>
            <w:right w:val="none" w:sz="0" w:space="0" w:color="auto"/>
          </w:divBdr>
        </w:div>
        <w:div w:id="1374888527">
          <w:marLeft w:val="1080"/>
          <w:marRight w:val="0"/>
          <w:marTop w:val="100"/>
          <w:marBottom w:val="0"/>
          <w:divBdr>
            <w:top w:val="none" w:sz="0" w:space="0" w:color="auto"/>
            <w:left w:val="none" w:sz="0" w:space="0" w:color="auto"/>
            <w:bottom w:val="none" w:sz="0" w:space="0" w:color="auto"/>
            <w:right w:val="none" w:sz="0" w:space="0" w:color="auto"/>
          </w:divBdr>
        </w:div>
      </w:divsChild>
    </w:div>
    <w:div w:id="2119829724">
      <w:bodyDiv w:val="1"/>
      <w:marLeft w:val="0"/>
      <w:marRight w:val="0"/>
      <w:marTop w:val="0"/>
      <w:marBottom w:val="0"/>
      <w:divBdr>
        <w:top w:val="none" w:sz="0" w:space="0" w:color="auto"/>
        <w:left w:val="none" w:sz="0" w:space="0" w:color="auto"/>
        <w:bottom w:val="none" w:sz="0" w:space="0" w:color="auto"/>
        <w:right w:val="none" w:sz="0" w:space="0" w:color="auto"/>
      </w:divBdr>
      <w:divsChild>
        <w:div w:id="1290669843">
          <w:marLeft w:val="360"/>
          <w:marRight w:val="0"/>
          <w:marTop w:val="200"/>
          <w:marBottom w:val="0"/>
          <w:divBdr>
            <w:top w:val="none" w:sz="0" w:space="0" w:color="auto"/>
            <w:left w:val="none" w:sz="0" w:space="0" w:color="auto"/>
            <w:bottom w:val="none" w:sz="0" w:space="0" w:color="auto"/>
            <w:right w:val="none" w:sz="0" w:space="0" w:color="auto"/>
          </w:divBdr>
        </w:div>
        <w:div w:id="1595628296">
          <w:marLeft w:val="1080"/>
          <w:marRight w:val="0"/>
          <w:marTop w:val="100"/>
          <w:marBottom w:val="0"/>
          <w:divBdr>
            <w:top w:val="none" w:sz="0" w:space="0" w:color="auto"/>
            <w:left w:val="none" w:sz="0" w:space="0" w:color="auto"/>
            <w:bottom w:val="none" w:sz="0" w:space="0" w:color="auto"/>
            <w:right w:val="none" w:sz="0" w:space="0" w:color="auto"/>
          </w:divBdr>
        </w:div>
        <w:div w:id="1662125912">
          <w:marLeft w:val="1080"/>
          <w:marRight w:val="0"/>
          <w:marTop w:val="100"/>
          <w:marBottom w:val="0"/>
          <w:divBdr>
            <w:top w:val="none" w:sz="0" w:space="0" w:color="auto"/>
            <w:left w:val="none" w:sz="0" w:space="0" w:color="auto"/>
            <w:bottom w:val="none" w:sz="0" w:space="0" w:color="auto"/>
            <w:right w:val="none" w:sz="0" w:space="0" w:color="auto"/>
          </w:divBdr>
        </w:div>
        <w:div w:id="1403063290">
          <w:marLeft w:val="1080"/>
          <w:marRight w:val="0"/>
          <w:marTop w:val="100"/>
          <w:marBottom w:val="0"/>
          <w:divBdr>
            <w:top w:val="none" w:sz="0" w:space="0" w:color="auto"/>
            <w:left w:val="none" w:sz="0" w:space="0" w:color="auto"/>
            <w:bottom w:val="none" w:sz="0" w:space="0" w:color="auto"/>
            <w:right w:val="none" w:sz="0" w:space="0" w:color="auto"/>
          </w:divBdr>
        </w:div>
        <w:div w:id="1498111885">
          <w:marLeft w:val="360"/>
          <w:marRight w:val="0"/>
          <w:marTop w:val="200"/>
          <w:marBottom w:val="0"/>
          <w:divBdr>
            <w:top w:val="none" w:sz="0" w:space="0" w:color="auto"/>
            <w:left w:val="none" w:sz="0" w:space="0" w:color="auto"/>
            <w:bottom w:val="none" w:sz="0" w:space="0" w:color="auto"/>
            <w:right w:val="none" w:sz="0" w:space="0" w:color="auto"/>
          </w:divBdr>
        </w:div>
        <w:div w:id="863328332">
          <w:marLeft w:val="1080"/>
          <w:marRight w:val="0"/>
          <w:marTop w:val="100"/>
          <w:marBottom w:val="0"/>
          <w:divBdr>
            <w:top w:val="none" w:sz="0" w:space="0" w:color="auto"/>
            <w:left w:val="none" w:sz="0" w:space="0" w:color="auto"/>
            <w:bottom w:val="none" w:sz="0" w:space="0" w:color="auto"/>
            <w:right w:val="none" w:sz="0" w:space="0" w:color="auto"/>
          </w:divBdr>
        </w:div>
        <w:div w:id="1672680716">
          <w:marLeft w:val="1080"/>
          <w:marRight w:val="0"/>
          <w:marTop w:val="100"/>
          <w:marBottom w:val="0"/>
          <w:divBdr>
            <w:top w:val="none" w:sz="0" w:space="0" w:color="auto"/>
            <w:left w:val="none" w:sz="0" w:space="0" w:color="auto"/>
            <w:bottom w:val="none" w:sz="0" w:space="0" w:color="auto"/>
            <w:right w:val="none" w:sz="0" w:space="0" w:color="auto"/>
          </w:divBdr>
        </w:div>
        <w:div w:id="1909880302">
          <w:marLeft w:val="360"/>
          <w:marRight w:val="0"/>
          <w:marTop w:val="200"/>
          <w:marBottom w:val="0"/>
          <w:divBdr>
            <w:top w:val="none" w:sz="0" w:space="0" w:color="auto"/>
            <w:left w:val="none" w:sz="0" w:space="0" w:color="auto"/>
            <w:bottom w:val="none" w:sz="0" w:space="0" w:color="auto"/>
            <w:right w:val="none" w:sz="0" w:space="0" w:color="auto"/>
          </w:divBdr>
        </w:div>
        <w:div w:id="1278297658">
          <w:marLeft w:val="1080"/>
          <w:marRight w:val="0"/>
          <w:marTop w:val="100"/>
          <w:marBottom w:val="0"/>
          <w:divBdr>
            <w:top w:val="none" w:sz="0" w:space="0" w:color="auto"/>
            <w:left w:val="none" w:sz="0" w:space="0" w:color="auto"/>
            <w:bottom w:val="none" w:sz="0" w:space="0" w:color="auto"/>
            <w:right w:val="none" w:sz="0" w:space="0" w:color="auto"/>
          </w:divBdr>
        </w:div>
        <w:div w:id="249629799">
          <w:marLeft w:val="1080"/>
          <w:marRight w:val="0"/>
          <w:marTop w:val="100"/>
          <w:marBottom w:val="0"/>
          <w:divBdr>
            <w:top w:val="none" w:sz="0" w:space="0" w:color="auto"/>
            <w:left w:val="none" w:sz="0" w:space="0" w:color="auto"/>
            <w:bottom w:val="none" w:sz="0" w:space="0" w:color="auto"/>
            <w:right w:val="none" w:sz="0" w:space="0" w:color="auto"/>
          </w:divBdr>
        </w:div>
        <w:div w:id="24819582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ensus.gov/cedsci/table?q=p1" TargetMode="External"/><Relationship Id="rId13" Type="http://schemas.openxmlformats.org/officeDocument/2006/relationships/hyperlink" Target="https://www.census.gov/programs-surveys/popest/data/tables.html" TargetMode="External"/><Relationship Id="rId18" Type="http://schemas.openxmlformats.org/officeDocument/2006/relationships/hyperlink" Target="https://www.census.gov/content/dam/Census/programs-surveys/acs/about/ACS_Information_Guid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eer.cancer.gov/popdata/" TargetMode="External"/><Relationship Id="rId7" Type="http://schemas.openxmlformats.org/officeDocument/2006/relationships/hyperlink" Target="https://dof.ca.gov/forecasting/demographics/estimates/" TargetMode="External"/><Relationship Id="rId12" Type="http://schemas.openxmlformats.org/officeDocument/2006/relationships/hyperlink" Target="https://www.census.gov/programs-surveys/decennial-census/decade/2020/planning-management/release/about-2020-data-products.html" TargetMode="External"/><Relationship Id="rId17" Type="http://schemas.openxmlformats.org/officeDocument/2006/relationships/hyperlink" Target="https://www.census.gov/programs-surveys/acs/methodology.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census.gov/cedsci/table?q=B03002%3A%20HISPANIC%20OR%20LATINO%20ORIGIN%20BY%20RACE&amp;g=0400000US06&amp;tid=ACSDT1Y2021.B03002" TargetMode="External"/><Relationship Id="rId20" Type="http://schemas.openxmlformats.org/officeDocument/2006/relationships/hyperlink" Target="https://seer.cancer.gov/censustract-pops/" TargetMode="External"/><Relationship Id="rId1" Type="http://schemas.openxmlformats.org/officeDocument/2006/relationships/customXml" Target="../customXml/item1.xml"/><Relationship Id="rId6" Type="http://schemas.openxmlformats.org/officeDocument/2006/relationships/hyperlink" Target="https://dof.ca.gov/forecasting/demographics/projections/" TargetMode="External"/><Relationship Id="rId11" Type="http://schemas.openxmlformats.org/officeDocument/2006/relationships/hyperlink" Target="https://www.census.gov/programs-surveys/decennial-census/decade/2020/planning-management/release/about-2020-data-products.html" TargetMode="External"/><Relationship Id="rId24" Type="http://schemas.openxmlformats.org/officeDocument/2006/relationships/hyperlink" Target="https://claritas.com/data/" TargetMode="External"/><Relationship Id="rId5" Type="http://schemas.openxmlformats.org/officeDocument/2006/relationships/webSettings" Target="webSettings.xml"/><Relationship Id="rId15" Type="http://schemas.openxmlformats.org/officeDocument/2006/relationships/hyperlink" Target="https://data.census.gov/cedsci/table?q=B01001%3A%20SEX%20BY%20AGE&amp;g=0400000US06&amp;tid=ACSDT5Y2020.B01001" TargetMode="External"/><Relationship Id="rId23" Type="http://schemas.openxmlformats.org/officeDocument/2006/relationships/hyperlink" Target="https://storymaps.arcgis.com/stories/dd6c5388d48c448798613778644a1eaa" TargetMode="External"/><Relationship Id="rId10" Type="http://schemas.openxmlformats.org/officeDocument/2006/relationships/hyperlink" Target="https://www2.census.gov/programs-surveys/decennial/2020/technical-documentation/complete-tech-docs/summary-file/2020Census_PL94_171Redistricting_NationalTechDoc.pdf" TargetMode="External"/><Relationship Id="rId19" Type="http://schemas.openxmlformats.org/officeDocument/2006/relationships/hyperlink" Target="https://data.census.gov/mdat/" TargetMode="External"/><Relationship Id="rId4" Type="http://schemas.openxmlformats.org/officeDocument/2006/relationships/settings" Target="settings.xml"/><Relationship Id="rId9" Type="http://schemas.openxmlformats.org/officeDocument/2006/relationships/hyperlink" Target="https://data.census.gov/cedsci/table?q=p2" TargetMode="External"/><Relationship Id="rId14" Type="http://schemas.openxmlformats.org/officeDocument/2006/relationships/hyperlink" Target="https://www.census.gov/data/tables/time-series/demo/popest/2010s-counties-detail.html" TargetMode="External"/><Relationship Id="rId22" Type="http://schemas.openxmlformats.org/officeDocument/2006/relationships/hyperlink" Target="https://seer.cancer.gov/data-software/data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260F7-05A6-48AD-A2CC-EAF191607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Michael@CDPH</dc:creator>
  <cp:keywords/>
  <dc:description/>
  <cp:lastModifiedBy>Samuel, Michael@CDPH</cp:lastModifiedBy>
  <cp:revision>57</cp:revision>
  <dcterms:created xsi:type="dcterms:W3CDTF">2022-10-13T22:06:00Z</dcterms:created>
  <dcterms:modified xsi:type="dcterms:W3CDTF">2022-10-14T21:07:00Z</dcterms:modified>
</cp:coreProperties>
</file>