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84"/>
        </w:rPr>
        <w:t>ARGUS</w:t>
      </w:r>
    </w:p>
    <w:p>
      <w:pPr>
        <w:jc w:val="center"/>
      </w:pPr>
      <w:r>
        <w:rPr>
          <w:color w:val="2563EB"/>
          <w:sz w:val="38"/>
        </w:rPr>
        <w:t>UniFi Infrastructure Watchtower</w:t>
      </w:r>
    </w:p>
    <w:p>
      <w:pPr>
        <w:spacing w:before="500"/>
        <w:jc w:val="center"/>
      </w:pPr>
      <w:r>
        <w:rPr>
          <w:b/>
          <w:sz w:val="40"/>
        </w:rPr>
        <w:t>Architecture &amp; Functional Specification v1.0</w:t>
      </w:r>
    </w:p>
    <w:p>
      <w:pPr>
        <w:jc w:val="center"/>
      </w:pPr>
      <w:r>
        <w:rPr>
          <w:color w:val="475569"/>
          <w:sz w:val="22"/>
        </w:rPr>
        <w:t>Monitoring, health, VPN/WAN observability, configuration summaries, incident management and NOC wallboard</w:t>
      </w:r>
    </w:p>
    <w:p>
      <w:r>
        <w:br/>
      </w:r>
    </w:p>
    <w:p>
      <w:pPr>
        <w:jc w:val="center"/>
      </w:pPr>
      <w:r>
        <w:drawing>
          <wp:inline xmlns:a="http://schemas.openxmlformats.org/drawingml/2006/main" xmlns:pic="http://schemas.openxmlformats.org/drawingml/2006/picture">
            <wp:extent cx="5760720" cy="1608712"/>
            <wp:docPr id="1" name="Picture 1"/>
            <wp:cNvGraphicFramePr>
              <a:graphicFrameLocks noChangeAspect="1"/>
            </wp:cNvGraphicFramePr>
            <a:graphic>
              <a:graphicData uri="http://schemas.openxmlformats.org/drawingml/2006/picture">
                <pic:pic>
                  <pic:nvPicPr>
                    <pic:cNvPr id="0" name="D01_system_context.png"/>
                    <pic:cNvPicPr/>
                  </pic:nvPicPr>
                  <pic:blipFill>
                    <a:blip r:embed="rId11"/>
                    <a:stretch>
                      <a:fillRect/>
                    </a:stretch>
                  </pic:blipFill>
                  <pic:spPr>
                    <a:xfrm>
                      <a:off x="0" y="0"/>
                      <a:ext cx="5760720" cy="1608712"/>
                    </a:xfrm>
                    <a:prstGeom prst="rect"/>
                  </pic:spPr>
                </pic:pic>
              </a:graphicData>
            </a:graphic>
          </wp:inline>
        </w:drawing>
      </w:r>
    </w:p>
    <w:p>
      <w:pPr>
        <w:jc w:val="center"/>
      </w:pPr>
      <w:r>
        <w:rPr>
          <w:i/>
          <w:color w:val="64748B"/>
          <w:sz w:val="17"/>
        </w:rPr>
        <w:t>Conceptual system context</w:t>
      </w:r>
    </w:p>
    <w:p>
      <w:pPr>
        <w:jc w:val="center"/>
      </w:pPr>
      <w:r>
        <w:rPr>
          <w:b/>
          <w:sz w:val="20"/>
        </w:rPr>
        <w:t>Target platform: Ubuntu Server 26.04 on AWS  |  Public URL: argus.mca-airports.com</w:t>
      </w:r>
    </w:p>
    <w:p>
      <w:pPr>
        <w:jc w:val="center"/>
      </w:pPr>
      <w:r>
        <w:rPr>
          <w:color w:val="64748B"/>
          <w:sz w:val="18"/>
        </w:rPr>
        <w:t>Primary visual constraint: NOC/Kiosk views must fit comfortably at 1920×1080 or lower without scrolling.</w:t>
      </w:r>
    </w:p>
    <w:p>
      <w:r>
        <w:br w:type="page"/>
      </w:r>
    </w:p>
    <w:p>
      <w:pPr>
        <w:pStyle w:val="Heading1"/>
        <w:spacing w:before="160" w:after="100"/>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880"/>
            <w:shd w:fill="0F172A"/>
          </w:tcPr>
          <w:p>
            <w:r/>
            <w:r>
              <w:rPr>
                <w:rFonts w:ascii="Aptos" w:hAnsi="Aptos"/>
                <w:b/>
                <w:color w:val="FFFFFF"/>
                <w:sz w:val="18"/>
              </w:rPr>
              <w:t>Field</w:t>
            </w:r>
          </w:p>
        </w:tc>
        <w:tc>
          <w:tcPr>
            <w:tcW w:type="dxa" w:w="6768"/>
            <w:shd w:fill="0F172A"/>
          </w:tcPr>
          <w:p>
            <w:r/>
            <w:r>
              <w:rPr>
                <w:rFonts w:ascii="Aptos" w:hAnsi="Aptos"/>
                <w:b/>
                <w:color w:val="FFFFFF"/>
                <w:sz w:val="18"/>
              </w:rPr>
              <w:t>Value</w:t>
            </w:r>
          </w:p>
        </w:tc>
      </w:tr>
      <w:tr>
        <w:tc>
          <w:tcPr>
            <w:tcW w:type="dxa" w:w="2880"/>
            <w:vAlign w:val="center"/>
          </w:tcPr>
          <w:p>
            <w:r/>
            <w:r>
              <w:rPr>
                <w:rFonts w:ascii="Aptos" w:hAnsi="Aptos"/>
                <w:b w:val="0"/>
                <w:color w:val="0F172A"/>
                <w:sz w:val="17"/>
              </w:rPr>
              <w:t>Document</w:t>
            </w:r>
          </w:p>
        </w:tc>
        <w:tc>
          <w:tcPr>
            <w:tcW w:type="dxa" w:w="6768"/>
            <w:vAlign w:val="center"/>
          </w:tcPr>
          <w:p>
            <w:r/>
            <w:r>
              <w:rPr>
                <w:rFonts w:ascii="Aptos" w:hAnsi="Aptos"/>
                <w:b w:val="0"/>
                <w:color w:val="0F172A"/>
                <w:sz w:val="17"/>
              </w:rPr>
              <w:t>ARGUS Architecture &amp; Functional Specification</w:t>
            </w:r>
          </w:p>
        </w:tc>
      </w:tr>
      <w:tr>
        <w:tc>
          <w:tcPr>
            <w:tcW w:type="dxa" w:w="2880"/>
            <w:vAlign w:val="center"/>
            <w:shd w:fill="F8FAFC"/>
          </w:tcPr>
          <w:p>
            <w:r/>
            <w:r>
              <w:rPr>
                <w:rFonts w:ascii="Aptos" w:hAnsi="Aptos"/>
                <w:b w:val="0"/>
                <w:color w:val="0F172A"/>
                <w:sz w:val="17"/>
              </w:rPr>
              <w:t>Version</w:t>
            </w:r>
          </w:p>
        </w:tc>
        <w:tc>
          <w:tcPr>
            <w:tcW w:type="dxa" w:w="6768"/>
            <w:vAlign w:val="center"/>
            <w:shd w:fill="F8FAFC"/>
          </w:tcPr>
          <w:p>
            <w:r/>
            <w:r>
              <w:rPr>
                <w:rFonts w:ascii="Aptos" w:hAnsi="Aptos"/>
                <w:b w:val="0"/>
                <w:color w:val="0F172A"/>
                <w:sz w:val="17"/>
              </w:rPr>
              <w:t>1.0 - Initial architecture baseline</w:t>
            </w:r>
          </w:p>
        </w:tc>
      </w:tr>
      <w:tr>
        <w:tc>
          <w:tcPr>
            <w:tcW w:type="dxa" w:w="2880"/>
            <w:vAlign w:val="center"/>
          </w:tcPr>
          <w:p>
            <w:r/>
            <w:r>
              <w:rPr>
                <w:rFonts w:ascii="Aptos" w:hAnsi="Aptos"/>
                <w:b w:val="0"/>
                <w:color w:val="0F172A"/>
                <w:sz w:val="17"/>
              </w:rPr>
              <w:t>Date</w:t>
            </w:r>
          </w:p>
        </w:tc>
        <w:tc>
          <w:tcPr>
            <w:tcW w:type="dxa" w:w="6768"/>
            <w:vAlign w:val="center"/>
          </w:tcPr>
          <w:p>
            <w:r/>
            <w:r>
              <w:rPr>
                <w:rFonts w:ascii="Aptos" w:hAnsi="Aptos"/>
                <w:b w:val="0"/>
                <w:color w:val="0F172A"/>
                <w:sz w:val="17"/>
              </w:rPr>
              <w:t>August 12, 2026</w:t>
            </w:r>
          </w:p>
        </w:tc>
      </w:tr>
      <w:tr>
        <w:tc>
          <w:tcPr>
            <w:tcW w:type="dxa" w:w="2880"/>
            <w:vAlign w:val="center"/>
            <w:shd w:fill="F8FAFC"/>
          </w:tcPr>
          <w:p>
            <w:r/>
            <w:r>
              <w:rPr>
                <w:rFonts w:ascii="Aptos" w:hAnsi="Aptos"/>
                <w:b w:val="0"/>
                <w:color w:val="0F172A"/>
                <w:sz w:val="17"/>
              </w:rPr>
              <w:t>Status</w:t>
            </w:r>
          </w:p>
        </w:tc>
        <w:tc>
          <w:tcPr>
            <w:tcW w:type="dxa" w:w="6768"/>
            <w:vAlign w:val="center"/>
            <w:shd w:fill="F8FAFC"/>
          </w:tcPr>
          <w:p>
            <w:r/>
            <w:r>
              <w:rPr>
                <w:rFonts w:ascii="Aptos" w:hAnsi="Aptos"/>
                <w:b w:val="0"/>
                <w:color w:val="0F172A"/>
                <w:sz w:val="17"/>
              </w:rPr>
              <w:t>Working specification / implementation baseline</w:t>
            </w:r>
          </w:p>
        </w:tc>
      </w:tr>
      <w:tr>
        <w:tc>
          <w:tcPr>
            <w:tcW w:type="dxa" w:w="2880"/>
            <w:vAlign w:val="center"/>
          </w:tcPr>
          <w:p>
            <w:r/>
            <w:r>
              <w:rPr>
                <w:rFonts w:ascii="Aptos" w:hAnsi="Aptos"/>
                <w:b w:val="0"/>
                <w:color w:val="0F172A"/>
                <w:sz w:val="17"/>
              </w:rPr>
              <w:t>Target scale</w:t>
            </w:r>
          </w:p>
        </w:tc>
        <w:tc>
          <w:tcPr>
            <w:tcW w:type="dxa" w:w="6768"/>
            <w:vAlign w:val="center"/>
          </w:tcPr>
          <w:p>
            <w:r/>
            <w:r>
              <w:rPr>
                <w:rFonts w:ascii="Aptos" w:hAnsi="Aptos"/>
                <w:b w:val="0"/>
                <w:color w:val="0F172A"/>
                <w:sz w:val="17"/>
              </w:rPr>
              <w:t>Approximately 100 UniFi installations at initial rollout</w:t>
            </w:r>
          </w:p>
        </w:tc>
      </w:tr>
      <w:tr>
        <w:tc>
          <w:tcPr>
            <w:tcW w:type="dxa" w:w="2880"/>
            <w:vAlign w:val="center"/>
            <w:shd w:fill="F8FAFC"/>
          </w:tcPr>
          <w:p>
            <w:r/>
            <w:r>
              <w:rPr>
                <w:rFonts w:ascii="Aptos" w:hAnsi="Aptos"/>
                <w:b w:val="0"/>
                <w:color w:val="0F172A"/>
                <w:sz w:val="17"/>
              </w:rPr>
              <w:t>Server</w:t>
            </w:r>
          </w:p>
        </w:tc>
        <w:tc>
          <w:tcPr>
            <w:tcW w:type="dxa" w:w="6768"/>
            <w:vAlign w:val="center"/>
            <w:shd w:fill="F8FAFC"/>
          </w:tcPr>
          <w:p>
            <w:r/>
            <w:r>
              <w:rPr>
                <w:rFonts w:ascii="Aptos" w:hAnsi="Aptos"/>
                <w:b w:val="0"/>
                <w:color w:val="0F172A"/>
                <w:sz w:val="17"/>
              </w:rPr>
              <w:t>AWS EC2 / Ubuntu Server 26.04</w:t>
            </w:r>
          </w:p>
        </w:tc>
      </w:tr>
      <w:tr>
        <w:tc>
          <w:tcPr>
            <w:tcW w:type="dxa" w:w="2880"/>
            <w:vAlign w:val="center"/>
          </w:tcPr>
          <w:p>
            <w:r/>
            <w:r>
              <w:rPr>
                <w:rFonts w:ascii="Aptos" w:hAnsi="Aptos"/>
                <w:b w:val="0"/>
                <w:color w:val="0F172A"/>
                <w:sz w:val="17"/>
              </w:rPr>
              <w:t>Primary URL</w:t>
            </w:r>
          </w:p>
        </w:tc>
        <w:tc>
          <w:tcPr>
            <w:tcW w:type="dxa" w:w="6768"/>
            <w:vAlign w:val="center"/>
          </w:tcPr>
          <w:p>
            <w:r/>
            <w:r>
              <w:rPr>
                <w:rFonts w:ascii="Aptos" w:hAnsi="Aptos"/>
                <w:b w:val="0"/>
                <w:color w:val="0F172A"/>
                <w:sz w:val="17"/>
              </w:rPr>
              <w:t>argus.mca-airports.com</w:t>
            </w:r>
          </w:p>
        </w:tc>
      </w:tr>
      <w:tr>
        <w:tc>
          <w:tcPr>
            <w:tcW w:type="dxa" w:w="2880"/>
            <w:vAlign w:val="center"/>
            <w:shd w:fill="F8FAFC"/>
          </w:tcPr>
          <w:p>
            <w:r/>
            <w:r>
              <w:rPr>
                <w:rFonts w:ascii="Aptos" w:hAnsi="Aptos"/>
                <w:b w:val="0"/>
                <w:color w:val="0F172A"/>
                <w:sz w:val="17"/>
              </w:rPr>
              <w:t>Client delivery</w:t>
            </w:r>
          </w:p>
        </w:tc>
        <w:tc>
          <w:tcPr>
            <w:tcW w:type="dxa" w:w="6768"/>
            <w:vAlign w:val="center"/>
            <w:shd w:fill="F8FAFC"/>
          </w:tcPr>
          <w:p>
            <w:r/>
            <w:r>
              <w:rPr>
                <w:rFonts w:ascii="Aptos" w:hAnsi="Aptos"/>
                <w:b w:val="0"/>
                <w:color w:val="0F172A"/>
                <w:sz w:val="17"/>
              </w:rPr>
              <w:t>MCA-Secure-Downloads-install</w:t>
            </w:r>
          </w:p>
        </w:tc>
      </w:tr>
      <w:tr>
        <w:tc>
          <w:tcPr>
            <w:tcW w:type="dxa" w:w="2880"/>
            <w:vAlign w:val="center"/>
          </w:tcPr>
          <w:p>
            <w:r/>
            <w:r>
              <w:rPr>
                <w:rFonts w:ascii="Aptos" w:hAnsi="Aptos"/>
                <w:b w:val="0"/>
                <w:color w:val="0F172A"/>
                <w:sz w:val="17"/>
              </w:rPr>
              <w:t>Design posture</w:t>
            </w:r>
          </w:p>
        </w:tc>
        <w:tc>
          <w:tcPr>
            <w:tcW w:type="dxa" w:w="6768"/>
            <w:vAlign w:val="center"/>
          </w:tcPr>
          <w:p>
            <w:r/>
            <w:r>
              <w:rPr>
                <w:rFonts w:ascii="Aptos" w:hAnsi="Aptos"/>
                <w:b w:val="0"/>
                <w:color w:val="0F172A"/>
                <w:sz w:val="17"/>
              </w:rPr>
              <w:t>Read-only observability of UniFi; outbound-only agents</w:t>
            </w:r>
          </w:p>
        </w:tc>
      </w:tr>
    </w:tbl>
    <w:p/>
    <w:tbl>
      <w:tblPr>
        <w:tblStyle w:val="TableGrid"/>
        <w:tblW w:type="auto" w:w="0"/>
        <w:tblLook w:firstColumn="1" w:firstRow="1" w:lastColumn="0" w:lastRow="0" w:noHBand="0" w:noVBand="1" w:val="04A0"/>
      </w:tblPr>
      <w:tblGrid>
        <w:gridCol w:w="10224"/>
      </w:tblGrid>
      <w:tr>
        <w:tc>
          <w:tcPr>
            <w:tcW w:type="dxa" w:w="10224"/>
            <w:shd w:fill="DCFCE7"/>
          </w:tcPr>
          <w:p>
            <w:r/>
            <w:r>
              <w:rPr>
                <w:b/>
                <w:color w:val="0F172A"/>
                <w:sz w:val="20"/>
              </w:rPr>
              <w:t>Core design statement</w:t>
              <w:br/>
            </w:r>
            <w:r>
              <w:rPr>
                <w:color w:val="334155"/>
                <w:sz w:val="18"/>
              </w:rPr>
              <w:t>ARGUS observes UniFi. It does not replace Site Manager and it does not make configuration changes to Network or Protect in V1. The system is designed to answer, quickly and visually: Where is the problem? What is failing? Since when? What is affected?</w:t>
            </w:r>
          </w:p>
        </w:tc>
      </w:tr>
    </w:tbl>
    <w:p/>
    <w:p>
      <w:pPr>
        <w:pStyle w:val="Heading1"/>
        <w:spacing w:before="160" w:after="100"/>
      </w:pPr>
      <w:r>
        <w:t>Contents</w:t>
      </w:r>
    </w:p>
    <w:tbl>
      <w:tblPr>
        <w:tblW w:type="auto" w:w="0"/>
        <w:jc w:val="center"/>
        <w:tblLook w:firstColumn="1" w:firstRow="1" w:lastColumn="0" w:lastRow="0" w:noHBand="0" w:noVBand="1" w:val="04A0"/>
      </w:tblPr>
      <w:tblGrid>
        <w:gridCol w:w="5112"/>
        <w:gridCol w:w="5112"/>
      </w:tblGrid>
      <w:tr>
        <w:tc>
          <w:tcPr>
            <w:tcW w:type="dxa" w:w="5112"/>
            <w:tcBorders>
              <w:top w:val="nil"/>
              <w:left w:val="nil"/>
              <w:bottom w:val="nil"/>
              <w:right w:val="nil"/>
              <w:insideH w:val="nil"/>
              <w:insideV w:val="nil"/>
            </w:tcBorders>
          </w:tcPr>
          <w:p>
            <w:r/>
            <w:r>
              <w:rPr>
                <w:color w:val="334155"/>
                <w:sz w:val="17"/>
              </w:rPr>
              <w:t>1. Executive Summary</w:t>
            </w:r>
          </w:p>
        </w:tc>
        <w:tc>
          <w:tcPr>
            <w:tcW w:type="dxa" w:w="5112"/>
            <w:tcBorders>
              <w:top w:val="nil"/>
              <w:left w:val="nil"/>
              <w:bottom w:val="nil"/>
              <w:right w:val="nil"/>
              <w:insideH w:val="nil"/>
              <w:insideV w:val="nil"/>
            </w:tcBorders>
          </w:tcPr>
          <w:p>
            <w:r/>
            <w:r>
              <w:rPr>
                <w:color w:val="334155"/>
                <w:sz w:val="17"/>
              </w:rPr>
              <w:t>15. Backend/API Architecture</w:t>
            </w:r>
          </w:p>
        </w:tc>
      </w:tr>
      <w:tr>
        <w:tc>
          <w:tcPr>
            <w:tcW w:type="dxa" w:w="5112"/>
            <w:tcBorders>
              <w:top w:val="nil"/>
              <w:left w:val="nil"/>
              <w:bottom w:val="nil"/>
              <w:right w:val="nil"/>
              <w:insideH w:val="nil"/>
              <w:insideV w:val="nil"/>
            </w:tcBorders>
          </w:tcPr>
          <w:p>
            <w:r/>
            <w:r>
              <w:rPr>
                <w:color w:val="334155"/>
                <w:sz w:val="17"/>
              </w:rPr>
              <w:t>2. Scope and Design Principles</w:t>
            </w:r>
          </w:p>
        </w:tc>
        <w:tc>
          <w:tcPr>
            <w:tcW w:type="dxa" w:w="5112"/>
            <w:tcBorders>
              <w:top w:val="nil"/>
              <w:left w:val="nil"/>
              <w:bottom w:val="nil"/>
              <w:right w:val="nil"/>
              <w:insideH w:val="nil"/>
              <w:insideV w:val="nil"/>
            </w:tcBorders>
          </w:tcPr>
          <w:p>
            <w:r/>
            <w:r>
              <w:rPr>
                <w:color w:val="334155"/>
                <w:sz w:val="17"/>
              </w:rPr>
              <w:t>16. AWS Deployment and Operations</w:t>
            </w:r>
          </w:p>
        </w:tc>
      </w:tr>
      <w:tr>
        <w:tc>
          <w:tcPr>
            <w:tcW w:type="dxa" w:w="5112"/>
            <w:tcBorders>
              <w:top w:val="nil"/>
              <w:left w:val="nil"/>
              <w:bottom w:val="nil"/>
              <w:right w:val="nil"/>
              <w:insideH w:val="nil"/>
              <w:insideV w:val="nil"/>
            </w:tcBorders>
          </w:tcPr>
          <w:p>
            <w:r/>
            <w:r>
              <w:rPr>
                <w:color w:val="334155"/>
                <w:sz w:val="17"/>
              </w:rPr>
              <w:t>3. Functional Architecture</w:t>
            </w:r>
          </w:p>
        </w:tc>
        <w:tc>
          <w:tcPr>
            <w:tcW w:type="dxa" w:w="5112"/>
            <w:tcBorders>
              <w:top w:val="nil"/>
              <w:left w:val="nil"/>
              <w:bottom w:val="nil"/>
              <w:right w:val="nil"/>
              <w:insideH w:val="nil"/>
              <w:insideV w:val="nil"/>
            </w:tcBorders>
          </w:tcPr>
          <w:p>
            <w:r/>
            <w:r>
              <w:rPr>
                <w:color w:val="334155"/>
                <w:sz w:val="17"/>
              </w:rPr>
              <w:t>17. Agent Distribution and Updates</w:t>
            </w:r>
          </w:p>
        </w:tc>
      </w:tr>
      <w:tr>
        <w:tc>
          <w:tcPr>
            <w:tcW w:type="dxa" w:w="5112"/>
            <w:tcBorders>
              <w:top w:val="nil"/>
              <w:left w:val="nil"/>
              <w:bottom w:val="nil"/>
              <w:right w:val="nil"/>
              <w:insideH w:val="nil"/>
              <w:insideV w:val="nil"/>
            </w:tcBorders>
          </w:tcPr>
          <w:p>
            <w:r/>
            <w:r>
              <w:rPr>
                <w:color w:val="334155"/>
                <w:sz w:val="17"/>
              </w:rPr>
              <w:t>4. Hierarchy and Domain Model</w:t>
            </w:r>
          </w:p>
        </w:tc>
        <w:tc>
          <w:tcPr>
            <w:tcW w:type="dxa" w:w="5112"/>
            <w:tcBorders>
              <w:top w:val="nil"/>
              <w:left w:val="nil"/>
              <w:bottom w:val="nil"/>
              <w:right w:val="nil"/>
              <w:insideH w:val="nil"/>
              <w:insideV w:val="nil"/>
            </w:tcBorders>
          </w:tcPr>
          <w:p>
            <w:r/>
            <w:r>
              <w:rPr>
                <w:color w:val="334155"/>
                <w:sz w:val="17"/>
              </w:rPr>
              <w:t>18. NOC / 1080p UX Requirements</w:t>
            </w:r>
          </w:p>
        </w:tc>
      </w:tr>
      <w:tr>
        <w:tc>
          <w:tcPr>
            <w:tcW w:type="dxa" w:w="5112"/>
            <w:tcBorders>
              <w:top w:val="nil"/>
              <w:left w:val="nil"/>
              <w:bottom w:val="nil"/>
              <w:right w:val="nil"/>
              <w:insideH w:val="nil"/>
              <w:insideV w:val="nil"/>
            </w:tcBorders>
          </w:tcPr>
          <w:p>
            <w:r/>
            <w:r>
              <w:rPr>
                <w:color w:val="334155"/>
                <w:sz w:val="17"/>
              </w:rPr>
              <w:t>5. Agent Architecture</w:t>
            </w:r>
          </w:p>
        </w:tc>
        <w:tc>
          <w:tcPr>
            <w:tcW w:type="dxa" w:w="5112"/>
            <w:tcBorders>
              <w:top w:val="nil"/>
              <w:left w:val="nil"/>
              <w:bottom w:val="nil"/>
              <w:right w:val="nil"/>
              <w:insideH w:val="nil"/>
              <w:insideV w:val="nil"/>
            </w:tcBorders>
          </w:tcPr>
          <w:p>
            <w:r/>
            <w:r>
              <w:rPr>
                <w:color w:val="334155"/>
                <w:sz w:val="17"/>
              </w:rPr>
              <w:t>19. UI Information Architecture</w:t>
            </w:r>
          </w:p>
        </w:tc>
      </w:tr>
      <w:tr>
        <w:tc>
          <w:tcPr>
            <w:tcW w:type="dxa" w:w="5112"/>
            <w:tcBorders>
              <w:top w:val="nil"/>
              <w:left w:val="nil"/>
              <w:bottom w:val="nil"/>
              <w:right w:val="nil"/>
              <w:insideH w:val="nil"/>
              <w:insideV w:val="nil"/>
            </w:tcBorders>
          </w:tcPr>
          <w:p>
            <w:r/>
            <w:r>
              <w:rPr>
                <w:color w:val="334155"/>
                <w:sz w:val="17"/>
              </w:rPr>
              <w:t>6. Enrollment, Identity and Security</w:t>
            </w:r>
          </w:p>
        </w:tc>
        <w:tc>
          <w:tcPr>
            <w:tcW w:type="dxa" w:w="5112"/>
            <w:tcBorders>
              <w:top w:val="nil"/>
              <w:left w:val="nil"/>
              <w:bottom w:val="nil"/>
              <w:right w:val="nil"/>
              <w:insideH w:val="nil"/>
              <w:insideV w:val="nil"/>
            </w:tcBorders>
          </w:tcPr>
          <w:p>
            <w:r/>
            <w:r>
              <w:rPr>
                <w:color w:val="334155"/>
                <w:sz w:val="17"/>
              </w:rPr>
              <w:t>20. Storyboards and Screen Specifications</w:t>
            </w:r>
          </w:p>
        </w:tc>
      </w:tr>
      <w:tr>
        <w:tc>
          <w:tcPr>
            <w:tcW w:type="dxa" w:w="5112"/>
            <w:tcBorders>
              <w:top w:val="nil"/>
              <w:left w:val="nil"/>
              <w:bottom w:val="nil"/>
              <w:right w:val="nil"/>
              <w:insideH w:val="nil"/>
              <w:insideV w:val="nil"/>
            </w:tcBorders>
          </w:tcPr>
          <w:p>
            <w:r/>
            <w:r>
              <w:rPr>
                <w:color w:val="334155"/>
                <w:sz w:val="17"/>
              </w:rPr>
              <w:t>7. Data Acquisition and UniFi Integration</w:t>
            </w:r>
          </w:p>
        </w:tc>
        <w:tc>
          <w:tcPr>
            <w:tcW w:type="dxa" w:w="5112"/>
            <w:tcBorders>
              <w:top w:val="nil"/>
              <w:left w:val="nil"/>
              <w:bottom w:val="nil"/>
              <w:right w:val="nil"/>
              <w:insideH w:val="nil"/>
              <w:insideV w:val="nil"/>
            </w:tcBorders>
          </w:tcPr>
          <w:p>
            <w:r/>
            <w:r>
              <w:rPr>
                <w:color w:val="334155"/>
                <w:sz w:val="17"/>
              </w:rPr>
              <w:t>21. RBAC and Administrative Controls</w:t>
            </w:r>
          </w:p>
        </w:tc>
      </w:tr>
      <w:tr>
        <w:tc>
          <w:tcPr>
            <w:tcW w:type="dxa" w:w="5112"/>
            <w:tcBorders>
              <w:top w:val="nil"/>
              <w:left w:val="nil"/>
              <w:bottom w:val="nil"/>
              <w:right w:val="nil"/>
              <w:insideH w:val="nil"/>
              <w:insideV w:val="nil"/>
            </w:tcBorders>
          </w:tcPr>
          <w:p>
            <w:r/>
            <w:r>
              <w:rPr>
                <w:color w:val="334155"/>
                <w:sz w:val="17"/>
              </w:rPr>
              <w:t>8. Health Model and State Evaluation</w:t>
            </w:r>
          </w:p>
        </w:tc>
        <w:tc>
          <w:tcPr>
            <w:tcW w:type="dxa" w:w="5112"/>
            <w:tcBorders>
              <w:top w:val="nil"/>
              <w:left w:val="nil"/>
              <w:bottom w:val="nil"/>
              <w:right w:val="nil"/>
              <w:insideH w:val="nil"/>
              <w:insideV w:val="nil"/>
            </w:tcBorders>
          </w:tcPr>
          <w:p>
            <w:r/>
            <w:r>
              <w:rPr>
                <w:color w:val="334155"/>
                <w:sz w:val="17"/>
              </w:rPr>
              <w:t>22. Monitoring Profiles and Thresholds</w:t>
            </w:r>
          </w:p>
        </w:tc>
      </w:tr>
      <w:tr>
        <w:tc>
          <w:tcPr>
            <w:tcW w:type="dxa" w:w="5112"/>
            <w:tcBorders>
              <w:top w:val="nil"/>
              <w:left w:val="nil"/>
              <w:bottom w:val="nil"/>
              <w:right w:val="nil"/>
              <w:insideH w:val="nil"/>
              <w:insideV w:val="nil"/>
            </w:tcBorders>
          </w:tcPr>
          <w:p>
            <w:r/>
            <w:r>
              <w:rPr>
                <w:color w:val="334155"/>
                <w:sz w:val="17"/>
              </w:rPr>
              <w:t>9. WAN Monitoring</w:t>
            </w:r>
          </w:p>
        </w:tc>
        <w:tc>
          <w:tcPr>
            <w:tcW w:type="dxa" w:w="5112"/>
            <w:tcBorders>
              <w:top w:val="nil"/>
              <w:left w:val="nil"/>
              <w:bottom w:val="nil"/>
              <w:right w:val="nil"/>
              <w:insideH w:val="nil"/>
              <w:insideV w:val="nil"/>
            </w:tcBorders>
          </w:tcPr>
          <w:p>
            <w:r/>
            <w:r>
              <w:rPr>
                <w:color w:val="334155"/>
                <w:sz w:val="17"/>
              </w:rPr>
              <w:t>23. Notifications and Maintenance</w:t>
            </w:r>
          </w:p>
        </w:tc>
      </w:tr>
      <w:tr>
        <w:tc>
          <w:tcPr>
            <w:tcW w:type="dxa" w:w="5112"/>
            <w:tcBorders>
              <w:top w:val="nil"/>
              <w:left w:val="nil"/>
              <w:bottom w:val="nil"/>
              <w:right w:val="nil"/>
              <w:insideH w:val="nil"/>
              <w:insideV w:val="nil"/>
            </w:tcBorders>
          </w:tcPr>
          <w:p>
            <w:r/>
            <w:r>
              <w:rPr>
                <w:color w:val="334155"/>
                <w:sz w:val="17"/>
              </w:rPr>
              <w:t>10. VPN Monitoring</w:t>
            </w:r>
          </w:p>
        </w:tc>
        <w:tc>
          <w:tcPr>
            <w:tcW w:type="dxa" w:w="5112"/>
            <w:tcBorders>
              <w:top w:val="nil"/>
              <w:left w:val="nil"/>
              <w:bottom w:val="nil"/>
              <w:right w:val="nil"/>
              <w:insideH w:val="nil"/>
              <w:insideV w:val="nil"/>
            </w:tcBorders>
          </w:tcPr>
          <w:p>
            <w:r/>
            <w:r>
              <w:rPr>
                <w:color w:val="334155"/>
                <w:sz w:val="17"/>
              </w:rPr>
              <w:t>24. Resilience and Failure Semantics</w:t>
            </w:r>
          </w:p>
        </w:tc>
      </w:tr>
      <w:tr>
        <w:tc>
          <w:tcPr>
            <w:tcW w:type="dxa" w:w="5112"/>
            <w:tcBorders>
              <w:top w:val="nil"/>
              <w:left w:val="nil"/>
              <w:bottom w:val="nil"/>
              <w:right w:val="nil"/>
              <w:insideH w:val="nil"/>
              <w:insideV w:val="nil"/>
            </w:tcBorders>
          </w:tcPr>
          <w:p>
            <w:r/>
            <w:r>
              <w:rPr>
                <w:color w:val="334155"/>
                <w:sz w:val="17"/>
              </w:rPr>
              <w:t>11. Device and Protect Monitoring</w:t>
            </w:r>
          </w:p>
        </w:tc>
        <w:tc>
          <w:tcPr>
            <w:tcW w:type="dxa" w:w="5112"/>
            <w:tcBorders>
              <w:top w:val="nil"/>
              <w:left w:val="nil"/>
              <w:bottom w:val="nil"/>
              <w:right w:val="nil"/>
              <w:insideH w:val="nil"/>
              <w:insideV w:val="nil"/>
            </w:tcBorders>
          </w:tcPr>
          <w:p>
            <w:r/>
            <w:r>
              <w:rPr>
                <w:color w:val="334155"/>
                <w:sz w:val="17"/>
              </w:rPr>
              <w:t>25. Testing and Acceptance Criteria</w:t>
            </w:r>
          </w:p>
        </w:tc>
      </w:tr>
      <w:tr>
        <w:tc>
          <w:tcPr>
            <w:tcW w:type="dxa" w:w="5112"/>
            <w:tcBorders>
              <w:top w:val="nil"/>
              <w:left w:val="nil"/>
              <w:bottom w:val="nil"/>
              <w:right w:val="nil"/>
              <w:insideH w:val="nil"/>
              <w:insideV w:val="nil"/>
            </w:tcBorders>
          </w:tcPr>
          <w:p>
            <w:r/>
            <w:r>
              <w:rPr>
                <w:color w:val="334155"/>
                <w:sz w:val="17"/>
              </w:rPr>
              <w:t>12. Configuration Summary and Change Detection</w:t>
            </w:r>
          </w:p>
        </w:tc>
        <w:tc>
          <w:tcPr>
            <w:tcW w:type="dxa" w:w="5112"/>
            <w:tcBorders>
              <w:top w:val="nil"/>
              <w:left w:val="nil"/>
              <w:bottom w:val="nil"/>
              <w:right w:val="nil"/>
              <w:insideH w:val="nil"/>
              <w:insideV w:val="nil"/>
            </w:tcBorders>
          </w:tcPr>
          <w:p>
            <w:r/>
            <w:r>
              <w:rPr>
                <w:color w:val="334155"/>
                <w:sz w:val="17"/>
              </w:rPr>
              <w:t>26. Rollout Plan</w:t>
            </w:r>
          </w:p>
        </w:tc>
      </w:tr>
      <w:tr>
        <w:tc>
          <w:tcPr>
            <w:tcW w:type="dxa" w:w="5112"/>
            <w:tcBorders>
              <w:top w:val="nil"/>
              <w:left w:val="nil"/>
              <w:bottom w:val="nil"/>
              <w:right w:val="nil"/>
              <w:insideH w:val="nil"/>
              <w:insideV w:val="nil"/>
            </w:tcBorders>
          </w:tcPr>
          <w:p>
            <w:r/>
            <w:r>
              <w:rPr>
                <w:color w:val="334155"/>
                <w:sz w:val="17"/>
              </w:rPr>
              <w:t>13. Events, Alerts, Incidents and Audit</w:t>
            </w:r>
          </w:p>
        </w:tc>
        <w:tc>
          <w:tcPr>
            <w:tcW w:type="dxa" w:w="5112"/>
            <w:tcBorders>
              <w:top w:val="nil"/>
              <w:left w:val="nil"/>
              <w:bottom w:val="nil"/>
              <w:right w:val="nil"/>
              <w:insideH w:val="nil"/>
              <w:insideV w:val="nil"/>
            </w:tcBorders>
          </w:tcPr>
          <w:p>
            <w:r/>
            <w:r>
              <w:rPr>
                <w:color w:val="334155"/>
                <w:sz w:val="17"/>
              </w:rPr>
              <w:t>27. Roadmap</w:t>
            </w:r>
          </w:p>
        </w:tc>
      </w:tr>
      <w:tr>
        <w:tc>
          <w:tcPr>
            <w:tcW w:type="dxa" w:w="5112"/>
            <w:tcBorders>
              <w:top w:val="nil"/>
              <w:left w:val="nil"/>
              <w:bottom w:val="nil"/>
              <w:right w:val="nil"/>
              <w:insideH w:val="nil"/>
              <w:insideV w:val="nil"/>
            </w:tcBorders>
          </w:tcPr>
          <w:p>
            <w:r/>
            <w:r>
              <w:rPr>
                <w:color w:val="334155"/>
                <w:sz w:val="17"/>
              </w:rPr>
              <w:t>14. Data Storage and Retention</w:t>
            </w:r>
          </w:p>
        </w:tc>
        <w:tc>
          <w:tcPr>
            <w:tcW w:type="dxa" w:w="5112"/>
            <w:tcBorders>
              <w:top w:val="nil"/>
              <w:left w:val="nil"/>
              <w:bottom w:val="nil"/>
              <w:right w:val="nil"/>
              <w:insideH w:val="nil"/>
              <w:insideV w:val="nil"/>
            </w:tcBorders>
          </w:tcPr>
          <w:p>
            <w:r/>
            <w:r>
              <w:rPr>
                <w:color w:val="334155"/>
                <w:sz w:val="17"/>
              </w:rPr>
              <w:t>Appendices</w:t>
            </w:r>
          </w:p>
        </w:tc>
      </w:tr>
    </w:tbl>
    <w:p/>
    <w:p>
      <w:r>
        <w:br w:type="page"/>
      </w:r>
    </w:p>
    <w:p>
      <w:pPr>
        <w:pStyle w:val="Heading1"/>
        <w:spacing w:before="160" w:after="100"/>
      </w:pPr>
      <w:r>
        <w:t>1. Executive Summary</w:t>
      </w:r>
    </w:p>
    <w:p>
      <w:pPr>
        <w:spacing w:after="100" w:line="252" w:lineRule="auto"/>
      </w:pPr>
      <w:r>
        <w:t>ARGUS is a centralized observability platform for a distributed UniFi estate of roughly 100 installations. A lightweight Agent installed on UDM, UCG and UDR-class consoles performs local read-only inspection of UniFi Network, Protect and console health, then reports normalized state to a public ARGUS server in AWS over outbound HTTPS only.</w:t>
      </w:r>
    </w:p>
    <w:p>
      <w:pPr>
        <w:spacing w:after="100" w:line="252" w:lineRule="auto"/>
      </w:pPr>
      <w:r>
        <w:t>The platform is deliberately optimized for operational clarity rather than deep performance analytics. Its primary job is to identify unhealthy sites, WANs, VPN tunnels, gateways, switches, access points, cameras and agents; correlate failures into incidents; preserve searchable history; and provide an extremely clear NOC wallboard that remains usable on a Raspberry Pi kiosk at 1920×1080 or lower.</w:t>
      </w:r>
    </w:p>
    <w:p>
      <w:pPr>
        <w:pStyle w:val="ListBullet"/>
        <w:spacing w:after="60"/>
      </w:pPr>
      <w:r>
        <w:t>Agent heartbeat and dead-man monitoring.</w:t>
      </w:r>
    </w:p>
    <w:p>
      <w:pPr>
        <w:pStyle w:val="ListBullet"/>
        <w:spacing w:after="60"/>
      </w:pPr>
      <w:r>
        <w:t>Automatic discovery followed by explicit console approval and device selection.</w:t>
      </w:r>
    </w:p>
    <w:p>
      <w:pPr>
        <w:pStyle w:val="ListBullet"/>
        <w:spacing w:after="60"/>
      </w:pPr>
      <w:r>
        <w:t>WAN and VPN health with both control-plane status and data-plane probes.</w:t>
      </w:r>
    </w:p>
    <w:p>
      <w:pPr>
        <w:pStyle w:val="ListBullet"/>
        <w:spacing w:after="60"/>
      </w:pPr>
      <w:r>
        <w:t>Current-state storage plus state-change/event history instead of storing every repetitive sample.</w:t>
      </w:r>
    </w:p>
    <w:p>
      <w:pPr>
        <w:pStyle w:val="ListBullet"/>
        <w:spacing w:after="60"/>
      </w:pPr>
      <w:r>
        <w:t>Site/network configuration summary with secret redaction and change hashing.</w:t>
      </w:r>
    </w:p>
    <w:p>
      <w:pPr>
        <w:pStyle w:val="ListBullet"/>
        <w:spacing w:after="60"/>
      </w:pPr>
      <w:r>
        <w:t>Incident grouping, acknowledgements, maintenance windows, event logs and immutable audit logs.</w:t>
      </w:r>
    </w:p>
    <w:p>
      <w:pPr>
        <w:pStyle w:val="ListBullet"/>
        <w:spacing w:after="60"/>
      </w:pPr>
      <w:r>
        <w:t>Separate administrative UI and NOC/Kiosk UI.</w:t>
      </w:r>
    </w:p>
    <w:p>
      <w:pPr>
        <w:pStyle w:val="ListBullet"/>
        <w:spacing w:after="60"/>
      </w:pPr>
      <w:r>
        <w:t>One-time enrollment tokens and unique Agent credentials; future mTLS capability.</w:t>
      </w:r>
    </w:p>
    <w:p>
      <w:pPr>
        <w:pStyle w:val="Heading1"/>
        <w:spacing w:before="160" w:after="100"/>
      </w:pPr>
      <w:r>
        <w:t>2. Scope and Design Principles</w:t>
      </w:r>
    </w:p>
    <w:p>
      <w:pPr>
        <w:pStyle w:val="Heading2"/>
        <w:spacing w:before="160" w:after="100"/>
      </w:pPr>
      <w:r>
        <w:t>2.1 V1 scope</w:t>
      </w:r>
    </w:p>
    <w:p>
      <w:pPr>
        <w:pStyle w:val="ListBullet"/>
        <w:spacing w:after="60"/>
      </w:pPr>
      <w:r>
        <w:t>UniFi console enrollment and approval.</w:t>
      </w:r>
    </w:p>
    <w:p>
      <w:pPr>
        <w:pStyle w:val="ListBullet"/>
        <w:spacing w:after="60"/>
      </w:pPr>
      <w:r>
        <w:t>Network / Protect inventory discovery.</w:t>
      </w:r>
    </w:p>
    <w:p>
      <w:pPr>
        <w:pStyle w:val="ListBullet"/>
        <w:spacing w:after="60"/>
      </w:pPr>
      <w:r>
        <w:t>Selective monitoring by device and monitoring profile.</w:t>
      </w:r>
    </w:p>
    <w:p>
      <w:pPr>
        <w:pStyle w:val="ListBullet"/>
        <w:spacing w:after="60"/>
      </w:pPr>
      <w:r>
        <w:t>Console, Agent, WAN, VPN, Network, Protect and device health.</w:t>
      </w:r>
    </w:p>
    <w:p>
      <w:pPr>
        <w:pStyle w:val="ListBullet"/>
        <w:spacing w:after="60"/>
      </w:pPr>
      <w:r>
        <w:t>VPN data-plane probe targets.</w:t>
      </w:r>
    </w:p>
    <w:p>
      <w:pPr>
        <w:pStyle w:val="ListBullet"/>
        <w:spacing w:after="60"/>
      </w:pPr>
      <w:r>
        <w:t>Network configuration summaries: networks/VLANs, WAN metadata, WiFi SSIDs, VPN metadata and high-level firewall-zone counts when available.</w:t>
      </w:r>
    </w:p>
    <w:p>
      <w:pPr>
        <w:pStyle w:val="ListBullet"/>
        <w:spacing w:after="60"/>
      </w:pPr>
      <w:r>
        <w:t>Event, alert, incident and audit models.</w:t>
      </w:r>
    </w:p>
    <w:p>
      <w:pPr>
        <w:pStyle w:val="ListBullet"/>
        <w:spacing w:after="60"/>
      </w:pPr>
      <w:r>
        <w:t>Searchable/filterable logs.</w:t>
      </w:r>
    </w:p>
    <w:p>
      <w:pPr>
        <w:pStyle w:val="ListBullet"/>
        <w:spacing w:after="60"/>
      </w:pPr>
      <w:r>
        <w:t>Light, Dark and System themes.</w:t>
      </w:r>
    </w:p>
    <w:p>
      <w:pPr>
        <w:pStyle w:val="ListBullet"/>
        <w:spacing w:after="60"/>
      </w:pPr>
      <w:r>
        <w:t>NOC route optimized for 1080p kiosk use.</w:t>
      </w:r>
    </w:p>
    <w:p>
      <w:pPr>
        <w:pStyle w:val="ListBullet"/>
        <w:spacing w:after="60"/>
      </w:pPr>
      <w:r>
        <w:t>Email notifications; architecture prepared for Teams/webhooks later.</w:t>
      </w:r>
    </w:p>
    <w:p>
      <w:pPr>
        <w:pStyle w:val="Heading2"/>
        <w:spacing w:before="160" w:after="100"/>
      </w:pPr>
      <w:r>
        <w:t>2.2 Explicit non-goals for V1</w:t>
      </w:r>
    </w:p>
    <w:p>
      <w:pPr>
        <w:pStyle w:val="ListBullet"/>
        <w:spacing w:after="60"/>
      </w:pPr>
      <w:r>
        <w:t>No configuration writes to UniFi Network/Protect.</w:t>
      </w:r>
    </w:p>
    <w:p>
      <w:pPr>
        <w:pStyle w:val="ListBullet"/>
        <w:spacing w:after="60"/>
      </w:pPr>
      <w:r>
        <w:t>No storage of WiFi passwords, VPN PSKs, private keys, RADIUS secrets or administrative passwords.</w:t>
      </w:r>
    </w:p>
    <w:p>
      <w:pPr>
        <w:pStyle w:val="ListBullet"/>
        <w:spacing w:after="60"/>
      </w:pPr>
      <w:r>
        <w:t>No attempt to reproduce every UniFi screen or setting.</w:t>
      </w:r>
    </w:p>
    <w:p>
      <w:pPr>
        <w:pStyle w:val="ListBullet"/>
        <w:spacing w:after="60"/>
      </w:pPr>
      <w:r>
        <w:t>No full L2 topology/root-cause graph in V1.</w:t>
      </w:r>
    </w:p>
    <w:p>
      <w:pPr>
        <w:pStyle w:val="ListBullet"/>
        <w:spacing w:after="60"/>
      </w:pPr>
      <w:r>
        <w:t>No collection of high-volume client traffic analytics unless later required for a specific health rule.</w:t>
      </w:r>
    </w:p>
    <w:p>
      <w:pPr>
        <w:pStyle w:val="Heading2"/>
        <w:spacing w:before="160" w:after="100"/>
      </w:pPr>
      <w:r>
        <w:t>2.3 Design principles</w:t>
      </w:r>
    </w:p>
    <w:tbl>
      <w:tblPr>
        <w:tblStyle w:val="TableGrid"/>
        <w:tblW w:type="auto" w:w="0"/>
        <w:jc w:val="center"/>
        <w:tblLook w:firstColumn="1" w:firstRow="1" w:lastColumn="0" w:lastRow="0" w:noHBand="0" w:noVBand="1" w:val="04A0"/>
      </w:tblPr>
      <w:tblGrid>
        <w:gridCol w:w="5112"/>
        <w:gridCol w:w="5112"/>
      </w:tblGrid>
      <w:tr>
        <w:tc>
          <w:tcPr>
            <w:tcW w:type="dxa" w:w="2592"/>
            <w:shd w:fill="0F172A"/>
          </w:tcPr>
          <w:p>
            <w:r/>
            <w:r>
              <w:rPr>
                <w:rFonts w:ascii="Aptos" w:hAnsi="Aptos"/>
                <w:b/>
                <w:color w:val="FFFFFF"/>
                <w:sz w:val="18"/>
              </w:rPr>
              <w:t>Principle</w:t>
            </w:r>
          </w:p>
        </w:tc>
        <w:tc>
          <w:tcPr>
            <w:tcW w:type="dxa" w:w="7056"/>
            <w:shd w:fill="0F172A"/>
          </w:tcPr>
          <w:p>
            <w:r/>
            <w:r>
              <w:rPr>
                <w:rFonts w:ascii="Aptos" w:hAnsi="Aptos"/>
                <w:b/>
                <w:color w:val="FFFFFF"/>
                <w:sz w:val="18"/>
              </w:rPr>
              <w:t>Implementation consequence</w:t>
            </w:r>
          </w:p>
        </w:tc>
      </w:tr>
      <w:tr>
        <w:tc>
          <w:tcPr>
            <w:tcW w:type="dxa" w:w="2592"/>
            <w:vAlign w:val="center"/>
          </w:tcPr>
          <w:p>
            <w:r/>
            <w:r>
              <w:rPr>
                <w:rFonts w:ascii="Aptos" w:hAnsi="Aptos"/>
                <w:b w:val="0"/>
                <w:color w:val="0F172A"/>
                <w:sz w:val="17"/>
              </w:rPr>
              <w:t>Operational clarity first</w:t>
            </w:r>
          </w:p>
        </w:tc>
        <w:tc>
          <w:tcPr>
            <w:tcW w:type="dxa" w:w="7056"/>
            <w:vAlign w:val="center"/>
          </w:tcPr>
          <w:p>
            <w:r/>
            <w:r>
              <w:rPr>
                <w:rFonts w:ascii="Aptos" w:hAnsi="Aptos"/>
                <w:b w:val="0"/>
                <w:color w:val="0F172A"/>
                <w:sz w:val="17"/>
              </w:rPr>
              <w:t>Dashboard answers where/what/since-when before exposing detail.</w:t>
            </w:r>
          </w:p>
        </w:tc>
      </w:tr>
      <w:tr>
        <w:tc>
          <w:tcPr>
            <w:tcW w:type="dxa" w:w="2592"/>
            <w:vAlign w:val="center"/>
            <w:shd w:fill="F8FAFC"/>
          </w:tcPr>
          <w:p>
            <w:r/>
            <w:r>
              <w:rPr>
                <w:rFonts w:ascii="Aptos" w:hAnsi="Aptos"/>
                <w:b w:val="0"/>
                <w:color w:val="0F172A"/>
                <w:sz w:val="17"/>
              </w:rPr>
              <w:t>Outbound-only sites</w:t>
            </w:r>
          </w:p>
        </w:tc>
        <w:tc>
          <w:tcPr>
            <w:tcW w:type="dxa" w:w="7056"/>
            <w:vAlign w:val="center"/>
            <w:shd w:fill="F8FAFC"/>
          </w:tcPr>
          <w:p>
            <w:r/>
            <w:r>
              <w:rPr>
                <w:rFonts w:ascii="Aptos" w:hAnsi="Aptos"/>
                <w:b w:val="0"/>
                <w:color w:val="0F172A"/>
                <w:sz w:val="17"/>
              </w:rPr>
              <w:t>Agents initiate HTTPS; no inbound ports required at customer/site networks.</w:t>
            </w:r>
          </w:p>
        </w:tc>
      </w:tr>
      <w:tr>
        <w:tc>
          <w:tcPr>
            <w:tcW w:type="dxa" w:w="2592"/>
            <w:vAlign w:val="center"/>
          </w:tcPr>
          <w:p>
            <w:r/>
            <w:r>
              <w:rPr>
                <w:rFonts w:ascii="Aptos" w:hAnsi="Aptos"/>
                <w:b w:val="0"/>
                <w:color w:val="0F172A"/>
                <w:sz w:val="17"/>
              </w:rPr>
              <w:t>Read-only UniFi posture</w:t>
            </w:r>
          </w:p>
        </w:tc>
        <w:tc>
          <w:tcPr>
            <w:tcW w:type="dxa" w:w="7056"/>
            <w:vAlign w:val="center"/>
          </w:tcPr>
          <w:p>
            <w:r/>
            <w:r>
              <w:rPr>
                <w:rFonts w:ascii="Aptos" w:hAnsi="Aptos"/>
                <w:b w:val="0"/>
                <w:color w:val="0F172A"/>
                <w:sz w:val="17"/>
              </w:rPr>
              <w:t>Collector permissions are scoped to monitoring where possible.</w:t>
            </w:r>
          </w:p>
        </w:tc>
      </w:tr>
      <w:tr>
        <w:tc>
          <w:tcPr>
            <w:tcW w:type="dxa" w:w="2592"/>
            <w:vAlign w:val="center"/>
            <w:shd w:fill="F8FAFC"/>
          </w:tcPr>
          <w:p>
            <w:r/>
            <w:r>
              <w:rPr>
                <w:rFonts w:ascii="Aptos" w:hAnsi="Aptos"/>
                <w:b w:val="0"/>
                <w:color w:val="0F172A"/>
                <w:sz w:val="17"/>
              </w:rPr>
              <w:t>State changes over raw samples</w:t>
            </w:r>
          </w:p>
        </w:tc>
        <w:tc>
          <w:tcPr>
            <w:tcW w:type="dxa" w:w="7056"/>
            <w:vAlign w:val="center"/>
            <w:shd w:fill="F8FAFC"/>
          </w:tcPr>
          <w:p>
            <w:r/>
            <w:r>
              <w:rPr>
                <w:rFonts w:ascii="Aptos" w:hAnsi="Aptos"/>
                <w:b w:val="0"/>
                <w:color w:val="0F172A"/>
                <w:sz w:val="17"/>
              </w:rPr>
              <w:t>Frequent checks update current state; history records meaningful transitions.</w:t>
            </w:r>
          </w:p>
        </w:tc>
      </w:tr>
      <w:tr>
        <w:tc>
          <w:tcPr>
            <w:tcW w:type="dxa" w:w="2592"/>
            <w:vAlign w:val="center"/>
          </w:tcPr>
          <w:p>
            <w:r/>
            <w:r>
              <w:rPr>
                <w:rFonts w:ascii="Aptos" w:hAnsi="Aptos"/>
                <w:b w:val="0"/>
                <w:color w:val="0F172A"/>
                <w:sz w:val="17"/>
              </w:rPr>
              <w:t>Unknown is not Offline</w:t>
            </w:r>
          </w:p>
        </w:tc>
        <w:tc>
          <w:tcPr>
            <w:tcW w:type="dxa" w:w="7056"/>
            <w:vAlign w:val="center"/>
          </w:tcPr>
          <w:p>
            <w:r/>
            <w:r>
              <w:rPr>
                <w:rFonts w:ascii="Aptos" w:hAnsi="Aptos"/>
                <w:b w:val="0"/>
                <w:color w:val="0F172A"/>
                <w:sz w:val="17"/>
              </w:rPr>
              <w:t>If an Agent disappears, dependent devices become UNKNOWN unless independent evidence proves outage.</w:t>
            </w:r>
          </w:p>
        </w:tc>
      </w:tr>
      <w:tr>
        <w:tc>
          <w:tcPr>
            <w:tcW w:type="dxa" w:w="2592"/>
            <w:vAlign w:val="center"/>
            <w:shd w:fill="F8FAFC"/>
          </w:tcPr>
          <w:p>
            <w:r/>
            <w:r>
              <w:rPr>
                <w:rFonts w:ascii="Aptos" w:hAnsi="Aptos"/>
                <w:b w:val="0"/>
                <w:color w:val="0F172A"/>
                <w:sz w:val="17"/>
              </w:rPr>
              <w:t>Kiosk is a first-class client</w:t>
            </w:r>
          </w:p>
        </w:tc>
        <w:tc>
          <w:tcPr>
            <w:tcW w:type="dxa" w:w="7056"/>
            <w:vAlign w:val="center"/>
            <w:shd w:fill="F8FAFC"/>
          </w:tcPr>
          <w:p>
            <w:r/>
            <w:r>
              <w:rPr>
                <w:rFonts w:ascii="Aptos" w:hAnsi="Aptos"/>
                <w:b w:val="0"/>
                <w:color w:val="0F172A"/>
                <w:sz w:val="17"/>
              </w:rPr>
              <w:t>/noc is separately designed for 1080p, distance viewing and no scroll.</w:t>
            </w:r>
          </w:p>
        </w:tc>
      </w:tr>
      <w:tr>
        <w:tc>
          <w:tcPr>
            <w:tcW w:type="dxa" w:w="2592"/>
            <w:vAlign w:val="center"/>
          </w:tcPr>
          <w:p>
            <w:r/>
            <w:r>
              <w:rPr>
                <w:rFonts w:ascii="Aptos" w:hAnsi="Aptos"/>
                <w:b w:val="0"/>
                <w:color w:val="0F172A"/>
                <w:sz w:val="17"/>
              </w:rPr>
              <w:t>Scale by profiles</w:t>
            </w:r>
          </w:p>
        </w:tc>
        <w:tc>
          <w:tcPr>
            <w:tcW w:type="dxa" w:w="7056"/>
            <w:vAlign w:val="center"/>
          </w:tcPr>
          <w:p>
            <w:r/>
            <w:r>
              <w:rPr>
                <w:rFonts w:ascii="Aptos" w:hAnsi="Aptos"/>
                <w:b w:val="0"/>
                <w:color w:val="0F172A"/>
                <w:sz w:val="17"/>
              </w:rPr>
              <w:t>~100 sites inherit policies rather than being individually hand-tuned.</w:t>
            </w:r>
          </w:p>
        </w:tc>
      </w:tr>
      <w:tr>
        <w:tc>
          <w:tcPr>
            <w:tcW w:type="dxa" w:w="2592"/>
            <w:vAlign w:val="center"/>
            <w:shd w:fill="F8FAFC"/>
          </w:tcPr>
          <w:p>
            <w:r/>
            <w:r>
              <w:rPr>
                <w:rFonts w:ascii="Aptos" w:hAnsi="Aptos"/>
                <w:b w:val="0"/>
                <w:color w:val="0F172A"/>
                <w:sz w:val="17"/>
              </w:rPr>
              <w:t>Security by per-agent identity</w:t>
            </w:r>
          </w:p>
        </w:tc>
        <w:tc>
          <w:tcPr>
            <w:tcW w:type="dxa" w:w="7056"/>
            <w:vAlign w:val="center"/>
            <w:shd w:fill="F8FAFC"/>
          </w:tcPr>
          <w:p>
            <w:r/>
            <w:r>
              <w:rPr>
                <w:rFonts w:ascii="Aptos" w:hAnsi="Aptos"/>
                <w:b w:val="0"/>
                <w:color w:val="0F172A"/>
                <w:sz w:val="17"/>
              </w:rPr>
              <w:t>Compromise/revocation of one site does not rotate credentials across the estate.</w:t>
            </w:r>
          </w:p>
        </w:tc>
      </w:tr>
    </w:tbl>
    <w:p/>
    <w:p>
      <w:pPr>
        <w:pStyle w:val="Heading1"/>
        <w:spacing w:before="160" w:after="100"/>
      </w:pPr>
      <w:r>
        <w:t>3. Functional Architecture</w:t>
      </w:r>
    </w:p>
    <w:p>
      <w:pPr>
        <w:jc w:val="center"/>
      </w:pPr>
      <w:r>
        <w:drawing>
          <wp:inline xmlns:a="http://schemas.openxmlformats.org/drawingml/2006/main" xmlns:pic="http://schemas.openxmlformats.org/drawingml/2006/picture">
            <wp:extent cx="6126480" cy="2205753"/>
            <wp:docPr id="2" name="Picture 2"/>
            <wp:cNvGraphicFramePr>
              <a:graphicFrameLocks noChangeAspect="1"/>
            </wp:cNvGraphicFramePr>
            <a:graphic>
              <a:graphicData uri="http://schemas.openxmlformats.org/drawingml/2006/picture">
                <pic:pic>
                  <pic:nvPicPr>
                    <pic:cNvPr id="0" name="D02_deployment_topology.png"/>
                    <pic:cNvPicPr/>
                  </pic:nvPicPr>
                  <pic:blipFill>
                    <a:blip r:embed="rId12"/>
                    <a:stretch>
                      <a:fillRect/>
                    </a:stretch>
                  </pic:blipFill>
                  <pic:spPr>
                    <a:xfrm>
                      <a:off x="0" y="0"/>
                      <a:ext cx="6126480" cy="2205753"/>
                    </a:xfrm>
                    <a:prstGeom prst="rect"/>
                  </pic:spPr>
                </pic:pic>
              </a:graphicData>
            </a:graphic>
          </wp:inline>
        </w:drawing>
      </w:r>
    </w:p>
    <w:p>
      <w:pPr>
        <w:jc w:val="center"/>
      </w:pPr>
      <w:r>
        <w:rPr>
          <w:i/>
          <w:color w:val="64748B"/>
          <w:sz w:val="17"/>
        </w:rPr>
        <w:t>Figure 3.1 - AWS and distributed-site deployment topology</w:t>
      </w:r>
    </w:p>
    <w:p>
      <w:pPr>
        <w:jc w:val="center"/>
      </w:pPr>
      <w:r>
        <w:drawing>
          <wp:inline xmlns:a="http://schemas.openxmlformats.org/drawingml/2006/main" xmlns:pic="http://schemas.openxmlformats.org/drawingml/2006/picture">
            <wp:extent cx="6126480" cy="1744938"/>
            <wp:docPr id="3" name="Picture 3"/>
            <wp:cNvGraphicFramePr>
              <a:graphicFrameLocks noChangeAspect="1"/>
            </wp:cNvGraphicFramePr>
            <a:graphic>
              <a:graphicData uri="http://schemas.openxmlformats.org/drawingml/2006/picture">
                <pic:pic>
                  <pic:nvPicPr>
                    <pic:cNvPr id="0" name="D03_server_components.png"/>
                    <pic:cNvPicPr/>
                  </pic:nvPicPr>
                  <pic:blipFill>
                    <a:blip r:embed="rId13"/>
                    <a:stretch>
                      <a:fillRect/>
                    </a:stretch>
                  </pic:blipFill>
                  <pic:spPr>
                    <a:xfrm>
                      <a:off x="0" y="0"/>
                      <a:ext cx="6126480" cy="1744938"/>
                    </a:xfrm>
                    <a:prstGeom prst="rect"/>
                  </pic:spPr>
                </pic:pic>
              </a:graphicData>
            </a:graphic>
          </wp:inline>
        </w:drawing>
      </w:r>
    </w:p>
    <w:p>
      <w:pPr>
        <w:jc w:val="center"/>
      </w:pPr>
      <w:r>
        <w:rPr>
          <w:i/>
          <w:color w:val="64748B"/>
          <w:sz w:val="17"/>
        </w:rPr>
        <w:t>Figure 3.2 - ARGUS server component architecture</w:t>
      </w:r>
    </w:p>
    <w:p>
      <w:pPr>
        <w:spacing w:after="100" w:line="252" w:lineRule="auto"/>
      </w:pPr>
      <w:r>
        <w:t>The initial deployment may use Docker Compose on a single EC2 instance while preserving service boundaries that can later be separated. PostgreSQL is mandatory. Redis is recommended for queues/scheduling once asynchronous alerting, notification fan-out and command dispatch become active; it can be omitted during the earliest prototype if simplicity is preferred.</w:t>
      </w:r>
    </w:p>
    <w:p>
      <w:pPr>
        <w:pStyle w:val="Heading2"/>
        <w:spacing w:before="160" w:after="100"/>
      </w:pPr>
      <w:r>
        <w:t>3.1 Recommended server components</w:t>
      </w:r>
    </w:p>
    <w:tbl>
      <w:tblPr>
        <w:tblStyle w:val="TableGrid"/>
        <w:tblW w:type="auto" w:w="0"/>
        <w:jc w:val="center"/>
        <w:tblLook w:firstColumn="1" w:firstRow="1" w:lastColumn="0" w:lastRow="0" w:noHBand="0" w:noVBand="1" w:val="04A0"/>
      </w:tblPr>
      <w:tblGrid>
        <w:gridCol w:w="5112"/>
        <w:gridCol w:w="5112"/>
      </w:tblGrid>
      <w:tr>
        <w:tc>
          <w:tcPr>
            <w:tcW w:type="dxa" w:w="2160"/>
            <w:shd w:fill="0F172A"/>
          </w:tcPr>
          <w:p>
            <w:r/>
            <w:r>
              <w:rPr>
                <w:rFonts w:ascii="Aptos" w:hAnsi="Aptos"/>
                <w:b/>
                <w:color w:val="FFFFFF"/>
                <w:sz w:val="18"/>
              </w:rPr>
              <w:t>Component</w:t>
            </w:r>
          </w:p>
        </w:tc>
        <w:tc>
          <w:tcPr>
            <w:tcW w:type="dxa" w:w="7488"/>
            <w:shd w:fill="0F172A"/>
          </w:tcPr>
          <w:p>
            <w:r/>
            <w:r>
              <w:rPr>
                <w:rFonts w:ascii="Aptos" w:hAnsi="Aptos"/>
                <w:b/>
                <w:color w:val="FFFFFF"/>
                <w:sz w:val="18"/>
              </w:rPr>
              <w:t>Responsibility</w:t>
            </w:r>
          </w:p>
        </w:tc>
      </w:tr>
      <w:tr>
        <w:tc>
          <w:tcPr>
            <w:tcW w:type="dxa" w:w="2160"/>
            <w:vAlign w:val="center"/>
          </w:tcPr>
          <w:p>
            <w:r/>
            <w:r>
              <w:rPr>
                <w:rFonts w:ascii="Aptos" w:hAnsi="Aptos"/>
                <w:b w:val="0"/>
                <w:color w:val="0F172A"/>
                <w:sz w:val="17"/>
              </w:rPr>
              <w:t>NGINX</w:t>
            </w:r>
          </w:p>
        </w:tc>
        <w:tc>
          <w:tcPr>
            <w:tcW w:type="dxa" w:w="7488"/>
            <w:vAlign w:val="center"/>
          </w:tcPr>
          <w:p>
            <w:r/>
            <w:r>
              <w:rPr>
                <w:rFonts w:ascii="Aptos" w:hAnsi="Aptos"/>
                <w:b w:val="0"/>
                <w:color w:val="0F172A"/>
                <w:sz w:val="17"/>
              </w:rPr>
              <w:t>TLS termination, security headers, reverse proxy, static UI delivery.</w:t>
            </w:r>
          </w:p>
        </w:tc>
      </w:tr>
      <w:tr>
        <w:tc>
          <w:tcPr>
            <w:tcW w:type="dxa" w:w="2160"/>
            <w:vAlign w:val="center"/>
            <w:shd w:fill="F8FAFC"/>
          </w:tcPr>
          <w:p>
            <w:r/>
            <w:r>
              <w:rPr>
                <w:rFonts w:ascii="Aptos" w:hAnsi="Aptos"/>
                <w:b w:val="0"/>
                <w:color w:val="0F172A"/>
                <w:sz w:val="17"/>
              </w:rPr>
              <w:t>argus-api</w:t>
            </w:r>
          </w:p>
        </w:tc>
        <w:tc>
          <w:tcPr>
            <w:tcW w:type="dxa" w:w="7488"/>
            <w:vAlign w:val="center"/>
            <w:shd w:fill="F8FAFC"/>
          </w:tcPr>
          <w:p>
            <w:r/>
            <w:r>
              <w:rPr>
                <w:rFonts w:ascii="Aptos" w:hAnsi="Aptos"/>
                <w:b w:val="0"/>
                <w:color w:val="0F172A"/>
                <w:sz w:val="17"/>
              </w:rPr>
              <w:t>REST endpoints for agents and administrative clients.</w:t>
            </w:r>
          </w:p>
        </w:tc>
      </w:tr>
      <w:tr>
        <w:tc>
          <w:tcPr>
            <w:tcW w:type="dxa" w:w="2160"/>
            <w:vAlign w:val="center"/>
          </w:tcPr>
          <w:p>
            <w:r/>
            <w:r>
              <w:rPr>
                <w:rFonts w:ascii="Aptos" w:hAnsi="Aptos"/>
                <w:b w:val="0"/>
                <w:color w:val="0F172A"/>
                <w:sz w:val="17"/>
              </w:rPr>
              <w:t>argus-web</w:t>
            </w:r>
          </w:p>
        </w:tc>
        <w:tc>
          <w:tcPr>
            <w:tcW w:type="dxa" w:w="7488"/>
            <w:vAlign w:val="center"/>
          </w:tcPr>
          <w:p>
            <w:r/>
            <w:r>
              <w:rPr>
                <w:rFonts w:ascii="Aptos" w:hAnsi="Aptos"/>
                <w:b w:val="0"/>
                <w:color w:val="0F172A"/>
                <w:sz w:val="17"/>
              </w:rPr>
              <w:t>React/TypeScript administrative and NOC interface.</w:t>
            </w:r>
          </w:p>
        </w:tc>
      </w:tr>
      <w:tr>
        <w:tc>
          <w:tcPr>
            <w:tcW w:type="dxa" w:w="2160"/>
            <w:vAlign w:val="center"/>
            <w:shd w:fill="F8FAFC"/>
          </w:tcPr>
          <w:p>
            <w:r/>
            <w:r>
              <w:rPr>
                <w:rFonts w:ascii="Aptos" w:hAnsi="Aptos"/>
                <w:b w:val="0"/>
                <w:color w:val="0F172A"/>
                <w:sz w:val="17"/>
              </w:rPr>
              <w:t>argus-worker</w:t>
            </w:r>
          </w:p>
        </w:tc>
        <w:tc>
          <w:tcPr>
            <w:tcW w:type="dxa" w:w="7488"/>
            <w:vAlign w:val="center"/>
            <w:shd w:fill="F8FAFC"/>
          </w:tcPr>
          <w:p>
            <w:r/>
            <w:r>
              <w:rPr>
                <w:rFonts w:ascii="Aptos" w:hAnsi="Aptos"/>
                <w:b w:val="0"/>
                <w:color w:val="0F172A"/>
                <w:sz w:val="17"/>
              </w:rPr>
              <w:t>Scheduled health evaluation, incident correlation, notifications, retention jobs.</w:t>
            </w:r>
          </w:p>
        </w:tc>
      </w:tr>
      <w:tr>
        <w:tc>
          <w:tcPr>
            <w:tcW w:type="dxa" w:w="2160"/>
            <w:vAlign w:val="center"/>
          </w:tcPr>
          <w:p>
            <w:r/>
            <w:r>
              <w:rPr>
                <w:rFonts w:ascii="Aptos" w:hAnsi="Aptos"/>
                <w:b w:val="0"/>
                <w:color w:val="0F172A"/>
                <w:sz w:val="17"/>
              </w:rPr>
              <w:t>PostgreSQL</w:t>
            </w:r>
          </w:p>
        </w:tc>
        <w:tc>
          <w:tcPr>
            <w:tcW w:type="dxa" w:w="7488"/>
            <w:vAlign w:val="center"/>
          </w:tcPr>
          <w:p>
            <w:r/>
            <w:r>
              <w:rPr>
                <w:rFonts w:ascii="Aptos" w:hAnsi="Aptos"/>
                <w:b w:val="0"/>
                <w:color w:val="0F172A"/>
                <w:sz w:val="17"/>
              </w:rPr>
              <w:t>Persistent relational state, history, incidents, audit and configuration summaries.</w:t>
            </w:r>
          </w:p>
        </w:tc>
      </w:tr>
      <w:tr>
        <w:tc>
          <w:tcPr>
            <w:tcW w:type="dxa" w:w="2160"/>
            <w:vAlign w:val="center"/>
            <w:shd w:fill="F8FAFC"/>
          </w:tcPr>
          <w:p>
            <w:r/>
            <w:r>
              <w:rPr>
                <w:rFonts w:ascii="Aptos" w:hAnsi="Aptos"/>
                <w:b w:val="0"/>
                <w:color w:val="0F172A"/>
                <w:sz w:val="17"/>
              </w:rPr>
              <w:t>Redis</w:t>
            </w:r>
          </w:p>
        </w:tc>
        <w:tc>
          <w:tcPr>
            <w:tcW w:type="dxa" w:w="7488"/>
            <w:vAlign w:val="center"/>
            <w:shd w:fill="F8FAFC"/>
          </w:tcPr>
          <w:p>
            <w:r/>
            <w:r>
              <w:rPr>
                <w:rFonts w:ascii="Aptos" w:hAnsi="Aptos"/>
                <w:b w:val="0"/>
                <w:color w:val="0F172A"/>
                <w:sz w:val="17"/>
              </w:rPr>
              <w:t>Queue/cache/short-lived coordination when enabled.</w:t>
            </w:r>
          </w:p>
        </w:tc>
      </w:tr>
    </w:tbl>
    <w:p/>
    <w:p>
      <w:pPr>
        <w:pStyle w:val="Heading1"/>
        <w:spacing w:before="160" w:after="100"/>
      </w:pPr>
      <w:r>
        <w:t>4. Hierarchy and Domain Model</w:t>
      </w:r>
    </w:p>
    <w:p>
      <w:pPr>
        <w:jc w:val="center"/>
      </w:pPr>
      <w:r>
        <w:drawing>
          <wp:inline xmlns:a="http://schemas.openxmlformats.org/drawingml/2006/main" xmlns:pic="http://schemas.openxmlformats.org/drawingml/2006/picture">
            <wp:extent cx="6126480" cy="2687053"/>
            <wp:docPr id="4" name="Picture 4"/>
            <wp:cNvGraphicFramePr>
              <a:graphicFrameLocks noChangeAspect="1"/>
            </wp:cNvGraphicFramePr>
            <a:graphic>
              <a:graphicData uri="http://schemas.openxmlformats.org/drawingml/2006/picture">
                <pic:pic>
                  <pic:nvPicPr>
                    <pic:cNvPr id="0" name="D12_health_hierarchy.png"/>
                    <pic:cNvPicPr/>
                  </pic:nvPicPr>
                  <pic:blipFill>
                    <a:blip r:embed="rId14"/>
                    <a:stretch>
                      <a:fillRect/>
                    </a:stretch>
                  </pic:blipFill>
                  <pic:spPr>
                    <a:xfrm>
                      <a:off x="0" y="0"/>
                      <a:ext cx="6126480" cy="2687053"/>
                    </a:xfrm>
                    <a:prstGeom prst="rect"/>
                  </pic:spPr>
                </pic:pic>
              </a:graphicData>
            </a:graphic>
          </wp:inline>
        </w:drawing>
      </w:r>
    </w:p>
    <w:p>
      <w:pPr>
        <w:jc w:val="center"/>
      </w:pPr>
      <w:r>
        <w:rPr>
          <w:i/>
          <w:color w:val="64748B"/>
          <w:sz w:val="17"/>
        </w:rPr>
        <w:t>Figure 4.1 - Site health hierarchy</w:t>
      </w:r>
    </w:p>
    <w:p>
      <w:pPr>
        <w:spacing w:after="100" w:line="252" w:lineRule="auto"/>
      </w:pPr>
      <w:r>
        <w:t>ARGUS should use Site as its primary operational unit. A Site can correspond to an airport terminal, store group, office or other logical installation. A Site normally contains one managed UniFi Console in V1, but the data model must permit multiple consoles if later needed.</w:t>
      </w:r>
    </w:p>
    <w:tbl>
      <w:tblPr>
        <w:tblStyle w:val="TableGrid"/>
        <w:tblW w:type="auto" w:w="0"/>
        <w:jc w:val="center"/>
        <w:tblLook w:firstColumn="1" w:firstRow="1" w:lastColumn="0" w:lastRow="0" w:noHBand="0" w:noVBand="1" w:val="04A0"/>
      </w:tblPr>
      <w:tblGrid>
        <w:gridCol w:w="5112"/>
        <w:gridCol w:w="5112"/>
      </w:tblGrid>
      <w:tr>
        <w:tc>
          <w:tcPr>
            <w:tcW w:type="dxa" w:w="2160"/>
            <w:shd w:fill="0F172A"/>
          </w:tcPr>
          <w:p>
            <w:r/>
            <w:r>
              <w:rPr>
                <w:rFonts w:ascii="Aptos" w:hAnsi="Aptos"/>
                <w:b/>
                <w:color w:val="FFFFFF"/>
                <w:sz w:val="18"/>
              </w:rPr>
              <w:t>Entity</w:t>
            </w:r>
          </w:p>
        </w:tc>
        <w:tc>
          <w:tcPr>
            <w:tcW w:type="dxa" w:w="7488"/>
            <w:shd w:fill="0F172A"/>
          </w:tcPr>
          <w:p>
            <w:r/>
            <w:r>
              <w:rPr>
                <w:rFonts w:ascii="Aptos" w:hAnsi="Aptos"/>
                <w:b/>
                <w:color w:val="FFFFFF"/>
                <w:sz w:val="18"/>
              </w:rPr>
              <w:t>Purpose</w:t>
            </w:r>
          </w:p>
        </w:tc>
      </w:tr>
      <w:tr>
        <w:tc>
          <w:tcPr>
            <w:tcW w:type="dxa" w:w="2160"/>
            <w:vAlign w:val="center"/>
          </w:tcPr>
          <w:p>
            <w:r/>
            <w:r>
              <w:rPr>
                <w:rFonts w:ascii="Aptos" w:hAnsi="Aptos"/>
                <w:b w:val="0"/>
                <w:color w:val="0F172A"/>
                <w:sz w:val="17"/>
              </w:rPr>
              <w:t>Organization</w:t>
            </w:r>
          </w:p>
        </w:tc>
        <w:tc>
          <w:tcPr>
            <w:tcW w:type="dxa" w:w="7488"/>
            <w:vAlign w:val="center"/>
          </w:tcPr>
          <w:p>
            <w:r/>
            <w:r>
              <w:rPr>
                <w:rFonts w:ascii="Aptos" w:hAnsi="Aptos"/>
                <w:b w:val="0"/>
                <w:color w:val="0F172A"/>
                <w:sz w:val="17"/>
              </w:rPr>
              <w:t>Top-level tenant boundary; initially Master ConcessionAir.</w:t>
            </w:r>
          </w:p>
        </w:tc>
      </w:tr>
      <w:tr>
        <w:tc>
          <w:tcPr>
            <w:tcW w:type="dxa" w:w="2160"/>
            <w:vAlign w:val="center"/>
            <w:shd w:fill="F8FAFC"/>
          </w:tcPr>
          <w:p>
            <w:r/>
            <w:r>
              <w:rPr>
                <w:rFonts w:ascii="Aptos" w:hAnsi="Aptos"/>
                <w:b w:val="0"/>
                <w:color w:val="0F172A"/>
                <w:sz w:val="17"/>
              </w:rPr>
              <w:t>Site</w:t>
            </w:r>
          </w:p>
        </w:tc>
        <w:tc>
          <w:tcPr>
            <w:tcW w:type="dxa" w:w="7488"/>
            <w:vAlign w:val="center"/>
            <w:shd w:fill="F8FAFC"/>
          </w:tcPr>
          <w:p>
            <w:r/>
            <w:r>
              <w:rPr>
                <w:rFonts w:ascii="Aptos" w:hAnsi="Aptos"/>
                <w:b w:val="0"/>
                <w:color w:val="0F172A"/>
                <w:sz w:val="17"/>
              </w:rPr>
              <w:t>Operational location shown in NOC and health rollups.</w:t>
            </w:r>
          </w:p>
        </w:tc>
      </w:tr>
      <w:tr>
        <w:tc>
          <w:tcPr>
            <w:tcW w:type="dxa" w:w="2160"/>
            <w:vAlign w:val="center"/>
          </w:tcPr>
          <w:p>
            <w:r/>
            <w:r>
              <w:rPr>
                <w:rFonts w:ascii="Aptos" w:hAnsi="Aptos"/>
                <w:b w:val="0"/>
                <w:color w:val="0F172A"/>
                <w:sz w:val="17"/>
              </w:rPr>
              <w:t>Console</w:t>
            </w:r>
          </w:p>
        </w:tc>
        <w:tc>
          <w:tcPr>
            <w:tcW w:type="dxa" w:w="7488"/>
            <w:vAlign w:val="center"/>
          </w:tcPr>
          <w:p>
            <w:r/>
            <w:r>
              <w:rPr>
                <w:rFonts w:ascii="Aptos" w:hAnsi="Aptos"/>
                <w:b w:val="0"/>
                <w:color w:val="0F172A"/>
                <w:sz w:val="17"/>
              </w:rPr>
              <w:t>UDM/UCG/UDR/other UniFi control-plane host.</w:t>
            </w:r>
          </w:p>
        </w:tc>
      </w:tr>
      <w:tr>
        <w:tc>
          <w:tcPr>
            <w:tcW w:type="dxa" w:w="2160"/>
            <w:vAlign w:val="center"/>
            <w:shd w:fill="F8FAFC"/>
          </w:tcPr>
          <w:p>
            <w:r/>
            <w:r>
              <w:rPr>
                <w:rFonts w:ascii="Aptos" w:hAnsi="Aptos"/>
                <w:b w:val="0"/>
                <w:color w:val="0F172A"/>
                <w:sz w:val="17"/>
              </w:rPr>
              <w:t>Agent</w:t>
            </w:r>
          </w:p>
        </w:tc>
        <w:tc>
          <w:tcPr>
            <w:tcW w:type="dxa" w:w="7488"/>
            <w:vAlign w:val="center"/>
            <w:shd w:fill="F8FAFC"/>
          </w:tcPr>
          <w:p>
            <w:r/>
            <w:r>
              <w:rPr>
                <w:rFonts w:ascii="Aptos" w:hAnsi="Aptos"/>
                <w:b w:val="0"/>
                <w:color w:val="0F172A"/>
                <w:sz w:val="17"/>
              </w:rPr>
              <w:t>ARGUS software identity associated with a console.</w:t>
            </w:r>
          </w:p>
        </w:tc>
      </w:tr>
      <w:tr>
        <w:tc>
          <w:tcPr>
            <w:tcW w:type="dxa" w:w="2160"/>
            <w:vAlign w:val="center"/>
          </w:tcPr>
          <w:p>
            <w:r/>
            <w:r>
              <w:rPr>
                <w:rFonts w:ascii="Aptos" w:hAnsi="Aptos"/>
                <w:b w:val="0"/>
                <w:color w:val="0F172A"/>
                <w:sz w:val="17"/>
              </w:rPr>
              <w:t>Application</w:t>
            </w:r>
          </w:p>
        </w:tc>
        <w:tc>
          <w:tcPr>
            <w:tcW w:type="dxa" w:w="7488"/>
            <w:vAlign w:val="center"/>
          </w:tcPr>
          <w:p>
            <w:r/>
            <w:r>
              <w:rPr>
                <w:rFonts w:ascii="Aptos" w:hAnsi="Aptos"/>
                <w:b w:val="0"/>
                <w:color w:val="0F172A"/>
                <w:sz w:val="17"/>
              </w:rPr>
              <w:t>Network, Protect or other locally available UniFi application.</w:t>
            </w:r>
          </w:p>
        </w:tc>
      </w:tr>
      <w:tr>
        <w:tc>
          <w:tcPr>
            <w:tcW w:type="dxa" w:w="2160"/>
            <w:vAlign w:val="center"/>
            <w:shd w:fill="F8FAFC"/>
          </w:tcPr>
          <w:p>
            <w:r/>
            <w:r>
              <w:rPr>
                <w:rFonts w:ascii="Aptos" w:hAnsi="Aptos"/>
                <w:b w:val="0"/>
                <w:color w:val="0F172A"/>
                <w:sz w:val="17"/>
              </w:rPr>
              <w:t>Device</w:t>
            </w:r>
          </w:p>
        </w:tc>
        <w:tc>
          <w:tcPr>
            <w:tcW w:type="dxa" w:w="7488"/>
            <w:vAlign w:val="center"/>
            <w:shd w:fill="F8FAFC"/>
          </w:tcPr>
          <w:p>
            <w:r/>
            <w:r>
              <w:rPr>
                <w:rFonts w:ascii="Aptos" w:hAnsi="Aptos"/>
                <w:b w:val="0"/>
                <w:color w:val="0F172A"/>
                <w:sz w:val="17"/>
              </w:rPr>
              <w:t>Gateway, switch, AP, camera and selected future UniFi asset.</w:t>
            </w:r>
          </w:p>
        </w:tc>
      </w:tr>
      <w:tr>
        <w:tc>
          <w:tcPr>
            <w:tcW w:type="dxa" w:w="2160"/>
            <w:vAlign w:val="center"/>
          </w:tcPr>
          <w:p>
            <w:r/>
            <w:r>
              <w:rPr>
                <w:rFonts w:ascii="Aptos" w:hAnsi="Aptos"/>
                <w:b w:val="0"/>
                <w:color w:val="0F172A"/>
                <w:sz w:val="17"/>
              </w:rPr>
              <w:t>WAN interface</w:t>
            </w:r>
          </w:p>
        </w:tc>
        <w:tc>
          <w:tcPr>
            <w:tcW w:type="dxa" w:w="7488"/>
            <w:vAlign w:val="center"/>
          </w:tcPr>
          <w:p>
            <w:r/>
            <w:r>
              <w:rPr>
                <w:rFonts w:ascii="Aptos" w:hAnsi="Aptos"/>
                <w:b w:val="0"/>
                <w:color w:val="0F172A"/>
                <w:sz w:val="17"/>
              </w:rPr>
              <w:t>Internet uplink monitored independently.</w:t>
            </w:r>
          </w:p>
        </w:tc>
      </w:tr>
      <w:tr>
        <w:tc>
          <w:tcPr>
            <w:tcW w:type="dxa" w:w="2160"/>
            <w:vAlign w:val="center"/>
            <w:shd w:fill="F8FAFC"/>
          </w:tcPr>
          <w:p>
            <w:r/>
            <w:r>
              <w:rPr>
                <w:rFonts w:ascii="Aptos" w:hAnsi="Aptos"/>
                <w:b w:val="0"/>
                <w:color w:val="0F172A"/>
                <w:sz w:val="17"/>
              </w:rPr>
              <w:t>VPN tunnel</w:t>
            </w:r>
          </w:p>
        </w:tc>
        <w:tc>
          <w:tcPr>
            <w:tcW w:type="dxa" w:w="7488"/>
            <w:vAlign w:val="center"/>
            <w:shd w:fill="F8FAFC"/>
          </w:tcPr>
          <w:p>
            <w:r/>
            <w:r>
              <w:rPr>
                <w:rFonts w:ascii="Aptos" w:hAnsi="Aptos"/>
                <w:b w:val="0"/>
                <w:color w:val="0F172A"/>
                <w:sz w:val="17"/>
              </w:rPr>
              <w:t>First-class monitored object with control/data-plane health.</w:t>
            </w:r>
          </w:p>
        </w:tc>
      </w:tr>
      <w:tr>
        <w:tc>
          <w:tcPr>
            <w:tcW w:type="dxa" w:w="2160"/>
            <w:vAlign w:val="center"/>
          </w:tcPr>
          <w:p>
            <w:r/>
            <w:r>
              <w:rPr>
                <w:rFonts w:ascii="Aptos" w:hAnsi="Aptos"/>
                <w:b w:val="0"/>
                <w:color w:val="0F172A"/>
                <w:sz w:val="17"/>
              </w:rPr>
              <w:t>Monitoring profile</w:t>
            </w:r>
          </w:p>
        </w:tc>
        <w:tc>
          <w:tcPr>
            <w:tcW w:type="dxa" w:w="7488"/>
            <w:vAlign w:val="center"/>
          </w:tcPr>
          <w:p>
            <w:r/>
            <w:r>
              <w:rPr>
                <w:rFonts w:ascii="Aptos" w:hAnsi="Aptos"/>
                <w:b w:val="0"/>
                <w:color w:val="0F172A"/>
                <w:sz w:val="17"/>
              </w:rPr>
              <w:t>Inherited cadence, thresholds and default device-selection rules.</w:t>
            </w:r>
          </w:p>
        </w:tc>
      </w:tr>
    </w:tbl>
    <w:p/>
    <w:p>
      <w:pPr>
        <w:jc w:val="center"/>
      </w:pPr>
      <w:r>
        <w:drawing>
          <wp:inline xmlns:a="http://schemas.openxmlformats.org/drawingml/2006/main" xmlns:pic="http://schemas.openxmlformats.org/drawingml/2006/picture">
            <wp:extent cx="6035040" cy="4474831"/>
            <wp:docPr id="5" name="Picture 5"/>
            <wp:cNvGraphicFramePr>
              <a:graphicFrameLocks noChangeAspect="1"/>
            </wp:cNvGraphicFramePr>
            <a:graphic>
              <a:graphicData uri="http://schemas.openxmlformats.org/drawingml/2006/picture">
                <pic:pic>
                  <pic:nvPicPr>
                    <pic:cNvPr id="0" name="D08_data_model.png"/>
                    <pic:cNvPicPr/>
                  </pic:nvPicPr>
                  <pic:blipFill>
                    <a:blip r:embed="rId15"/>
                    <a:stretch>
                      <a:fillRect/>
                    </a:stretch>
                  </pic:blipFill>
                  <pic:spPr>
                    <a:xfrm>
                      <a:off x="0" y="0"/>
                      <a:ext cx="6035040" cy="4474831"/>
                    </a:xfrm>
                    <a:prstGeom prst="rect"/>
                  </pic:spPr>
                </pic:pic>
              </a:graphicData>
            </a:graphic>
          </wp:inline>
        </w:drawing>
      </w:r>
    </w:p>
    <w:p>
      <w:pPr>
        <w:jc w:val="center"/>
      </w:pPr>
      <w:r>
        <w:rPr>
          <w:i/>
          <w:color w:val="64748B"/>
          <w:sz w:val="17"/>
        </w:rPr>
        <w:t>Figure 4.2 - Core relational data model</w:t>
      </w:r>
    </w:p>
    <w:p>
      <w:pPr>
        <w:pStyle w:val="Heading1"/>
        <w:spacing w:before="160" w:after="100"/>
      </w:pPr>
      <w:r>
        <w:t>5. Agent Architecture</w:t>
      </w:r>
    </w:p>
    <w:p>
      <w:pPr>
        <w:jc w:val="center"/>
      </w:pPr>
      <w:r>
        <w:drawing>
          <wp:inline xmlns:a="http://schemas.openxmlformats.org/drawingml/2006/main" xmlns:pic="http://schemas.openxmlformats.org/drawingml/2006/picture">
            <wp:extent cx="6126480" cy="4412273"/>
            <wp:docPr id="6" name="Picture 6"/>
            <wp:cNvGraphicFramePr>
              <a:graphicFrameLocks noChangeAspect="1"/>
            </wp:cNvGraphicFramePr>
            <a:graphic>
              <a:graphicData uri="http://schemas.openxmlformats.org/drawingml/2006/picture">
                <pic:pic>
                  <pic:nvPicPr>
                    <pic:cNvPr id="0" name="D04_agent_components.png"/>
                    <pic:cNvPicPr/>
                  </pic:nvPicPr>
                  <pic:blipFill>
                    <a:blip r:embed="rId16"/>
                    <a:stretch>
                      <a:fillRect/>
                    </a:stretch>
                  </pic:blipFill>
                  <pic:spPr>
                    <a:xfrm>
                      <a:off x="0" y="0"/>
                      <a:ext cx="6126480" cy="4412273"/>
                    </a:xfrm>
                    <a:prstGeom prst="rect"/>
                  </pic:spPr>
                </pic:pic>
              </a:graphicData>
            </a:graphic>
          </wp:inline>
        </w:drawing>
      </w:r>
    </w:p>
    <w:p>
      <w:pPr>
        <w:jc w:val="center"/>
      </w:pPr>
      <w:r>
        <w:rPr>
          <w:i/>
          <w:color w:val="64748B"/>
          <w:sz w:val="17"/>
        </w:rPr>
        <w:t>Figure 5.1 - Agent internal components</w:t>
      </w:r>
    </w:p>
    <w:p>
      <w:pPr>
        <w:spacing w:after="100" w:line="252" w:lineRule="auto"/>
      </w:pPr>
      <w:r>
        <w:t>The Agent should be a small, self-supervising service with a local spool. Python is acceptable for V1 because it accelerates API integration and iteration; a later Go implementation remains possible if a single static binary becomes operationally advantageous.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0F172A"/>
          </w:tcPr>
          <w:p>
            <w:r/>
            <w:r>
              <w:rPr>
                <w:rFonts w:ascii="Aptos" w:hAnsi="Aptos"/>
                <w:b/>
                <w:color w:val="FFFFFF"/>
                <w:sz w:val="18"/>
              </w:rPr>
              <w:t>Collector</w:t>
            </w:r>
          </w:p>
        </w:tc>
        <w:tc>
          <w:tcPr>
            <w:tcW w:type="dxa" w:w="1728"/>
            <w:shd w:fill="0F172A"/>
          </w:tcPr>
          <w:p>
            <w:r/>
            <w:r>
              <w:rPr>
                <w:rFonts w:ascii="Aptos" w:hAnsi="Aptos"/>
                <w:b/>
                <w:color w:val="FFFFFF"/>
                <w:sz w:val="18"/>
              </w:rPr>
              <w:t>Typical cadence</w:t>
            </w:r>
          </w:p>
        </w:tc>
        <w:tc>
          <w:tcPr>
            <w:tcW w:type="dxa" w:w="5760"/>
            <w:shd w:fill="0F172A"/>
          </w:tcPr>
          <w:p>
            <w:r/>
            <w:r>
              <w:rPr>
                <w:rFonts w:ascii="Aptos" w:hAnsi="Aptos"/>
                <w:b/>
                <w:color w:val="FFFFFF"/>
                <w:sz w:val="18"/>
              </w:rPr>
              <w:t>Output</w:t>
            </w:r>
          </w:p>
        </w:tc>
      </w:tr>
      <w:tr>
        <w:tc>
          <w:tcPr>
            <w:tcW w:type="dxa" w:w="2160"/>
            <w:vAlign w:val="center"/>
          </w:tcPr>
          <w:p>
            <w:r/>
            <w:r>
              <w:rPr>
                <w:rFonts w:ascii="Aptos" w:hAnsi="Aptos"/>
                <w:b w:val="0"/>
                <w:color w:val="0F172A"/>
                <w:sz w:val="17"/>
              </w:rPr>
              <w:t>Heartbeat</w:t>
            </w:r>
          </w:p>
        </w:tc>
        <w:tc>
          <w:tcPr>
            <w:tcW w:type="dxa" w:w="1728"/>
            <w:vAlign w:val="center"/>
          </w:tcPr>
          <w:p>
            <w:r/>
            <w:r>
              <w:rPr>
                <w:rFonts w:ascii="Aptos" w:hAnsi="Aptos"/>
                <w:b w:val="0"/>
                <w:color w:val="0F172A"/>
                <w:sz w:val="17"/>
              </w:rPr>
              <w:t>15 s + jitter</w:t>
            </w:r>
          </w:p>
        </w:tc>
        <w:tc>
          <w:tcPr>
            <w:tcW w:type="dxa" w:w="5760"/>
            <w:vAlign w:val="center"/>
          </w:tcPr>
          <w:p>
            <w:r/>
            <w:r>
              <w:rPr>
                <w:rFonts w:ascii="Aptos" w:hAnsi="Aptos"/>
                <w:b w:val="0"/>
                <w:color w:val="0F172A"/>
                <w:sz w:val="17"/>
              </w:rPr>
              <w:t>Agent version, timestamp, console identity, basic availability.</w:t>
            </w:r>
          </w:p>
        </w:tc>
      </w:tr>
      <w:tr>
        <w:tc>
          <w:tcPr>
            <w:tcW w:type="dxa" w:w="2160"/>
            <w:vAlign w:val="center"/>
            <w:shd w:fill="F8FAFC"/>
          </w:tcPr>
          <w:p>
            <w:r/>
            <w:r>
              <w:rPr>
                <w:rFonts w:ascii="Aptos" w:hAnsi="Aptos"/>
                <w:b w:val="0"/>
                <w:color w:val="0F172A"/>
                <w:sz w:val="17"/>
              </w:rPr>
              <w:t>Console / OS</w:t>
            </w:r>
          </w:p>
        </w:tc>
        <w:tc>
          <w:tcPr>
            <w:tcW w:type="dxa" w:w="1728"/>
            <w:vAlign w:val="center"/>
            <w:shd w:fill="F8FAFC"/>
          </w:tcPr>
          <w:p>
            <w:r/>
            <w:r>
              <w:rPr>
                <w:rFonts w:ascii="Aptos" w:hAnsi="Aptos"/>
                <w:b w:val="0"/>
                <w:color w:val="0F172A"/>
                <w:sz w:val="17"/>
              </w:rPr>
              <w:t>30-60 s</w:t>
            </w:r>
          </w:p>
        </w:tc>
        <w:tc>
          <w:tcPr>
            <w:tcW w:type="dxa" w:w="5760"/>
            <w:vAlign w:val="center"/>
            <w:shd w:fill="F8FAFC"/>
          </w:tcPr>
          <w:p>
            <w:r/>
            <w:r>
              <w:rPr>
                <w:rFonts w:ascii="Aptos" w:hAnsi="Aptos"/>
                <w:b w:val="0"/>
                <w:color w:val="0F172A"/>
                <w:sz w:val="17"/>
              </w:rPr>
              <w:t>Console model/version/state and resource-health indicators needed for monitoring.</w:t>
            </w:r>
          </w:p>
        </w:tc>
      </w:tr>
      <w:tr>
        <w:tc>
          <w:tcPr>
            <w:tcW w:type="dxa" w:w="2160"/>
            <w:vAlign w:val="center"/>
          </w:tcPr>
          <w:p>
            <w:r/>
            <w:r>
              <w:rPr>
                <w:rFonts w:ascii="Aptos" w:hAnsi="Aptos"/>
                <w:b w:val="0"/>
                <w:color w:val="0F172A"/>
                <w:sz w:val="17"/>
              </w:rPr>
              <w:t>WAN</w:t>
            </w:r>
          </w:p>
        </w:tc>
        <w:tc>
          <w:tcPr>
            <w:tcW w:type="dxa" w:w="1728"/>
            <w:vAlign w:val="center"/>
          </w:tcPr>
          <w:p>
            <w:r/>
            <w:r>
              <w:rPr>
                <w:rFonts w:ascii="Aptos" w:hAnsi="Aptos"/>
                <w:b w:val="0"/>
                <w:color w:val="0F172A"/>
                <w:sz w:val="17"/>
              </w:rPr>
              <w:t>15-30 s</w:t>
            </w:r>
          </w:p>
        </w:tc>
        <w:tc>
          <w:tcPr>
            <w:tcW w:type="dxa" w:w="5760"/>
            <w:vAlign w:val="center"/>
          </w:tcPr>
          <w:p>
            <w:r/>
            <w:r>
              <w:rPr>
                <w:rFonts w:ascii="Aptos" w:hAnsi="Aptos"/>
                <w:b w:val="0"/>
                <w:color w:val="0F172A"/>
                <w:sz w:val="17"/>
              </w:rPr>
              <w:t>Interface state and approved latency/loss probes.</w:t>
            </w:r>
          </w:p>
        </w:tc>
      </w:tr>
      <w:tr>
        <w:tc>
          <w:tcPr>
            <w:tcW w:type="dxa" w:w="2160"/>
            <w:vAlign w:val="center"/>
            <w:shd w:fill="F8FAFC"/>
          </w:tcPr>
          <w:p>
            <w:r/>
            <w:r>
              <w:rPr>
                <w:rFonts w:ascii="Aptos" w:hAnsi="Aptos"/>
                <w:b w:val="0"/>
                <w:color w:val="0F172A"/>
                <w:sz w:val="17"/>
              </w:rPr>
              <w:t>VPN</w:t>
            </w:r>
          </w:p>
        </w:tc>
        <w:tc>
          <w:tcPr>
            <w:tcW w:type="dxa" w:w="1728"/>
            <w:vAlign w:val="center"/>
            <w:shd w:fill="F8FAFC"/>
          </w:tcPr>
          <w:p>
            <w:r/>
            <w:r>
              <w:rPr>
                <w:rFonts w:ascii="Aptos" w:hAnsi="Aptos"/>
                <w:b w:val="0"/>
                <w:color w:val="0F172A"/>
                <w:sz w:val="17"/>
              </w:rPr>
              <w:t>15-30 s</w:t>
            </w:r>
          </w:p>
        </w:tc>
        <w:tc>
          <w:tcPr>
            <w:tcW w:type="dxa" w:w="5760"/>
            <w:vAlign w:val="center"/>
            <w:shd w:fill="F8FAFC"/>
          </w:tcPr>
          <w:p>
            <w:r/>
            <w:r>
              <w:rPr>
                <w:rFonts w:ascii="Aptos" w:hAnsi="Aptos"/>
                <w:b w:val="0"/>
                <w:color w:val="0F172A"/>
                <w:sz w:val="17"/>
              </w:rPr>
              <w:t>Tunnel state plus optional remote probe results.</w:t>
            </w:r>
          </w:p>
        </w:tc>
      </w:tr>
      <w:tr>
        <w:tc>
          <w:tcPr>
            <w:tcW w:type="dxa" w:w="2160"/>
            <w:vAlign w:val="center"/>
          </w:tcPr>
          <w:p>
            <w:r/>
            <w:r>
              <w:rPr>
                <w:rFonts w:ascii="Aptos" w:hAnsi="Aptos"/>
                <w:b w:val="0"/>
                <w:color w:val="0F172A"/>
                <w:sz w:val="17"/>
              </w:rPr>
              <w:t>Devices</w:t>
            </w:r>
          </w:p>
        </w:tc>
        <w:tc>
          <w:tcPr>
            <w:tcW w:type="dxa" w:w="1728"/>
            <w:vAlign w:val="center"/>
          </w:tcPr>
          <w:p>
            <w:r/>
            <w:r>
              <w:rPr>
                <w:rFonts w:ascii="Aptos" w:hAnsi="Aptos"/>
                <w:b w:val="0"/>
                <w:color w:val="0F172A"/>
                <w:sz w:val="17"/>
              </w:rPr>
              <w:t>30-60 s</w:t>
            </w:r>
          </w:p>
        </w:tc>
        <w:tc>
          <w:tcPr>
            <w:tcW w:type="dxa" w:w="5760"/>
            <w:vAlign w:val="center"/>
          </w:tcPr>
          <w:p>
            <w:r/>
            <w:r>
              <w:rPr>
                <w:rFonts w:ascii="Aptos" w:hAnsi="Aptos"/>
                <w:b w:val="0"/>
                <w:color w:val="0F172A"/>
                <w:sz w:val="17"/>
              </w:rPr>
              <w:t>Selected-device health and reachability/state.</w:t>
            </w:r>
          </w:p>
        </w:tc>
      </w:tr>
      <w:tr>
        <w:tc>
          <w:tcPr>
            <w:tcW w:type="dxa" w:w="2160"/>
            <w:vAlign w:val="center"/>
            <w:shd w:fill="F8FAFC"/>
          </w:tcPr>
          <w:p>
            <w:r/>
            <w:r>
              <w:rPr>
                <w:rFonts w:ascii="Aptos" w:hAnsi="Aptos"/>
                <w:b w:val="0"/>
                <w:color w:val="0F172A"/>
                <w:sz w:val="17"/>
              </w:rPr>
              <w:t>Protect</w:t>
            </w:r>
          </w:p>
        </w:tc>
        <w:tc>
          <w:tcPr>
            <w:tcW w:type="dxa" w:w="1728"/>
            <w:vAlign w:val="center"/>
            <w:shd w:fill="F8FAFC"/>
          </w:tcPr>
          <w:p>
            <w:r/>
            <w:r>
              <w:rPr>
                <w:rFonts w:ascii="Aptos" w:hAnsi="Aptos"/>
                <w:b w:val="0"/>
                <w:color w:val="0F172A"/>
                <w:sz w:val="17"/>
              </w:rPr>
              <w:t>30-60 s</w:t>
            </w:r>
          </w:p>
        </w:tc>
        <w:tc>
          <w:tcPr>
            <w:tcW w:type="dxa" w:w="5760"/>
            <w:vAlign w:val="center"/>
            <w:shd w:fill="F8FAFC"/>
          </w:tcPr>
          <w:p>
            <w:r/>
            <w:r>
              <w:rPr>
                <w:rFonts w:ascii="Aptos" w:hAnsi="Aptos"/>
                <w:b w:val="0"/>
                <w:color w:val="0F172A"/>
                <w:sz w:val="17"/>
              </w:rPr>
              <w:t>Selected camera/device health and recording-relevant state where available.</w:t>
            </w:r>
          </w:p>
        </w:tc>
      </w:tr>
      <w:tr>
        <w:tc>
          <w:tcPr>
            <w:tcW w:type="dxa" w:w="2160"/>
            <w:vAlign w:val="center"/>
          </w:tcPr>
          <w:p>
            <w:r/>
            <w:r>
              <w:rPr>
                <w:rFonts w:ascii="Aptos" w:hAnsi="Aptos"/>
                <w:b w:val="0"/>
                <w:color w:val="0F172A"/>
                <w:sz w:val="17"/>
              </w:rPr>
              <w:t>Inventory</w:t>
            </w:r>
          </w:p>
        </w:tc>
        <w:tc>
          <w:tcPr>
            <w:tcW w:type="dxa" w:w="1728"/>
            <w:vAlign w:val="center"/>
          </w:tcPr>
          <w:p>
            <w:r/>
            <w:r>
              <w:rPr>
                <w:rFonts w:ascii="Aptos" w:hAnsi="Aptos"/>
                <w:b w:val="0"/>
                <w:color w:val="0F172A"/>
                <w:sz w:val="17"/>
              </w:rPr>
              <w:t>~5 min incremental / ~1 h full</w:t>
            </w:r>
          </w:p>
        </w:tc>
        <w:tc>
          <w:tcPr>
            <w:tcW w:type="dxa" w:w="5760"/>
            <w:vAlign w:val="center"/>
          </w:tcPr>
          <w:p>
            <w:r/>
            <w:r>
              <w:rPr>
                <w:rFonts w:ascii="Aptos" w:hAnsi="Aptos"/>
                <w:b w:val="0"/>
                <w:color w:val="0F172A"/>
                <w:sz w:val="17"/>
              </w:rPr>
              <w:t>Discovered devices, applications and metadata.</w:t>
            </w:r>
          </w:p>
        </w:tc>
      </w:tr>
      <w:tr>
        <w:tc>
          <w:tcPr>
            <w:tcW w:type="dxa" w:w="2160"/>
            <w:vAlign w:val="center"/>
            <w:shd w:fill="F8FAFC"/>
          </w:tcPr>
          <w:p>
            <w:r/>
            <w:r>
              <w:rPr>
                <w:rFonts w:ascii="Aptos" w:hAnsi="Aptos"/>
                <w:b w:val="0"/>
                <w:color w:val="0F172A"/>
                <w:sz w:val="17"/>
              </w:rPr>
              <w:t>Config summary</w:t>
            </w:r>
          </w:p>
        </w:tc>
        <w:tc>
          <w:tcPr>
            <w:tcW w:type="dxa" w:w="1728"/>
            <w:vAlign w:val="center"/>
            <w:shd w:fill="F8FAFC"/>
          </w:tcPr>
          <w:p>
            <w:r/>
            <w:r>
              <w:rPr>
                <w:rFonts w:ascii="Aptos" w:hAnsi="Aptos"/>
                <w:b w:val="0"/>
                <w:color w:val="0F172A"/>
                <w:sz w:val="17"/>
              </w:rPr>
              <w:t>~15 min or triggered</w:t>
            </w:r>
          </w:p>
        </w:tc>
        <w:tc>
          <w:tcPr>
            <w:tcW w:type="dxa" w:w="5760"/>
            <w:vAlign w:val="center"/>
            <w:shd w:fill="F8FAFC"/>
          </w:tcPr>
          <w:p>
            <w:r/>
            <w:r>
              <w:rPr>
                <w:rFonts w:ascii="Aptos" w:hAnsi="Aptos"/>
                <w:b w:val="0"/>
                <w:color w:val="0F172A"/>
                <w:sz w:val="17"/>
              </w:rPr>
              <w:t>Normalized non-secret configuration summary and hash.</w:t>
            </w:r>
          </w:p>
        </w:tc>
      </w:tr>
    </w:tbl>
    <w:p/>
    <w:p>
      <w:pPr>
        <w:jc w:val="center"/>
      </w:pPr>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D17_offline_recovery.png"/>
                    <pic:cNvPicPr/>
                  </pic:nvPicPr>
                  <pic:blipFill>
                    <a:blip r:embed="rId17"/>
                    <a:stretch>
                      <a:fillRect/>
                    </a:stretch>
                  </pic:blipFill>
                  <pic:spPr>
                    <a:xfrm>
                      <a:off x="0" y="0"/>
                      <a:ext cx="6126480" cy="3446145"/>
                    </a:xfrm>
                    <a:prstGeom prst="rect"/>
                  </pic:spPr>
                </pic:pic>
              </a:graphicData>
            </a:graphic>
          </wp:inline>
        </w:drawing>
      </w:r>
    </w:p>
    <w:p>
      <w:pPr>
        <w:jc w:val="center"/>
      </w:pPr>
      <w:r>
        <w:rPr>
          <w:i/>
          <w:color w:val="64748B"/>
          <w:sz w:val="17"/>
        </w:rPr>
        <w:t>Figure 5.2 - Offline buffering and ordered recovery</w:t>
      </w:r>
    </w:p>
    <w:p>
      <w:pPr>
        <w:pStyle w:val="Heading1"/>
        <w:spacing w:before="160" w:after="100"/>
      </w:pPr>
      <w:r>
        <w:t>6. Enrollment, Identity and Security</w:t>
      </w:r>
    </w:p>
    <w:p>
      <w:pPr>
        <w:jc w:val="center"/>
      </w:pPr>
      <w:r>
        <w:drawing>
          <wp:inline xmlns:a="http://schemas.openxmlformats.org/drawingml/2006/main" xmlns:pic="http://schemas.openxmlformats.org/drawingml/2006/picture">
            <wp:extent cx="6126480" cy="3446145"/>
            <wp:docPr id="8" name="Picture 8"/>
            <wp:cNvGraphicFramePr>
              <a:graphicFrameLocks noChangeAspect="1"/>
            </wp:cNvGraphicFramePr>
            <a:graphic>
              <a:graphicData uri="http://schemas.openxmlformats.org/drawingml/2006/picture">
                <pic:pic>
                  <pic:nvPicPr>
                    <pic:cNvPr id="0" name="D05_enrollment_sequence.png"/>
                    <pic:cNvPicPr/>
                  </pic:nvPicPr>
                  <pic:blipFill>
                    <a:blip r:embed="rId18"/>
                    <a:stretch>
                      <a:fillRect/>
                    </a:stretch>
                  </pic:blipFill>
                  <pic:spPr>
                    <a:xfrm>
                      <a:off x="0" y="0"/>
                      <a:ext cx="6126480" cy="3446145"/>
                    </a:xfrm>
                    <a:prstGeom prst="rect"/>
                  </pic:spPr>
                </pic:pic>
              </a:graphicData>
            </a:graphic>
          </wp:inline>
        </w:drawing>
      </w:r>
    </w:p>
    <w:p>
      <w:pPr>
        <w:jc w:val="center"/>
      </w:pPr>
      <w:r>
        <w:rPr>
          <w:i/>
          <w:color w:val="64748B"/>
          <w:sz w:val="17"/>
        </w:rPr>
        <w:t>Figure 6.1 - One-time enrollment and approval sequence</w:t>
      </w:r>
    </w:p>
    <w:p>
      <w:pPr>
        <w:jc w:val="center"/>
      </w:pPr>
      <w:r>
        <w:drawing>
          <wp:inline xmlns:a="http://schemas.openxmlformats.org/drawingml/2006/main" xmlns:pic="http://schemas.openxmlformats.org/drawingml/2006/picture">
            <wp:extent cx="6126480" cy="1130712"/>
            <wp:docPr id="9" name="Picture 9"/>
            <wp:cNvGraphicFramePr>
              <a:graphicFrameLocks noChangeAspect="1"/>
            </wp:cNvGraphicFramePr>
            <a:graphic>
              <a:graphicData uri="http://schemas.openxmlformats.org/drawingml/2006/picture">
                <pic:pic>
                  <pic:nvPicPr>
                    <pic:cNvPr id="0" name="D11_security_boundaries.png"/>
                    <pic:cNvPicPr/>
                  </pic:nvPicPr>
                  <pic:blipFill>
                    <a:blip r:embed="rId19"/>
                    <a:stretch>
                      <a:fillRect/>
                    </a:stretch>
                  </pic:blipFill>
                  <pic:spPr>
                    <a:xfrm>
                      <a:off x="0" y="0"/>
                      <a:ext cx="6126480" cy="1130712"/>
                    </a:xfrm>
                    <a:prstGeom prst="rect"/>
                  </pic:spPr>
                </pic:pic>
              </a:graphicData>
            </a:graphic>
          </wp:inline>
        </w:drawing>
      </w:r>
    </w:p>
    <w:p>
      <w:pPr>
        <w:jc w:val="center"/>
      </w:pPr>
      <w:r>
        <w:rPr>
          <w:i/>
          <w:color w:val="64748B"/>
          <w:sz w:val="17"/>
        </w:rPr>
        <w:t>Figure 6.2 - Trust boundaries</w:t>
      </w:r>
    </w:p>
    <w:p>
      <w:pPr>
        <w:pStyle w:val="Heading2"/>
        <w:spacing w:before="160" w:after="100"/>
      </w:pPr>
      <w:r>
        <w:t>6.1 Enrollment model</w:t>
      </w:r>
    </w:p>
    <w:p>
      <w:pPr>
        <w:pStyle w:val="ListNumber"/>
        <w:spacing w:after="60"/>
      </w:pPr>
      <w:r>
        <w:t>Administrator creates an enrollment token with short TTL and activation count (default: 1 use, 24 hours).</w:t>
      </w:r>
    </w:p>
    <w:p>
      <w:pPr>
        <w:pStyle w:val="ListNumber"/>
        <w:spacing w:after="60"/>
      </w:pPr>
      <w:r>
        <w:t>MCA-Secure-Downloads-install deploys the Agent and supplies server URL plus token.</w:t>
      </w:r>
    </w:p>
    <w:p>
      <w:pPr>
        <w:pStyle w:val="ListNumber"/>
        <w:spacing w:after="60"/>
      </w:pPr>
      <w:r>
        <w:t>Agent fingerprints the local console and calls POST /api/v1/enroll over TLS.</w:t>
      </w:r>
    </w:p>
    <w:p>
      <w:pPr>
        <w:pStyle w:val="ListNumber"/>
        <w:spacing w:after="60"/>
      </w:pPr>
      <w:r>
        <w:t>ARGUS returns an Agent ID and unique long-lived credential; the enrollment token is consumed.</w:t>
      </w:r>
    </w:p>
    <w:p>
      <w:pPr>
        <w:pStyle w:val="ListNumber"/>
        <w:spacing w:after="60"/>
      </w:pPr>
      <w:r>
        <w:t>Console appears as Pending Approval with discovered inventory preview.</w:t>
      </w:r>
    </w:p>
    <w:p>
      <w:pPr>
        <w:pStyle w:val="ListNumber"/>
        <w:spacing w:after="60"/>
      </w:pPr>
      <w:r>
        <w:t>Administrator assigns Site and Monitoring Profile, approves the console and optionally selects devices.</w:t>
      </w:r>
    </w:p>
    <w:p>
      <w:pPr>
        <w:pStyle w:val="ListNumber"/>
        <w:spacing w:after="60"/>
      </w:pPr>
      <w:r>
        <w:t>Agent receives its desired monitoring manifest on the next check-in.</w:t>
      </w:r>
    </w:p>
    <w:p>
      <w:pPr>
        <w:pStyle w:val="Heading2"/>
        <w:spacing w:before="160" w:after="100"/>
      </w:pPr>
      <w:r>
        <w:t>6.2 Security controls</w:t>
      </w:r>
    </w:p>
    <w:p>
      <w:pPr>
        <w:pStyle w:val="ListBullet"/>
        <w:spacing w:after="60"/>
      </w:pPr>
      <w:r>
        <w:t>TLS 1.2+ with modern ciphers; TLS 1.3 preferred.</w:t>
      </w:r>
    </w:p>
    <w:p>
      <w:pPr>
        <w:pStyle w:val="ListBullet"/>
        <w:spacing w:after="60"/>
      </w:pPr>
      <w:r>
        <w:t>Unique credential per Agent, stored with restrictive local permissions.</w:t>
      </w:r>
    </w:p>
    <w:p>
      <w:pPr>
        <w:pStyle w:val="ListBullet"/>
        <w:spacing w:after="60"/>
      </w:pPr>
      <w:r>
        <w:t>Credential rotation and immediate revocation supported.</w:t>
      </w:r>
    </w:p>
    <w:p>
      <w:pPr>
        <w:pStyle w:val="ListBullet"/>
        <w:spacing w:after="60"/>
      </w:pPr>
      <w:r>
        <w:t>Future optional mutual TLS with per-Agent client certificates.</w:t>
      </w:r>
    </w:p>
    <w:p>
      <w:pPr>
        <w:pStyle w:val="ListBullet"/>
        <w:spacing w:after="60"/>
      </w:pPr>
      <w:r>
        <w:t>Rate limits and replay protection using request timestamp/nonce or signed sequence.</w:t>
      </w:r>
    </w:p>
    <w:p>
      <w:pPr>
        <w:pStyle w:val="ListBullet"/>
        <w:spacing w:after="60"/>
      </w:pPr>
      <w:r>
        <w:t>Administrative sessions protected by MFA-capable identity design; local break-glass account considered separately.</w:t>
      </w:r>
    </w:p>
    <w:p>
      <w:pPr>
        <w:pStyle w:val="ListBullet"/>
        <w:spacing w:after="60"/>
      </w:pPr>
      <w:r>
        <w:t>Application-level audit for all security-sensitive actions.</w:t>
      </w:r>
    </w:p>
    <w:p>
      <w:pPr>
        <w:pStyle w:val="ListBullet"/>
        <w:spacing w:after="60"/>
      </w:pPr>
      <w:r>
        <w:t>Secrets excluded from configuration snapshots and logs.</w:t>
      </w:r>
    </w:p>
    <w:p>
      <w:pPr>
        <w:pStyle w:val="Heading1"/>
        <w:spacing w:before="160" w:after="100"/>
      </w:pPr>
      <w:r>
        <w:t>7. Data Acquisition and UniFi Integration</w:t>
      </w:r>
    </w:p>
    <w:p>
      <w:pPr>
        <w:spacing w:after="100" w:line="252" w:lineRule="auto"/>
      </w:pPr>
      <w:r>
        <w:t>ARGUS should prefer official local UniFi APIs and version-specific Network integration documentation exposed by the local UniFi application. Ubiquiti documents that each UniFi Application has local API endpoints, and the official Network API includes local sites, devices/client-oriented resources, networks, WAN interfaces and site-to-site VPN resources. Site Manager can be used later as an independent secondary source for host/site and ISP metrics, but ARGUS must not depend on cloud reachability for primary site health.</w:t>
      </w:r>
    </w:p>
    <w:tbl>
      <w:tblPr>
        <w:tblStyle w:val="TableGrid"/>
        <w:tblW w:type="auto" w:w="0"/>
        <w:tblLook w:firstColumn="1" w:firstRow="1" w:lastColumn="0" w:lastRow="0" w:noHBand="0" w:noVBand="1" w:val="04A0"/>
      </w:tblPr>
      <w:tblGrid>
        <w:gridCol w:w="10224"/>
      </w:tblGrid>
      <w:tr>
        <w:tc>
          <w:tcPr>
            <w:tcW w:type="dxa" w:w="10224"/>
            <w:shd w:fill="FEF3C7"/>
          </w:tcPr>
          <w:p>
            <w:r/>
            <w:r>
              <w:rPr>
                <w:b/>
                <w:color w:val="0F172A"/>
                <w:sz w:val="20"/>
              </w:rPr>
              <w:t>Compatibility rule</w:t>
              <w:br/>
            </w:r>
            <w:r>
              <w:rPr>
                <w:color w:val="334155"/>
                <w:sz w:val="18"/>
              </w:rPr>
              <w:t>Collectors must be capability-driven. During enrollment, the Agent records UniFi OS / Network / Protect versions and enables only the collectors supported by that console. Unsupported fields must degrade to “not available” rather than causing a Site failure.</w:t>
            </w:r>
          </w:p>
        </w:tc>
      </w:tr>
    </w:tbl>
    <w:p/>
    <w:p>
      <w:pPr>
        <w:pStyle w:val="Heading2"/>
        <w:spacing w:before="160" w:after="100"/>
      </w:pPr>
      <w:r>
        <w:t>7.1 Primary vs secondary sources</w:t>
      </w:r>
    </w:p>
    <w:tbl>
      <w:tblPr>
        <w:tblStyle w:val="TableGrid"/>
        <w:tblW w:type="auto" w:w="0"/>
        <w:jc w:val="center"/>
        <w:tblLook w:firstColumn="1" w:firstRow="1" w:lastColumn="0" w:lastRow="0" w:noHBand="0" w:noVBand="1" w:val="04A0"/>
      </w:tblPr>
      <w:tblGrid>
        <w:gridCol w:w="5112"/>
        <w:gridCol w:w="5112"/>
      </w:tblGrid>
      <w:tr>
        <w:tc>
          <w:tcPr>
            <w:tcW w:type="dxa" w:w="2592"/>
            <w:shd w:fill="0F172A"/>
          </w:tcPr>
          <w:p>
            <w:r/>
            <w:r>
              <w:rPr>
                <w:rFonts w:ascii="Aptos" w:hAnsi="Aptos"/>
                <w:b/>
                <w:color w:val="FFFFFF"/>
                <w:sz w:val="18"/>
              </w:rPr>
              <w:t>Source</w:t>
            </w:r>
          </w:p>
        </w:tc>
        <w:tc>
          <w:tcPr>
            <w:tcW w:type="dxa" w:w="7056"/>
            <w:shd w:fill="0F172A"/>
          </w:tcPr>
          <w:p>
            <w:r/>
            <w:r>
              <w:rPr>
                <w:rFonts w:ascii="Aptos" w:hAnsi="Aptos"/>
                <w:b/>
                <w:color w:val="FFFFFF"/>
                <w:sz w:val="18"/>
              </w:rPr>
              <w:t>Role in ARGUS</w:t>
            </w:r>
          </w:p>
        </w:tc>
      </w:tr>
      <w:tr>
        <w:tc>
          <w:tcPr>
            <w:tcW w:type="dxa" w:w="2592"/>
            <w:vAlign w:val="center"/>
          </w:tcPr>
          <w:p>
            <w:r/>
            <w:r>
              <w:rPr>
                <w:rFonts w:ascii="Aptos" w:hAnsi="Aptos"/>
                <w:b w:val="0"/>
                <w:color w:val="0F172A"/>
                <w:sz w:val="17"/>
              </w:rPr>
              <w:t>Local UniFi Network API</w:t>
            </w:r>
          </w:p>
        </w:tc>
        <w:tc>
          <w:tcPr>
            <w:tcW w:type="dxa" w:w="7056"/>
            <w:vAlign w:val="center"/>
          </w:tcPr>
          <w:p>
            <w:r/>
            <w:r>
              <w:rPr>
                <w:rFonts w:ascii="Aptos" w:hAnsi="Aptos"/>
                <w:b w:val="0"/>
                <w:color w:val="0F172A"/>
                <w:sz w:val="17"/>
              </w:rPr>
              <w:t>Primary source for network sites, networks, devices, WAN and VPN metadata/state when exposed by the installed version.</w:t>
            </w:r>
          </w:p>
        </w:tc>
      </w:tr>
      <w:tr>
        <w:tc>
          <w:tcPr>
            <w:tcW w:type="dxa" w:w="2592"/>
            <w:vAlign w:val="center"/>
            <w:shd w:fill="F8FAFC"/>
          </w:tcPr>
          <w:p>
            <w:r/>
            <w:r>
              <w:rPr>
                <w:rFonts w:ascii="Aptos" w:hAnsi="Aptos"/>
                <w:b w:val="0"/>
                <w:color w:val="0F172A"/>
                <w:sz w:val="17"/>
              </w:rPr>
              <w:t>Local Protect interfaces/API</w:t>
            </w:r>
          </w:p>
        </w:tc>
        <w:tc>
          <w:tcPr>
            <w:tcW w:type="dxa" w:w="7056"/>
            <w:vAlign w:val="center"/>
            <w:shd w:fill="F8FAFC"/>
          </w:tcPr>
          <w:p>
            <w:r/>
            <w:r>
              <w:rPr>
                <w:rFonts w:ascii="Aptos" w:hAnsi="Aptos"/>
                <w:b w:val="0"/>
                <w:color w:val="0F172A"/>
                <w:sz w:val="17"/>
              </w:rPr>
              <w:t>Primary source for camera/device health when available and supported.</w:t>
            </w:r>
          </w:p>
        </w:tc>
      </w:tr>
      <w:tr>
        <w:tc>
          <w:tcPr>
            <w:tcW w:type="dxa" w:w="2592"/>
            <w:vAlign w:val="center"/>
          </w:tcPr>
          <w:p>
            <w:r/>
            <w:r>
              <w:rPr>
                <w:rFonts w:ascii="Aptos" w:hAnsi="Aptos"/>
                <w:b w:val="0"/>
                <w:color w:val="0F172A"/>
                <w:sz w:val="17"/>
              </w:rPr>
              <w:t>Console-local probes</w:t>
            </w:r>
          </w:p>
        </w:tc>
        <w:tc>
          <w:tcPr>
            <w:tcW w:type="dxa" w:w="7056"/>
            <w:vAlign w:val="center"/>
          </w:tcPr>
          <w:p>
            <w:r/>
            <w:r>
              <w:rPr>
                <w:rFonts w:ascii="Aptos" w:hAnsi="Aptos"/>
                <w:b w:val="0"/>
                <w:color w:val="0F172A"/>
                <w:sz w:val="17"/>
              </w:rPr>
              <w:t>Independent validation for WAN and VPN data-plane health.</w:t>
            </w:r>
          </w:p>
        </w:tc>
      </w:tr>
      <w:tr>
        <w:tc>
          <w:tcPr>
            <w:tcW w:type="dxa" w:w="2592"/>
            <w:vAlign w:val="center"/>
            <w:shd w:fill="F8FAFC"/>
          </w:tcPr>
          <w:p>
            <w:r/>
            <w:r>
              <w:rPr>
                <w:rFonts w:ascii="Aptos" w:hAnsi="Aptos"/>
                <w:b w:val="0"/>
                <w:color w:val="0F172A"/>
                <w:sz w:val="17"/>
              </w:rPr>
              <w:t>UniFi Site Manager API</w:t>
            </w:r>
          </w:p>
        </w:tc>
        <w:tc>
          <w:tcPr>
            <w:tcW w:type="dxa" w:w="7056"/>
            <w:vAlign w:val="center"/>
            <w:shd w:fill="F8FAFC"/>
          </w:tcPr>
          <w:p>
            <w:r/>
            <w:r>
              <w:rPr>
                <w:rFonts w:ascii="Aptos" w:hAnsi="Aptos"/>
                <w:b w:val="0"/>
                <w:color w:val="0F172A"/>
                <w:sz w:val="17"/>
              </w:rPr>
              <w:t>Optional secondary/correlation source; useful for hosts/sites and ISP metrics, not required for local monitoring.</w:t>
            </w:r>
          </w:p>
        </w:tc>
      </w:tr>
      <w:tr>
        <w:tc>
          <w:tcPr>
            <w:tcW w:type="dxa" w:w="2592"/>
            <w:vAlign w:val="center"/>
          </w:tcPr>
          <w:p>
            <w:r/>
            <w:r>
              <w:rPr>
                <w:rFonts w:ascii="Aptos" w:hAnsi="Aptos"/>
                <w:b w:val="0"/>
                <w:color w:val="0F172A"/>
                <w:sz w:val="17"/>
              </w:rPr>
              <w:t>SNMP</w:t>
            </w:r>
          </w:p>
        </w:tc>
        <w:tc>
          <w:tcPr>
            <w:tcW w:type="dxa" w:w="7056"/>
            <w:vAlign w:val="center"/>
          </w:tcPr>
          <w:p>
            <w:r/>
            <w:r>
              <w:rPr>
                <w:rFonts w:ascii="Aptos" w:hAnsi="Aptos"/>
                <w:b w:val="0"/>
                <w:color w:val="0F172A"/>
                <w:sz w:val="17"/>
              </w:rPr>
              <w:t>Future fallback/extension for selected metrics or non-UniFi monitoring, not primary in V1.</w:t>
            </w:r>
          </w:p>
        </w:tc>
      </w:tr>
    </w:tbl>
    <w:p/>
    <w:p>
      <w:pPr>
        <w:pStyle w:val="Heading1"/>
        <w:spacing w:before="160" w:after="100"/>
      </w:pPr>
      <w:r>
        <w:t>8. Health Model and State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0F172A"/>
          </w:tcPr>
          <w:p>
            <w:r/>
            <w:r>
              <w:rPr>
                <w:rFonts w:ascii="Aptos" w:hAnsi="Aptos"/>
                <w:b/>
                <w:color w:val="FFFFFF"/>
                <w:sz w:val="18"/>
              </w:rPr>
              <w:t>State</w:t>
            </w:r>
          </w:p>
        </w:tc>
        <w:tc>
          <w:tcPr>
            <w:tcW w:type="dxa" w:w="5328"/>
            <w:shd w:fill="0F172A"/>
          </w:tcPr>
          <w:p>
            <w:r/>
            <w:r>
              <w:rPr>
                <w:rFonts w:ascii="Aptos" w:hAnsi="Aptos"/>
                <w:b/>
                <w:color w:val="FFFFFF"/>
                <w:sz w:val="18"/>
              </w:rPr>
              <w:t>Meaning</w:t>
            </w:r>
          </w:p>
        </w:tc>
        <w:tc>
          <w:tcPr>
            <w:tcW w:type="dxa" w:w="2880"/>
            <w:shd w:fill="0F172A"/>
          </w:tcPr>
          <w:p>
            <w:r/>
            <w:r>
              <w:rPr>
                <w:rFonts w:ascii="Aptos" w:hAnsi="Aptos"/>
                <w:b/>
                <w:color w:val="FFFFFF"/>
                <w:sz w:val="18"/>
              </w:rPr>
              <w:t>NOC behavior</w:t>
            </w:r>
          </w:p>
        </w:tc>
      </w:tr>
      <w:tr>
        <w:tc>
          <w:tcPr>
            <w:tcW w:type="dxa" w:w="1440"/>
            <w:vAlign w:val="center"/>
          </w:tcPr>
          <w:p>
            <w:r/>
            <w:r>
              <w:rPr>
                <w:rFonts w:ascii="Aptos" w:hAnsi="Aptos"/>
                <w:b w:val="0"/>
                <w:color w:val="0F172A"/>
                <w:sz w:val="17"/>
              </w:rPr>
              <w:t>HEALTHY</w:t>
            </w:r>
          </w:p>
        </w:tc>
        <w:tc>
          <w:tcPr>
            <w:tcW w:type="dxa" w:w="5328"/>
            <w:vAlign w:val="center"/>
          </w:tcPr>
          <w:p>
            <w:r/>
            <w:r>
              <w:rPr>
                <w:rFonts w:ascii="Aptos" w:hAnsi="Aptos"/>
                <w:b w:val="0"/>
                <w:color w:val="0F172A"/>
                <w:sz w:val="17"/>
              </w:rPr>
              <w:t>Expected operational state.</w:t>
            </w:r>
          </w:p>
        </w:tc>
        <w:tc>
          <w:tcPr>
            <w:tcW w:type="dxa" w:w="2880"/>
            <w:vAlign w:val="center"/>
          </w:tcPr>
          <w:p>
            <w:r/>
            <w:r>
              <w:rPr>
                <w:rFonts w:ascii="Aptos" w:hAnsi="Aptos"/>
                <w:b w:val="0"/>
                <w:color w:val="0F172A"/>
                <w:sz w:val="17"/>
              </w:rPr>
              <w:t>Green + “HEALTHY”.</w:t>
            </w:r>
          </w:p>
        </w:tc>
      </w:tr>
      <w:tr>
        <w:tc>
          <w:tcPr>
            <w:tcW w:type="dxa" w:w="1440"/>
            <w:vAlign w:val="center"/>
            <w:shd w:fill="F8FAFC"/>
          </w:tcPr>
          <w:p>
            <w:r/>
            <w:r>
              <w:rPr>
                <w:rFonts w:ascii="Aptos" w:hAnsi="Aptos"/>
                <w:b w:val="0"/>
                <w:color w:val="0F172A"/>
                <w:sz w:val="17"/>
              </w:rPr>
              <w:t>DEGRADED</w:t>
            </w:r>
          </w:p>
        </w:tc>
        <w:tc>
          <w:tcPr>
            <w:tcW w:type="dxa" w:w="5328"/>
            <w:vAlign w:val="center"/>
            <w:shd w:fill="F8FAFC"/>
          </w:tcPr>
          <w:p>
            <w:r/>
            <w:r>
              <w:rPr>
                <w:rFonts w:ascii="Aptos" w:hAnsi="Aptos"/>
                <w:b w:val="0"/>
                <w:color w:val="0F172A"/>
                <w:sz w:val="17"/>
              </w:rPr>
              <w:t>Functional but abnormal performance/state.</w:t>
            </w:r>
          </w:p>
        </w:tc>
        <w:tc>
          <w:tcPr>
            <w:tcW w:type="dxa" w:w="2880"/>
            <w:vAlign w:val="center"/>
            <w:shd w:fill="F8FAFC"/>
          </w:tcPr>
          <w:p>
            <w:r/>
            <w:r>
              <w:rPr>
                <w:rFonts w:ascii="Aptos" w:hAnsi="Aptos"/>
                <w:b w:val="0"/>
                <w:color w:val="0F172A"/>
                <w:sz w:val="17"/>
              </w:rPr>
              <w:t>Blue/teal + label; visible but below warnings.</w:t>
            </w:r>
          </w:p>
        </w:tc>
      </w:tr>
      <w:tr>
        <w:tc>
          <w:tcPr>
            <w:tcW w:type="dxa" w:w="1440"/>
            <w:vAlign w:val="center"/>
          </w:tcPr>
          <w:p>
            <w:r/>
            <w:r>
              <w:rPr>
                <w:rFonts w:ascii="Aptos" w:hAnsi="Aptos"/>
                <w:b w:val="0"/>
                <w:color w:val="0F172A"/>
                <w:sz w:val="17"/>
              </w:rPr>
              <w:t>WARNING</w:t>
            </w:r>
          </w:p>
        </w:tc>
        <w:tc>
          <w:tcPr>
            <w:tcW w:type="dxa" w:w="5328"/>
            <w:vAlign w:val="center"/>
          </w:tcPr>
          <w:p>
            <w:r/>
            <w:r>
              <w:rPr>
                <w:rFonts w:ascii="Aptos" w:hAnsi="Aptos"/>
                <w:b w:val="0"/>
                <w:color w:val="0F172A"/>
                <w:sz w:val="17"/>
              </w:rPr>
              <w:t>Requires review but is not yet a critical outage.</w:t>
            </w:r>
          </w:p>
        </w:tc>
        <w:tc>
          <w:tcPr>
            <w:tcW w:type="dxa" w:w="2880"/>
            <w:vAlign w:val="center"/>
          </w:tcPr>
          <w:p>
            <w:r/>
            <w:r>
              <w:rPr>
                <w:rFonts w:ascii="Aptos" w:hAnsi="Aptos"/>
                <w:b w:val="0"/>
                <w:color w:val="0F172A"/>
                <w:sz w:val="17"/>
              </w:rPr>
              <w:t>Amber + “WARNING”.</w:t>
            </w:r>
          </w:p>
        </w:tc>
      </w:tr>
      <w:tr>
        <w:tc>
          <w:tcPr>
            <w:tcW w:type="dxa" w:w="1440"/>
            <w:vAlign w:val="center"/>
            <w:shd w:fill="F8FAFC"/>
          </w:tcPr>
          <w:p>
            <w:r/>
            <w:r>
              <w:rPr>
                <w:rFonts w:ascii="Aptos" w:hAnsi="Aptos"/>
                <w:b w:val="0"/>
                <w:color w:val="0F172A"/>
                <w:sz w:val="17"/>
              </w:rPr>
              <w:t>CRITICAL</w:t>
            </w:r>
          </w:p>
        </w:tc>
        <w:tc>
          <w:tcPr>
            <w:tcW w:type="dxa" w:w="5328"/>
            <w:vAlign w:val="center"/>
            <w:shd w:fill="F8FAFC"/>
          </w:tcPr>
          <w:p>
            <w:r/>
            <w:r>
              <w:rPr>
                <w:rFonts w:ascii="Aptos" w:hAnsi="Aptos"/>
                <w:b w:val="0"/>
                <w:color w:val="0F172A"/>
                <w:sz w:val="17"/>
              </w:rPr>
              <w:t>Confirmed important failure/outage.</w:t>
            </w:r>
          </w:p>
        </w:tc>
        <w:tc>
          <w:tcPr>
            <w:tcW w:type="dxa" w:w="2880"/>
            <w:vAlign w:val="center"/>
            <w:shd w:fill="F8FAFC"/>
          </w:tcPr>
          <w:p>
            <w:r/>
            <w:r>
              <w:rPr>
                <w:rFonts w:ascii="Aptos" w:hAnsi="Aptos"/>
                <w:b w:val="0"/>
                <w:color w:val="0F172A"/>
                <w:sz w:val="17"/>
              </w:rPr>
              <w:t>Red + “CRITICAL”; highest sort priority.</w:t>
            </w:r>
          </w:p>
        </w:tc>
      </w:tr>
      <w:tr>
        <w:tc>
          <w:tcPr>
            <w:tcW w:type="dxa" w:w="1440"/>
            <w:vAlign w:val="center"/>
          </w:tcPr>
          <w:p>
            <w:r/>
            <w:r>
              <w:rPr>
                <w:rFonts w:ascii="Aptos" w:hAnsi="Aptos"/>
                <w:b w:val="0"/>
                <w:color w:val="0F172A"/>
                <w:sz w:val="17"/>
              </w:rPr>
              <w:t>UNKNOWN</w:t>
            </w:r>
          </w:p>
        </w:tc>
        <w:tc>
          <w:tcPr>
            <w:tcW w:type="dxa" w:w="5328"/>
            <w:vAlign w:val="center"/>
          </w:tcPr>
          <w:p>
            <w:r/>
            <w:r>
              <w:rPr>
                <w:rFonts w:ascii="Aptos" w:hAnsi="Aptos"/>
                <w:b w:val="0"/>
                <w:color w:val="0F172A"/>
                <w:sz w:val="17"/>
              </w:rPr>
              <w:t>ARGUS cannot determine current condition.</w:t>
            </w:r>
          </w:p>
        </w:tc>
        <w:tc>
          <w:tcPr>
            <w:tcW w:type="dxa" w:w="2880"/>
            <w:vAlign w:val="center"/>
          </w:tcPr>
          <w:p>
            <w:r/>
            <w:r>
              <w:rPr>
                <w:rFonts w:ascii="Aptos" w:hAnsi="Aptos"/>
                <w:b w:val="0"/>
                <w:color w:val="0F172A"/>
                <w:sz w:val="17"/>
              </w:rPr>
              <w:t>Gray + “UNKNOWN”; never falsely treated as device offline.</w:t>
            </w:r>
          </w:p>
        </w:tc>
      </w:tr>
      <w:tr>
        <w:tc>
          <w:tcPr>
            <w:tcW w:type="dxa" w:w="1440"/>
            <w:vAlign w:val="center"/>
            <w:shd w:fill="F8FAFC"/>
          </w:tcPr>
          <w:p>
            <w:r/>
            <w:r>
              <w:rPr>
                <w:rFonts w:ascii="Aptos" w:hAnsi="Aptos"/>
                <w:b w:val="0"/>
                <w:color w:val="0F172A"/>
                <w:sz w:val="17"/>
              </w:rPr>
              <w:t>DISABLED</w:t>
            </w:r>
          </w:p>
        </w:tc>
        <w:tc>
          <w:tcPr>
            <w:tcW w:type="dxa" w:w="5328"/>
            <w:vAlign w:val="center"/>
            <w:shd w:fill="F8FAFC"/>
          </w:tcPr>
          <w:p>
            <w:r/>
            <w:r>
              <w:rPr>
                <w:rFonts w:ascii="Aptos" w:hAnsi="Aptos"/>
                <w:b w:val="0"/>
                <w:color w:val="0F172A"/>
                <w:sz w:val="17"/>
              </w:rPr>
              <w:t>Monitoring intentionally disabled or device excluded.</w:t>
            </w:r>
          </w:p>
        </w:tc>
        <w:tc>
          <w:tcPr>
            <w:tcW w:type="dxa" w:w="2880"/>
            <w:vAlign w:val="center"/>
            <w:shd w:fill="F8FAFC"/>
          </w:tcPr>
          <w:p>
            <w:r/>
            <w:r>
              <w:rPr>
                <w:rFonts w:ascii="Aptos" w:hAnsi="Aptos"/>
                <w:b w:val="0"/>
                <w:color w:val="0F172A"/>
                <w:sz w:val="17"/>
              </w:rPr>
              <w:t>Neutral and excluded from health score.</w:t>
            </w:r>
          </w:p>
        </w:tc>
      </w:tr>
    </w:tbl>
    <w:p/>
    <w:p>
      <w:pPr>
        <w:jc w:val="center"/>
      </w:pPr>
      <w:r>
        <w:drawing>
          <wp:inline xmlns:a="http://schemas.openxmlformats.org/drawingml/2006/main" xmlns:pic="http://schemas.openxmlformats.org/drawingml/2006/picture">
            <wp:extent cx="6126480" cy="4350163"/>
            <wp:docPr id="10" name="Picture 10"/>
            <wp:cNvGraphicFramePr>
              <a:graphicFrameLocks noChangeAspect="1"/>
            </wp:cNvGraphicFramePr>
            <a:graphic>
              <a:graphicData uri="http://schemas.openxmlformats.org/drawingml/2006/picture">
                <pic:pic>
                  <pic:nvPicPr>
                    <pic:cNvPr id="0" name="D16_outage_decision.png"/>
                    <pic:cNvPicPr/>
                  </pic:nvPicPr>
                  <pic:blipFill>
                    <a:blip r:embed="rId20"/>
                    <a:stretch>
                      <a:fillRect/>
                    </a:stretch>
                  </pic:blipFill>
                  <pic:spPr>
                    <a:xfrm>
                      <a:off x="0" y="0"/>
                      <a:ext cx="6126480" cy="4350163"/>
                    </a:xfrm>
                    <a:prstGeom prst="rect"/>
                  </pic:spPr>
                </pic:pic>
              </a:graphicData>
            </a:graphic>
          </wp:inline>
        </w:drawing>
      </w:r>
    </w:p>
    <w:p>
      <w:pPr>
        <w:jc w:val="center"/>
      </w:pPr>
      <w:r>
        <w:rPr>
          <w:i/>
          <w:color w:val="64748B"/>
          <w:sz w:val="17"/>
        </w:rPr>
        <w:t>Figure 8.1 - Agent-loss interpretation and UNKNOWN semantics</w:t>
      </w:r>
    </w:p>
    <w:p>
      <w:pPr>
        <w:pStyle w:val="Heading2"/>
        <w:spacing w:before="160" w:after="100"/>
      </w:pPr>
      <w:r>
        <w:t>8.1 Dead-man rules</w:t>
      </w:r>
    </w:p>
    <w:p>
      <w:pPr>
        <w:pStyle w:val="ListBullet"/>
        <w:spacing w:after="60"/>
      </w:pPr>
      <w:r>
        <w:t>Heartbeat target: approximately every 15 seconds with jitter.</w:t>
      </w:r>
    </w:p>
    <w:p>
      <w:pPr>
        <w:pStyle w:val="ListBullet"/>
        <w:spacing w:after="60"/>
      </w:pPr>
      <w:r>
        <w:t>After ~60 seconds without heartbeat: Agent state becomes DEGRADED/WARNING depending on profile.</w:t>
      </w:r>
    </w:p>
    <w:p>
      <w:pPr>
        <w:pStyle w:val="ListBullet"/>
        <w:spacing w:after="60"/>
      </w:pPr>
      <w:r>
        <w:t>After ~90 seconds without heartbeat: Agent becomes CRITICAL and Site dependent health becomes UNKNOWN unless independently known.</w:t>
      </w:r>
    </w:p>
    <w:p>
      <w:pPr>
        <w:pStyle w:val="ListBullet"/>
        <w:spacing w:after="60"/>
      </w:pPr>
      <w:r>
        <w:t>Independent external/WAN probes may classify probable site/ISP/power outage versus Agent/console failure.</w:t>
      </w:r>
    </w:p>
    <w:p>
      <w:pPr>
        <w:pStyle w:val="Heading1"/>
        <w:spacing w:before="160" w:after="100"/>
      </w:pPr>
      <w:r>
        <w:t>9. WAN Monitoring</w:t>
      </w:r>
    </w:p>
    <w:p>
      <w:pPr>
        <w:spacing w:after="100" w:line="252" w:lineRule="auto"/>
      </w:pPr>
      <w:r>
        <w:t>WAN must be a first-class health component because loss of an uplink can explain Agent/VPN/device behavior. ARGUS should display interface role, operational state, public IP only when policy permits, ISP label, probe latency, packet loss and recent failover state. It should never infer outage from one failed ICMP probe alone; thresholds should require multiple observations or multiple probe targets.</w:t>
      </w:r>
    </w:p>
    <w:tbl>
      <w:tblPr>
        <w:tblStyle w:val="TableGrid"/>
        <w:tblW w:type="auto" w:w="0"/>
        <w:jc w:val="center"/>
        <w:tblLook w:firstColumn="1" w:firstRow="1" w:lastColumn="0" w:lastRow="0" w:noHBand="0" w:noVBand="1" w:val="04A0"/>
      </w:tblPr>
      <w:tblGrid>
        <w:gridCol w:w="5112"/>
        <w:gridCol w:w="5112"/>
      </w:tblGrid>
      <w:tr>
        <w:tc>
          <w:tcPr>
            <w:tcW w:type="dxa" w:w="2592"/>
            <w:shd w:fill="0F172A"/>
          </w:tcPr>
          <w:p>
            <w:r/>
            <w:r>
              <w:rPr>
                <w:rFonts w:ascii="Aptos" w:hAnsi="Aptos"/>
                <w:b/>
                <w:color w:val="FFFFFF"/>
                <w:sz w:val="18"/>
              </w:rPr>
              <w:t>Signal</w:t>
            </w:r>
          </w:p>
        </w:tc>
        <w:tc>
          <w:tcPr>
            <w:tcW w:type="dxa" w:w="7056"/>
            <w:shd w:fill="0F172A"/>
          </w:tcPr>
          <w:p>
            <w:r/>
            <w:r>
              <w:rPr>
                <w:rFonts w:ascii="Aptos" w:hAnsi="Aptos"/>
                <w:b/>
                <w:color w:val="FFFFFF"/>
                <w:sz w:val="18"/>
              </w:rPr>
              <w:t>Purpose</w:t>
            </w:r>
          </w:p>
        </w:tc>
      </w:tr>
      <w:tr>
        <w:tc>
          <w:tcPr>
            <w:tcW w:type="dxa" w:w="2592"/>
            <w:vAlign w:val="center"/>
          </w:tcPr>
          <w:p>
            <w:r/>
            <w:r>
              <w:rPr>
                <w:rFonts w:ascii="Aptos" w:hAnsi="Aptos"/>
                <w:b w:val="0"/>
                <w:color w:val="0F172A"/>
                <w:sz w:val="17"/>
              </w:rPr>
              <w:t>UniFi WAN state</w:t>
            </w:r>
          </w:p>
        </w:tc>
        <w:tc>
          <w:tcPr>
            <w:tcW w:type="dxa" w:w="7056"/>
            <w:vAlign w:val="center"/>
          </w:tcPr>
          <w:p>
            <w:r/>
            <w:r>
              <w:rPr>
                <w:rFonts w:ascii="Aptos" w:hAnsi="Aptos"/>
                <w:b w:val="0"/>
                <w:color w:val="0F172A"/>
                <w:sz w:val="17"/>
              </w:rPr>
              <w:t>Control-plane view from the console.</w:t>
            </w:r>
          </w:p>
        </w:tc>
      </w:tr>
      <w:tr>
        <w:tc>
          <w:tcPr>
            <w:tcW w:type="dxa" w:w="2592"/>
            <w:vAlign w:val="center"/>
            <w:shd w:fill="F8FAFC"/>
          </w:tcPr>
          <w:p>
            <w:r/>
            <w:r>
              <w:rPr>
                <w:rFonts w:ascii="Aptos" w:hAnsi="Aptos"/>
                <w:b w:val="0"/>
                <w:color w:val="0F172A"/>
                <w:sz w:val="17"/>
              </w:rPr>
              <w:t>External probe from Agent</w:t>
            </w:r>
          </w:p>
        </w:tc>
        <w:tc>
          <w:tcPr>
            <w:tcW w:type="dxa" w:w="7056"/>
            <w:vAlign w:val="center"/>
            <w:shd w:fill="F8FAFC"/>
          </w:tcPr>
          <w:p>
            <w:r/>
            <w:r>
              <w:rPr>
                <w:rFonts w:ascii="Aptos" w:hAnsi="Aptos"/>
                <w:b w:val="0"/>
                <w:color w:val="0F172A"/>
                <w:sz w:val="17"/>
              </w:rPr>
              <w:t>Confirms data-plane egress.</w:t>
            </w:r>
          </w:p>
        </w:tc>
      </w:tr>
      <w:tr>
        <w:tc>
          <w:tcPr>
            <w:tcW w:type="dxa" w:w="2592"/>
            <w:vAlign w:val="center"/>
          </w:tcPr>
          <w:p>
            <w:r/>
            <w:r>
              <w:rPr>
                <w:rFonts w:ascii="Aptos" w:hAnsi="Aptos"/>
                <w:b w:val="0"/>
                <w:color w:val="0F172A"/>
                <w:sz w:val="17"/>
              </w:rPr>
              <w:t>Latency</w:t>
            </w:r>
          </w:p>
        </w:tc>
        <w:tc>
          <w:tcPr>
            <w:tcW w:type="dxa" w:w="7056"/>
            <w:vAlign w:val="center"/>
          </w:tcPr>
          <w:p>
            <w:r/>
            <w:r>
              <w:rPr>
                <w:rFonts w:ascii="Aptos" w:hAnsi="Aptos"/>
                <w:b w:val="0"/>
                <w:color w:val="0F172A"/>
                <w:sz w:val="17"/>
              </w:rPr>
              <w:t>Detects significant degradation from baseline/profile threshold.</w:t>
            </w:r>
          </w:p>
        </w:tc>
      </w:tr>
      <w:tr>
        <w:tc>
          <w:tcPr>
            <w:tcW w:type="dxa" w:w="2592"/>
            <w:vAlign w:val="center"/>
            <w:shd w:fill="F8FAFC"/>
          </w:tcPr>
          <w:p>
            <w:r/>
            <w:r>
              <w:rPr>
                <w:rFonts w:ascii="Aptos" w:hAnsi="Aptos"/>
                <w:b w:val="0"/>
                <w:color w:val="0F172A"/>
                <w:sz w:val="17"/>
              </w:rPr>
              <w:t>Packet loss</w:t>
            </w:r>
          </w:p>
        </w:tc>
        <w:tc>
          <w:tcPr>
            <w:tcW w:type="dxa" w:w="7056"/>
            <w:vAlign w:val="center"/>
            <w:shd w:fill="F8FAFC"/>
          </w:tcPr>
          <w:p>
            <w:r/>
            <w:r>
              <w:rPr>
                <w:rFonts w:ascii="Aptos" w:hAnsi="Aptos"/>
                <w:b w:val="0"/>
                <w:color w:val="0F172A"/>
                <w:sz w:val="17"/>
              </w:rPr>
              <w:t>Detects unstable uplink before full outage.</w:t>
            </w:r>
          </w:p>
        </w:tc>
      </w:tr>
      <w:tr>
        <w:tc>
          <w:tcPr>
            <w:tcW w:type="dxa" w:w="2592"/>
            <w:vAlign w:val="center"/>
          </w:tcPr>
          <w:p>
            <w:r/>
            <w:r>
              <w:rPr>
                <w:rFonts w:ascii="Aptos" w:hAnsi="Aptos"/>
                <w:b w:val="0"/>
                <w:color w:val="0F172A"/>
                <w:sz w:val="17"/>
              </w:rPr>
              <w:t>Failover state</w:t>
            </w:r>
          </w:p>
        </w:tc>
        <w:tc>
          <w:tcPr>
            <w:tcW w:type="dxa" w:w="7056"/>
            <w:vAlign w:val="center"/>
          </w:tcPr>
          <w:p>
            <w:r/>
            <w:r>
              <w:rPr>
                <w:rFonts w:ascii="Aptos" w:hAnsi="Aptos"/>
                <w:b w:val="0"/>
                <w:color w:val="0F172A"/>
                <w:sz w:val="17"/>
              </w:rPr>
              <w:t>Distinguishes active/standby behavior and WAN transitions.</w:t>
            </w:r>
          </w:p>
        </w:tc>
      </w:tr>
    </w:tbl>
    <w:p/>
    <w:p>
      <w:pPr>
        <w:pStyle w:val="Heading1"/>
        <w:spacing w:before="160" w:after="100"/>
      </w:pPr>
      <w:r>
        <w:t>10. VPN Monitoring</w:t>
      </w:r>
    </w:p>
    <w:p>
      <w:pPr>
        <w:jc w:val="center"/>
      </w:pPr>
      <w:r>
        <w:drawing>
          <wp:inline xmlns:a="http://schemas.openxmlformats.org/drawingml/2006/main" xmlns:pic="http://schemas.openxmlformats.org/drawingml/2006/picture">
            <wp:extent cx="6126480" cy="2606410"/>
            <wp:docPr id="11" name="Picture 11"/>
            <wp:cNvGraphicFramePr>
              <a:graphicFrameLocks noChangeAspect="1"/>
            </wp:cNvGraphicFramePr>
            <a:graphic>
              <a:graphicData uri="http://schemas.openxmlformats.org/drawingml/2006/picture">
                <pic:pic>
                  <pic:nvPicPr>
                    <pic:cNvPr id="0" name="D10_vpn_health.png"/>
                    <pic:cNvPicPr/>
                  </pic:nvPicPr>
                  <pic:blipFill>
                    <a:blip r:embed="rId21"/>
                    <a:stretch>
                      <a:fillRect/>
                    </a:stretch>
                  </pic:blipFill>
                  <pic:spPr>
                    <a:xfrm>
                      <a:off x="0" y="0"/>
                      <a:ext cx="6126480" cy="2606410"/>
                    </a:xfrm>
                    <a:prstGeom prst="rect"/>
                  </pic:spPr>
                </pic:pic>
              </a:graphicData>
            </a:graphic>
          </wp:inline>
        </w:drawing>
      </w:r>
    </w:p>
    <w:p>
      <w:pPr>
        <w:jc w:val="center"/>
      </w:pPr>
      <w:r>
        <w:rPr>
          <w:i/>
          <w:color w:val="64748B"/>
          <w:sz w:val="17"/>
        </w:rPr>
        <w:t>Figure 10.1 - VPN control-plane + data-plane health evaluation</w:t>
      </w:r>
    </w:p>
    <w:p>
      <w:pPr>
        <w:spacing w:after="100" w:line="252" w:lineRule="auto"/>
      </w:pPr>
      <w:r>
        <w:t>VPN monitoring is explicitly dual-layer. The console’s tunnel state is the control-plane signal; an optional remote probe through the tunnel verifies that traffic can actually traverse it. This avoids declaring a tunnel healthy merely because the VPN subsystem reports “connected”.</w:t>
      </w:r>
    </w:p>
    <w:tbl>
      <w:tblPr>
        <w:tblStyle w:val="TableGrid"/>
        <w:tblW w:type="auto" w:w="0"/>
        <w:jc w:val="center"/>
        <w:tblLook w:firstColumn="1" w:firstRow="1" w:lastColumn="0" w:lastRow="0" w:noHBand="0" w:noVBand="1" w:val="04A0"/>
      </w:tblPr>
      <w:tblGrid>
        <w:gridCol w:w="5112"/>
        <w:gridCol w:w="5112"/>
      </w:tblGrid>
      <w:tr>
        <w:tc>
          <w:tcPr>
            <w:tcW w:type="dxa" w:w="3888"/>
            <w:shd w:fill="0F172A"/>
          </w:tcPr>
          <w:p>
            <w:r/>
            <w:r>
              <w:rPr>
                <w:rFonts w:ascii="Aptos" w:hAnsi="Aptos"/>
                <w:b/>
                <w:color w:val="FFFFFF"/>
                <w:sz w:val="18"/>
              </w:rPr>
              <w:t>Condition</w:t>
            </w:r>
          </w:p>
        </w:tc>
        <w:tc>
          <w:tcPr>
            <w:tcW w:type="dxa" w:w="5760"/>
            <w:shd w:fill="0F172A"/>
          </w:tcPr>
          <w:p>
            <w:r/>
            <w:r>
              <w:rPr>
                <w:rFonts w:ascii="Aptos" w:hAnsi="Aptos"/>
                <w:b/>
                <w:color w:val="FFFFFF"/>
                <w:sz w:val="18"/>
              </w:rPr>
              <w:t>ARGUS result</w:t>
            </w:r>
          </w:p>
        </w:tc>
      </w:tr>
      <w:tr>
        <w:tc>
          <w:tcPr>
            <w:tcW w:type="dxa" w:w="3888"/>
            <w:vAlign w:val="center"/>
          </w:tcPr>
          <w:p>
            <w:r/>
            <w:r>
              <w:rPr>
                <w:rFonts w:ascii="Aptos" w:hAnsi="Aptos"/>
                <w:b w:val="0"/>
                <w:color w:val="0F172A"/>
                <w:sz w:val="17"/>
              </w:rPr>
              <w:t>Tunnel UP + probe OK</w:t>
            </w:r>
          </w:p>
        </w:tc>
        <w:tc>
          <w:tcPr>
            <w:tcW w:type="dxa" w:w="5760"/>
            <w:vAlign w:val="center"/>
          </w:tcPr>
          <w:p>
            <w:r/>
            <w:r>
              <w:rPr>
                <w:rFonts w:ascii="Aptos" w:hAnsi="Aptos"/>
                <w:b w:val="0"/>
                <w:color w:val="0F172A"/>
                <w:sz w:val="17"/>
              </w:rPr>
              <w:t>HEALTHY</w:t>
            </w:r>
          </w:p>
        </w:tc>
      </w:tr>
      <w:tr>
        <w:tc>
          <w:tcPr>
            <w:tcW w:type="dxa" w:w="3888"/>
            <w:vAlign w:val="center"/>
            <w:shd w:fill="F8FAFC"/>
          </w:tcPr>
          <w:p>
            <w:r/>
            <w:r>
              <w:rPr>
                <w:rFonts w:ascii="Aptos" w:hAnsi="Aptos"/>
                <w:b w:val="0"/>
                <w:color w:val="0F172A"/>
                <w:sz w:val="17"/>
              </w:rPr>
              <w:t>Tunnel UP + elevated latency/loss</w:t>
            </w:r>
          </w:p>
        </w:tc>
        <w:tc>
          <w:tcPr>
            <w:tcW w:type="dxa" w:w="5760"/>
            <w:vAlign w:val="center"/>
            <w:shd w:fill="F8FAFC"/>
          </w:tcPr>
          <w:p>
            <w:r/>
            <w:r>
              <w:rPr>
                <w:rFonts w:ascii="Aptos" w:hAnsi="Aptos"/>
                <w:b w:val="0"/>
                <w:color w:val="0F172A"/>
                <w:sz w:val="17"/>
              </w:rPr>
              <w:t>DEGRADED or WARNING by thresholds</w:t>
            </w:r>
          </w:p>
        </w:tc>
      </w:tr>
      <w:tr>
        <w:tc>
          <w:tcPr>
            <w:tcW w:type="dxa" w:w="3888"/>
            <w:vAlign w:val="center"/>
          </w:tcPr>
          <w:p>
            <w:r/>
            <w:r>
              <w:rPr>
                <w:rFonts w:ascii="Aptos" w:hAnsi="Aptos"/>
                <w:b w:val="0"/>
                <w:color w:val="0F172A"/>
                <w:sz w:val="17"/>
              </w:rPr>
              <w:t>Tunnel UP + probe repeatedly failed</w:t>
            </w:r>
          </w:p>
        </w:tc>
        <w:tc>
          <w:tcPr>
            <w:tcW w:type="dxa" w:w="5760"/>
            <w:vAlign w:val="center"/>
          </w:tcPr>
          <w:p>
            <w:r/>
            <w:r>
              <w:rPr>
                <w:rFonts w:ascii="Aptos" w:hAnsi="Aptos"/>
                <w:b w:val="0"/>
                <w:color w:val="0F172A"/>
                <w:sz w:val="17"/>
              </w:rPr>
              <w:t>WARNING/CRITICAL depending on policy; message identifies data-plane failure</w:t>
            </w:r>
          </w:p>
        </w:tc>
      </w:tr>
      <w:tr>
        <w:tc>
          <w:tcPr>
            <w:tcW w:type="dxa" w:w="3888"/>
            <w:vAlign w:val="center"/>
            <w:shd w:fill="F8FAFC"/>
          </w:tcPr>
          <w:p>
            <w:r/>
            <w:r>
              <w:rPr>
                <w:rFonts w:ascii="Aptos" w:hAnsi="Aptos"/>
                <w:b w:val="0"/>
                <w:color w:val="0F172A"/>
                <w:sz w:val="17"/>
              </w:rPr>
              <w:t>Tunnel DOWN</w:t>
            </w:r>
          </w:p>
        </w:tc>
        <w:tc>
          <w:tcPr>
            <w:tcW w:type="dxa" w:w="5760"/>
            <w:vAlign w:val="center"/>
            <w:shd w:fill="F8FAFC"/>
          </w:tcPr>
          <w:p>
            <w:r/>
            <w:r>
              <w:rPr>
                <w:rFonts w:ascii="Aptos" w:hAnsi="Aptos"/>
                <w:b w:val="0"/>
                <w:color w:val="0F172A"/>
                <w:sz w:val="17"/>
              </w:rPr>
              <w:t>CRITICAL after debounce/grace</w:t>
            </w:r>
          </w:p>
        </w:tc>
      </w:tr>
      <w:tr>
        <w:tc>
          <w:tcPr>
            <w:tcW w:type="dxa" w:w="3888"/>
            <w:vAlign w:val="center"/>
          </w:tcPr>
          <w:p>
            <w:r/>
            <w:r>
              <w:rPr>
                <w:rFonts w:ascii="Aptos" w:hAnsi="Aptos"/>
                <w:b w:val="0"/>
                <w:color w:val="0F172A"/>
                <w:sz w:val="17"/>
              </w:rPr>
              <w:t>Agent unavailable</w:t>
            </w:r>
          </w:p>
        </w:tc>
        <w:tc>
          <w:tcPr>
            <w:tcW w:type="dxa" w:w="5760"/>
            <w:vAlign w:val="center"/>
          </w:tcPr>
          <w:p>
            <w:r/>
            <w:r>
              <w:rPr>
                <w:rFonts w:ascii="Aptos" w:hAnsi="Aptos"/>
                <w:b w:val="0"/>
                <w:color w:val="0F172A"/>
                <w:sz w:val="17"/>
              </w:rPr>
              <w:t>UNKNOWN unless an independent source confirms tunnel state</w:t>
            </w:r>
          </w:p>
        </w:tc>
      </w:tr>
      <w:tr>
        <w:tc>
          <w:tcPr>
            <w:tcW w:type="dxa" w:w="3888"/>
            <w:vAlign w:val="center"/>
            <w:shd w:fill="F8FAFC"/>
          </w:tcPr>
          <w:p>
            <w:r/>
            <w:r>
              <w:rPr>
                <w:rFonts w:ascii="Aptos" w:hAnsi="Aptos"/>
                <w:b w:val="0"/>
                <w:color w:val="0F172A"/>
                <w:sz w:val="17"/>
              </w:rPr>
              <w:t>Tunnel administratively disabled</w:t>
            </w:r>
          </w:p>
        </w:tc>
        <w:tc>
          <w:tcPr>
            <w:tcW w:type="dxa" w:w="5760"/>
            <w:vAlign w:val="center"/>
            <w:shd w:fill="F8FAFC"/>
          </w:tcPr>
          <w:p>
            <w:r/>
            <w:r>
              <w:rPr>
                <w:rFonts w:ascii="Aptos" w:hAnsi="Aptos"/>
                <w:b w:val="0"/>
                <w:color w:val="0F172A"/>
                <w:sz w:val="17"/>
              </w:rPr>
              <w:t>DISABLED</w:t>
            </w:r>
          </w:p>
        </w:tc>
      </w:tr>
    </w:tbl>
    <w:p/>
    <w:p>
      <w:pPr>
        <w:pStyle w:val="Heading1"/>
        <w:spacing w:before="160" w:after="100"/>
      </w:pPr>
      <w:r>
        <w:t>11. Device and Protect Monitoring</w:t>
      </w:r>
    </w:p>
    <w:p>
      <w:pPr>
        <w:spacing w:after="100" w:line="252" w:lineRule="auto"/>
      </w:pPr>
      <w:r>
        <w:t>Discovery and monitoring are separate states. An Agent may discover every switch, AP and camera, but only approved devices (or those selected by a Monitoring Profile rule) contribute to active health and alerting. This prevents test devices and intentionally disconnected assets from polluting the NOC.</w:t>
      </w:r>
    </w:p>
    <w:p>
      <w:pPr>
        <w:pStyle w:val="ListBullet"/>
        <w:spacing w:after="60"/>
      </w:pPr>
      <w:r>
        <w:t>Store minimal identity: stable UniFi ID, name, model, type, console/site association and monitoring flag.</w:t>
      </w:r>
    </w:p>
    <w:p>
      <w:pPr>
        <w:pStyle w:val="ListBullet"/>
        <w:spacing w:after="60"/>
      </w:pPr>
      <w:r>
        <w:t>Store operational state and timestamps separately from static inventory.</w:t>
      </w:r>
    </w:p>
    <w:p>
      <w:pPr>
        <w:pStyle w:val="ListBullet"/>
        <w:spacing w:after="60"/>
      </w:pPr>
      <w:r>
        <w:t>For Protect, prioritize camera reachable/connected and relevant service/recording indicators over video analytics.</w:t>
      </w:r>
    </w:p>
    <w:p>
      <w:pPr>
        <w:pStyle w:val="ListBullet"/>
        <w:spacing w:after="60"/>
      </w:pPr>
      <w:r>
        <w:t>Do not ingest video, thumbnails or recordings into ARGUS V1.</w:t>
      </w:r>
    </w:p>
    <w:p>
      <w:pPr>
        <w:pStyle w:val="Heading1"/>
        <w:spacing w:before="160" w:after="100"/>
      </w:pPr>
      <w:r>
        <w:t>12. Configuration Summary and Change Detection</w:t>
      </w:r>
    </w:p>
    <w:p>
      <w:pPr>
        <w:jc w:val="center"/>
      </w:pPr>
      <w:r>
        <w:drawing>
          <wp:inline xmlns:a="http://schemas.openxmlformats.org/drawingml/2006/main" xmlns:pic="http://schemas.openxmlformats.org/drawingml/2006/picture">
            <wp:extent cx="6126480" cy="3446145"/>
            <wp:docPr id="12" name="Picture 12"/>
            <wp:cNvGraphicFramePr>
              <a:graphicFrameLocks noChangeAspect="1"/>
            </wp:cNvGraphicFramePr>
            <a:graphic>
              <a:graphicData uri="http://schemas.openxmlformats.org/drawingml/2006/picture">
                <pic:pic>
                  <pic:nvPicPr>
                    <pic:cNvPr id="0" name="D18_config_snapshot.png"/>
                    <pic:cNvPicPr/>
                  </pic:nvPicPr>
                  <pic:blipFill>
                    <a:blip r:embed="rId22"/>
                    <a:stretch>
                      <a:fillRect/>
                    </a:stretch>
                  </pic:blipFill>
                  <pic:spPr>
                    <a:xfrm>
                      <a:off x="0" y="0"/>
                      <a:ext cx="6126480" cy="3446145"/>
                    </a:xfrm>
                    <a:prstGeom prst="rect"/>
                  </pic:spPr>
                </pic:pic>
              </a:graphicData>
            </a:graphic>
          </wp:inline>
        </w:drawing>
      </w:r>
    </w:p>
    <w:p>
      <w:pPr>
        <w:jc w:val="center"/>
      </w:pPr>
      <w:r>
        <w:rPr>
          <w:i/>
          <w:color w:val="64748B"/>
          <w:sz w:val="17"/>
        </w:rPr>
        <w:t>Figure 12.1 - Configuration summary and hash flow</w:t>
      </w:r>
    </w:p>
    <w:p>
      <w:pPr>
        <w:spacing w:after="100" w:line="252" w:lineRule="auto"/>
      </w:pPr>
      <w:r>
        <w:t>Each Site should expose a concise Network Configuration Summary for support. The Agent normalizes a non-secret subset and calculates a hash. If the hash is unchanged, no duplicate snapshot is written. If it changes, ARGUS stores the new normalized summary and raises a CONFIG_CHANGE event.</w:t>
      </w:r>
    </w:p>
    <w:tbl>
      <w:tblPr>
        <w:tblStyle w:val="TableGrid"/>
        <w:tblW w:type="auto" w:w="0"/>
        <w:jc w:val="center"/>
        <w:tblLook w:firstColumn="1" w:firstRow="1" w:lastColumn="0" w:lastRow="0" w:noHBand="0" w:noVBand="1" w:val="04A0"/>
      </w:tblPr>
      <w:tblGrid>
        <w:gridCol w:w="5112"/>
        <w:gridCol w:w="5112"/>
      </w:tblGrid>
      <w:tr>
        <w:tc>
          <w:tcPr>
            <w:tcW w:type="dxa" w:w="4608"/>
            <w:shd w:fill="0F172A"/>
          </w:tcPr>
          <w:p>
            <w:r/>
            <w:r>
              <w:rPr>
                <w:rFonts w:ascii="Aptos" w:hAnsi="Aptos"/>
                <w:b/>
                <w:color w:val="FFFFFF"/>
                <w:sz w:val="18"/>
              </w:rPr>
              <w:t>Include</w:t>
            </w:r>
          </w:p>
        </w:tc>
        <w:tc>
          <w:tcPr>
            <w:tcW w:type="dxa" w:w="5040"/>
            <w:shd w:fill="0F172A"/>
          </w:tcPr>
          <w:p>
            <w:r/>
            <w:r>
              <w:rPr>
                <w:rFonts w:ascii="Aptos" w:hAnsi="Aptos"/>
                <w:b/>
                <w:color w:val="FFFFFF"/>
                <w:sz w:val="18"/>
              </w:rPr>
              <w:t>Exclude</w:t>
            </w:r>
          </w:p>
        </w:tc>
      </w:tr>
      <w:tr>
        <w:tc>
          <w:tcPr>
            <w:tcW w:type="dxa" w:w="4608"/>
            <w:vAlign w:val="center"/>
          </w:tcPr>
          <w:p>
            <w:r/>
            <w:r>
              <w:rPr>
                <w:rFonts w:ascii="Aptos" w:hAnsi="Aptos"/>
                <w:b w:val="0"/>
                <w:color w:val="0F172A"/>
                <w:sz w:val="17"/>
              </w:rPr>
              <w:t>Network/VLAN names and IDs</w:t>
            </w:r>
          </w:p>
        </w:tc>
        <w:tc>
          <w:tcPr>
            <w:tcW w:type="dxa" w:w="5040"/>
            <w:vAlign w:val="center"/>
          </w:tcPr>
          <w:p>
            <w:r/>
            <w:r>
              <w:rPr>
                <w:rFonts w:ascii="Aptos" w:hAnsi="Aptos"/>
                <w:b w:val="0"/>
                <w:color w:val="0F172A"/>
                <w:sz w:val="17"/>
              </w:rPr>
              <w:t>WiFi PSKs</w:t>
            </w:r>
          </w:p>
        </w:tc>
      </w:tr>
      <w:tr>
        <w:tc>
          <w:tcPr>
            <w:tcW w:type="dxa" w:w="4608"/>
            <w:vAlign w:val="center"/>
            <w:shd w:fill="F8FAFC"/>
          </w:tcPr>
          <w:p>
            <w:r/>
            <w:r>
              <w:rPr>
                <w:rFonts w:ascii="Aptos" w:hAnsi="Aptos"/>
                <w:b w:val="0"/>
                <w:color w:val="0F172A"/>
                <w:sz w:val="17"/>
              </w:rPr>
              <w:t>Subnets and DHCP enabled/disabled</w:t>
            </w:r>
          </w:p>
        </w:tc>
        <w:tc>
          <w:tcPr>
            <w:tcW w:type="dxa" w:w="5040"/>
            <w:vAlign w:val="center"/>
            <w:shd w:fill="F8FAFC"/>
          </w:tcPr>
          <w:p>
            <w:r/>
            <w:r>
              <w:rPr>
                <w:rFonts w:ascii="Aptos" w:hAnsi="Aptos"/>
                <w:b w:val="0"/>
                <w:color w:val="0F172A"/>
                <w:sz w:val="17"/>
              </w:rPr>
              <w:t>VPN PSKs</w:t>
            </w:r>
          </w:p>
        </w:tc>
      </w:tr>
      <w:tr>
        <w:tc>
          <w:tcPr>
            <w:tcW w:type="dxa" w:w="4608"/>
            <w:vAlign w:val="center"/>
          </w:tcPr>
          <w:p>
            <w:r/>
            <w:r>
              <w:rPr>
                <w:rFonts w:ascii="Aptos" w:hAnsi="Aptos"/>
                <w:b w:val="0"/>
                <w:color w:val="0F172A"/>
                <w:sz w:val="17"/>
              </w:rPr>
              <w:t>WAN role/state and non-secret addressing metadata</w:t>
            </w:r>
          </w:p>
        </w:tc>
        <w:tc>
          <w:tcPr>
            <w:tcW w:type="dxa" w:w="5040"/>
            <w:vAlign w:val="center"/>
          </w:tcPr>
          <w:p>
            <w:r/>
            <w:r>
              <w:rPr>
                <w:rFonts w:ascii="Aptos" w:hAnsi="Aptos"/>
                <w:b w:val="0"/>
                <w:color w:val="0F172A"/>
                <w:sz w:val="17"/>
              </w:rPr>
              <w:t>Private keys/cert private material</w:t>
            </w:r>
          </w:p>
        </w:tc>
      </w:tr>
      <w:tr>
        <w:tc>
          <w:tcPr>
            <w:tcW w:type="dxa" w:w="4608"/>
            <w:vAlign w:val="center"/>
            <w:shd w:fill="F8FAFC"/>
          </w:tcPr>
          <w:p>
            <w:r/>
            <w:r>
              <w:rPr>
                <w:rFonts w:ascii="Aptos" w:hAnsi="Aptos"/>
                <w:b w:val="0"/>
                <w:color w:val="0F172A"/>
                <w:sz w:val="17"/>
              </w:rPr>
              <w:t>SSID names and mapped network</w:t>
            </w:r>
          </w:p>
        </w:tc>
        <w:tc>
          <w:tcPr>
            <w:tcW w:type="dxa" w:w="5040"/>
            <w:vAlign w:val="center"/>
            <w:shd w:fill="F8FAFC"/>
          </w:tcPr>
          <w:p>
            <w:r/>
            <w:r>
              <w:rPr>
                <w:rFonts w:ascii="Aptos" w:hAnsi="Aptos"/>
                <w:b w:val="0"/>
                <w:color w:val="0F172A"/>
                <w:sz w:val="17"/>
              </w:rPr>
              <w:t>RADIUS shared secrets</w:t>
            </w:r>
          </w:p>
        </w:tc>
      </w:tr>
      <w:tr>
        <w:tc>
          <w:tcPr>
            <w:tcW w:type="dxa" w:w="4608"/>
            <w:vAlign w:val="center"/>
          </w:tcPr>
          <w:p>
            <w:r/>
            <w:r>
              <w:rPr>
                <w:rFonts w:ascii="Aptos" w:hAnsi="Aptos"/>
                <w:b w:val="0"/>
                <w:color w:val="0F172A"/>
                <w:sz w:val="17"/>
              </w:rPr>
              <w:t>VPN names, types and remote logical descriptors</w:t>
            </w:r>
          </w:p>
        </w:tc>
        <w:tc>
          <w:tcPr>
            <w:tcW w:type="dxa" w:w="5040"/>
            <w:vAlign w:val="center"/>
          </w:tcPr>
          <w:p>
            <w:r/>
            <w:r>
              <w:rPr>
                <w:rFonts w:ascii="Aptos" w:hAnsi="Aptos"/>
                <w:b w:val="0"/>
                <w:color w:val="0F172A"/>
                <w:sz w:val="17"/>
              </w:rPr>
              <w:t>Administrative passwords/tokens</w:t>
            </w:r>
          </w:p>
        </w:tc>
      </w:tr>
      <w:tr>
        <w:tc>
          <w:tcPr>
            <w:tcW w:type="dxa" w:w="4608"/>
            <w:vAlign w:val="center"/>
            <w:shd w:fill="F8FAFC"/>
          </w:tcPr>
          <w:p>
            <w:r/>
            <w:r>
              <w:rPr>
                <w:rFonts w:ascii="Aptos" w:hAnsi="Aptos"/>
                <w:b w:val="0"/>
                <w:color w:val="0F172A"/>
                <w:sz w:val="17"/>
              </w:rPr>
              <w:t>High-level firewall-zone/count metadata when supported</w:t>
            </w:r>
          </w:p>
        </w:tc>
        <w:tc>
          <w:tcPr>
            <w:tcW w:type="dxa" w:w="5040"/>
            <w:vAlign w:val="center"/>
            <w:shd w:fill="F8FAFC"/>
          </w:tcPr>
          <w:p>
            <w:r/>
            <w:r>
              <w:rPr>
                <w:rFonts w:ascii="Aptos" w:hAnsi="Aptos"/>
                <w:b w:val="0"/>
                <w:color w:val="0F172A"/>
                <w:sz w:val="17"/>
              </w:rPr>
              <w:t>Raw config backups in V1</w:t>
            </w:r>
          </w:p>
        </w:tc>
      </w:tr>
    </w:tbl>
    <w:p/>
    <w:p>
      <w:pPr>
        <w:pStyle w:val="Heading1"/>
        <w:spacing w:before="160" w:after="100"/>
      </w:pPr>
      <w:r>
        <w:t>13. Events, Alerts, Incidents and Audit</w:t>
      </w:r>
    </w:p>
    <w:p>
      <w:pPr>
        <w:jc w:val="center"/>
      </w:pPr>
      <w:r>
        <w:drawing>
          <wp:inline xmlns:a="http://schemas.openxmlformats.org/drawingml/2006/main" xmlns:pic="http://schemas.openxmlformats.org/drawingml/2006/picture">
            <wp:extent cx="6126480" cy="819950"/>
            <wp:docPr id="13" name="Picture 13"/>
            <wp:cNvGraphicFramePr>
              <a:graphicFrameLocks noChangeAspect="1"/>
            </wp:cNvGraphicFramePr>
            <a:graphic>
              <a:graphicData uri="http://schemas.openxmlformats.org/drawingml/2006/picture">
                <pic:pic>
                  <pic:nvPicPr>
                    <pic:cNvPr id="0" name="D09_incident_lifecycle.png"/>
                    <pic:cNvPicPr/>
                  </pic:nvPicPr>
                  <pic:blipFill>
                    <a:blip r:embed="rId23"/>
                    <a:stretch>
                      <a:fillRect/>
                    </a:stretch>
                  </pic:blipFill>
                  <pic:spPr>
                    <a:xfrm>
                      <a:off x="0" y="0"/>
                      <a:ext cx="6126480" cy="819950"/>
                    </a:xfrm>
                    <a:prstGeom prst="rect"/>
                  </pic:spPr>
                </pic:pic>
              </a:graphicData>
            </a:graphic>
          </wp:inline>
        </w:drawing>
      </w:r>
    </w:p>
    <w:p>
      <w:pPr>
        <w:jc w:val="center"/>
      </w:pPr>
      <w:r>
        <w:rPr>
          <w:i/>
          <w:color w:val="64748B"/>
          <w:sz w:val="17"/>
        </w:rPr>
        <w:t>Figure 13.1 - Incident lifecycle</w:t>
      </w:r>
    </w:p>
    <w:tbl>
      <w:tblPr>
        <w:tblStyle w:val="TableGrid"/>
        <w:tblW w:type="auto" w:w="0"/>
        <w:jc w:val="center"/>
        <w:tblLook w:firstColumn="1" w:firstRow="1" w:lastColumn="0" w:lastRow="0" w:noHBand="0" w:noVBand="1" w:val="04A0"/>
      </w:tblPr>
      <w:tblGrid>
        <w:gridCol w:w="5112"/>
        <w:gridCol w:w="5112"/>
      </w:tblGrid>
      <w:tr>
        <w:tc>
          <w:tcPr>
            <w:tcW w:type="dxa" w:w="1584"/>
            <w:shd w:fill="0F172A"/>
          </w:tcPr>
          <w:p>
            <w:r/>
            <w:r>
              <w:rPr>
                <w:rFonts w:ascii="Aptos" w:hAnsi="Aptos"/>
                <w:b/>
                <w:color w:val="FFFFFF"/>
                <w:sz w:val="18"/>
              </w:rPr>
              <w:t>Object</w:t>
            </w:r>
          </w:p>
        </w:tc>
        <w:tc>
          <w:tcPr>
            <w:tcW w:type="dxa" w:w="8064"/>
            <w:shd w:fill="0F172A"/>
          </w:tcPr>
          <w:p>
            <w:r/>
            <w:r>
              <w:rPr>
                <w:rFonts w:ascii="Aptos" w:hAnsi="Aptos"/>
                <w:b/>
                <w:color w:val="FFFFFF"/>
                <w:sz w:val="18"/>
              </w:rPr>
              <w:t>Definition</w:t>
            </w:r>
          </w:p>
        </w:tc>
      </w:tr>
      <w:tr>
        <w:tc>
          <w:tcPr>
            <w:tcW w:type="dxa" w:w="1584"/>
            <w:vAlign w:val="center"/>
          </w:tcPr>
          <w:p>
            <w:r/>
            <w:r>
              <w:rPr>
                <w:rFonts w:ascii="Aptos" w:hAnsi="Aptos"/>
                <w:b w:val="0"/>
                <w:color w:val="0F172A"/>
                <w:sz w:val="17"/>
              </w:rPr>
              <w:t>Event</w:t>
            </w:r>
          </w:p>
        </w:tc>
        <w:tc>
          <w:tcPr>
            <w:tcW w:type="dxa" w:w="8064"/>
            <w:vAlign w:val="center"/>
          </w:tcPr>
          <w:p>
            <w:r/>
            <w:r>
              <w:rPr>
                <w:rFonts w:ascii="Aptos" w:hAnsi="Aptos"/>
                <w:b w:val="0"/>
                <w:color w:val="0F172A"/>
                <w:sz w:val="17"/>
              </w:rPr>
              <w:t>A timestamped observation or state transition, e.g. VPN_DOWN, DEVICE_RECOVERED, CONFIG_CHANGE.</w:t>
            </w:r>
          </w:p>
        </w:tc>
      </w:tr>
      <w:tr>
        <w:tc>
          <w:tcPr>
            <w:tcW w:type="dxa" w:w="1584"/>
            <w:vAlign w:val="center"/>
            <w:shd w:fill="F8FAFC"/>
          </w:tcPr>
          <w:p>
            <w:r/>
            <w:r>
              <w:rPr>
                <w:rFonts w:ascii="Aptos" w:hAnsi="Aptos"/>
                <w:b w:val="0"/>
                <w:color w:val="0F172A"/>
                <w:sz w:val="17"/>
              </w:rPr>
              <w:t>Alert</w:t>
            </w:r>
          </w:p>
        </w:tc>
        <w:tc>
          <w:tcPr>
            <w:tcW w:type="dxa" w:w="8064"/>
            <w:vAlign w:val="center"/>
            <w:shd w:fill="F8FAFC"/>
          </w:tcPr>
          <w:p>
            <w:r/>
            <w:r>
              <w:rPr>
                <w:rFonts w:ascii="Aptos" w:hAnsi="Aptos"/>
                <w:b w:val="0"/>
                <w:color w:val="0F172A"/>
                <w:sz w:val="17"/>
              </w:rPr>
              <w:t>A rule outcome requiring operator attention after thresholds/debounce.</w:t>
            </w:r>
          </w:p>
        </w:tc>
      </w:tr>
      <w:tr>
        <w:tc>
          <w:tcPr>
            <w:tcW w:type="dxa" w:w="1584"/>
            <w:vAlign w:val="center"/>
          </w:tcPr>
          <w:p>
            <w:r/>
            <w:r>
              <w:rPr>
                <w:rFonts w:ascii="Aptos" w:hAnsi="Aptos"/>
                <w:b w:val="0"/>
                <w:color w:val="0F172A"/>
                <w:sz w:val="17"/>
              </w:rPr>
              <w:t>Incident</w:t>
            </w:r>
          </w:p>
        </w:tc>
        <w:tc>
          <w:tcPr>
            <w:tcW w:type="dxa" w:w="8064"/>
            <w:vAlign w:val="center"/>
          </w:tcPr>
          <w:p>
            <w:r/>
            <w:r>
              <w:rPr>
                <w:rFonts w:ascii="Aptos" w:hAnsi="Aptos"/>
                <w:b w:val="0"/>
                <w:color w:val="0F172A"/>
                <w:sz w:val="17"/>
              </w:rPr>
              <w:t>Correlated operational episode with start/end, severity, affected objects and acknowledgement.</w:t>
            </w:r>
          </w:p>
        </w:tc>
      </w:tr>
      <w:tr>
        <w:tc>
          <w:tcPr>
            <w:tcW w:type="dxa" w:w="1584"/>
            <w:vAlign w:val="center"/>
            <w:shd w:fill="F8FAFC"/>
          </w:tcPr>
          <w:p>
            <w:r/>
            <w:r>
              <w:rPr>
                <w:rFonts w:ascii="Aptos" w:hAnsi="Aptos"/>
                <w:b w:val="0"/>
                <w:color w:val="0F172A"/>
                <w:sz w:val="17"/>
              </w:rPr>
              <w:t>Audit</w:t>
            </w:r>
          </w:p>
        </w:tc>
        <w:tc>
          <w:tcPr>
            <w:tcW w:type="dxa" w:w="8064"/>
            <w:vAlign w:val="center"/>
            <w:shd w:fill="F8FAFC"/>
          </w:tcPr>
          <w:p>
            <w:r/>
            <w:r>
              <w:rPr>
                <w:rFonts w:ascii="Aptos" w:hAnsi="Aptos"/>
                <w:b w:val="0"/>
                <w:color w:val="0F172A"/>
                <w:sz w:val="17"/>
              </w:rPr>
              <w:t>Immutable administrative/security action performed by a user or automation.</w:t>
            </w:r>
          </w:p>
        </w:tc>
      </w:tr>
    </w:tbl>
    <w:p/>
    <w:tbl>
      <w:tblPr>
        <w:tblStyle w:val="TableGrid"/>
        <w:tblW w:type="auto" w:w="0"/>
        <w:tblLook w:firstColumn="1" w:firstRow="1" w:lastColumn="0" w:lastRow="0" w:noHBand="0" w:noVBand="1" w:val="04A0"/>
      </w:tblPr>
      <w:tblGrid>
        <w:gridCol w:w="10224"/>
      </w:tblGrid>
      <w:tr>
        <w:tc>
          <w:tcPr>
            <w:tcW w:type="dxa" w:w="10224"/>
            <w:shd w:fill="DCFCE7"/>
          </w:tcPr>
          <w:p>
            <w:r/>
            <w:r>
              <w:rPr>
                <w:b/>
                <w:color w:val="0F172A"/>
                <w:sz w:val="20"/>
              </w:rPr>
              <w:t>Anti-noise rule</w:t>
              <w:br/>
            </w:r>
            <w:r>
              <w:rPr>
                <w:color w:val="334155"/>
                <w:sz w:val="18"/>
              </w:rPr>
              <w:t>Repeated samples that do not change state update “last checked” but do not create new Event rows. An incident remains one incident while repeated failed polls only update its evidence/last_observed timestamp.</w:t>
            </w:r>
          </w:p>
        </w:tc>
      </w:tr>
    </w:tbl>
    <w:p/>
    <w:p>
      <w:pPr>
        <w:pStyle w:val="Heading1"/>
        <w:spacing w:before="160" w:after="100"/>
      </w:pPr>
      <w:r>
        <w:t>14. Data Storage and Retention</w:t>
      </w:r>
    </w:p>
    <w:p>
      <w:pPr>
        <w:jc w:val="center"/>
      </w:pPr>
      <w:r>
        <w:drawing>
          <wp:inline xmlns:a="http://schemas.openxmlformats.org/drawingml/2006/main" xmlns:pic="http://schemas.openxmlformats.org/drawingml/2006/picture">
            <wp:extent cx="6126480" cy="433668"/>
            <wp:docPr id="14" name="Picture 14"/>
            <wp:cNvGraphicFramePr>
              <a:graphicFrameLocks noChangeAspect="1"/>
            </wp:cNvGraphicFramePr>
            <a:graphic>
              <a:graphicData uri="http://schemas.openxmlformats.org/drawingml/2006/picture">
                <pic:pic>
                  <pic:nvPicPr>
                    <pic:cNvPr id="0" name="D13_retention.png"/>
                    <pic:cNvPicPr/>
                  </pic:nvPicPr>
                  <pic:blipFill>
                    <a:blip r:embed="rId24"/>
                    <a:stretch>
                      <a:fillRect/>
                    </a:stretch>
                  </pic:blipFill>
                  <pic:spPr>
                    <a:xfrm>
                      <a:off x="0" y="0"/>
                      <a:ext cx="6126480" cy="433668"/>
                    </a:xfrm>
                    <a:prstGeom prst="rect"/>
                  </pic:spPr>
                </pic:pic>
              </a:graphicData>
            </a:graphic>
          </wp:inline>
        </w:drawing>
      </w:r>
    </w:p>
    <w:p>
      <w:pPr>
        <w:jc w:val="center"/>
      </w:pPr>
      <w:r>
        <w:rPr>
          <w:i/>
          <w:color w:val="64748B"/>
          <w:sz w:val="17"/>
        </w:rPr>
        <w:t>Figure 14.1 - Current-state and history retention model</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0F172A"/>
          </w:tcPr>
          <w:p>
            <w:r/>
            <w:r>
              <w:rPr>
                <w:rFonts w:ascii="Aptos" w:hAnsi="Aptos"/>
                <w:b/>
                <w:color w:val="FFFFFF"/>
                <w:sz w:val="18"/>
              </w:rPr>
              <w:t>Data class</w:t>
            </w:r>
          </w:p>
        </w:tc>
        <w:tc>
          <w:tcPr>
            <w:tcW w:type="dxa" w:w="2160"/>
            <w:shd w:fill="0F172A"/>
          </w:tcPr>
          <w:p>
            <w:r/>
            <w:r>
              <w:rPr>
                <w:rFonts w:ascii="Aptos" w:hAnsi="Aptos"/>
                <w:b/>
                <w:color w:val="FFFFFF"/>
                <w:sz w:val="18"/>
              </w:rPr>
              <w:t>Suggested retention</w:t>
            </w:r>
          </w:p>
        </w:tc>
        <w:tc>
          <w:tcPr>
            <w:tcW w:type="dxa" w:w="4896"/>
            <w:shd w:fill="0F172A"/>
          </w:tcPr>
          <w:p>
            <w:r/>
            <w:r>
              <w:rPr>
                <w:rFonts w:ascii="Aptos" w:hAnsi="Aptos"/>
                <w:b/>
                <w:color w:val="FFFFFF"/>
                <w:sz w:val="18"/>
              </w:rPr>
              <w:t>Notes</w:t>
            </w:r>
          </w:p>
        </w:tc>
      </w:tr>
      <w:tr>
        <w:tc>
          <w:tcPr>
            <w:tcW w:type="dxa" w:w="2592"/>
            <w:vAlign w:val="center"/>
          </w:tcPr>
          <w:p>
            <w:r/>
            <w:r>
              <w:rPr>
                <w:rFonts w:ascii="Aptos" w:hAnsi="Aptos"/>
                <w:b w:val="0"/>
                <w:color w:val="0F172A"/>
                <w:sz w:val="17"/>
              </w:rPr>
              <w:t>Current state</w:t>
            </w:r>
          </w:p>
        </w:tc>
        <w:tc>
          <w:tcPr>
            <w:tcW w:type="dxa" w:w="2160"/>
            <w:vAlign w:val="center"/>
          </w:tcPr>
          <w:p>
            <w:r/>
            <w:r>
              <w:rPr>
                <w:rFonts w:ascii="Aptos" w:hAnsi="Aptos"/>
                <w:b w:val="0"/>
                <w:color w:val="0F172A"/>
                <w:sz w:val="17"/>
              </w:rPr>
              <w:t>Indefinite</w:t>
            </w:r>
          </w:p>
        </w:tc>
        <w:tc>
          <w:tcPr>
            <w:tcW w:type="dxa" w:w="4896"/>
            <w:vAlign w:val="center"/>
          </w:tcPr>
          <w:p>
            <w:r/>
            <w:r>
              <w:rPr>
                <w:rFonts w:ascii="Aptos" w:hAnsi="Aptos"/>
                <w:b w:val="0"/>
                <w:color w:val="0F172A"/>
                <w:sz w:val="17"/>
              </w:rPr>
              <w:t>One latest row per monitored entity/state dimension.</w:t>
            </w:r>
          </w:p>
        </w:tc>
      </w:tr>
      <w:tr>
        <w:tc>
          <w:tcPr>
            <w:tcW w:type="dxa" w:w="2592"/>
            <w:vAlign w:val="center"/>
            <w:shd w:fill="F8FAFC"/>
          </w:tcPr>
          <w:p>
            <w:r/>
            <w:r>
              <w:rPr>
                <w:rFonts w:ascii="Aptos" w:hAnsi="Aptos"/>
                <w:b w:val="0"/>
                <w:color w:val="0F172A"/>
                <w:sz w:val="17"/>
              </w:rPr>
              <w:t>Events</w:t>
            </w:r>
          </w:p>
        </w:tc>
        <w:tc>
          <w:tcPr>
            <w:tcW w:type="dxa" w:w="2160"/>
            <w:vAlign w:val="center"/>
            <w:shd w:fill="F8FAFC"/>
          </w:tcPr>
          <w:p>
            <w:r/>
            <w:r>
              <w:rPr>
                <w:rFonts w:ascii="Aptos" w:hAnsi="Aptos"/>
                <w:b w:val="0"/>
                <w:color w:val="0F172A"/>
                <w:sz w:val="17"/>
              </w:rPr>
              <w:t>180 days</w:t>
            </w:r>
          </w:p>
        </w:tc>
        <w:tc>
          <w:tcPr>
            <w:tcW w:type="dxa" w:w="4896"/>
            <w:vAlign w:val="center"/>
            <w:shd w:fill="F8FAFC"/>
          </w:tcPr>
          <w:p>
            <w:r/>
            <w:r>
              <w:rPr>
                <w:rFonts w:ascii="Aptos" w:hAnsi="Aptos"/>
                <w:b w:val="0"/>
                <w:color w:val="0F172A"/>
                <w:sz w:val="17"/>
              </w:rPr>
              <w:t>Configurable; searchable operational history.</w:t>
            </w:r>
          </w:p>
        </w:tc>
      </w:tr>
      <w:tr>
        <w:tc>
          <w:tcPr>
            <w:tcW w:type="dxa" w:w="2592"/>
            <w:vAlign w:val="center"/>
          </w:tcPr>
          <w:p>
            <w:r/>
            <w:r>
              <w:rPr>
                <w:rFonts w:ascii="Aptos" w:hAnsi="Aptos"/>
                <w:b w:val="0"/>
                <w:color w:val="0F172A"/>
                <w:sz w:val="17"/>
              </w:rPr>
              <w:t>Incidents</w:t>
            </w:r>
          </w:p>
        </w:tc>
        <w:tc>
          <w:tcPr>
            <w:tcW w:type="dxa" w:w="2160"/>
            <w:vAlign w:val="center"/>
          </w:tcPr>
          <w:p>
            <w:r/>
            <w:r>
              <w:rPr>
                <w:rFonts w:ascii="Aptos" w:hAnsi="Aptos"/>
                <w:b w:val="0"/>
                <w:color w:val="0F172A"/>
                <w:sz w:val="17"/>
              </w:rPr>
              <w:t>24 months+</w:t>
            </w:r>
          </w:p>
        </w:tc>
        <w:tc>
          <w:tcPr>
            <w:tcW w:type="dxa" w:w="4896"/>
            <w:vAlign w:val="center"/>
          </w:tcPr>
          <w:p>
            <w:r/>
            <w:r>
              <w:rPr>
                <w:rFonts w:ascii="Aptos" w:hAnsi="Aptos"/>
                <w:b w:val="0"/>
                <w:color w:val="0F172A"/>
                <w:sz w:val="17"/>
              </w:rPr>
              <w:t>Low volume and high operational value.</w:t>
            </w:r>
          </w:p>
        </w:tc>
      </w:tr>
      <w:tr>
        <w:tc>
          <w:tcPr>
            <w:tcW w:type="dxa" w:w="2592"/>
            <w:vAlign w:val="center"/>
            <w:shd w:fill="F8FAFC"/>
          </w:tcPr>
          <w:p>
            <w:r/>
            <w:r>
              <w:rPr>
                <w:rFonts w:ascii="Aptos" w:hAnsi="Aptos"/>
                <w:b w:val="0"/>
                <w:color w:val="0F172A"/>
                <w:sz w:val="17"/>
              </w:rPr>
              <w:t>Audit</w:t>
            </w:r>
          </w:p>
        </w:tc>
        <w:tc>
          <w:tcPr>
            <w:tcW w:type="dxa" w:w="2160"/>
            <w:vAlign w:val="center"/>
            <w:shd w:fill="F8FAFC"/>
          </w:tcPr>
          <w:p>
            <w:r/>
            <w:r>
              <w:rPr>
                <w:rFonts w:ascii="Aptos" w:hAnsi="Aptos"/>
                <w:b w:val="0"/>
                <w:color w:val="0F172A"/>
                <w:sz w:val="17"/>
              </w:rPr>
              <w:t>365 days minimum</w:t>
            </w:r>
          </w:p>
        </w:tc>
        <w:tc>
          <w:tcPr>
            <w:tcW w:type="dxa" w:w="4896"/>
            <w:vAlign w:val="center"/>
            <w:shd w:fill="F8FAFC"/>
          </w:tcPr>
          <w:p>
            <w:r/>
            <w:r>
              <w:rPr>
                <w:rFonts w:ascii="Aptos" w:hAnsi="Aptos"/>
                <w:b w:val="0"/>
                <w:color w:val="0F172A"/>
                <w:sz w:val="17"/>
              </w:rPr>
              <w:t>Longer if compliance requirements demand.</w:t>
            </w:r>
          </w:p>
        </w:tc>
      </w:tr>
      <w:tr>
        <w:tc>
          <w:tcPr>
            <w:tcW w:type="dxa" w:w="2592"/>
            <w:vAlign w:val="center"/>
          </w:tcPr>
          <w:p>
            <w:r/>
            <w:r>
              <w:rPr>
                <w:rFonts w:ascii="Aptos" w:hAnsi="Aptos"/>
                <w:b w:val="0"/>
                <w:color w:val="0F172A"/>
                <w:sz w:val="17"/>
              </w:rPr>
              <w:t>Availability rollups</w:t>
            </w:r>
          </w:p>
        </w:tc>
        <w:tc>
          <w:tcPr>
            <w:tcW w:type="dxa" w:w="2160"/>
            <w:vAlign w:val="center"/>
          </w:tcPr>
          <w:p>
            <w:r/>
            <w:r>
              <w:rPr>
                <w:rFonts w:ascii="Aptos" w:hAnsi="Aptos"/>
                <w:b w:val="0"/>
                <w:color w:val="0F172A"/>
                <w:sz w:val="17"/>
              </w:rPr>
              <w:t>24 months</w:t>
            </w:r>
          </w:p>
        </w:tc>
        <w:tc>
          <w:tcPr>
            <w:tcW w:type="dxa" w:w="4896"/>
            <w:vAlign w:val="center"/>
          </w:tcPr>
          <w:p>
            <w:r/>
            <w:r>
              <w:rPr>
                <w:rFonts w:ascii="Aptos" w:hAnsi="Aptos"/>
                <w:b w:val="0"/>
                <w:color w:val="0F172A"/>
                <w:sz w:val="17"/>
              </w:rPr>
              <w:t>Store summarized durations/percentages rather than raw polls.</w:t>
            </w:r>
          </w:p>
        </w:tc>
      </w:tr>
      <w:tr>
        <w:tc>
          <w:tcPr>
            <w:tcW w:type="dxa" w:w="2592"/>
            <w:vAlign w:val="center"/>
            <w:shd w:fill="F8FAFC"/>
          </w:tcPr>
          <w:p>
            <w:r/>
            <w:r>
              <w:rPr>
                <w:rFonts w:ascii="Aptos" w:hAnsi="Aptos"/>
                <w:b w:val="0"/>
                <w:color w:val="0F172A"/>
                <w:sz w:val="17"/>
              </w:rPr>
              <w:t>Agent buffered spool</w:t>
            </w:r>
          </w:p>
        </w:tc>
        <w:tc>
          <w:tcPr>
            <w:tcW w:type="dxa" w:w="2160"/>
            <w:vAlign w:val="center"/>
            <w:shd w:fill="F8FAFC"/>
          </w:tcPr>
          <w:p>
            <w:r/>
            <w:r>
              <w:rPr>
                <w:rFonts w:ascii="Aptos" w:hAnsi="Aptos"/>
                <w:b w:val="0"/>
                <w:color w:val="0F172A"/>
                <w:sz w:val="17"/>
              </w:rPr>
              <w:t>Size/time bounded locally</w:t>
            </w:r>
          </w:p>
        </w:tc>
        <w:tc>
          <w:tcPr>
            <w:tcW w:type="dxa" w:w="4896"/>
            <w:vAlign w:val="center"/>
            <w:shd w:fill="F8FAFC"/>
          </w:tcPr>
          <w:p>
            <w:r/>
            <w:r>
              <w:rPr>
                <w:rFonts w:ascii="Aptos" w:hAnsi="Aptos"/>
                <w:b w:val="0"/>
                <w:color w:val="0F172A"/>
                <w:sz w:val="17"/>
              </w:rPr>
              <w:t>For example 24-72 hours, with ordered replay and ACK.</w:t>
            </w:r>
          </w:p>
        </w:tc>
      </w:tr>
    </w:tbl>
    <w:p/>
    <w:p>
      <w:pPr>
        <w:pStyle w:val="Heading1"/>
        <w:spacing w:before="160" w:after="100"/>
      </w:pPr>
      <w:r>
        <w:t>15. Backend/API Architecture</w:t>
      </w:r>
    </w:p>
    <w:p>
      <w:pPr>
        <w:jc w:val="center"/>
      </w:pPr>
      <w:r>
        <w:drawing>
          <wp:inline xmlns:a="http://schemas.openxmlformats.org/drawingml/2006/main" xmlns:pic="http://schemas.openxmlformats.org/drawingml/2006/picture">
            <wp:extent cx="6126480" cy="3446145"/>
            <wp:docPr id="15" name="Picture 15"/>
            <wp:cNvGraphicFramePr>
              <a:graphicFrameLocks noChangeAspect="1"/>
            </wp:cNvGraphicFramePr>
            <a:graphic>
              <a:graphicData uri="http://schemas.openxmlformats.org/drawingml/2006/picture">
                <pic:pic>
                  <pic:nvPicPr>
                    <pic:cNvPr id="0" name="D06_health_sequence.png"/>
                    <pic:cNvPicPr/>
                  </pic:nvPicPr>
                  <pic:blipFill>
                    <a:blip r:embed="rId25"/>
                    <a:stretch>
                      <a:fillRect/>
                    </a:stretch>
                  </pic:blipFill>
                  <pic:spPr>
                    <a:xfrm>
                      <a:off x="0" y="0"/>
                      <a:ext cx="6126480" cy="3446145"/>
                    </a:xfrm>
                    <a:prstGeom prst="rect"/>
                  </pic:spPr>
                </pic:pic>
              </a:graphicData>
            </a:graphic>
          </wp:inline>
        </w:drawing>
      </w:r>
    </w:p>
    <w:p>
      <w:pPr>
        <w:jc w:val="center"/>
      </w:pPr>
      <w:r>
        <w:rPr>
          <w:i/>
          <w:color w:val="64748B"/>
          <w:sz w:val="17"/>
        </w:rPr>
        <w:t>Figure 15.1 - Normal heartbeat and health data flow</w:t>
      </w:r>
    </w:p>
    <w:p>
      <w:pPr>
        <w:spacing w:after="100" w:line="252" w:lineRule="auto"/>
      </w:pPr>
      <w:r>
        <w:t>All Agent endpoints should be versioned and idempotent where practical. Agent payloads should carry stable entity IDs, source timestamps, sequence numbers and schema version. The server normalizes reports before persistence and health evaluation.</w:t>
      </w:r>
    </w:p>
    <w:p>
      <w:pPr>
        <w:pStyle w:val="Heading2"/>
        <w:spacing w:before="160" w:after="100"/>
      </w:pPr>
      <w:r>
        <w:t>15.1 Conceptual API groups</w:t>
      </w:r>
    </w:p>
    <w:tbl>
      <w:tblPr>
        <w:tblStyle w:val="TableGrid"/>
        <w:tblW w:type="auto" w:w="0"/>
        <w:jc w:val="center"/>
        <w:tblLook w:firstColumn="1" w:firstRow="1" w:lastColumn="0" w:lastRow="0" w:noHBand="0" w:noVBand="1" w:val="04A0"/>
      </w:tblPr>
      <w:tblGrid>
        <w:gridCol w:w="5112"/>
        <w:gridCol w:w="5112"/>
      </w:tblGrid>
      <w:tr>
        <w:tc>
          <w:tcPr>
            <w:tcW w:type="dxa" w:w="3168"/>
            <w:shd w:fill="0F172A"/>
          </w:tcPr>
          <w:p>
            <w:r/>
            <w:r>
              <w:rPr>
                <w:rFonts w:ascii="Aptos" w:hAnsi="Aptos"/>
                <w:b/>
                <w:color w:val="FFFFFF"/>
                <w:sz w:val="18"/>
              </w:rPr>
              <w:t>Path group</w:t>
            </w:r>
          </w:p>
        </w:tc>
        <w:tc>
          <w:tcPr>
            <w:tcW w:type="dxa" w:w="6480"/>
            <w:shd w:fill="0F172A"/>
          </w:tcPr>
          <w:p>
            <w:r/>
            <w:r>
              <w:rPr>
                <w:rFonts w:ascii="Aptos" w:hAnsi="Aptos"/>
                <w:b/>
                <w:color w:val="FFFFFF"/>
                <w:sz w:val="18"/>
              </w:rPr>
              <w:t>Purpose</w:t>
            </w:r>
          </w:p>
        </w:tc>
      </w:tr>
      <w:tr>
        <w:tc>
          <w:tcPr>
            <w:tcW w:type="dxa" w:w="3168"/>
            <w:vAlign w:val="center"/>
          </w:tcPr>
          <w:p>
            <w:r/>
            <w:r>
              <w:rPr>
                <w:rFonts w:ascii="Aptos" w:hAnsi="Aptos"/>
                <w:b w:val="0"/>
                <w:color w:val="0F172A"/>
                <w:sz w:val="17"/>
              </w:rPr>
              <w:t>/api/v1/enroll</w:t>
            </w:r>
          </w:p>
        </w:tc>
        <w:tc>
          <w:tcPr>
            <w:tcW w:type="dxa" w:w="6480"/>
            <w:vAlign w:val="center"/>
          </w:tcPr>
          <w:p>
            <w:r/>
            <w:r>
              <w:rPr>
                <w:rFonts w:ascii="Aptos" w:hAnsi="Aptos"/>
                <w:b w:val="0"/>
                <w:color w:val="0F172A"/>
                <w:sz w:val="17"/>
              </w:rPr>
              <w:t>One-time Agent enrollment.</w:t>
            </w:r>
          </w:p>
        </w:tc>
      </w:tr>
      <w:tr>
        <w:tc>
          <w:tcPr>
            <w:tcW w:type="dxa" w:w="3168"/>
            <w:vAlign w:val="center"/>
            <w:shd w:fill="F8FAFC"/>
          </w:tcPr>
          <w:p>
            <w:r/>
            <w:r>
              <w:rPr>
                <w:rFonts w:ascii="Aptos" w:hAnsi="Aptos"/>
                <w:b w:val="0"/>
                <w:color w:val="0F172A"/>
                <w:sz w:val="17"/>
              </w:rPr>
              <w:t>/api/v1/agent/heartbeat</w:t>
            </w:r>
          </w:p>
        </w:tc>
        <w:tc>
          <w:tcPr>
            <w:tcW w:type="dxa" w:w="6480"/>
            <w:vAlign w:val="center"/>
            <w:shd w:fill="F8FAFC"/>
          </w:tcPr>
          <w:p>
            <w:r/>
            <w:r>
              <w:rPr>
                <w:rFonts w:ascii="Aptos" w:hAnsi="Aptos"/>
                <w:b w:val="0"/>
                <w:color w:val="0F172A"/>
                <w:sz w:val="17"/>
              </w:rPr>
              <w:t>Small liveness report.</w:t>
            </w:r>
          </w:p>
        </w:tc>
      </w:tr>
      <w:tr>
        <w:tc>
          <w:tcPr>
            <w:tcW w:type="dxa" w:w="3168"/>
            <w:vAlign w:val="center"/>
          </w:tcPr>
          <w:p>
            <w:r/>
            <w:r>
              <w:rPr>
                <w:rFonts w:ascii="Aptos" w:hAnsi="Aptos"/>
                <w:b w:val="0"/>
                <w:color w:val="0F172A"/>
                <w:sz w:val="17"/>
              </w:rPr>
              <w:t>/api/v1/agent/report</w:t>
            </w:r>
          </w:p>
        </w:tc>
        <w:tc>
          <w:tcPr>
            <w:tcW w:type="dxa" w:w="6480"/>
            <w:vAlign w:val="center"/>
          </w:tcPr>
          <w:p>
            <w:r/>
            <w:r>
              <w:rPr>
                <w:rFonts w:ascii="Aptos" w:hAnsi="Aptos"/>
                <w:b w:val="0"/>
                <w:color w:val="0F172A"/>
                <w:sz w:val="17"/>
              </w:rPr>
              <w:t>Health/state delta report.</w:t>
            </w:r>
          </w:p>
        </w:tc>
      </w:tr>
      <w:tr>
        <w:tc>
          <w:tcPr>
            <w:tcW w:type="dxa" w:w="3168"/>
            <w:vAlign w:val="center"/>
            <w:shd w:fill="F8FAFC"/>
          </w:tcPr>
          <w:p>
            <w:r/>
            <w:r>
              <w:rPr>
                <w:rFonts w:ascii="Aptos" w:hAnsi="Aptos"/>
                <w:b w:val="0"/>
                <w:color w:val="0F172A"/>
                <w:sz w:val="17"/>
              </w:rPr>
              <w:t>/api/v1/agent/inventory</w:t>
            </w:r>
          </w:p>
        </w:tc>
        <w:tc>
          <w:tcPr>
            <w:tcW w:type="dxa" w:w="6480"/>
            <w:vAlign w:val="center"/>
            <w:shd w:fill="F8FAFC"/>
          </w:tcPr>
          <w:p>
            <w:r/>
            <w:r>
              <w:rPr>
                <w:rFonts w:ascii="Aptos" w:hAnsi="Aptos"/>
                <w:b w:val="0"/>
                <w:color w:val="0F172A"/>
                <w:sz w:val="17"/>
              </w:rPr>
              <w:t>Discovery/inventory synchronization.</w:t>
            </w:r>
          </w:p>
        </w:tc>
      </w:tr>
      <w:tr>
        <w:tc>
          <w:tcPr>
            <w:tcW w:type="dxa" w:w="3168"/>
            <w:vAlign w:val="center"/>
          </w:tcPr>
          <w:p>
            <w:r/>
            <w:r>
              <w:rPr>
                <w:rFonts w:ascii="Aptos" w:hAnsi="Aptos"/>
                <w:b w:val="0"/>
                <w:color w:val="0F172A"/>
                <w:sz w:val="17"/>
              </w:rPr>
              <w:t>/api/v1/agent/config</w:t>
            </w:r>
          </w:p>
        </w:tc>
        <w:tc>
          <w:tcPr>
            <w:tcW w:type="dxa" w:w="6480"/>
            <w:vAlign w:val="center"/>
          </w:tcPr>
          <w:p>
            <w:r/>
            <w:r>
              <w:rPr>
                <w:rFonts w:ascii="Aptos" w:hAnsi="Aptos"/>
                <w:b w:val="0"/>
                <w:color w:val="0F172A"/>
                <w:sz w:val="17"/>
              </w:rPr>
              <w:t>Desired monitoring manifest / thresholds / commands.</w:t>
            </w:r>
          </w:p>
        </w:tc>
      </w:tr>
      <w:tr>
        <w:tc>
          <w:tcPr>
            <w:tcW w:type="dxa" w:w="3168"/>
            <w:vAlign w:val="center"/>
            <w:shd w:fill="F8FAFC"/>
          </w:tcPr>
          <w:p>
            <w:r/>
            <w:r>
              <w:rPr>
                <w:rFonts w:ascii="Aptos" w:hAnsi="Aptos"/>
                <w:b w:val="0"/>
                <w:color w:val="0F172A"/>
                <w:sz w:val="17"/>
              </w:rPr>
              <w:t>/api/v1/sites</w:t>
            </w:r>
          </w:p>
        </w:tc>
        <w:tc>
          <w:tcPr>
            <w:tcW w:type="dxa" w:w="6480"/>
            <w:vAlign w:val="center"/>
            <w:shd w:fill="F8FAFC"/>
          </w:tcPr>
          <w:p>
            <w:r/>
            <w:r>
              <w:rPr>
                <w:rFonts w:ascii="Aptos" w:hAnsi="Aptos"/>
                <w:b w:val="0"/>
                <w:color w:val="0F172A"/>
                <w:sz w:val="17"/>
              </w:rPr>
              <w:t>Administrative site views.</w:t>
            </w:r>
          </w:p>
        </w:tc>
      </w:tr>
      <w:tr>
        <w:tc>
          <w:tcPr>
            <w:tcW w:type="dxa" w:w="3168"/>
            <w:vAlign w:val="center"/>
          </w:tcPr>
          <w:p>
            <w:r/>
            <w:r>
              <w:rPr>
                <w:rFonts w:ascii="Aptos" w:hAnsi="Aptos"/>
                <w:b w:val="0"/>
                <w:color w:val="0F172A"/>
                <w:sz w:val="17"/>
              </w:rPr>
              <w:t>/api/v1/incidents</w:t>
            </w:r>
          </w:p>
        </w:tc>
        <w:tc>
          <w:tcPr>
            <w:tcW w:type="dxa" w:w="6480"/>
            <w:vAlign w:val="center"/>
          </w:tcPr>
          <w:p>
            <w:r/>
            <w:r>
              <w:rPr>
                <w:rFonts w:ascii="Aptos" w:hAnsi="Aptos"/>
                <w:b w:val="0"/>
                <w:color w:val="0F172A"/>
                <w:sz w:val="17"/>
              </w:rPr>
              <w:t>Incident search, detail and acknowledgements.</w:t>
            </w:r>
          </w:p>
        </w:tc>
      </w:tr>
      <w:tr>
        <w:tc>
          <w:tcPr>
            <w:tcW w:type="dxa" w:w="3168"/>
            <w:vAlign w:val="center"/>
            <w:shd w:fill="F8FAFC"/>
          </w:tcPr>
          <w:p>
            <w:r/>
            <w:r>
              <w:rPr>
                <w:rFonts w:ascii="Aptos" w:hAnsi="Aptos"/>
                <w:b w:val="0"/>
                <w:color w:val="0F172A"/>
                <w:sz w:val="17"/>
              </w:rPr>
              <w:t>/api/v1/events</w:t>
            </w:r>
          </w:p>
        </w:tc>
        <w:tc>
          <w:tcPr>
            <w:tcW w:type="dxa" w:w="6480"/>
            <w:vAlign w:val="center"/>
            <w:shd w:fill="F8FAFC"/>
          </w:tcPr>
          <w:p>
            <w:r/>
            <w:r>
              <w:rPr>
                <w:rFonts w:ascii="Aptos" w:hAnsi="Aptos"/>
                <w:b w:val="0"/>
                <w:color w:val="0F172A"/>
                <w:sz w:val="17"/>
              </w:rPr>
              <w:t>Filtered event/log retrieval.</w:t>
            </w:r>
          </w:p>
        </w:tc>
      </w:tr>
      <w:tr>
        <w:tc>
          <w:tcPr>
            <w:tcW w:type="dxa" w:w="3168"/>
            <w:vAlign w:val="center"/>
          </w:tcPr>
          <w:p>
            <w:r/>
            <w:r>
              <w:rPr>
                <w:rFonts w:ascii="Aptos" w:hAnsi="Aptos"/>
                <w:b w:val="0"/>
                <w:color w:val="0F172A"/>
                <w:sz w:val="17"/>
              </w:rPr>
              <w:t>/api/v1/admin/*</w:t>
            </w:r>
          </w:p>
        </w:tc>
        <w:tc>
          <w:tcPr>
            <w:tcW w:type="dxa" w:w="6480"/>
            <w:vAlign w:val="center"/>
          </w:tcPr>
          <w:p>
            <w:r/>
            <w:r>
              <w:rPr>
                <w:rFonts w:ascii="Aptos" w:hAnsi="Aptos"/>
                <w:b w:val="0"/>
                <w:color w:val="0F172A"/>
                <w:sz w:val="17"/>
              </w:rPr>
              <w:t>Users, RBAC, tokens, profiles and settings.</w:t>
            </w:r>
          </w:p>
        </w:tc>
      </w:tr>
    </w:tbl>
    <w:p/>
    <w:p>
      <w:pPr>
        <w:pStyle w:val="Heading1"/>
        <w:spacing w:before="160" w:after="100"/>
      </w:pPr>
      <w:r>
        <w:t>16. AWS Deployment and Operations</w:t>
      </w:r>
    </w:p>
    <w:p>
      <w:pPr>
        <w:pStyle w:val="ListBullet"/>
        <w:spacing w:after="60"/>
      </w:pPr>
      <w:r>
        <w:t>Ubuntu Server 26.04 EC2 instance in a dedicated security group.</w:t>
      </w:r>
    </w:p>
    <w:p>
      <w:pPr>
        <w:pStyle w:val="ListBullet"/>
        <w:spacing w:after="60"/>
      </w:pPr>
      <w:r>
        <w:t>Only required public ingress: TCP/443 (and TCP/80 only if needed for ACME redirect/challenge; DNS-based ACME can avoid it).</w:t>
      </w:r>
    </w:p>
    <w:p>
      <w:pPr>
        <w:pStyle w:val="ListBullet"/>
        <w:spacing w:after="60"/>
      </w:pPr>
      <w:r>
        <w:t>SSH should be restricted through approved administrative controls/VPN/bastion rather than open globally.</w:t>
      </w:r>
    </w:p>
    <w:p>
      <w:pPr>
        <w:pStyle w:val="ListBullet"/>
        <w:spacing w:after="60"/>
      </w:pPr>
      <w:r>
        <w:t>Persistent database volume separated from ephemeral container filesystem.</w:t>
      </w:r>
    </w:p>
    <w:p>
      <w:pPr>
        <w:pStyle w:val="ListBullet"/>
        <w:spacing w:after="60"/>
      </w:pPr>
      <w:r>
        <w:t>Automated encrypted PostgreSQL backups to an AWS-native durable target and periodic restore test.</w:t>
      </w:r>
    </w:p>
    <w:p>
      <w:pPr>
        <w:pStyle w:val="ListBullet"/>
        <w:spacing w:after="60"/>
      </w:pPr>
      <w:r>
        <w:t>CloudWatch or equivalent host-level observability for CPU, disk, memory, instance status and TLS endpoint.</w:t>
      </w:r>
    </w:p>
    <w:p>
      <w:pPr>
        <w:pStyle w:val="ListBullet"/>
        <w:spacing w:after="60"/>
      </w:pPr>
      <w:r>
        <w:t>ARGUS self-health endpoint independent from the main UI where possible.</w:t>
      </w:r>
    </w:p>
    <w:p>
      <w:pPr>
        <w:pStyle w:val="Heading1"/>
        <w:spacing w:before="160" w:after="100"/>
      </w:pPr>
      <w:r>
        <w:t>17. Agent Distribution and Updates</w:t>
      </w:r>
    </w:p>
    <w:p>
      <w:pPr>
        <w:jc w:val="center"/>
      </w:pPr>
      <w:r>
        <w:drawing>
          <wp:inline xmlns:a="http://schemas.openxmlformats.org/drawingml/2006/main" xmlns:pic="http://schemas.openxmlformats.org/drawingml/2006/picture">
            <wp:extent cx="6126480" cy="1086345"/>
            <wp:docPr id="16" name="Picture 16"/>
            <wp:cNvGraphicFramePr>
              <a:graphicFrameLocks noChangeAspect="1"/>
            </wp:cNvGraphicFramePr>
            <a:graphic>
              <a:graphicData uri="http://schemas.openxmlformats.org/drawingml/2006/picture">
                <pic:pic>
                  <pic:nvPicPr>
                    <pic:cNvPr id="0" name="D14_agent_update.png"/>
                    <pic:cNvPicPr/>
                  </pic:nvPicPr>
                  <pic:blipFill>
                    <a:blip r:embed="rId26"/>
                    <a:stretch>
                      <a:fillRect/>
                    </a:stretch>
                  </pic:blipFill>
                  <pic:spPr>
                    <a:xfrm>
                      <a:off x="0" y="0"/>
                      <a:ext cx="6126480" cy="1086345"/>
                    </a:xfrm>
                    <a:prstGeom prst="rect"/>
                  </pic:spPr>
                </pic:pic>
              </a:graphicData>
            </a:graphic>
          </wp:inline>
        </w:drawing>
      </w:r>
    </w:p>
    <w:p>
      <w:pPr>
        <w:jc w:val="center"/>
      </w:pPr>
      <w:r>
        <w:rPr>
          <w:i/>
          <w:color w:val="64748B"/>
          <w:sz w:val="17"/>
        </w:rPr>
        <w:t>Figure 17.1 - Agent release and update path through MCA Secure Downloads</w:t>
      </w:r>
    </w:p>
    <w:p>
      <w:pPr>
        <w:spacing w:after="100" w:line="252" w:lineRule="auto"/>
      </w:pPr>
      <w:r>
        <w:t>MCA-Secure-Downloads-install should be the canonical distribution path. Installation must detect supported console/platform, install files with restrictive permissions, register persistence, enroll or accept a supplied token, start the service and verify the first heartbeat. Upgrades should be signed/checksummed, atomic and rollback-capable.</w:t>
      </w:r>
    </w:p>
    <w:p>
      <w:pPr>
        <w:pStyle w:val="ListBullet"/>
        <w:spacing w:after="60"/>
      </w:pPr>
      <w:r>
        <w:t>Stable, optional beta and pinned release channels.</w:t>
      </w:r>
    </w:p>
    <w:p>
      <w:pPr>
        <w:pStyle w:val="ListBullet"/>
        <w:spacing w:after="60"/>
      </w:pPr>
      <w:r>
        <w:t>Server displays installed Agent version per Site.</w:t>
      </w:r>
    </w:p>
    <w:p>
      <w:pPr>
        <w:pStyle w:val="ListBullet"/>
        <w:spacing w:after="60"/>
      </w:pPr>
      <w:r>
        <w:t>Update policy can be manual, staged or automatic by profile.</w:t>
      </w:r>
    </w:p>
    <w:p>
      <w:pPr>
        <w:pStyle w:val="ListBullet"/>
        <w:spacing w:after="60"/>
      </w:pPr>
      <w:r>
        <w:t>No update should destroy the local spool or Agent identity.</w:t>
      </w:r>
    </w:p>
    <w:p>
      <w:pPr>
        <w:pStyle w:val="Heading1"/>
        <w:spacing w:before="160" w:after="100"/>
      </w:pPr>
      <w:r>
        <w:t>18. NOC / 1080p UX Requirements</w:t>
      </w:r>
    </w:p>
    <w:tbl>
      <w:tblPr>
        <w:tblStyle w:val="TableGrid"/>
        <w:tblW w:type="auto" w:w="0"/>
        <w:tblLook w:firstColumn="1" w:firstRow="1" w:lastColumn="0" w:lastRow="0" w:noHBand="0" w:noVBand="1" w:val="04A0"/>
      </w:tblPr>
      <w:tblGrid>
        <w:gridCol w:w="10224"/>
      </w:tblGrid>
      <w:tr>
        <w:tc>
          <w:tcPr>
            <w:tcW w:type="dxa" w:w="10224"/>
            <w:shd w:fill="DBEAFE"/>
          </w:tcPr>
          <w:p>
            <w:r/>
            <w:r>
              <w:rPr>
                <w:b/>
                <w:color w:val="0F172A"/>
                <w:sz w:val="20"/>
              </w:rPr>
              <w:t>Hard UI constraint</w:t>
              <w:br/>
            </w:r>
            <w:r>
              <w:rPr>
                <w:color w:val="334155"/>
                <w:sz w:val="18"/>
              </w:rPr>
              <w:t>The primary /noc view must fit entirely inside a browser viewport of 1920×1080 or lower. No vertical or horizontal scroll is allowed in normal wallboard operation.</w:t>
            </w:r>
          </w:p>
        </w:tc>
      </w:tr>
    </w:tbl>
    <w:p/>
    <w:tbl>
      <w:tblPr>
        <w:tblStyle w:val="TableGrid"/>
        <w:tblW w:type="auto" w:w="0"/>
        <w:jc w:val="center"/>
        <w:tblLook w:firstColumn="1" w:firstRow="1" w:lastColumn="0" w:lastRow="0" w:noHBand="0" w:noVBand="1" w:val="04A0"/>
      </w:tblPr>
      <w:tblGrid>
        <w:gridCol w:w="5112"/>
        <w:gridCol w:w="5112"/>
      </w:tblGrid>
      <w:tr>
        <w:tc>
          <w:tcPr>
            <w:tcW w:type="dxa" w:w="2304"/>
            <w:shd w:fill="0F172A"/>
          </w:tcPr>
          <w:p>
            <w:r/>
            <w:r>
              <w:rPr>
                <w:rFonts w:ascii="Aptos" w:hAnsi="Aptos"/>
                <w:b/>
                <w:color w:val="FFFFFF"/>
                <w:sz w:val="18"/>
              </w:rPr>
              <w:t>Requirement</w:t>
            </w:r>
          </w:p>
        </w:tc>
        <w:tc>
          <w:tcPr>
            <w:tcW w:type="dxa" w:w="7344"/>
            <w:shd w:fill="0F172A"/>
          </w:tcPr>
          <w:p>
            <w:r/>
            <w:r>
              <w:rPr>
                <w:rFonts w:ascii="Aptos" w:hAnsi="Aptos"/>
                <w:b/>
                <w:color w:val="FFFFFF"/>
                <w:sz w:val="18"/>
              </w:rPr>
              <w:t>Specification</w:t>
            </w:r>
          </w:p>
        </w:tc>
      </w:tr>
      <w:tr>
        <w:tc>
          <w:tcPr>
            <w:tcW w:type="dxa" w:w="2304"/>
            <w:vAlign w:val="center"/>
          </w:tcPr>
          <w:p>
            <w:r/>
            <w:r>
              <w:rPr>
                <w:rFonts w:ascii="Aptos" w:hAnsi="Aptos"/>
                <w:b w:val="0"/>
                <w:color w:val="0F172A"/>
                <w:sz w:val="17"/>
              </w:rPr>
              <w:t>Viewport</w:t>
            </w:r>
          </w:p>
        </w:tc>
        <w:tc>
          <w:tcPr>
            <w:tcW w:type="dxa" w:w="7344"/>
            <w:vAlign w:val="center"/>
          </w:tcPr>
          <w:p>
            <w:r/>
            <w:r>
              <w:rPr>
                <w:rFonts w:ascii="Aptos" w:hAnsi="Aptos"/>
                <w:b w:val="0"/>
                <w:color w:val="0F172A"/>
                <w:sz w:val="17"/>
              </w:rPr>
              <w:t>Design baseline 1920×1080; test 1600×900 and 1366×768 fallbacks.</w:t>
            </w:r>
          </w:p>
        </w:tc>
      </w:tr>
      <w:tr>
        <w:tc>
          <w:tcPr>
            <w:tcW w:type="dxa" w:w="2304"/>
            <w:vAlign w:val="center"/>
            <w:shd w:fill="F8FAFC"/>
          </w:tcPr>
          <w:p>
            <w:r/>
            <w:r>
              <w:rPr>
                <w:rFonts w:ascii="Aptos" w:hAnsi="Aptos"/>
                <w:b w:val="0"/>
                <w:color w:val="0F172A"/>
                <w:sz w:val="17"/>
              </w:rPr>
              <w:t>Viewing distance</w:t>
            </w:r>
          </w:p>
        </w:tc>
        <w:tc>
          <w:tcPr>
            <w:tcW w:type="dxa" w:w="7344"/>
            <w:vAlign w:val="center"/>
            <w:shd w:fill="F8FAFC"/>
          </w:tcPr>
          <w:p>
            <w:r/>
            <w:r>
              <w:rPr>
                <w:rFonts w:ascii="Aptos" w:hAnsi="Aptos"/>
                <w:b w:val="0"/>
                <w:color w:val="0F172A"/>
                <w:sz w:val="17"/>
              </w:rPr>
              <w:t>Primary status readable from approximately 3-5 meters.</w:t>
            </w:r>
          </w:p>
        </w:tc>
      </w:tr>
      <w:tr>
        <w:tc>
          <w:tcPr>
            <w:tcW w:type="dxa" w:w="2304"/>
            <w:vAlign w:val="center"/>
          </w:tcPr>
          <w:p>
            <w:r/>
            <w:r>
              <w:rPr>
                <w:rFonts w:ascii="Aptos" w:hAnsi="Aptos"/>
                <w:b w:val="0"/>
                <w:color w:val="0F172A"/>
                <w:sz w:val="17"/>
              </w:rPr>
              <w:t>Typography</w:t>
            </w:r>
          </w:p>
        </w:tc>
        <w:tc>
          <w:tcPr>
            <w:tcW w:type="dxa" w:w="7344"/>
            <w:vAlign w:val="center"/>
          </w:tcPr>
          <w:p>
            <w:r/>
            <w:r>
              <w:rPr>
                <w:rFonts w:ascii="Aptos" w:hAnsi="Aptos"/>
                <w:b w:val="0"/>
                <w:color w:val="0F172A"/>
                <w:sz w:val="17"/>
              </w:rPr>
              <w:t>Large KPIs ~40-56 px; site labels ~18-22 px; secondary text &gt;=15-16 px at 1080p.</w:t>
            </w:r>
          </w:p>
        </w:tc>
      </w:tr>
      <w:tr>
        <w:tc>
          <w:tcPr>
            <w:tcW w:type="dxa" w:w="2304"/>
            <w:vAlign w:val="center"/>
            <w:shd w:fill="F8FAFC"/>
          </w:tcPr>
          <w:p>
            <w:r/>
            <w:r>
              <w:rPr>
                <w:rFonts w:ascii="Aptos" w:hAnsi="Aptos"/>
                <w:b w:val="0"/>
                <w:color w:val="0F172A"/>
                <w:sz w:val="17"/>
              </w:rPr>
              <w:t>Status semantics</w:t>
            </w:r>
          </w:p>
        </w:tc>
        <w:tc>
          <w:tcPr>
            <w:tcW w:type="dxa" w:w="7344"/>
            <w:vAlign w:val="center"/>
            <w:shd w:fill="F8FAFC"/>
          </w:tcPr>
          <w:p>
            <w:r/>
            <w:r>
              <w:rPr>
                <w:rFonts w:ascii="Aptos" w:hAnsi="Aptos"/>
                <w:b w:val="0"/>
                <w:color w:val="0F172A"/>
                <w:sz w:val="17"/>
              </w:rPr>
              <w:t>Color is never the only indicator; pair with text/icon/symbol.</w:t>
            </w:r>
          </w:p>
        </w:tc>
      </w:tr>
      <w:tr>
        <w:tc>
          <w:tcPr>
            <w:tcW w:type="dxa" w:w="2304"/>
            <w:vAlign w:val="center"/>
          </w:tcPr>
          <w:p>
            <w:r/>
            <w:r>
              <w:rPr>
                <w:rFonts w:ascii="Aptos" w:hAnsi="Aptos"/>
                <w:b w:val="0"/>
                <w:color w:val="0F172A"/>
                <w:sz w:val="17"/>
              </w:rPr>
              <w:t>Interaction</w:t>
            </w:r>
          </w:p>
        </w:tc>
        <w:tc>
          <w:tcPr>
            <w:tcW w:type="dxa" w:w="7344"/>
            <w:vAlign w:val="center"/>
          </w:tcPr>
          <w:p>
            <w:r/>
            <w:r>
              <w:rPr>
                <w:rFonts w:ascii="Aptos" w:hAnsi="Aptos"/>
                <w:b w:val="0"/>
                <w:color w:val="0F172A"/>
                <w:sz w:val="17"/>
              </w:rPr>
              <w:t>No hover-required information; click/tap optional for local operator use.</w:t>
            </w:r>
          </w:p>
        </w:tc>
      </w:tr>
      <w:tr>
        <w:tc>
          <w:tcPr>
            <w:tcW w:type="dxa" w:w="2304"/>
            <w:vAlign w:val="center"/>
            <w:shd w:fill="F8FAFC"/>
          </w:tcPr>
          <w:p>
            <w:r/>
            <w:r>
              <w:rPr>
                <w:rFonts w:ascii="Aptos" w:hAnsi="Aptos"/>
                <w:b w:val="0"/>
                <w:color w:val="0F172A"/>
                <w:sz w:val="17"/>
              </w:rPr>
              <w:t>Sorting</w:t>
            </w:r>
          </w:p>
        </w:tc>
        <w:tc>
          <w:tcPr>
            <w:tcW w:type="dxa" w:w="7344"/>
            <w:vAlign w:val="center"/>
            <w:shd w:fill="F8FAFC"/>
          </w:tcPr>
          <w:p>
            <w:r/>
            <w:r>
              <w:rPr>
                <w:rFonts w:ascii="Aptos" w:hAnsi="Aptos"/>
                <w:b w:val="0"/>
                <w:color w:val="0F172A"/>
                <w:sz w:val="17"/>
              </w:rPr>
              <w:t>Unhealthy &gt; Unknown &gt; Healthy; longest/most severe incidents first.</w:t>
            </w:r>
          </w:p>
        </w:tc>
      </w:tr>
      <w:tr>
        <w:tc>
          <w:tcPr>
            <w:tcW w:type="dxa" w:w="2304"/>
            <w:vAlign w:val="center"/>
          </w:tcPr>
          <w:p>
            <w:r/>
            <w:r>
              <w:rPr>
                <w:rFonts w:ascii="Aptos" w:hAnsi="Aptos"/>
                <w:b w:val="0"/>
                <w:color w:val="0F172A"/>
                <w:sz w:val="17"/>
              </w:rPr>
              <w:t>Staleness</w:t>
            </w:r>
          </w:p>
        </w:tc>
        <w:tc>
          <w:tcPr>
            <w:tcW w:type="dxa" w:w="7344"/>
            <w:vAlign w:val="center"/>
          </w:tcPr>
          <w:p>
            <w:r/>
            <w:r>
              <w:rPr>
                <w:rFonts w:ascii="Aptos" w:hAnsi="Aptos"/>
                <w:b w:val="0"/>
                <w:color w:val="0F172A"/>
                <w:sz w:val="17"/>
              </w:rPr>
              <w:t>Persistent “LIVE / last updated” timestamp so frozen displays are obvious.</w:t>
            </w:r>
          </w:p>
        </w:tc>
      </w:tr>
      <w:tr>
        <w:tc>
          <w:tcPr>
            <w:tcW w:type="dxa" w:w="2304"/>
            <w:vAlign w:val="center"/>
            <w:shd w:fill="F8FAFC"/>
          </w:tcPr>
          <w:p>
            <w:r/>
            <w:r>
              <w:rPr>
                <w:rFonts w:ascii="Aptos" w:hAnsi="Aptos"/>
                <w:b w:val="0"/>
                <w:color w:val="0F172A"/>
                <w:sz w:val="17"/>
              </w:rPr>
              <w:t>Focus mode</w:t>
            </w:r>
          </w:p>
        </w:tc>
        <w:tc>
          <w:tcPr>
            <w:tcW w:type="dxa" w:w="7344"/>
            <w:vAlign w:val="center"/>
            <w:shd w:fill="F8FAFC"/>
          </w:tcPr>
          <w:p>
            <w:r/>
            <w:r>
              <w:rPr>
                <w:rFonts w:ascii="Aptos" w:hAnsi="Aptos"/>
                <w:b w:val="0"/>
                <w:color w:val="0F172A"/>
                <w:sz w:val="17"/>
              </w:rPr>
              <w:t>All / only unhealthy / critical / VPN / WAN / devices.</w:t>
            </w:r>
          </w:p>
        </w:tc>
      </w:tr>
      <w:tr>
        <w:tc>
          <w:tcPr>
            <w:tcW w:type="dxa" w:w="2304"/>
            <w:vAlign w:val="center"/>
          </w:tcPr>
          <w:p>
            <w:r/>
            <w:r>
              <w:rPr>
                <w:rFonts w:ascii="Aptos" w:hAnsi="Aptos"/>
                <w:b w:val="0"/>
                <w:color w:val="0F172A"/>
                <w:sz w:val="17"/>
              </w:rPr>
              <w:t>Rotation</w:t>
            </w:r>
          </w:p>
        </w:tc>
        <w:tc>
          <w:tcPr>
            <w:tcW w:type="dxa" w:w="7344"/>
            <w:vAlign w:val="center"/>
          </w:tcPr>
          <w:p>
            <w:r/>
            <w:r>
              <w:rPr>
                <w:rFonts w:ascii="Aptos" w:hAnsi="Aptos"/>
                <w:b w:val="0"/>
                <w:color w:val="0F172A"/>
                <w:sz w:val="17"/>
              </w:rPr>
              <w:t>Optional configured sequence of NOC views; pause supported.</w:t>
            </w:r>
          </w:p>
        </w:tc>
      </w:tr>
      <w:tr>
        <w:tc>
          <w:tcPr>
            <w:tcW w:type="dxa" w:w="2304"/>
            <w:vAlign w:val="center"/>
            <w:shd w:fill="F8FAFC"/>
          </w:tcPr>
          <w:p>
            <w:r/>
            <w:r>
              <w:rPr>
                <w:rFonts w:ascii="Aptos" w:hAnsi="Aptos"/>
                <w:b w:val="0"/>
                <w:color w:val="0F172A"/>
                <w:sz w:val="17"/>
              </w:rPr>
              <w:t>Performance</w:t>
            </w:r>
          </w:p>
        </w:tc>
        <w:tc>
          <w:tcPr>
            <w:tcW w:type="dxa" w:w="7344"/>
            <w:vAlign w:val="center"/>
            <w:shd w:fill="F8FAFC"/>
          </w:tcPr>
          <w:p>
            <w:r/>
            <w:r>
              <w:rPr>
                <w:rFonts w:ascii="Aptos" w:hAnsi="Aptos"/>
                <w:b w:val="0"/>
                <w:color w:val="0F172A"/>
                <w:sz w:val="17"/>
              </w:rPr>
              <w:t>Minimal animation; transitions should not burden Raspberry Pi Chromium.</w:t>
            </w:r>
          </w:p>
        </w:tc>
      </w:tr>
    </w:tbl>
    <w:p/>
    <w:p>
      <w:pPr>
        <w:pStyle w:val="Heading1"/>
        <w:spacing w:before="160" w:after="100"/>
      </w:pPr>
      <w:r>
        <w:t>19. UI Information Architecture</w:t>
      </w:r>
    </w:p>
    <w:p>
      <w:pPr>
        <w:jc w:val="center"/>
      </w:pPr>
      <w:r>
        <w:drawing>
          <wp:inline xmlns:a="http://schemas.openxmlformats.org/drawingml/2006/main" xmlns:pic="http://schemas.openxmlformats.org/drawingml/2006/picture">
            <wp:extent cx="4892040" cy="7499298"/>
            <wp:docPr id="17" name="Picture 17"/>
            <wp:cNvGraphicFramePr>
              <a:graphicFrameLocks noChangeAspect="1"/>
            </wp:cNvGraphicFramePr>
            <a:graphic>
              <a:graphicData uri="http://schemas.openxmlformats.org/drawingml/2006/picture">
                <pic:pic>
                  <pic:nvPicPr>
                    <pic:cNvPr id="0" name="D15_ui_navigation.png"/>
                    <pic:cNvPicPr/>
                  </pic:nvPicPr>
                  <pic:blipFill>
                    <a:blip r:embed="rId27"/>
                    <a:stretch>
                      <a:fillRect/>
                    </a:stretch>
                  </pic:blipFill>
                  <pic:spPr>
                    <a:xfrm>
                      <a:off x="0" y="0"/>
                      <a:ext cx="4892040" cy="7499298"/>
                    </a:xfrm>
                    <a:prstGeom prst="rect"/>
                  </pic:spPr>
                </pic:pic>
              </a:graphicData>
            </a:graphic>
          </wp:inline>
        </w:drawing>
      </w:r>
    </w:p>
    <w:p>
      <w:pPr>
        <w:jc w:val="center"/>
      </w:pPr>
      <w:r>
        <w:rPr>
          <w:i/>
          <w:color w:val="64748B"/>
          <w:sz w:val="17"/>
        </w:rPr>
        <w:t>Figure 19.1 - Administrative and NOC navigation map</w:t>
      </w:r>
    </w:p>
    <w:p>
      <w:pPr>
        <w:spacing w:after="100" w:line="252" w:lineRule="auto"/>
      </w:pPr>
      <w:r>
        <w:t>The product intentionally has two presentation modes: the standard administrative application at the root URL and a dedicated /noc wallboard. Both consume the same normalized backend state, but their density, navigation and interaction patterns are different.</w:t>
      </w:r>
    </w:p>
    <w:p>
      <w:pPr>
        <w:pStyle w:val="Heading1"/>
        <w:spacing w:before="160" w:after="100"/>
      </w:pPr>
      <w:r>
        <w:t>20. Storyboards and Screen Specifications</w:t>
      </w:r>
    </w:p>
    <w:p>
      <w:pPr>
        <w:spacing w:after="100" w:line="252" w:lineRule="auto"/>
      </w:pPr>
      <w:r>
        <w:t>The following wireframes are conceptual but dimensionally consistent 16:9 references. They are not final branding; they establish hierarchy, density, screen ownership and the information that must be visible without scrolling.</w:t>
      </w:r>
    </w:p>
    <w:p>
      <w:pPr>
        <w:pStyle w:val="Heading2"/>
        <w:spacing w:before="160" w:after="100"/>
      </w:pPr>
      <w:r>
        <w:t>20.1 Login</w:t>
      </w:r>
    </w:p>
    <w:p>
      <w:pPr>
        <w:spacing w:after="100" w:line="252" w:lineRule="auto"/>
      </w:pPr>
      <w:r>
        <w:t>Minimal secure entry point; branding remains restrained so operational UI loads immediately after authentication.</w:t>
      </w:r>
    </w:p>
    <w:p>
      <w:pPr>
        <w:jc w:val="center"/>
      </w:pPr>
      <w:r>
        <w:drawing>
          <wp:inline xmlns:a="http://schemas.openxmlformats.org/drawingml/2006/main" xmlns:pic="http://schemas.openxmlformats.org/drawingml/2006/picture">
            <wp:extent cx="6172200" cy="3471862"/>
            <wp:docPr id="18" name="Picture 18"/>
            <wp:cNvGraphicFramePr>
              <a:graphicFrameLocks noChangeAspect="1"/>
            </wp:cNvGraphicFramePr>
            <a:graphic>
              <a:graphicData uri="http://schemas.openxmlformats.org/drawingml/2006/picture">
                <pic:pic>
                  <pic:nvPicPr>
                    <pic:cNvPr id="0" name="S01_login.png"/>
                    <pic:cNvPicPr/>
                  </pic:nvPicPr>
                  <pic:blipFill>
                    <a:blip r:embed="rId28"/>
                    <a:stretch>
                      <a:fillRect/>
                    </a:stretch>
                  </pic:blipFill>
                  <pic:spPr>
                    <a:xfrm>
                      <a:off x="0" y="0"/>
                      <a:ext cx="6172200" cy="3471862"/>
                    </a:xfrm>
                    <a:prstGeom prst="rect"/>
                  </pic:spPr>
                </pic:pic>
              </a:graphicData>
            </a:graphic>
          </wp:inline>
        </w:drawing>
      </w:r>
    </w:p>
    <w:p>
      <w:pPr>
        <w:jc w:val="center"/>
      </w:pPr>
      <w:r>
        <w:rPr>
          <w:i/>
          <w:color w:val="64748B"/>
          <w:sz w:val="17"/>
        </w:rPr>
        <w:t>Storyboard 1 - Login</w:t>
      </w:r>
    </w:p>
    <w:p>
      <w:pPr>
        <w:pStyle w:val="Heading2"/>
        <w:spacing w:before="160" w:after="100"/>
      </w:pPr>
      <w:r>
        <w:t>20.2 Administrative overview</w:t>
      </w:r>
    </w:p>
    <w:p>
      <w:pPr>
        <w:spacing w:after="100" w:line="252" w:lineRule="auto"/>
      </w:pPr>
      <w:r>
        <w:t>Daily desktop dashboard: compact estate summary, site cards and active incidents.</w:t>
      </w:r>
    </w:p>
    <w:p>
      <w:pPr>
        <w:jc w:val="center"/>
      </w:pPr>
      <w:r>
        <w:drawing>
          <wp:inline xmlns:a="http://schemas.openxmlformats.org/drawingml/2006/main" xmlns:pic="http://schemas.openxmlformats.org/drawingml/2006/picture">
            <wp:extent cx="6172200" cy="3471862"/>
            <wp:docPr id="19" name="Picture 19"/>
            <wp:cNvGraphicFramePr>
              <a:graphicFrameLocks noChangeAspect="1"/>
            </wp:cNvGraphicFramePr>
            <a:graphic>
              <a:graphicData uri="http://schemas.openxmlformats.org/drawingml/2006/picture">
                <pic:pic>
                  <pic:nvPicPr>
                    <pic:cNvPr id="0" name="S02_admin_overview.png"/>
                    <pic:cNvPicPr/>
                  </pic:nvPicPr>
                  <pic:blipFill>
                    <a:blip r:embed="rId29"/>
                    <a:stretch>
                      <a:fillRect/>
                    </a:stretch>
                  </pic:blipFill>
                  <pic:spPr>
                    <a:xfrm>
                      <a:off x="0" y="0"/>
                      <a:ext cx="6172200" cy="3471862"/>
                    </a:xfrm>
                    <a:prstGeom prst="rect"/>
                  </pic:spPr>
                </pic:pic>
              </a:graphicData>
            </a:graphic>
          </wp:inline>
        </w:drawing>
      </w:r>
    </w:p>
    <w:p>
      <w:pPr>
        <w:jc w:val="center"/>
      </w:pPr>
      <w:r>
        <w:rPr>
          <w:i/>
          <w:color w:val="64748B"/>
          <w:sz w:val="17"/>
        </w:rPr>
        <w:t>Storyboard 2 - Administrative overview</w:t>
      </w:r>
    </w:p>
    <w:p>
      <w:pPr>
        <w:pStyle w:val="Heading2"/>
        <w:spacing w:before="160" w:after="100"/>
      </w:pPr>
      <w:r>
        <w:t>20.3 NOC global health</w:t>
      </w:r>
    </w:p>
    <w:p>
      <w:pPr>
        <w:spacing w:after="100" w:line="252" w:lineRule="auto"/>
      </w:pPr>
      <w:r>
        <w:t>Primary TV wallboard: large KPIs, dense site cards and only the most actionable incidents.</w:t>
      </w:r>
    </w:p>
    <w:p>
      <w:pPr>
        <w:jc w:val="center"/>
      </w:pPr>
      <w:r>
        <w:drawing>
          <wp:inline xmlns:a="http://schemas.openxmlformats.org/drawingml/2006/main" xmlns:pic="http://schemas.openxmlformats.org/drawingml/2006/picture">
            <wp:extent cx="6172200" cy="3471862"/>
            <wp:docPr id="20" name="Picture 20"/>
            <wp:cNvGraphicFramePr>
              <a:graphicFrameLocks noChangeAspect="1"/>
            </wp:cNvGraphicFramePr>
            <a:graphic>
              <a:graphicData uri="http://schemas.openxmlformats.org/drawingml/2006/picture">
                <pic:pic>
                  <pic:nvPicPr>
                    <pic:cNvPr id="0" name="S03_noc_global.png"/>
                    <pic:cNvPicPr/>
                  </pic:nvPicPr>
                  <pic:blipFill>
                    <a:blip r:embed="rId30"/>
                    <a:stretch>
                      <a:fillRect/>
                    </a:stretch>
                  </pic:blipFill>
                  <pic:spPr>
                    <a:xfrm>
                      <a:off x="0" y="0"/>
                      <a:ext cx="6172200" cy="3471862"/>
                    </a:xfrm>
                    <a:prstGeom prst="rect"/>
                  </pic:spPr>
                </pic:pic>
              </a:graphicData>
            </a:graphic>
          </wp:inline>
        </w:drawing>
      </w:r>
    </w:p>
    <w:p>
      <w:pPr>
        <w:jc w:val="center"/>
      </w:pPr>
      <w:r>
        <w:rPr>
          <w:i/>
          <w:color w:val="64748B"/>
          <w:sz w:val="17"/>
        </w:rPr>
        <w:t>Storyboard 3 - NOC global health</w:t>
      </w:r>
    </w:p>
    <w:p>
      <w:pPr>
        <w:pStyle w:val="Heading2"/>
        <w:spacing w:before="160" w:after="100"/>
      </w:pPr>
      <w:r>
        <w:t>20.4 NOC health matrix</w:t>
      </w:r>
    </w:p>
    <w:p>
      <w:pPr>
        <w:spacing w:after="100" w:line="252" w:lineRule="auto"/>
      </w:pPr>
      <w:r>
        <w:t>Best at-a-distance diagnostic overview of which health dimension is failing at each site.</w:t>
      </w:r>
    </w:p>
    <w:p>
      <w:pPr>
        <w:jc w:val="center"/>
      </w:pPr>
      <w:r>
        <w:drawing>
          <wp:inline xmlns:a="http://schemas.openxmlformats.org/drawingml/2006/main" xmlns:pic="http://schemas.openxmlformats.org/drawingml/2006/picture">
            <wp:extent cx="6172200" cy="3471862"/>
            <wp:docPr id="21" name="Picture 21"/>
            <wp:cNvGraphicFramePr>
              <a:graphicFrameLocks noChangeAspect="1"/>
            </wp:cNvGraphicFramePr>
            <a:graphic>
              <a:graphicData uri="http://schemas.openxmlformats.org/drawingml/2006/picture">
                <pic:pic>
                  <pic:nvPicPr>
                    <pic:cNvPr id="0" name="S04_noc_health_matrix.png"/>
                    <pic:cNvPicPr/>
                  </pic:nvPicPr>
                  <pic:blipFill>
                    <a:blip r:embed="rId31"/>
                    <a:stretch>
                      <a:fillRect/>
                    </a:stretch>
                  </pic:blipFill>
                  <pic:spPr>
                    <a:xfrm>
                      <a:off x="0" y="0"/>
                      <a:ext cx="6172200" cy="3471862"/>
                    </a:xfrm>
                    <a:prstGeom prst="rect"/>
                  </pic:spPr>
                </pic:pic>
              </a:graphicData>
            </a:graphic>
          </wp:inline>
        </w:drawing>
      </w:r>
    </w:p>
    <w:p>
      <w:pPr>
        <w:jc w:val="center"/>
      </w:pPr>
      <w:r>
        <w:rPr>
          <w:i/>
          <w:color w:val="64748B"/>
          <w:sz w:val="17"/>
        </w:rPr>
        <w:t>Storyboard 4 - NOC health matrix</w:t>
      </w:r>
    </w:p>
    <w:p>
      <w:pPr>
        <w:pStyle w:val="Heading2"/>
        <w:spacing w:before="160" w:after="100"/>
      </w:pPr>
      <w:r>
        <w:t>20.5 NOC VPN health</w:t>
      </w:r>
    </w:p>
    <w:p>
      <w:pPr>
        <w:spacing w:after="100" w:line="252" w:lineRule="auto"/>
      </w:pPr>
      <w:r>
        <w:t>Dedicated VPN wallboard with control-plane and data-plane columns.</w:t>
      </w:r>
    </w:p>
    <w:p>
      <w:pPr>
        <w:jc w:val="center"/>
      </w:pPr>
      <w:r>
        <w:drawing>
          <wp:inline xmlns:a="http://schemas.openxmlformats.org/drawingml/2006/main" xmlns:pic="http://schemas.openxmlformats.org/drawingml/2006/picture">
            <wp:extent cx="6172200" cy="3471862"/>
            <wp:docPr id="22" name="Picture 22"/>
            <wp:cNvGraphicFramePr>
              <a:graphicFrameLocks noChangeAspect="1"/>
            </wp:cNvGraphicFramePr>
            <a:graphic>
              <a:graphicData uri="http://schemas.openxmlformats.org/drawingml/2006/picture">
                <pic:pic>
                  <pic:nvPicPr>
                    <pic:cNvPr id="0" name="S05_noc_vpn.png"/>
                    <pic:cNvPicPr/>
                  </pic:nvPicPr>
                  <pic:blipFill>
                    <a:blip r:embed="rId32"/>
                    <a:stretch>
                      <a:fillRect/>
                    </a:stretch>
                  </pic:blipFill>
                  <pic:spPr>
                    <a:xfrm>
                      <a:off x="0" y="0"/>
                      <a:ext cx="6172200" cy="3471862"/>
                    </a:xfrm>
                    <a:prstGeom prst="rect"/>
                  </pic:spPr>
                </pic:pic>
              </a:graphicData>
            </a:graphic>
          </wp:inline>
        </w:drawing>
      </w:r>
    </w:p>
    <w:p>
      <w:pPr>
        <w:jc w:val="center"/>
      </w:pPr>
      <w:r>
        <w:rPr>
          <w:i/>
          <w:color w:val="64748B"/>
          <w:sz w:val="17"/>
        </w:rPr>
        <w:t>Storyboard 5 - NOC VPN health</w:t>
      </w:r>
    </w:p>
    <w:p>
      <w:pPr>
        <w:pStyle w:val="Heading2"/>
        <w:spacing w:before="160" w:after="100"/>
      </w:pPr>
      <w:r>
        <w:t>20.6 NOC active incidents</w:t>
      </w:r>
    </w:p>
    <w:p>
      <w:pPr>
        <w:spacing w:after="100" w:line="252" w:lineRule="auto"/>
      </w:pPr>
      <w:r>
        <w:t>Incident-centric rotation view for active operational work.</w:t>
      </w:r>
    </w:p>
    <w:p>
      <w:pPr>
        <w:jc w:val="center"/>
      </w:pPr>
      <w:r>
        <w:drawing>
          <wp:inline xmlns:a="http://schemas.openxmlformats.org/drawingml/2006/main" xmlns:pic="http://schemas.openxmlformats.org/drawingml/2006/picture">
            <wp:extent cx="6172200" cy="3471862"/>
            <wp:docPr id="23" name="Picture 23"/>
            <wp:cNvGraphicFramePr>
              <a:graphicFrameLocks noChangeAspect="1"/>
            </wp:cNvGraphicFramePr>
            <a:graphic>
              <a:graphicData uri="http://schemas.openxmlformats.org/drawingml/2006/picture">
                <pic:pic>
                  <pic:nvPicPr>
                    <pic:cNvPr id="0" name="S06_noc_incidents.png"/>
                    <pic:cNvPicPr/>
                  </pic:nvPicPr>
                  <pic:blipFill>
                    <a:blip r:embed="rId33"/>
                    <a:stretch>
                      <a:fillRect/>
                    </a:stretch>
                  </pic:blipFill>
                  <pic:spPr>
                    <a:xfrm>
                      <a:off x="0" y="0"/>
                      <a:ext cx="6172200" cy="3471862"/>
                    </a:xfrm>
                    <a:prstGeom prst="rect"/>
                  </pic:spPr>
                </pic:pic>
              </a:graphicData>
            </a:graphic>
          </wp:inline>
        </w:drawing>
      </w:r>
    </w:p>
    <w:p>
      <w:pPr>
        <w:jc w:val="center"/>
      </w:pPr>
      <w:r>
        <w:rPr>
          <w:i/>
          <w:color w:val="64748B"/>
          <w:sz w:val="17"/>
        </w:rPr>
        <w:t>Storyboard 6 - NOC active incidents</w:t>
      </w:r>
    </w:p>
    <w:p>
      <w:pPr>
        <w:pStyle w:val="Heading2"/>
        <w:spacing w:before="160" w:after="100"/>
      </w:pPr>
      <w:r>
        <w:t>20.7 Sites list</w:t>
      </w:r>
    </w:p>
    <w:p>
      <w:pPr>
        <w:spacing w:after="100" w:line="252" w:lineRule="auto"/>
      </w:pPr>
      <w:r>
        <w:t>Sortable/filterable estate inventory, unhealthy entries automatically prioritized.</w:t>
      </w:r>
    </w:p>
    <w:p>
      <w:pPr>
        <w:jc w:val="center"/>
      </w:pPr>
      <w:r>
        <w:drawing>
          <wp:inline xmlns:a="http://schemas.openxmlformats.org/drawingml/2006/main" xmlns:pic="http://schemas.openxmlformats.org/drawingml/2006/picture">
            <wp:extent cx="6172200" cy="3471862"/>
            <wp:docPr id="24" name="Picture 24"/>
            <wp:cNvGraphicFramePr>
              <a:graphicFrameLocks noChangeAspect="1"/>
            </wp:cNvGraphicFramePr>
            <a:graphic>
              <a:graphicData uri="http://schemas.openxmlformats.org/drawingml/2006/picture">
                <pic:pic>
                  <pic:nvPicPr>
                    <pic:cNvPr id="0" name="S07_sites_list.png"/>
                    <pic:cNvPicPr/>
                  </pic:nvPicPr>
                  <pic:blipFill>
                    <a:blip r:embed="rId34"/>
                    <a:stretch>
                      <a:fillRect/>
                    </a:stretch>
                  </pic:blipFill>
                  <pic:spPr>
                    <a:xfrm>
                      <a:off x="0" y="0"/>
                      <a:ext cx="6172200" cy="3471862"/>
                    </a:xfrm>
                    <a:prstGeom prst="rect"/>
                  </pic:spPr>
                </pic:pic>
              </a:graphicData>
            </a:graphic>
          </wp:inline>
        </w:drawing>
      </w:r>
    </w:p>
    <w:p>
      <w:pPr>
        <w:jc w:val="center"/>
      </w:pPr>
      <w:r>
        <w:rPr>
          <w:i/>
          <w:color w:val="64748B"/>
          <w:sz w:val="17"/>
        </w:rPr>
        <w:t>Storyboard 7 - Sites list</w:t>
      </w:r>
    </w:p>
    <w:p>
      <w:pPr>
        <w:pStyle w:val="Heading2"/>
        <w:spacing w:before="160" w:after="100"/>
      </w:pPr>
      <w:r>
        <w:t>20.8 Site overview</w:t>
      </w:r>
    </w:p>
    <w:p>
      <w:pPr>
        <w:spacing w:after="100" w:line="252" w:lineRule="auto"/>
      </w:pPr>
      <w:r>
        <w:t>Single-click site synopsis: Console, WAN, VPN, Network, Protect and Agent health.</w:t>
      </w:r>
    </w:p>
    <w:p>
      <w:pPr>
        <w:jc w:val="center"/>
      </w:pPr>
      <w:r>
        <w:drawing>
          <wp:inline xmlns:a="http://schemas.openxmlformats.org/drawingml/2006/main" xmlns:pic="http://schemas.openxmlformats.org/drawingml/2006/picture">
            <wp:extent cx="6172200" cy="3471862"/>
            <wp:docPr id="25" name="Picture 25"/>
            <wp:cNvGraphicFramePr>
              <a:graphicFrameLocks noChangeAspect="1"/>
            </wp:cNvGraphicFramePr>
            <a:graphic>
              <a:graphicData uri="http://schemas.openxmlformats.org/drawingml/2006/picture">
                <pic:pic>
                  <pic:nvPicPr>
                    <pic:cNvPr id="0" name="S08_site_overview.png"/>
                    <pic:cNvPicPr/>
                  </pic:nvPicPr>
                  <pic:blipFill>
                    <a:blip r:embed="rId35"/>
                    <a:stretch>
                      <a:fillRect/>
                    </a:stretch>
                  </pic:blipFill>
                  <pic:spPr>
                    <a:xfrm>
                      <a:off x="0" y="0"/>
                      <a:ext cx="6172200" cy="3471862"/>
                    </a:xfrm>
                    <a:prstGeom prst="rect"/>
                  </pic:spPr>
                </pic:pic>
              </a:graphicData>
            </a:graphic>
          </wp:inline>
        </w:drawing>
      </w:r>
    </w:p>
    <w:p>
      <w:pPr>
        <w:jc w:val="center"/>
      </w:pPr>
      <w:r>
        <w:rPr>
          <w:i/>
          <w:color w:val="64748B"/>
          <w:sz w:val="17"/>
        </w:rPr>
        <w:t>Storyboard 8 - Site overview</w:t>
      </w:r>
    </w:p>
    <w:p>
      <w:pPr>
        <w:pStyle w:val="Heading2"/>
        <w:spacing w:before="160" w:after="100"/>
      </w:pPr>
      <w:r>
        <w:t>20.9 Site network summary</w:t>
      </w:r>
    </w:p>
    <w:p>
      <w:pPr>
        <w:spacing w:after="100" w:line="252" w:lineRule="auto"/>
      </w:pPr>
      <w:r>
        <w:t>Concise support-oriented network configuration, not a duplicate of UniFi Settings.</w:t>
      </w:r>
    </w:p>
    <w:p>
      <w:pPr>
        <w:jc w:val="center"/>
      </w:pPr>
      <w:r>
        <w:drawing>
          <wp:inline xmlns:a="http://schemas.openxmlformats.org/drawingml/2006/main" xmlns:pic="http://schemas.openxmlformats.org/drawingml/2006/picture">
            <wp:extent cx="6172200" cy="3471862"/>
            <wp:docPr id="26" name="Picture 26"/>
            <wp:cNvGraphicFramePr>
              <a:graphicFrameLocks noChangeAspect="1"/>
            </wp:cNvGraphicFramePr>
            <a:graphic>
              <a:graphicData uri="http://schemas.openxmlformats.org/drawingml/2006/picture">
                <pic:pic>
                  <pic:nvPicPr>
                    <pic:cNvPr id="0" name="S09_network_summary.png"/>
                    <pic:cNvPicPr/>
                  </pic:nvPicPr>
                  <pic:blipFill>
                    <a:blip r:embed="rId36"/>
                    <a:stretch>
                      <a:fillRect/>
                    </a:stretch>
                  </pic:blipFill>
                  <pic:spPr>
                    <a:xfrm>
                      <a:off x="0" y="0"/>
                      <a:ext cx="6172200" cy="3471862"/>
                    </a:xfrm>
                    <a:prstGeom prst="rect"/>
                  </pic:spPr>
                </pic:pic>
              </a:graphicData>
            </a:graphic>
          </wp:inline>
        </w:drawing>
      </w:r>
    </w:p>
    <w:p>
      <w:pPr>
        <w:jc w:val="center"/>
      </w:pPr>
      <w:r>
        <w:rPr>
          <w:i/>
          <w:color w:val="64748B"/>
          <w:sz w:val="17"/>
        </w:rPr>
        <w:t>Storyboard 9 - Site network summary</w:t>
      </w:r>
    </w:p>
    <w:p>
      <w:pPr>
        <w:pStyle w:val="Heading2"/>
        <w:spacing w:before="160" w:after="100"/>
      </w:pPr>
      <w:r>
        <w:t>20.10 Site WAN</w:t>
      </w:r>
    </w:p>
    <w:p>
      <w:pPr>
        <w:spacing w:after="100" w:line="252" w:lineRule="auto"/>
      </w:pPr>
      <w:r>
        <w:t>WAN state, ISP, addressing metadata and probe quality.</w:t>
      </w:r>
    </w:p>
    <w:p>
      <w:pPr>
        <w:jc w:val="center"/>
      </w:pPr>
      <w:r>
        <w:drawing>
          <wp:inline xmlns:a="http://schemas.openxmlformats.org/drawingml/2006/main" xmlns:pic="http://schemas.openxmlformats.org/drawingml/2006/picture">
            <wp:extent cx="6172200" cy="3471862"/>
            <wp:docPr id="27" name="Picture 27"/>
            <wp:cNvGraphicFramePr>
              <a:graphicFrameLocks noChangeAspect="1"/>
            </wp:cNvGraphicFramePr>
            <a:graphic>
              <a:graphicData uri="http://schemas.openxmlformats.org/drawingml/2006/picture">
                <pic:pic>
                  <pic:nvPicPr>
                    <pic:cNvPr id="0" name="S10_site_wan.png"/>
                    <pic:cNvPicPr/>
                  </pic:nvPicPr>
                  <pic:blipFill>
                    <a:blip r:embed="rId37"/>
                    <a:stretch>
                      <a:fillRect/>
                    </a:stretch>
                  </pic:blipFill>
                  <pic:spPr>
                    <a:xfrm>
                      <a:off x="0" y="0"/>
                      <a:ext cx="6172200" cy="3471862"/>
                    </a:xfrm>
                    <a:prstGeom prst="rect"/>
                  </pic:spPr>
                </pic:pic>
              </a:graphicData>
            </a:graphic>
          </wp:inline>
        </w:drawing>
      </w:r>
    </w:p>
    <w:p>
      <w:pPr>
        <w:jc w:val="center"/>
      </w:pPr>
      <w:r>
        <w:rPr>
          <w:i/>
          <w:color w:val="64748B"/>
          <w:sz w:val="17"/>
        </w:rPr>
        <w:t>Storyboard 10 - Site WAN</w:t>
      </w:r>
    </w:p>
    <w:p>
      <w:pPr>
        <w:pStyle w:val="Heading2"/>
        <w:spacing w:before="160" w:after="100"/>
      </w:pPr>
      <w:r>
        <w:t>20.11 Site VPN detail</w:t>
      </w:r>
    </w:p>
    <w:p>
      <w:pPr>
        <w:spacing w:after="100" w:line="252" w:lineRule="auto"/>
      </w:pPr>
      <w:r>
        <w:t>Tunnel inventory and selected-tunnel evidence.</w:t>
      </w:r>
    </w:p>
    <w:p>
      <w:pPr>
        <w:jc w:val="center"/>
      </w:pPr>
      <w:r>
        <w:drawing>
          <wp:inline xmlns:a="http://schemas.openxmlformats.org/drawingml/2006/main" xmlns:pic="http://schemas.openxmlformats.org/drawingml/2006/picture">
            <wp:extent cx="6172200" cy="3471862"/>
            <wp:docPr id="28" name="Picture 28"/>
            <wp:cNvGraphicFramePr>
              <a:graphicFrameLocks noChangeAspect="1"/>
            </wp:cNvGraphicFramePr>
            <a:graphic>
              <a:graphicData uri="http://schemas.openxmlformats.org/drawingml/2006/picture">
                <pic:pic>
                  <pic:nvPicPr>
                    <pic:cNvPr id="0" name="S11_site_vpn.png"/>
                    <pic:cNvPicPr/>
                  </pic:nvPicPr>
                  <pic:blipFill>
                    <a:blip r:embed="rId38"/>
                    <a:stretch>
                      <a:fillRect/>
                    </a:stretch>
                  </pic:blipFill>
                  <pic:spPr>
                    <a:xfrm>
                      <a:off x="0" y="0"/>
                      <a:ext cx="6172200" cy="3471862"/>
                    </a:xfrm>
                    <a:prstGeom prst="rect"/>
                  </pic:spPr>
                </pic:pic>
              </a:graphicData>
            </a:graphic>
          </wp:inline>
        </w:drawing>
      </w:r>
    </w:p>
    <w:p>
      <w:pPr>
        <w:jc w:val="center"/>
      </w:pPr>
      <w:r>
        <w:rPr>
          <w:i/>
          <w:color w:val="64748B"/>
          <w:sz w:val="17"/>
        </w:rPr>
        <w:t>Storyboard 11 - Site VPN detail</w:t>
      </w:r>
    </w:p>
    <w:p>
      <w:pPr>
        <w:pStyle w:val="Heading2"/>
        <w:spacing w:before="160" w:after="100"/>
      </w:pPr>
      <w:r>
        <w:t>20.12 Devices inventory</w:t>
      </w:r>
    </w:p>
    <w:p>
      <w:pPr>
        <w:spacing w:after="100" w:line="252" w:lineRule="auto"/>
      </w:pPr>
      <w:r>
        <w:t>Unified searchable device list with monitoring inclusion state.</w:t>
      </w:r>
    </w:p>
    <w:p>
      <w:pPr>
        <w:jc w:val="center"/>
      </w:pPr>
      <w:r>
        <w:drawing>
          <wp:inline xmlns:a="http://schemas.openxmlformats.org/drawingml/2006/main" xmlns:pic="http://schemas.openxmlformats.org/drawingml/2006/picture">
            <wp:extent cx="6172200" cy="3471862"/>
            <wp:docPr id="29" name="Picture 29"/>
            <wp:cNvGraphicFramePr>
              <a:graphicFrameLocks noChangeAspect="1"/>
            </wp:cNvGraphicFramePr>
            <a:graphic>
              <a:graphicData uri="http://schemas.openxmlformats.org/drawingml/2006/picture">
                <pic:pic>
                  <pic:nvPicPr>
                    <pic:cNvPr id="0" name="S12_devices.png"/>
                    <pic:cNvPicPr/>
                  </pic:nvPicPr>
                  <pic:blipFill>
                    <a:blip r:embed="rId39"/>
                    <a:stretch>
                      <a:fillRect/>
                    </a:stretch>
                  </pic:blipFill>
                  <pic:spPr>
                    <a:xfrm>
                      <a:off x="0" y="0"/>
                      <a:ext cx="6172200" cy="3471862"/>
                    </a:xfrm>
                    <a:prstGeom prst="rect"/>
                  </pic:spPr>
                </pic:pic>
              </a:graphicData>
            </a:graphic>
          </wp:inline>
        </w:drawing>
      </w:r>
    </w:p>
    <w:p>
      <w:pPr>
        <w:jc w:val="center"/>
      </w:pPr>
      <w:r>
        <w:rPr>
          <w:i/>
          <w:color w:val="64748B"/>
          <w:sz w:val="17"/>
        </w:rPr>
        <w:t>Storyboard 12 - Devices inventory</w:t>
      </w:r>
    </w:p>
    <w:p>
      <w:pPr>
        <w:pStyle w:val="Heading2"/>
        <w:spacing w:before="160" w:after="100"/>
      </w:pPr>
      <w:r>
        <w:t>20.13 Protect summary</w:t>
      </w:r>
    </w:p>
    <w:p>
      <w:pPr>
        <w:spacing w:after="100" w:line="252" w:lineRule="auto"/>
      </w:pPr>
      <w:r>
        <w:t>Camera/device operational health only; no video ingestion.</w:t>
      </w:r>
    </w:p>
    <w:p>
      <w:pPr>
        <w:jc w:val="center"/>
      </w:pPr>
      <w:r>
        <w:drawing>
          <wp:inline xmlns:a="http://schemas.openxmlformats.org/drawingml/2006/main" xmlns:pic="http://schemas.openxmlformats.org/drawingml/2006/picture">
            <wp:extent cx="6172200" cy="3471862"/>
            <wp:docPr id="30" name="Picture 30"/>
            <wp:cNvGraphicFramePr>
              <a:graphicFrameLocks noChangeAspect="1"/>
            </wp:cNvGraphicFramePr>
            <a:graphic>
              <a:graphicData uri="http://schemas.openxmlformats.org/drawingml/2006/picture">
                <pic:pic>
                  <pic:nvPicPr>
                    <pic:cNvPr id="0" name="S13_protect.png"/>
                    <pic:cNvPicPr/>
                  </pic:nvPicPr>
                  <pic:blipFill>
                    <a:blip r:embed="rId40"/>
                    <a:stretch>
                      <a:fillRect/>
                    </a:stretch>
                  </pic:blipFill>
                  <pic:spPr>
                    <a:xfrm>
                      <a:off x="0" y="0"/>
                      <a:ext cx="6172200" cy="3471862"/>
                    </a:xfrm>
                    <a:prstGeom prst="rect"/>
                  </pic:spPr>
                </pic:pic>
              </a:graphicData>
            </a:graphic>
          </wp:inline>
        </w:drawing>
      </w:r>
    </w:p>
    <w:p>
      <w:pPr>
        <w:jc w:val="center"/>
      </w:pPr>
      <w:r>
        <w:rPr>
          <w:i/>
          <w:color w:val="64748B"/>
          <w:sz w:val="17"/>
        </w:rPr>
        <w:t>Storyboard 13 - Protect summary</w:t>
      </w:r>
    </w:p>
    <w:p>
      <w:pPr>
        <w:pStyle w:val="Heading2"/>
        <w:spacing w:before="160" w:after="100"/>
      </w:pPr>
      <w:r>
        <w:t>20.14 Incident detail</w:t>
      </w:r>
    </w:p>
    <w:p>
      <w:pPr>
        <w:spacing w:after="100" w:line="252" w:lineRule="auto"/>
      </w:pPr>
      <w:r>
        <w:t>One incident timeline with evidence, acknowledgement and maintenance actions.</w:t>
      </w:r>
    </w:p>
    <w:p>
      <w:pPr>
        <w:jc w:val="center"/>
      </w:pPr>
      <w:r>
        <w:drawing>
          <wp:inline xmlns:a="http://schemas.openxmlformats.org/drawingml/2006/main" xmlns:pic="http://schemas.openxmlformats.org/drawingml/2006/picture">
            <wp:extent cx="6172200" cy="3471862"/>
            <wp:docPr id="31" name="Picture 31"/>
            <wp:cNvGraphicFramePr>
              <a:graphicFrameLocks noChangeAspect="1"/>
            </wp:cNvGraphicFramePr>
            <a:graphic>
              <a:graphicData uri="http://schemas.openxmlformats.org/drawingml/2006/picture">
                <pic:pic>
                  <pic:nvPicPr>
                    <pic:cNvPr id="0" name="S14_incident_detail.png"/>
                    <pic:cNvPicPr/>
                  </pic:nvPicPr>
                  <pic:blipFill>
                    <a:blip r:embed="rId41"/>
                    <a:stretch>
                      <a:fillRect/>
                    </a:stretch>
                  </pic:blipFill>
                  <pic:spPr>
                    <a:xfrm>
                      <a:off x="0" y="0"/>
                      <a:ext cx="6172200" cy="3471862"/>
                    </a:xfrm>
                    <a:prstGeom prst="rect"/>
                  </pic:spPr>
                </pic:pic>
              </a:graphicData>
            </a:graphic>
          </wp:inline>
        </w:drawing>
      </w:r>
    </w:p>
    <w:p>
      <w:pPr>
        <w:jc w:val="center"/>
      </w:pPr>
      <w:r>
        <w:rPr>
          <w:i/>
          <w:color w:val="64748B"/>
          <w:sz w:val="17"/>
        </w:rPr>
        <w:t>Storyboard 14 - Incident detail</w:t>
      </w:r>
    </w:p>
    <w:p>
      <w:pPr>
        <w:pStyle w:val="Heading2"/>
        <w:spacing w:before="160" w:after="100"/>
      </w:pPr>
      <w:r>
        <w:t>20.15 Events and logs</w:t>
      </w:r>
    </w:p>
    <w:p>
      <w:pPr>
        <w:spacing w:after="100" w:line="252" w:lineRule="auto"/>
      </w:pPr>
      <w:r>
        <w:t>Fast filters and full-text search for operational records.</w:t>
      </w:r>
    </w:p>
    <w:p>
      <w:pPr>
        <w:jc w:val="center"/>
      </w:pPr>
      <w:r>
        <w:drawing>
          <wp:inline xmlns:a="http://schemas.openxmlformats.org/drawingml/2006/main" xmlns:pic="http://schemas.openxmlformats.org/drawingml/2006/picture">
            <wp:extent cx="6172200" cy="3471862"/>
            <wp:docPr id="32" name="Picture 32"/>
            <wp:cNvGraphicFramePr>
              <a:graphicFrameLocks noChangeAspect="1"/>
            </wp:cNvGraphicFramePr>
            <a:graphic>
              <a:graphicData uri="http://schemas.openxmlformats.org/drawingml/2006/picture">
                <pic:pic>
                  <pic:nvPicPr>
                    <pic:cNvPr id="0" name="S15_events.png"/>
                    <pic:cNvPicPr/>
                  </pic:nvPicPr>
                  <pic:blipFill>
                    <a:blip r:embed="rId42"/>
                    <a:stretch>
                      <a:fillRect/>
                    </a:stretch>
                  </pic:blipFill>
                  <pic:spPr>
                    <a:xfrm>
                      <a:off x="0" y="0"/>
                      <a:ext cx="6172200" cy="3471862"/>
                    </a:xfrm>
                    <a:prstGeom prst="rect"/>
                  </pic:spPr>
                </pic:pic>
              </a:graphicData>
            </a:graphic>
          </wp:inline>
        </w:drawing>
      </w:r>
    </w:p>
    <w:p>
      <w:pPr>
        <w:jc w:val="center"/>
      </w:pPr>
      <w:r>
        <w:rPr>
          <w:i/>
          <w:color w:val="64748B"/>
          <w:sz w:val="17"/>
        </w:rPr>
        <w:t>Storyboard 15 - Events and logs</w:t>
      </w:r>
    </w:p>
    <w:p>
      <w:pPr>
        <w:pStyle w:val="Heading2"/>
        <w:spacing w:before="160" w:after="100"/>
      </w:pPr>
      <w:r>
        <w:t>20.16 Audit log</w:t>
      </w:r>
    </w:p>
    <w:p>
      <w:pPr>
        <w:spacing w:after="100" w:line="252" w:lineRule="auto"/>
      </w:pPr>
      <w:r>
        <w:t>Separate immutable record of administrative actions.</w:t>
      </w:r>
    </w:p>
    <w:p>
      <w:pPr>
        <w:jc w:val="center"/>
      </w:pPr>
      <w:r>
        <w:drawing>
          <wp:inline xmlns:a="http://schemas.openxmlformats.org/drawingml/2006/main" xmlns:pic="http://schemas.openxmlformats.org/drawingml/2006/picture">
            <wp:extent cx="6172200" cy="3471862"/>
            <wp:docPr id="33" name="Picture 33"/>
            <wp:cNvGraphicFramePr>
              <a:graphicFrameLocks noChangeAspect="1"/>
            </wp:cNvGraphicFramePr>
            <a:graphic>
              <a:graphicData uri="http://schemas.openxmlformats.org/drawingml/2006/picture">
                <pic:pic>
                  <pic:nvPicPr>
                    <pic:cNvPr id="0" name="S16_audit.png"/>
                    <pic:cNvPicPr/>
                  </pic:nvPicPr>
                  <pic:blipFill>
                    <a:blip r:embed="rId43"/>
                    <a:stretch>
                      <a:fillRect/>
                    </a:stretch>
                  </pic:blipFill>
                  <pic:spPr>
                    <a:xfrm>
                      <a:off x="0" y="0"/>
                      <a:ext cx="6172200" cy="3471862"/>
                    </a:xfrm>
                    <a:prstGeom prst="rect"/>
                  </pic:spPr>
                </pic:pic>
              </a:graphicData>
            </a:graphic>
          </wp:inline>
        </w:drawing>
      </w:r>
    </w:p>
    <w:p>
      <w:pPr>
        <w:jc w:val="center"/>
      </w:pPr>
      <w:r>
        <w:rPr>
          <w:i/>
          <w:color w:val="64748B"/>
          <w:sz w:val="17"/>
        </w:rPr>
        <w:t>Storyboard 16 - Audit log</w:t>
      </w:r>
    </w:p>
    <w:p>
      <w:pPr>
        <w:pStyle w:val="Heading2"/>
        <w:spacing w:before="160" w:after="100"/>
      </w:pPr>
      <w:r>
        <w:t>20.17 Enrollment and API keys</w:t>
      </w:r>
    </w:p>
    <w:p>
      <w:pPr>
        <w:spacing w:after="100" w:line="252" w:lineRule="auto"/>
      </w:pPr>
      <w:r>
        <w:t>One-time Agent enrollment separate from integration API keys.</w:t>
      </w:r>
    </w:p>
    <w:p>
      <w:pPr>
        <w:jc w:val="center"/>
      </w:pPr>
      <w:r>
        <w:drawing>
          <wp:inline xmlns:a="http://schemas.openxmlformats.org/drawingml/2006/main" xmlns:pic="http://schemas.openxmlformats.org/drawingml/2006/picture">
            <wp:extent cx="6172200" cy="3471862"/>
            <wp:docPr id="34" name="Picture 34"/>
            <wp:cNvGraphicFramePr>
              <a:graphicFrameLocks noChangeAspect="1"/>
            </wp:cNvGraphicFramePr>
            <a:graphic>
              <a:graphicData uri="http://schemas.openxmlformats.org/drawingml/2006/picture">
                <pic:pic>
                  <pic:nvPicPr>
                    <pic:cNvPr id="0" name="S17_enrollment_keys.png"/>
                    <pic:cNvPicPr/>
                  </pic:nvPicPr>
                  <pic:blipFill>
                    <a:blip r:embed="rId44"/>
                    <a:stretch>
                      <a:fillRect/>
                    </a:stretch>
                  </pic:blipFill>
                  <pic:spPr>
                    <a:xfrm>
                      <a:off x="0" y="0"/>
                      <a:ext cx="6172200" cy="3471862"/>
                    </a:xfrm>
                    <a:prstGeom prst="rect"/>
                  </pic:spPr>
                </pic:pic>
              </a:graphicData>
            </a:graphic>
          </wp:inline>
        </w:drawing>
      </w:r>
    </w:p>
    <w:p>
      <w:pPr>
        <w:jc w:val="center"/>
      </w:pPr>
      <w:r>
        <w:rPr>
          <w:i/>
          <w:color w:val="64748B"/>
          <w:sz w:val="17"/>
        </w:rPr>
        <w:t>Storyboard 17 - Enrollment and API keys</w:t>
      </w:r>
    </w:p>
    <w:p>
      <w:pPr>
        <w:pStyle w:val="Heading2"/>
        <w:spacing w:before="160" w:after="100"/>
      </w:pPr>
      <w:r>
        <w:t>20.18 Agents and approval</w:t>
      </w:r>
    </w:p>
    <w:p>
      <w:pPr>
        <w:spacing w:after="100" w:line="252" w:lineRule="auto"/>
      </w:pPr>
      <w:r>
        <w:t>Pending consoles show discovery preview before being admitted to active monitoring.</w:t>
      </w:r>
    </w:p>
    <w:p>
      <w:pPr>
        <w:jc w:val="center"/>
      </w:pPr>
      <w:r>
        <w:drawing>
          <wp:inline xmlns:a="http://schemas.openxmlformats.org/drawingml/2006/main" xmlns:pic="http://schemas.openxmlformats.org/drawingml/2006/picture">
            <wp:extent cx="6172200" cy="3471862"/>
            <wp:docPr id="35" name="Picture 35"/>
            <wp:cNvGraphicFramePr>
              <a:graphicFrameLocks noChangeAspect="1"/>
            </wp:cNvGraphicFramePr>
            <a:graphic>
              <a:graphicData uri="http://schemas.openxmlformats.org/drawingml/2006/picture">
                <pic:pic>
                  <pic:nvPicPr>
                    <pic:cNvPr id="0" name="S18_agents_approval.png"/>
                    <pic:cNvPicPr/>
                  </pic:nvPicPr>
                  <pic:blipFill>
                    <a:blip r:embed="rId45"/>
                    <a:stretch>
                      <a:fillRect/>
                    </a:stretch>
                  </pic:blipFill>
                  <pic:spPr>
                    <a:xfrm>
                      <a:off x="0" y="0"/>
                      <a:ext cx="6172200" cy="3471862"/>
                    </a:xfrm>
                    <a:prstGeom prst="rect"/>
                  </pic:spPr>
                </pic:pic>
              </a:graphicData>
            </a:graphic>
          </wp:inline>
        </w:drawing>
      </w:r>
    </w:p>
    <w:p>
      <w:pPr>
        <w:jc w:val="center"/>
      </w:pPr>
      <w:r>
        <w:rPr>
          <w:i/>
          <w:color w:val="64748B"/>
          <w:sz w:val="17"/>
        </w:rPr>
        <w:t>Storyboard 18 - Agents and approval</w:t>
      </w:r>
    </w:p>
    <w:p>
      <w:pPr>
        <w:pStyle w:val="Heading2"/>
        <w:spacing w:before="160" w:after="100"/>
      </w:pPr>
      <w:r>
        <w:t>20.19 Monitoring profiles</w:t>
      </w:r>
    </w:p>
    <w:p>
      <w:pPr>
        <w:spacing w:after="100" w:line="252" w:lineRule="auto"/>
      </w:pPr>
      <w:r>
        <w:t>Scale controls for 100+ sites; central cadence/threshold inheritance.</w:t>
      </w:r>
    </w:p>
    <w:p>
      <w:pPr>
        <w:jc w:val="center"/>
      </w:pPr>
      <w:r>
        <w:drawing>
          <wp:inline xmlns:a="http://schemas.openxmlformats.org/drawingml/2006/main" xmlns:pic="http://schemas.openxmlformats.org/drawingml/2006/picture">
            <wp:extent cx="6172200" cy="3471862"/>
            <wp:docPr id="36" name="Picture 36"/>
            <wp:cNvGraphicFramePr>
              <a:graphicFrameLocks noChangeAspect="1"/>
            </wp:cNvGraphicFramePr>
            <a:graphic>
              <a:graphicData uri="http://schemas.openxmlformats.org/drawingml/2006/picture">
                <pic:pic>
                  <pic:nvPicPr>
                    <pic:cNvPr id="0" name="S19_monitor_profiles.png"/>
                    <pic:cNvPicPr/>
                  </pic:nvPicPr>
                  <pic:blipFill>
                    <a:blip r:embed="rId46"/>
                    <a:stretch>
                      <a:fillRect/>
                    </a:stretch>
                  </pic:blipFill>
                  <pic:spPr>
                    <a:xfrm>
                      <a:off x="0" y="0"/>
                      <a:ext cx="6172200" cy="3471862"/>
                    </a:xfrm>
                    <a:prstGeom prst="rect"/>
                  </pic:spPr>
                </pic:pic>
              </a:graphicData>
            </a:graphic>
          </wp:inline>
        </w:drawing>
      </w:r>
    </w:p>
    <w:p>
      <w:pPr>
        <w:jc w:val="center"/>
      </w:pPr>
      <w:r>
        <w:rPr>
          <w:i/>
          <w:color w:val="64748B"/>
          <w:sz w:val="17"/>
        </w:rPr>
        <w:t>Storyboard 19 - Monitoring profiles</w:t>
      </w:r>
    </w:p>
    <w:p>
      <w:pPr>
        <w:pStyle w:val="Heading2"/>
        <w:spacing w:before="160" w:after="100"/>
      </w:pPr>
      <w:r>
        <w:t>20.20 NOC display settings</w:t>
      </w:r>
    </w:p>
    <w:p>
      <w:pPr>
        <w:spacing w:after="100" w:line="252" w:lineRule="auto"/>
      </w:pPr>
      <w:r>
        <w:t>Wallboard rotation and non-scroll display constraints are configurable but safe by default.</w:t>
      </w:r>
    </w:p>
    <w:p>
      <w:pPr>
        <w:jc w:val="center"/>
      </w:pPr>
      <w:r>
        <w:drawing>
          <wp:inline xmlns:a="http://schemas.openxmlformats.org/drawingml/2006/main" xmlns:pic="http://schemas.openxmlformats.org/drawingml/2006/picture">
            <wp:extent cx="6172200" cy="3471862"/>
            <wp:docPr id="37" name="Picture 37"/>
            <wp:cNvGraphicFramePr>
              <a:graphicFrameLocks noChangeAspect="1"/>
            </wp:cNvGraphicFramePr>
            <a:graphic>
              <a:graphicData uri="http://schemas.openxmlformats.org/drawingml/2006/picture">
                <pic:pic>
                  <pic:nvPicPr>
                    <pic:cNvPr id="0" name="S20_noc_settings.png"/>
                    <pic:cNvPicPr/>
                  </pic:nvPicPr>
                  <pic:blipFill>
                    <a:blip r:embed="rId47"/>
                    <a:stretch>
                      <a:fillRect/>
                    </a:stretch>
                  </pic:blipFill>
                  <pic:spPr>
                    <a:xfrm>
                      <a:off x="0" y="0"/>
                      <a:ext cx="6172200" cy="3471862"/>
                    </a:xfrm>
                    <a:prstGeom prst="rect"/>
                  </pic:spPr>
                </pic:pic>
              </a:graphicData>
            </a:graphic>
          </wp:inline>
        </w:drawing>
      </w:r>
    </w:p>
    <w:p>
      <w:pPr>
        <w:jc w:val="center"/>
      </w:pPr>
      <w:r>
        <w:rPr>
          <w:i/>
          <w:color w:val="64748B"/>
          <w:sz w:val="17"/>
        </w:rPr>
        <w:t>Storyboard 20 - NOC display settings</w:t>
      </w:r>
    </w:p>
    <w:p>
      <w:pPr>
        <w:pStyle w:val="Heading2"/>
        <w:spacing w:before="160" w:after="100"/>
      </w:pPr>
      <w:r>
        <w:t>20.21 Users and RBAC</w:t>
      </w:r>
    </w:p>
    <w:p>
      <w:pPr>
        <w:spacing w:after="100" w:line="252" w:lineRule="auto"/>
      </w:pPr>
      <w:r>
        <w:t>Least-privilege roles for Super Admin, Administrator, NOC Operator and Viewer.</w:t>
      </w:r>
    </w:p>
    <w:p>
      <w:pPr>
        <w:jc w:val="center"/>
      </w:pPr>
      <w:r>
        <w:drawing>
          <wp:inline xmlns:a="http://schemas.openxmlformats.org/drawingml/2006/main" xmlns:pic="http://schemas.openxmlformats.org/drawingml/2006/picture">
            <wp:extent cx="6172200" cy="3471862"/>
            <wp:docPr id="38" name="Picture 38"/>
            <wp:cNvGraphicFramePr>
              <a:graphicFrameLocks noChangeAspect="1"/>
            </wp:cNvGraphicFramePr>
            <a:graphic>
              <a:graphicData uri="http://schemas.openxmlformats.org/drawingml/2006/picture">
                <pic:pic>
                  <pic:nvPicPr>
                    <pic:cNvPr id="0" name="S21_rbac.png"/>
                    <pic:cNvPicPr/>
                  </pic:nvPicPr>
                  <pic:blipFill>
                    <a:blip r:embed="rId48"/>
                    <a:stretch>
                      <a:fillRect/>
                    </a:stretch>
                  </pic:blipFill>
                  <pic:spPr>
                    <a:xfrm>
                      <a:off x="0" y="0"/>
                      <a:ext cx="6172200" cy="3471862"/>
                    </a:xfrm>
                    <a:prstGeom prst="rect"/>
                  </pic:spPr>
                </pic:pic>
              </a:graphicData>
            </a:graphic>
          </wp:inline>
        </w:drawing>
      </w:r>
    </w:p>
    <w:p>
      <w:pPr>
        <w:jc w:val="center"/>
      </w:pPr>
      <w:r>
        <w:rPr>
          <w:i/>
          <w:color w:val="64748B"/>
          <w:sz w:val="17"/>
        </w:rPr>
        <w:t>Storyboard 21 - Users and RBAC</w:t>
      </w:r>
    </w:p>
    <w:p>
      <w:pPr>
        <w:pStyle w:val="Heading2"/>
        <w:spacing w:before="160" w:after="100"/>
      </w:pPr>
      <w:r>
        <w:t>20.22 Settings / dark mode</w:t>
      </w:r>
    </w:p>
    <w:p>
      <w:pPr>
        <w:spacing w:after="100" w:line="252" w:lineRule="auto"/>
      </w:pPr>
      <w:r>
        <w:t>Theme support plus core system/retention configuration.</w:t>
      </w:r>
    </w:p>
    <w:p>
      <w:pPr>
        <w:jc w:val="center"/>
      </w:pPr>
      <w:r>
        <w:drawing>
          <wp:inline xmlns:a="http://schemas.openxmlformats.org/drawingml/2006/main" xmlns:pic="http://schemas.openxmlformats.org/drawingml/2006/picture">
            <wp:extent cx="6172200" cy="3471862"/>
            <wp:docPr id="39" name="Picture 39"/>
            <wp:cNvGraphicFramePr>
              <a:graphicFrameLocks noChangeAspect="1"/>
            </wp:cNvGraphicFramePr>
            <a:graphic>
              <a:graphicData uri="http://schemas.openxmlformats.org/drawingml/2006/picture">
                <pic:pic>
                  <pic:nvPicPr>
                    <pic:cNvPr id="0" name="S22_settings_dark.png"/>
                    <pic:cNvPicPr/>
                  </pic:nvPicPr>
                  <pic:blipFill>
                    <a:blip r:embed="rId49"/>
                    <a:stretch>
                      <a:fillRect/>
                    </a:stretch>
                  </pic:blipFill>
                  <pic:spPr>
                    <a:xfrm>
                      <a:off x="0" y="0"/>
                      <a:ext cx="6172200" cy="3471862"/>
                    </a:xfrm>
                    <a:prstGeom prst="rect"/>
                  </pic:spPr>
                </pic:pic>
              </a:graphicData>
            </a:graphic>
          </wp:inline>
        </w:drawing>
      </w:r>
    </w:p>
    <w:p>
      <w:pPr>
        <w:jc w:val="center"/>
      </w:pPr>
      <w:r>
        <w:rPr>
          <w:i/>
          <w:color w:val="64748B"/>
          <w:sz w:val="17"/>
        </w:rPr>
        <w:t>Storyboard 22 - Settings / dark mode</w:t>
      </w:r>
    </w:p>
    <w:p>
      <w:pPr>
        <w:pStyle w:val="Heading1"/>
        <w:spacing w:before="160" w:after="100"/>
      </w:pPr>
      <w:r>
        <w:t>21. RBAC and Administrative Controls</w:t>
      </w:r>
    </w:p>
    <w:tbl>
      <w:tblPr>
        <w:tblStyle w:val="TableGrid"/>
        <w:tblW w:type="auto" w:w="0"/>
        <w:jc w:val="center"/>
        <w:tblLook w:firstColumn="1" w:firstRow="1" w:lastColumn="0" w:lastRow="0" w:noHBand="0" w:noVBand="1" w:val="04A0"/>
      </w:tblPr>
      <w:tblGrid>
        <w:gridCol w:w="5112"/>
        <w:gridCol w:w="5112"/>
      </w:tblGrid>
      <w:tr>
        <w:tc>
          <w:tcPr>
            <w:tcW w:type="dxa" w:w="2160"/>
            <w:shd w:fill="0F172A"/>
          </w:tcPr>
          <w:p>
            <w:r/>
            <w:r>
              <w:rPr>
                <w:rFonts w:ascii="Aptos" w:hAnsi="Aptos"/>
                <w:b/>
                <w:color w:val="FFFFFF"/>
                <w:sz w:val="18"/>
              </w:rPr>
              <w:t>Role</w:t>
            </w:r>
          </w:p>
        </w:tc>
        <w:tc>
          <w:tcPr>
            <w:tcW w:type="dxa" w:w="7488"/>
            <w:shd w:fill="0F172A"/>
          </w:tcPr>
          <w:p>
            <w:r/>
            <w:r>
              <w:rPr>
                <w:rFonts w:ascii="Aptos" w:hAnsi="Aptos"/>
                <w:b/>
                <w:color w:val="FFFFFF"/>
                <w:sz w:val="18"/>
              </w:rPr>
              <w:t>Typical capabilities</w:t>
            </w:r>
          </w:p>
        </w:tc>
      </w:tr>
      <w:tr>
        <w:tc>
          <w:tcPr>
            <w:tcW w:type="dxa" w:w="2160"/>
            <w:vAlign w:val="center"/>
          </w:tcPr>
          <w:p>
            <w:r/>
            <w:r>
              <w:rPr>
                <w:rFonts w:ascii="Aptos" w:hAnsi="Aptos"/>
                <w:b w:val="0"/>
                <w:color w:val="0F172A"/>
                <w:sz w:val="17"/>
              </w:rPr>
              <w:t>Super Admin</w:t>
            </w:r>
          </w:p>
        </w:tc>
        <w:tc>
          <w:tcPr>
            <w:tcW w:type="dxa" w:w="7488"/>
            <w:vAlign w:val="center"/>
          </w:tcPr>
          <w:p>
            <w:r/>
            <w:r>
              <w:rPr>
                <w:rFonts w:ascii="Aptos" w:hAnsi="Aptos"/>
                <w:b w:val="0"/>
                <w:color w:val="0F172A"/>
                <w:sz w:val="17"/>
              </w:rPr>
              <w:t>All configuration, security, users, tokens, Agents, Sites, incidents and audit.</w:t>
            </w:r>
          </w:p>
        </w:tc>
      </w:tr>
      <w:tr>
        <w:tc>
          <w:tcPr>
            <w:tcW w:type="dxa" w:w="2160"/>
            <w:vAlign w:val="center"/>
            <w:shd w:fill="F8FAFC"/>
          </w:tcPr>
          <w:p>
            <w:r/>
            <w:r>
              <w:rPr>
                <w:rFonts w:ascii="Aptos" w:hAnsi="Aptos"/>
                <w:b w:val="0"/>
                <w:color w:val="0F172A"/>
                <w:sz w:val="17"/>
              </w:rPr>
              <w:t>Administrator</w:t>
            </w:r>
          </w:p>
        </w:tc>
        <w:tc>
          <w:tcPr>
            <w:tcW w:type="dxa" w:w="7488"/>
            <w:vAlign w:val="center"/>
            <w:shd w:fill="F8FAFC"/>
          </w:tcPr>
          <w:p>
            <w:r/>
            <w:r>
              <w:rPr>
                <w:rFonts w:ascii="Aptos" w:hAnsi="Aptos"/>
                <w:b w:val="0"/>
                <w:color w:val="0F172A"/>
                <w:sz w:val="17"/>
              </w:rPr>
              <w:t>Operational configuration, Sites, devices, profiles, incidents; optionally restricted security ownership.</w:t>
            </w:r>
          </w:p>
        </w:tc>
      </w:tr>
      <w:tr>
        <w:tc>
          <w:tcPr>
            <w:tcW w:type="dxa" w:w="2160"/>
            <w:vAlign w:val="center"/>
          </w:tcPr>
          <w:p>
            <w:r/>
            <w:r>
              <w:rPr>
                <w:rFonts w:ascii="Aptos" w:hAnsi="Aptos"/>
                <w:b w:val="0"/>
                <w:color w:val="0F172A"/>
                <w:sz w:val="17"/>
              </w:rPr>
              <w:t>NOC Operator</w:t>
            </w:r>
          </w:p>
        </w:tc>
        <w:tc>
          <w:tcPr>
            <w:tcW w:type="dxa" w:w="7488"/>
            <w:vAlign w:val="center"/>
          </w:tcPr>
          <w:p>
            <w:r/>
            <w:r>
              <w:rPr>
                <w:rFonts w:ascii="Aptos" w:hAnsi="Aptos"/>
                <w:b w:val="0"/>
                <w:color w:val="0F172A"/>
                <w:sz w:val="17"/>
              </w:rPr>
              <w:t>View all health, search logs, acknowledge incidents, set approved maintenance windows, add incident notes.</w:t>
            </w:r>
          </w:p>
        </w:tc>
      </w:tr>
      <w:tr>
        <w:tc>
          <w:tcPr>
            <w:tcW w:type="dxa" w:w="2160"/>
            <w:vAlign w:val="center"/>
            <w:shd w:fill="F8FAFC"/>
          </w:tcPr>
          <w:p>
            <w:r/>
            <w:r>
              <w:rPr>
                <w:rFonts w:ascii="Aptos" w:hAnsi="Aptos"/>
                <w:b w:val="0"/>
                <w:color w:val="0F172A"/>
                <w:sz w:val="17"/>
              </w:rPr>
              <w:t>Viewer</w:t>
            </w:r>
          </w:p>
        </w:tc>
        <w:tc>
          <w:tcPr>
            <w:tcW w:type="dxa" w:w="7488"/>
            <w:vAlign w:val="center"/>
            <w:shd w:fill="F8FAFC"/>
          </w:tcPr>
          <w:p>
            <w:r/>
            <w:r>
              <w:rPr>
                <w:rFonts w:ascii="Aptos" w:hAnsi="Aptos"/>
                <w:b w:val="0"/>
                <w:color w:val="0F172A"/>
                <w:sz w:val="17"/>
              </w:rPr>
              <w:t>Read-only dashboards, Sites, devices, VPN, incidents and history within authorized scope.</w:t>
            </w:r>
          </w:p>
        </w:tc>
      </w:tr>
    </w:tbl>
    <w:p/>
    <w:p>
      <w:pPr>
        <w:pStyle w:val="Heading1"/>
        <w:spacing w:before="160" w:after="100"/>
      </w:pPr>
      <w:r>
        <w:t>22. Monitoring Profiles and Thresholds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0F172A"/>
          </w:tcPr>
          <w:p>
            <w:r/>
            <w:r>
              <w:rPr>
                <w:rFonts w:ascii="Aptos" w:hAnsi="Aptos"/>
                <w:b/>
                <w:color w:val="FFFFFF"/>
                <w:sz w:val="18"/>
              </w:rPr>
              <w:t>Profile</w:t>
            </w:r>
          </w:p>
        </w:tc>
        <w:tc>
          <w:tcPr>
            <w:tcW w:type="dxa" w:w="5184"/>
            <w:shd w:fill="0F172A"/>
          </w:tcPr>
          <w:p>
            <w:r/>
            <w:r>
              <w:rPr>
                <w:rFonts w:ascii="Aptos" w:hAnsi="Aptos"/>
                <w:b/>
                <w:color w:val="FFFFFF"/>
                <w:sz w:val="18"/>
              </w:rPr>
              <w:t>Default intent</w:t>
            </w:r>
          </w:p>
        </w:tc>
        <w:tc>
          <w:tcPr>
            <w:tcW w:type="dxa" w:w="2592"/>
            <w:shd w:fill="0F172A"/>
          </w:tcPr>
          <w:p>
            <w:r/>
            <w:r>
              <w:rPr>
                <w:rFonts w:ascii="Aptos" w:hAnsi="Aptos"/>
                <w:b/>
                <w:color w:val="FFFFFF"/>
                <w:sz w:val="18"/>
              </w:rPr>
              <w:t>Illustrative cadence</w:t>
            </w:r>
          </w:p>
        </w:tc>
      </w:tr>
      <w:tr>
        <w:tc>
          <w:tcPr>
            <w:tcW w:type="dxa" w:w="1872"/>
            <w:vAlign w:val="center"/>
          </w:tcPr>
          <w:p>
            <w:r/>
            <w:r>
              <w:rPr>
                <w:rFonts w:ascii="Aptos" w:hAnsi="Aptos"/>
                <w:b w:val="0"/>
                <w:color w:val="0F172A"/>
                <w:sz w:val="17"/>
              </w:rPr>
              <w:t>Standard</w:t>
            </w:r>
          </w:p>
        </w:tc>
        <w:tc>
          <w:tcPr>
            <w:tcW w:type="dxa" w:w="5184"/>
            <w:vAlign w:val="center"/>
          </w:tcPr>
          <w:p>
            <w:r/>
            <w:r>
              <w:rPr>
                <w:rFonts w:ascii="Aptos" w:hAnsi="Aptos"/>
                <w:b w:val="0"/>
                <w:color w:val="0F172A"/>
                <w:sz w:val="17"/>
              </w:rPr>
              <w:t>Normal production sites</w:t>
            </w:r>
          </w:p>
        </w:tc>
        <w:tc>
          <w:tcPr>
            <w:tcW w:type="dxa" w:w="2592"/>
            <w:vAlign w:val="center"/>
          </w:tcPr>
          <w:p>
            <w:r/>
            <w:r>
              <w:rPr>
                <w:rFonts w:ascii="Aptos" w:hAnsi="Aptos"/>
                <w:b w:val="0"/>
                <w:color w:val="0F172A"/>
                <w:sz w:val="17"/>
              </w:rPr>
              <w:t>Heartbeat 15s; critical health 30s; devices 60s; inventory 5m.</w:t>
            </w:r>
          </w:p>
        </w:tc>
      </w:tr>
      <w:tr>
        <w:tc>
          <w:tcPr>
            <w:tcW w:type="dxa" w:w="1872"/>
            <w:vAlign w:val="center"/>
            <w:shd w:fill="F8FAFC"/>
          </w:tcPr>
          <w:p>
            <w:r/>
            <w:r>
              <w:rPr>
                <w:rFonts w:ascii="Aptos" w:hAnsi="Aptos"/>
                <w:b w:val="0"/>
                <w:color w:val="0F172A"/>
                <w:sz w:val="17"/>
              </w:rPr>
              <w:t>Critical</w:t>
            </w:r>
          </w:p>
        </w:tc>
        <w:tc>
          <w:tcPr>
            <w:tcW w:type="dxa" w:w="5184"/>
            <w:vAlign w:val="center"/>
            <w:shd w:fill="F8FAFC"/>
          </w:tcPr>
          <w:p>
            <w:r/>
            <w:r>
              <w:rPr>
                <w:rFonts w:ascii="Aptos" w:hAnsi="Aptos"/>
                <w:b w:val="0"/>
                <w:color w:val="0F172A"/>
                <w:sz w:val="17"/>
              </w:rPr>
              <w:t>High-value sites / POS-critical infrastructure</w:t>
            </w:r>
          </w:p>
        </w:tc>
        <w:tc>
          <w:tcPr>
            <w:tcW w:type="dxa" w:w="2592"/>
            <w:vAlign w:val="center"/>
            <w:shd w:fill="F8FAFC"/>
          </w:tcPr>
          <w:p>
            <w:r/>
            <w:r>
              <w:rPr>
                <w:rFonts w:ascii="Aptos" w:hAnsi="Aptos"/>
                <w:b w:val="0"/>
                <w:color w:val="0F172A"/>
                <w:sz w:val="17"/>
              </w:rPr>
              <w:t>Heartbeat 15s; WAN/VPN/core devices 15-30s; Protect critical 30s.</w:t>
            </w:r>
          </w:p>
        </w:tc>
      </w:tr>
      <w:tr>
        <w:tc>
          <w:tcPr>
            <w:tcW w:type="dxa" w:w="1872"/>
            <w:vAlign w:val="center"/>
          </w:tcPr>
          <w:p>
            <w:r/>
            <w:r>
              <w:rPr>
                <w:rFonts w:ascii="Aptos" w:hAnsi="Aptos"/>
                <w:b w:val="0"/>
                <w:color w:val="0F172A"/>
                <w:sz w:val="17"/>
              </w:rPr>
              <w:t>Custom</w:t>
            </w:r>
          </w:p>
        </w:tc>
        <w:tc>
          <w:tcPr>
            <w:tcW w:type="dxa" w:w="5184"/>
            <w:vAlign w:val="center"/>
          </w:tcPr>
          <w:p>
            <w:r/>
            <w:r>
              <w:rPr>
                <w:rFonts w:ascii="Aptos" w:hAnsi="Aptos"/>
                <w:b w:val="0"/>
                <w:color w:val="0F172A"/>
                <w:sz w:val="17"/>
              </w:rPr>
              <w:t>Exceptions</w:t>
            </w:r>
          </w:p>
        </w:tc>
        <w:tc>
          <w:tcPr>
            <w:tcW w:type="dxa" w:w="2592"/>
            <w:vAlign w:val="center"/>
          </w:tcPr>
          <w:p>
            <w:r/>
            <w:r>
              <w:rPr>
                <w:rFonts w:ascii="Aptos" w:hAnsi="Aptos"/>
                <w:b w:val="0"/>
                <w:color w:val="0F172A"/>
                <w:sz w:val="17"/>
              </w:rPr>
              <w:t>Per-site overrides while retaining centrally managed defaults.</w:t>
            </w:r>
          </w:p>
        </w:tc>
      </w:tr>
    </w:tbl>
    <w:p/>
    <w:p>
      <w:pPr>
        <w:spacing w:after="100" w:line="252" w:lineRule="auto"/>
      </w:pPr>
      <w:r>
        <w:t>All recurring work should include jitter so approximately 100 Agents do not synchronize against the server on minute boundaries. Monitoring intervals are configuration values, not hard-coded constants.</w:t>
      </w:r>
    </w:p>
    <w:p>
      <w:pPr>
        <w:pStyle w:val="Heading1"/>
        <w:spacing w:before="160" w:after="100"/>
      </w:pPr>
      <w:r>
        <w:t>23. Notifications and Maintenance</w:t>
      </w:r>
    </w:p>
    <w:p>
      <w:pPr>
        <w:pStyle w:val="ListBullet"/>
        <w:spacing w:after="60"/>
      </w:pPr>
      <w:r>
        <w:t>Email in V1 with severity-aware templates.</w:t>
      </w:r>
    </w:p>
    <w:p>
      <w:pPr>
        <w:pStyle w:val="ListBullet"/>
        <w:spacing w:after="60"/>
      </w:pPr>
      <w:r>
        <w:t>Microsoft Teams/webhook integration prepared for V2.</w:t>
      </w:r>
    </w:p>
    <w:p>
      <w:pPr>
        <w:pStyle w:val="ListBullet"/>
        <w:spacing w:after="60"/>
      </w:pPr>
      <w:r>
        <w:t>Alert suppression during scheduled maintenance while Events continue to be recorded.</w:t>
      </w:r>
    </w:p>
    <w:p>
      <w:pPr>
        <w:pStyle w:val="ListBullet"/>
        <w:spacing w:after="60"/>
      </w:pPr>
      <w:r>
        <w:t>Recovery notifications tied to Incident closure, not every successful sample.</w:t>
      </w:r>
    </w:p>
    <w:p>
      <w:pPr>
        <w:pStyle w:val="ListBullet"/>
        <w:spacing w:after="60"/>
      </w:pPr>
      <w:r>
        <w:t>Per-profile notification routing and quiet-hour policy in future releases.</w:t>
      </w:r>
    </w:p>
    <w:p>
      <w:pPr>
        <w:pStyle w:val="Heading1"/>
        <w:spacing w:before="160" w:after="100"/>
      </w:pPr>
      <w:r>
        <w:t>24. Resilience and Failure Semantics</w:t>
      </w:r>
    </w:p>
    <w:p>
      <w:pPr>
        <w:jc w:val="center"/>
      </w:pPr>
      <w:r>
        <w:drawing>
          <wp:inline xmlns:a="http://schemas.openxmlformats.org/drawingml/2006/main" xmlns:pic="http://schemas.openxmlformats.org/drawingml/2006/picture">
            <wp:extent cx="6126480" cy="4350163"/>
            <wp:docPr id="40" name="Picture 40"/>
            <wp:cNvGraphicFramePr>
              <a:graphicFrameLocks noChangeAspect="1"/>
            </wp:cNvGraphicFramePr>
            <a:graphic>
              <a:graphicData uri="http://schemas.openxmlformats.org/drawingml/2006/picture">
                <pic:pic>
                  <pic:nvPicPr>
                    <pic:cNvPr id="0" name="D16_outage_decision.png"/>
                    <pic:cNvPicPr/>
                  </pic:nvPicPr>
                  <pic:blipFill>
                    <a:blip r:embed="rId20"/>
                    <a:stretch>
                      <a:fillRect/>
                    </a:stretch>
                  </pic:blipFill>
                  <pic:spPr>
                    <a:xfrm>
                      <a:off x="0" y="0"/>
                      <a:ext cx="6126480" cy="4350163"/>
                    </a:xfrm>
                    <a:prstGeom prst="rect"/>
                  </pic:spPr>
                </pic:pic>
              </a:graphicData>
            </a:graphic>
          </wp:inline>
        </w:drawing>
      </w:r>
    </w:p>
    <w:p>
      <w:pPr>
        <w:jc w:val="center"/>
      </w:pPr>
      <w:r>
        <w:rPr>
          <w:i/>
          <w:color w:val="64748B"/>
          <w:sz w:val="17"/>
        </w:rPr>
        <w:t>Figure 24.1 - Failure classification on Agent loss</w:t>
      </w:r>
    </w:p>
    <w:p>
      <w:pPr>
        <w:pStyle w:val="ListBullet"/>
        <w:spacing w:after="60"/>
      </w:pPr>
      <w:r>
        <w:t>Agent maintains bounded local spool and continues collection when ARGUS is unreachable.</w:t>
      </w:r>
    </w:p>
    <w:p>
      <w:pPr>
        <w:pStyle w:val="ListBullet"/>
        <w:spacing w:after="60"/>
      </w:pPr>
      <w:r>
        <w:t>Server ACKs replay sequence; Agent deletes acknowledged buffered records safely.</w:t>
      </w:r>
    </w:p>
    <w:p>
      <w:pPr>
        <w:pStyle w:val="ListBullet"/>
        <w:spacing w:after="60"/>
      </w:pPr>
      <w:r>
        <w:t>Server restarts do not require Agent re-enrollment.</w:t>
      </w:r>
    </w:p>
    <w:p>
      <w:pPr>
        <w:pStyle w:val="ListBullet"/>
        <w:spacing w:after="60"/>
      </w:pPr>
      <w:r>
        <w:t>Database outage should produce API backpressure and preserve Agent retry/spool behavior.</w:t>
      </w:r>
    </w:p>
    <w:p>
      <w:pPr>
        <w:pStyle w:val="ListBullet"/>
        <w:spacing w:after="60"/>
      </w:pPr>
      <w:r>
        <w:t>A frozen NOC page must visually expose stale last-update time.</w:t>
      </w:r>
    </w:p>
    <w:p>
      <w:pPr>
        <w:pStyle w:val="ListBullet"/>
        <w:spacing w:after="60"/>
      </w:pPr>
      <w:r>
        <w:t>If ARGUS itself is unhealthy, internal self-monitoring must show API/DB/worker state to administrators and ideally external monitoring must alert independently.</w:t>
      </w:r>
    </w:p>
    <w:p>
      <w:pPr>
        <w:pStyle w:val="Heading1"/>
        <w:spacing w:before="160" w:after="100"/>
      </w:pPr>
      <w:r>
        <w:t>25. Testing and Acceptance Criteria</w:t>
      </w:r>
    </w:p>
    <w:p>
      <w:pPr>
        <w:pStyle w:val="Heading2"/>
        <w:spacing w:before="160" w:after="100"/>
      </w:pPr>
      <w:r>
        <w:t>25.1 Functional acceptance</w:t>
      </w:r>
    </w:p>
    <w:p>
      <w:pPr>
        <w:pStyle w:val="ListBullet"/>
        <w:spacing w:after="60"/>
      </w:pPr>
      <w:r>
        <w:t>Enroll, reject, approve and revoke a console without affecting other Agents.</w:t>
      </w:r>
    </w:p>
    <w:p>
      <w:pPr>
        <w:pStyle w:val="ListBullet"/>
        <w:spacing w:after="60"/>
      </w:pPr>
      <w:r>
        <w:t>Discover representative gateway/switch/AP/camera inventory.</w:t>
      </w:r>
    </w:p>
    <w:p>
      <w:pPr>
        <w:pStyle w:val="ListBullet"/>
        <w:spacing w:after="60"/>
      </w:pPr>
      <w:r>
        <w:t>Select monitored devices and confirm excluded devices do not alert.</w:t>
      </w:r>
    </w:p>
    <w:p>
      <w:pPr>
        <w:pStyle w:val="ListBullet"/>
        <w:spacing w:after="60"/>
      </w:pPr>
      <w:r>
        <w:t>Generate a WAN, VPN, switch/AP and camera failure and observe correct Event → Alert → Incident behavior.</w:t>
      </w:r>
    </w:p>
    <w:p>
      <w:pPr>
        <w:pStyle w:val="ListBullet"/>
        <w:spacing w:after="60"/>
      </w:pPr>
      <w:r>
        <w:t>Demonstrate tunnel-UP/probe-failed VPN degradation.</w:t>
      </w:r>
    </w:p>
    <w:p>
      <w:pPr>
        <w:pStyle w:val="ListBullet"/>
        <w:spacing w:after="60"/>
      </w:pPr>
      <w:r>
        <w:t>Disconnect Agent from Internet, generate local state changes, restore Internet and verify ordered history replay.</w:t>
      </w:r>
    </w:p>
    <w:p>
      <w:pPr>
        <w:pStyle w:val="ListBullet"/>
        <w:spacing w:after="60"/>
      </w:pPr>
      <w:r>
        <w:t>Change a non-secret network property and verify configuration hash/change event.</w:t>
      </w:r>
    </w:p>
    <w:p>
      <w:pPr>
        <w:pStyle w:val="ListBullet"/>
        <w:spacing w:after="60"/>
      </w:pPr>
      <w:r>
        <w:t>Verify maintenance suppresses notifications but keeps history.</w:t>
      </w:r>
    </w:p>
    <w:p>
      <w:pPr>
        <w:pStyle w:val="ListBullet"/>
        <w:spacing w:after="60"/>
      </w:pPr>
      <w:r>
        <w:t>Verify NOC sorting and focus modes.</w:t>
      </w:r>
    </w:p>
    <w:p>
      <w:pPr>
        <w:pStyle w:val="Heading2"/>
        <w:spacing w:before="160" w:after="100"/>
      </w:pPr>
      <w:r>
        <w:t>25.2 UI acceptance</w:t>
      </w:r>
    </w:p>
    <w:p>
      <w:pPr>
        <w:pStyle w:val="ListBullet"/>
        <w:spacing w:after="60"/>
      </w:pPr>
      <w:r>
        <w:t>1920×1080 /noc loads with no scrollbars.</w:t>
      </w:r>
    </w:p>
    <w:p>
      <w:pPr>
        <w:pStyle w:val="ListBullet"/>
        <w:spacing w:after="60"/>
      </w:pPr>
      <w:r>
        <w:t>1600×900 remains usable with no clipping.</w:t>
      </w:r>
    </w:p>
    <w:p>
      <w:pPr>
        <w:pStyle w:val="ListBullet"/>
        <w:spacing w:after="60"/>
      </w:pPr>
      <w:r>
        <w:t>1366×768 fallback remains operational using responsive density rules.</w:t>
      </w:r>
    </w:p>
    <w:p>
      <w:pPr>
        <w:pStyle w:val="ListBullet"/>
        <w:spacing w:after="60"/>
      </w:pPr>
      <w:r>
        <w:t>No critical information depends on hover.</w:t>
      </w:r>
    </w:p>
    <w:p>
      <w:pPr>
        <w:pStyle w:val="ListBullet"/>
        <w:spacing w:after="60"/>
      </w:pPr>
      <w:r>
        <w:t>Red/amber/green statuses always include text/icon equivalents.</w:t>
      </w:r>
    </w:p>
    <w:p>
      <w:pPr>
        <w:pStyle w:val="ListBullet"/>
        <w:spacing w:after="60"/>
      </w:pPr>
      <w:r>
        <w:t>Raspberry Pi Chromium kiosk remains responsive during rotation for an extended soak test.</w:t>
      </w:r>
    </w:p>
    <w:p>
      <w:pPr>
        <w:pStyle w:val="Heading2"/>
        <w:spacing w:before="160" w:after="100"/>
      </w:pPr>
      <w:r>
        <w:t>25.3 Scale acceptance</w:t>
      </w:r>
    </w:p>
    <w:p>
      <w:pPr>
        <w:pStyle w:val="ListBullet"/>
        <w:spacing w:after="60"/>
      </w:pPr>
      <w:r>
        <w:t>Simulate at least 100 connected Agents with jittered heartbeat/report load.</w:t>
      </w:r>
    </w:p>
    <w:p>
      <w:pPr>
        <w:pStyle w:val="ListBullet"/>
        <w:spacing w:after="60"/>
      </w:pPr>
      <w:r>
        <w:t>Verify current-state upserts and event-change suppression prevent runaway table growth.</w:t>
      </w:r>
    </w:p>
    <w:p>
      <w:pPr>
        <w:pStyle w:val="ListBullet"/>
        <w:spacing w:after="60"/>
      </w:pPr>
      <w:r>
        <w:t>Confirm filtered event search and Site overview response times remain interactive under representative retention volume.</w:t>
      </w:r>
    </w:p>
    <w:p>
      <w:pPr>
        <w:pStyle w:val="Heading1"/>
        <w:spacing w:before="160" w:after="100"/>
      </w:pPr>
      <w:r>
        <w:t>26. Rollout Plan</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0F172A"/>
          </w:tcPr>
          <w:p>
            <w:r/>
            <w:r>
              <w:rPr>
                <w:rFonts w:ascii="Aptos" w:hAnsi="Aptos"/>
                <w:b/>
                <w:color w:val="FFFFFF"/>
                <w:sz w:val="18"/>
              </w:rPr>
              <w:t>Phase</w:t>
            </w:r>
          </w:p>
        </w:tc>
        <w:tc>
          <w:tcPr>
            <w:tcW w:type="dxa" w:w="1440"/>
            <w:shd w:fill="0F172A"/>
          </w:tcPr>
          <w:p>
            <w:r/>
            <w:r>
              <w:rPr>
                <w:rFonts w:ascii="Aptos" w:hAnsi="Aptos"/>
                <w:b/>
                <w:color w:val="FFFFFF"/>
                <w:sz w:val="18"/>
              </w:rPr>
              <w:t>Sites</w:t>
            </w:r>
          </w:p>
        </w:tc>
        <w:tc>
          <w:tcPr>
            <w:tcW w:type="dxa" w:w="5760"/>
            <w:shd w:fill="0F172A"/>
          </w:tcPr>
          <w:p>
            <w:r/>
            <w:r>
              <w:rPr>
                <w:rFonts w:ascii="Aptos" w:hAnsi="Aptos"/>
                <w:b/>
                <w:color w:val="FFFFFF"/>
                <w:sz w:val="18"/>
              </w:rPr>
              <w:t>Goal</w:t>
            </w:r>
          </w:p>
        </w:tc>
      </w:tr>
      <w:tr>
        <w:tc>
          <w:tcPr>
            <w:tcW w:type="dxa" w:w="2592"/>
            <w:vAlign w:val="center"/>
          </w:tcPr>
          <w:p>
            <w:r/>
            <w:r>
              <w:rPr>
                <w:rFonts w:ascii="Aptos" w:hAnsi="Aptos"/>
                <w:b w:val="0"/>
                <w:color w:val="0F172A"/>
                <w:sz w:val="17"/>
              </w:rPr>
              <w:t>0 - Lab</w:t>
            </w:r>
          </w:p>
        </w:tc>
        <w:tc>
          <w:tcPr>
            <w:tcW w:type="dxa" w:w="1440"/>
            <w:vAlign w:val="center"/>
          </w:tcPr>
          <w:p>
            <w:r/>
            <w:r>
              <w:rPr>
                <w:rFonts w:ascii="Aptos" w:hAnsi="Aptos"/>
                <w:b w:val="0"/>
                <w:color w:val="0F172A"/>
                <w:sz w:val="17"/>
              </w:rPr>
              <w:t>1-2</w:t>
            </w:r>
          </w:p>
        </w:tc>
        <w:tc>
          <w:tcPr>
            <w:tcW w:type="dxa" w:w="5760"/>
            <w:vAlign w:val="center"/>
          </w:tcPr>
          <w:p>
            <w:r/>
            <w:r>
              <w:rPr>
                <w:rFonts w:ascii="Aptos" w:hAnsi="Aptos"/>
                <w:b w:val="0"/>
                <w:color w:val="0F172A"/>
                <w:sz w:val="17"/>
              </w:rPr>
              <w:t>Validate local UniFi API collectors, persistence method and enrollment.</w:t>
            </w:r>
          </w:p>
        </w:tc>
      </w:tr>
      <w:tr>
        <w:tc>
          <w:tcPr>
            <w:tcW w:type="dxa" w:w="2592"/>
            <w:vAlign w:val="center"/>
            <w:shd w:fill="F8FAFC"/>
          </w:tcPr>
          <w:p>
            <w:r/>
            <w:r>
              <w:rPr>
                <w:rFonts w:ascii="Aptos" w:hAnsi="Aptos"/>
                <w:b w:val="0"/>
                <w:color w:val="0F172A"/>
                <w:sz w:val="17"/>
              </w:rPr>
              <w:t>1 - Pilot</w:t>
            </w:r>
          </w:p>
        </w:tc>
        <w:tc>
          <w:tcPr>
            <w:tcW w:type="dxa" w:w="1440"/>
            <w:vAlign w:val="center"/>
            <w:shd w:fill="F8FAFC"/>
          </w:tcPr>
          <w:p>
            <w:r/>
            <w:r>
              <w:rPr>
                <w:rFonts w:ascii="Aptos" w:hAnsi="Aptos"/>
                <w:b w:val="0"/>
                <w:color w:val="0F172A"/>
                <w:sz w:val="17"/>
              </w:rPr>
              <w:t>5</w:t>
            </w:r>
          </w:p>
        </w:tc>
        <w:tc>
          <w:tcPr>
            <w:tcW w:type="dxa" w:w="5760"/>
            <w:vAlign w:val="center"/>
            <w:shd w:fill="F8FAFC"/>
          </w:tcPr>
          <w:p>
            <w:r/>
            <w:r>
              <w:rPr>
                <w:rFonts w:ascii="Aptos" w:hAnsi="Aptos"/>
                <w:b w:val="0"/>
                <w:color w:val="0F172A"/>
                <w:sz w:val="17"/>
              </w:rPr>
              <w:t>Validate operational accuracy, NOC layouts, VPN probes and offline spool.</w:t>
            </w:r>
          </w:p>
        </w:tc>
      </w:tr>
      <w:tr>
        <w:tc>
          <w:tcPr>
            <w:tcW w:type="dxa" w:w="2592"/>
            <w:vAlign w:val="center"/>
          </w:tcPr>
          <w:p>
            <w:r/>
            <w:r>
              <w:rPr>
                <w:rFonts w:ascii="Aptos" w:hAnsi="Aptos"/>
                <w:b w:val="0"/>
                <w:color w:val="0F172A"/>
                <w:sz w:val="17"/>
              </w:rPr>
              <w:t>2 - Controlled production</w:t>
            </w:r>
          </w:p>
        </w:tc>
        <w:tc>
          <w:tcPr>
            <w:tcW w:type="dxa" w:w="1440"/>
            <w:vAlign w:val="center"/>
          </w:tcPr>
          <w:p>
            <w:r/>
            <w:r>
              <w:rPr>
                <w:rFonts w:ascii="Aptos" w:hAnsi="Aptos"/>
                <w:b w:val="0"/>
                <w:color w:val="0F172A"/>
                <w:sz w:val="17"/>
              </w:rPr>
              <w:t>20-25</w:t>
            </w:r>
          </w:p>
        </w:tc>
        <w:tc>
          <w:tcPr>
            <w:tcW w:type="dxa" w:w="5760"/>
            <w:vAlign w:val="center"/>
          </w:tcPr>
          <w:p>
            <w:r/>
            <w:r>
              <w:rPr>
                <w:rFonts w:ascii="Aptos" w:hAnsi="Aptos"/>
                <w:b w:val="0"/>
                <w:color w:val="0F172A"/>
                <w:sz w:val="17"/>
              </w:rPr>
              <w:t>Validate scale, profiles, alert noise, update process and backup/restore.</w:t>
            </w:r>
          </w:p>
        </w:tc>
      </w:tr>
      <w:tr>
        <w:tc>
          <w:tcPr>
            <w:tcW w:type="dxa" w:w="2592"/>
            <w:vAlign w:val="center"/>
            <w:shd w:fill="F8FAFC"/>
          </w:tcPr>
          <w:p>
            <w:r/>
            <w:r>
              <w:rPr>
                <w:rFonts w:ascii="Aptos" w:hAnsi="Aptos"/>
                <w:b w:val="0"/>
                <w:color w:val="0F172A"/>
                <w:sz w:val="17"/>
              </w:rPr>
              <w:t>3 - Fleet rollout</w:t>
            </w:r>
          </w:p>
        </w:tc>
        <w:tc>
          <w:tcPr>
            <w:tcW w:type="dxa" w:w="1440"/>
            <w:vAlign w:val="center"/>
            <w:shd w:fill="F8FAFC"/>
          </w:tcPr>
          <w:p>
            <w:r/>
            <w:r>
              <w:rPr>
                <w:rFonts w:ascii="Aptos" w:hAnsi="Aptos"/>
                <w:b w:val="0"/>
                <w:color w:val="0F172A"/>
                <w:sz w:val="17"/>
              </w:rPr>
              <w:t>~100</w:t>
            </w:r>
          </w:p>
        </w:tc>
        <w:tc>
          <w:tcPr>
            <w:tcW w:type="dxa" w:w="5760"/>
            <w:vAlign w:val="center"/>
            <w:shd w:fill="F8FAFC"/>
          </w:tcPr>
          <w:p>
            <w:r/>
            <w:r>
              <w:rPr>
                <w:rFonts w:ascii="Aptos" w:hAnsi="Aptos"/>
                <w:b w:val="0"/>
                <w:color w:val="0F172A"/>
                <w:sz w:val="17"/>
              </w:rPr>
              <w:t>Deploy through MCA-Secure-Downloads-install in staged waves.</w:t>
            </w:r>
          </w:p>
        </w:tc>
      </w:tr>
      <w:tr>
        <w:tc>
          <w:tcPr>
            <w:tcW w:type="dxa" w:w="2592"/>
            <w:vAlign w:val="center"/>
          </w:tcPr>
          <w:p>
            <w:r/>
            <w:r>
              <w:rPr>
                <w:rFonts w:ascii="Aptos" w:hAnsi="Aptos"/>
                <w:b w:val="0"/>
                <w:color w:val="0F172A"/>
                <w:sz w:val="17"/>
              </w:rPr>
              <w:t>4 - Optimization</w:t>
            </w:r>
          </w:p>
        </w:tc>
        <w:tc>
          <w:tcPr>
            <w:tcW w:type="dxa" w:w="1440"/>
            <w:vAlign w:val="center"/>
          </w:tcPr>
          <w:p>
            <w:r/>
            <w:r>
              <w:rPr>
                <w:rFonts w:ascii="Aptos" w:hAnsi="Aptos"/>
                <w:b w:val="0"/>
                <w:color w:val="0F172A"/>
                <w:sz w:val="17"/>
              </w:rPr>
              <w:t>All</w:t>
            </w:r>
          </w:p>
        </w:tc>
        <w:tc>
          <w:tcPr>
            <w:tcW w:type="dxa" w:w="5760"/>
            <w:vAlign w:val="center"/>
          </w:tcPr>
          <w:p>
            <w:r/>
            <w:r>
              <w:rPr>
                <w:rFonts w:ascii="Aptos" w:hAnsi="Aptos"/>
                <w:b w:val="0"/>
                <w:color w:val="0F172A"/>
                <w:sz w:val="17"/>
              </w:rPr>
              <w:t>Tune thresholds, retention, dashboards, incident correlation and reporting.</w:t>
            </w:r>
          </w:p>
        </w:tc>
      </w:tr>
    </w:tbl>
    <w:p/>
    <w:p>
      <w:pPr>
        <w:pStyle w:val="Heading1"/>
        <w:spacing w:before="160" w:after="100"/>
      </w:pPr>
      <w:r>
        <w:t>27. Roadmap</w:t>
      </w:r>
    </w:p>
    <w:p>
      <w:pPr>
        <w:pStyle w:val="ListBullet"/>
        <w:spacing w:after="60"/>
      </w:pPr>
      <w:r>
        <w:t>Dependency mapping and root-cause suppression (e.g., switch outage suppresses downstream device storm).</w:t>
      </w:r>
    </w:p>
    <w:p>
      <w:pPr>
        <w:pStyle w:val="ListBullet"/>
        <w:spacing w:after="60"/>
      </w:pPr>
      <w:r>
        <w:t>Site Health Score with weighted criticality.</w:t>
      </w:r>
    </w:p>
    <w:p>
      <w:pPr>
        <w:pStyle w:val="ListBullet"/>
        <w:spacing w:after="60"/>
      </w:pPr>
      <w:r>
        <w:t>Microsoft Teams, webhooks and escalation policies.</w:t>
      </w:r>
    </w:p>
    <w:p>
      <w:pPr>
        <w:pStyle w:val="ListBullet"/>
        <w:spacing w:after="60"/>
      </w:pPr>
      <w:r>
        <w:t>Availability/SLA reporting and historical charts.</w:t>
      </w:r>
    </w:p>
    <w:p>
      <w:pPr>
        <w:pStyle w:val="ListBullet"/>
        <w:spacing w:after="60"/>
      </w:pPr>
      <w:r>
        <w:t>Site Manager ISP metrics correlation.</w:t>
      </w:r>
    </w:p>
    <w:p>
      <w:pPr>
        <w:pStyle w:val="ListBullet"/>
        <w:spacing w:after="60"/>
      </w:pPr>
      <w:r>
        <w:t>Full topology visualization.</w:t>
      </w:r>
    </w:p>
    <w:p>
      <w:pPr>
        <w:pStyle w:val="ListBullet"/>
        <w:spacing w:after="60"/>
      </w:pPr>
      <w:r>
        <w:t>Agent mTLS and automatic certificate rotation.</w:t>
      </w:r>
    </w:p>
    <w:p>
      <w:pPr>
        <w:pStyle w:val="ListBullet"/>
        <w:spacing w:after="60"/>
      </w:pPr>
      <w:r>
        <w:t>Broader SNMP/non-UniFi collectors: UPS, QNAP, Linux, printers, POS health.</w:t>
      </w:r>
    </w:p>
    <w:p>
      <w:pPr>
        <w:pStyle w:val="ListBullet"/>
        <w:spacing w:after="60"/>
      </w:pPr>
      <w:r>
        <w:t>Mobile/PWA operational views.</w:t>
      </w:r>
    </w:p>
    <w:p>
      <w:pPr>
        <w:pStyle w:val="ListBullet"/>
        <w:spacing w:after="60"/>
      </w:pPr>
      <w:r>
        <w:t>Configuration diff details beyond hash-level change detection.</w:t>
      </w:r>
    </w:p>
    <w:p>
      <w:pPr>
        <w:pStyle w:val="Heading1"/>
        <w:spacing w:before="160" w:after="100"/>
      </w:pPr>
      <w:r>
        <w:t>Appendix A - Event Field Baseline</w:t>
      </w:r>
    </w:p>
    <w:tbl>
      <w:tblPr>
        <w:tblStyle w:val="TableGrid"/>
        <w:tblW w:type="auto" w:w="0"/>
        <w:jc w:val="center"/>
        <w:tblLook w:firstColumn="1" w:firstRow="1" w:lastColumn="0" w:lastRow="0" w:noHBand="0" w:noVBand="1" w:val="04A0"/>
      </w:tblPr>
      <w:tblGrid>
        <w:gridCol w:w="5112"/>
        <w:gridCol w:w="5112"/>
      </w:tblGrid>
      <w:tr>
        <w:tc>
          <w:tcPr>
            <w:tcW w:type="dxa" w:w="2592"/>
            <w:shd w:fill="0F172A"/>
          </w:tcPr>
          <w:p>
            <w:r/>
            <w:r>
              <w:rPr>
                <w:rFonts w:ascii="Aptos" w:hAnsi="Aptos"/>
                <w:b/>
                <w:color w:val="FFFFFF"/>
                <w:sz w:val="18"/>
              </w:rPr>
              <w:t>Field</w:t>
            </w:r>
          </w:p>
        </w:tc>
        <w:tc>
          <w:tcPr>
            <w:tcW w:type="dxa" w:w="7056"/>
            <w:shd w:fill="0F172A"/>
          </w:tcPr>
          <w:p>
            <w:r/>
            <w:r>
              <w:rPr>
                <w:rFonts w:ascii="Aptos" w:hAnsi="Aptos"/>
                <w:b/>
                <w:color w:val="FFFFFF"/>
                <w:sz w:val="18"/>
              </w:rPr>
              <w:t>Description</w:t>
            </w:r>
          </w:p>
        </w:tc>
      </w:tr>
      <w:tr>
        <w:tc>
          <w:tcPr>
            <w:tcW w:type="dxa" w:w="2592"/>
            <w:vAlign w:val="center"/>
          </w:tcPr>
          <w:p>
            <w:r/>
            <w:r>
              <w:rPr>
                <w:rFonts w:ascii="Aptos" w:hAnsi="Aptos"/>
                <w:b w:val="0"/>
                <w:color w:val="0F172A"/>
                <w:sz w:val="17"/>
              </w:rPr>
              <w:t>timestamp</w:t>
            </w:r>
          </w:p>
        </w:tc>
        <w:tc>
          <w:tcPr>
            <w:tcW w:type="dxa" w:w="7056"/>
            <w:vAlign w:val="center"/>
          </w:tcPr>
          <w:p>
            <w:r/>
            <w:r>
              <w:rPr>
                <w:rFonts w:ascii="Aptos" w:hAnsi="Aptos"/>
                <w:b w:val="0"/>
                <w:color w:val="0F172A"/>
                <w:sz w:val="17"/>
              </w:rPr>
              <w:t>Source-observed time in UTC; UI renders configured local timezone.</w:t>
            </w:r>
          </w:p>
        </w:tc>
      </w:tr>
      <w:tr>
        <w:tc>
          <w:tcPr>
            <w:tcW w:type="dxa" w:w="2592"/>
            <w:vAlign w:val="center"/>
            <w:shd w:fill="F8FAFC"/>
          </w:tcPr>
          <w:p>
            <w:r/>
            <w:r>
              <w:rPr>
                <w:rFonts w:ascii="Aptos" w:hAnsi="Aptos"/>
                <w:b w:val="0"/>
                <w:color w:val="0F172A"/>
                <w:sz w:val="17"/>
              </w:rPr>
              <w:t>severity</w:t>
            </w:r>
          </w:p>
        </w:tc>
        <w:tc>
          <w:tcPr>
            <w:tcW w:type="dxa" w:w="7056"/>
            <w:vAlign w:val="center"/>
            <w:shd w:fill="F8FAFC"/>
          </w:tcPr>
          <w:p>
            <w:r/>
            <w:r>
              <w:rPr>
                <w:rFonts w:ascii="Aptos" w:hAnsi="Aptos"/>
                <w:b w:val="0"/>
                <w:color w:val="0F172A"/>
                <w:sz w:val="17"/>
              </w:rPr>
              <w:t>INFO / DEGRADED / WARNING / CRITICAL.</w:t>
            </w:r>
          </w:p>
        </w:tc>
      </w:tr>
      <w:tr>
        <w:tc>
          <w:tcPr>
            <w:tcW w:type="dxa" w:w="2592"/>
            <w:vAlign w:val="center"/>
          </w:tcPr>
          <w:p>
            <w:r/>
            <w:r>
              <w:rPr>
                <w:rFonts w:ascii="Aptos" w:hAnsi="Aptos"/>
                <w:b w:val="0"/>
                <w:color w:val="0F172A"/>
                <w:sz w:val="17"/>
              </w:rPr>
              <w:t>organization_id</w:t>
            </w:r>
          </w:p>
        </w:tc>
        <w:tc>
          <w:tcPr>
            <w:tcW w:type="dxa" w:w="7056"/>
            <w:vAlign w:val="center"/>
          </w:tcPr>
          <w:p>
            <w:r/>
            <w:r>
              <w:rPr>
                <w:rFonts w:ascii="Aptos" w:hAnsi="Aptos"/>
                <w:b w:val="0"/>
                <w:color w:val="0F172A"/>
                <w:sz w:val="17"/>
              </w:rPr>
              <w:t>Tenant boundary.</w:t>
            </w:r>
          </w:p>
        </w:tc>
      </w:tr>
      <w:tr>
        <w:tc>
          <w:tcPr>
            <w:tcW w:type="dxa" w:w="2592"/>
            <w:vAlign w:val="center"/>
            <w:shd w:fill="F8FAFC"/>
          </w:tcPr>
          <w:p>
            <w:r/>
            <w:r>
              <w:rPr>
                <w:rFonts w:ascii="Aptos" w:hAnsi="Aptos"/>
                <w:b w:val="0"/>
                <w:color w:val="0F172A"/>
                <w:sz w:val="17"/>
              </w:rPr>
              <w:t>site_id</w:t>
            </w:r>
          </w:p>
        </w:tc>
        <w:tc>
          <w:tcPr>
            <w:tcW w:type="dxa" w:w="7056"/>
            <w:vAlign w:val="center"/>
            <w:shd w:fill="F8FAFC"/>
          </w:tcPr>
          <w:p>
            <w:r/>
            <w:r>
              <w:rPr>
                <w:rFonts w:ascii="Aptos" w:hAnsi="Aptos"/>
                <w:b w:val="0"/>
                <w:color w:val="0F172A"/>
                <w:sz w:val="17"/>
              </w:rPr>
              <w:t>Operational site.</w:t>
            </w:r>
          </w:p>
        </w:tc>
      </w:tr>
      <w:tr>
        <w:tc>
          <w:tcPr>
            <w:tcW w:type="dxa" w:w="2592"/>
            <w:vAlign w:val="center"/>
          </w:tcPr>
          <w:p>
            <w:r/>
            <w:r>
              <w:rPr>
                <w:rFonts w:ascii="Aptos" w:hAnsi="Aptos"/>
                <w:b w:val="0"/>
                <w:color w:val="0F172A"/>
                <w:sz w:val="17"/>
              </w:rPr>
              <w:t>console_id</w:t>
            </w:r>
          </w:p>
        </w:tc>
        <w:tc>
          <w:tcPr>
            <w:tcW w:type="dxa" w:w="7056"/>
            <w:vAlign w:val="center"/>
          </w:tcPr>
          <w:p>
            <w:r/>
            <w:r>
              <w:rPr>
                <w:rFonts w:ascii="Aptos" w:hAnsi="Aptos"/>
                <w:b w:val="0"/>
                <w:color w:val="0F172A"/>
                <w:sz w:val="17"/>
              </w:rPr>
              <w:t>Console source.</w:t>
            </w:r>
          </w:p>
        </w:tc>
      </w:tr>
      <w:tr>
        <w:tc>
          <w:tcPr>
            <w:tcW w:type="dxa" w:w="2592"/>
            <w:vAlign w:val="center"/>
            <w:shd w:fill="F8FAFC"/>
          </w:tcPr>
          <w:p>
            <w:r/>
            <w:r>
              <w:rPr>
                <w:rFonts w:ascii="Aptos" w:hAnsi="Aptos"/>
                <w:b w:val="0"/>
                <w:color w:val="0F172A"/>
                <w:sz w:val="17"/>
              </w:rPr>
              <w:t>entity_type</w:t>
            </w:r>
          </w:p>
        </w:tc>
        <w:tc>
          <w:tcPr>
            <w:tcW w:type="dxa" w:w="7056"/>
            <w:vAlign w:val="center"/>
            <w:shd w:fill="F8FAFC"/>
          </w:tcPr>
          <w:p>
            <w:r/>
            <w:r>
              <w:rPr>
                <w:rFonts w:ascii="Aptos" w:hAnsi="Aptos"/>
                <w:b w:val="0"/>
                <w:color w:val="0F172A"/>
                <w:sz w:val="17"/>
              </w:rPr>
              <w:t>agent / console / wan / vpn / device / protect / config.</w:t>
            </w:r>
          </w:p>
        </w:tc>
      </w:tr>
      <w:tr>
        <w:tc>
          <w:tcPr>
            <w:tcW w:type="dxa" w:w="2592"/>
            <w:vAlign w:val="center"/>
          </w:tcPr>
          <w:p>
            <w:r/>
            <w:r>
              <w:rPr>
                <w:rFonts w:ascii="Aptos" w:hAnsi="Aptos"/>
                <w:b w:val="0"/>
                <w:color w:val="0F172A"/>
                <w:sz w:val="17"/>
              </w:rPr>
              <w:t>entity_id</w:t>
            </w:r>
          </w:p>
        </w:tc>
        <w:tc>
          <w:tcPr>
            <w:tcW w:type="dxa" w:w="7056"/>
            <w:vAlign w:val="center"/>
          </w:tcPr>
          <w:p>
            <w:r/>
            <w:r>
              <w:rPr>
                <w:rFonts w:ascii="Aptos" w:hAnsi="Aptos"/>
                <w:b w:val="0"/>
                <w:color w:val="0F172A"/>
                <w:sz w:val="17"/>
              </w:rPr>
              <w:t>Stable ARGUS entity ID.</w:t>
            </w:r>
          </w:p>
        </w:tc>
      </w:tr>
      <w:tr>
        <w:tc>
          <w:tcPr>
            <w:tcW w:type="dxa" w:w="2592"/>
            <w:vAlign w:val="center"/>
            <w:shd w:fill="F8FAFC"/>
          </w:tcPr>
          <w:p>
            <w:r/>
            <w:r>
              <w:rPr>
                <w:rFonts w:ascii="Aptos" w:hAnsi="Aptos"/>
                <w:b w:val="0"/>
                <w:color w:val="0F172A"/>
                <w:sz w:val="17"/>
              </w:rPr>
              <w:t>event_type</w:t>
            </w:r>
          </w:p>
        </w:tc>
        <w:tc>
          <w:tcPr>
            <w:tcW w:type="dxa" w:w="7056"/>
            <w:vAlign w:val="center"/>
            <w:shd w:fill="F8FAFC"/>
          </w:tcPr>
          <w:p>
            <w:r/>
            <w:r>
              <w:rPr>
                <w:rFonts w:ascii="Aptos" w:hAnsi="Aptos"/>
                <w:b w:val="0"/>
                <w:color w:val="0F172A"/>
                <w:sz w:val="17"/>
              </w:rPr>
              <w:t>Machine-readable event name.</w:t>
            </w:r>
          </w:p>
        </w:tc>
      </w:tr>
      <w:tr>
        <w:tc>
          <w:tcPr>
            <w:tcW w:type="dxa" w:w="2592"/>
            <w:vAlign w:val="center"/>
          </w:tcPr>
          <w:p>
            <w:r/>
            <w:r>
              <w:rPr>
                <w:rFonts w:ascii="Aptos" w:hAnsi="Aptos"/>
                <w:b w:val="0"/>
                <w:color w:val="0F172A"/>
                <w:sz w:val="17"/>
              </w:rPr>
              <w:t>message</w:t>
            </w:r>
          </w:p>
        </w:tc>
        <w:tc>
          <w:tcPr>
            <w:tcW w:type="dxa" w:w="7056"/>
            <w:vAlign w:val="center"/>
          </w:tcPr>
          <w:p>
            <w:r/>
            <w:r>
              <w:rPr>
                <w:rFonts w:ascii="Aptos" w:hAnsi="Aptos"/>
                <w:b w:val="0"/>
                <w:color w:val="0F172A"/>
                <w:sz w:val="17"/>
              </w:rPr>
              <w:t>Human-readable concise explanation.</w:t>
            </w:r>
          </w:p>
        </w:tc>
      </w:tr>
      <w:tr>
        <w:tc>
          <w:tcPr>
            <w:tcW w:type="dxa" w:w="2592"/>
            <w:vAlign w:val="center"/>
            <w:shd w:fill="F8FAFC"/>
          </w:tcPr>
          <w:p>
            <w:r/>
            <w:r>
              <w:rPr>
                <w:rFonts w:ascii="Aptos" w:hAnsi="Aptos"/>
                <w:b w:val="0"/>
                <w:color w:val="0F172A"/>
                <w:sz w:val="17"/>
              </w:rPr>
              <w:t>incident_id</w:t>
            </w:r>
          </w:p>
        </w:tc>
        <w:tc>
          <w:tcPr>
            <w:tcW w:type="dxa" w:w="7056"/>
            <w:vAlign w:val="center"/>
            <w:shd w:fill="F8FAFC"/>
          </w:tcPr>
          <w:p>
            <w:r/>
            <w:r>
              <w:rPr>
                <w:rFonts w:ascii="Aptos" w:hAnsi="Aptos"/>
                <w:b w:val="0"/>
                <w:color w:val="0F172A"/>
                <w:sz w:val="17"/>
              </w:rPr>
              <w:t>Optional correlated incident.</w:t>
            </w:r>
          </w:p>
        </w:tc>
      </w:tr>
      <w:tr>
        <w:tc>
          <w:tcPr>
            <w:tcW w:type="dxa" w:w="2592"/>
            <w:vAlign w:val="center"/>
          </w:tcPr>
          <w:p>
            <w:r/>
            <w:r>
              <w:rPr>
                <w:rFonts w:ascii="Aptos" w:hAnsi="Aptos"/>
                <w:b w:val="0"/>
                <w:color w:val="0F172A"/>
                <w:sz w:val="17"/>
              </w:rPr>
              <w:t>source_sequence</w:t>
            </w:r>
          </w:p>
        </w:tc>
        <w:tc>
          <w:tcPr>
            <w:tcW w:type="dxa" w:w="7056"/>
            <w:vAlign w:val="center"/>
          </w:tcPr>
          <w:p>
            <w:r/>
            <w:r>
              <w:rPr>
                <w:rFonts w:ascii="Aptos" w:hAnsi="Aptos"/>
                <w:b w:val="0"/>
                <w:color w:val="0F172A"/>
                <w:sz w:val="17"/>
              </w:rPr>
              <w:t>Agent ordering/replay control when applicable.</w:t>
            </w:r>
          </w:p>
        </w:tc>
      </w:tr>
    </w:tbl>
    <w:p/>
    <w:p>
      <w:pPr>
        <w:pStyle w:val="Heading1"/>
        <w:spacing w:before="160" w:after="100"/>
      </w:pPr>
      <w:r>
        <w:t>Appendix B - Recommended Status Ordering</w:t>
      </w:r>
    </w:p>
    <w:p>
      <w:pPr>
        <w:spacing w:after="100" w:line="252" w:lineRule="auto"/>
      </w:pPr>
      <w:r>
        <w:t>Default sort order: CRITICAL → WARNING → DEGRADED → UNKNOWN → HEALTHY → DISABLED. Within the same severity, longer-open incidents appear before newer incidents unless an explicit priority override is configured.</w:t>
      </w:r>
    </w:p>
    <w:p>
      <w:pPr>
        <w:pStyle w:val="Heading1"/>
        <w:spacing w:before="160" w:after="100"/>
      </w:pPr>
      <w:r>
        <w:t>Appendix C - Official UniFi API References</w:t>
      </w:r>
    </w:p>
    <w:p>
      <w:pPr>
        <w:spacing w:after="100" w:line="252" w:lineRule="auto"/>
      </w:pPr>
      <w:r>
        <w:t>The implementation should validate endpoint availability against the locally installed UniFi version during development. Current official documentation referenced for this architecture:</w:t>
      </w:r>
    </w:p>
    <w:p>
      <w:pPr>
        <w:pStyle w:val="ListBullet"/>
      </w:pPr>
      <w:r>
        <w:rPr>
          <w:b/>
        </w:rPr>
        <w:t xml:space="preserve">Getting Started with the Official UniFi API: </w:t>
      </w:r>
      <w:r>
        <w:t>https://help.ui.com/hc/en-us/articles/30076656117655-Getting-Started-with-the-Official-UniFi-API</w:t>
      </w:r>
    </w:p>
    <w:p>
      <w:pPr>
        <w:pStyle w:val="ListBullet"/>
      </w:pPr>
      <w:r>
        <w:rPr>
          <w:b/>
        </w:rPr>
        <w:t xml:space="preserve">UniFi Network API - Introduction / local application APIs: </w:t>
      </w:r>
      <w:r>
        <w:t>https://developer.ui.com/network/</w:t>
      </w:r>
    </w:p>
    <w:p>
      <w:pPr>
        <w:pStyle w:val="ListBullet"/>
      </w:pPr>
      <w:r>
        <w:rPr>
          <w:b/>
        </w:rPr>
        <w:t xml:space="preserve">Network API - List Local Sites: </w:t>
      </w:r>
      <w:r>
        <w:t>https://developer.ui.com/network/v10.4.57/getsiteoverviewpage</w:t>
      </w:r>
    </w:p>
    <w:p>
      <w:pPr>
        <w:pStyle w:val="ListBullet"/>
      </w:pPr>
      <w:r>
        <w:rPr>
          <w:b/>
        </w:rPr>
        <w:t xml:space="preserve">Network API - List Networks: </w:t>
      </w:r>
      <w:r>
        <w:t>https://developer.ui.com/network/v10.0.162/getnetworksoverviewpage</w:t>
      </w:r>
    </w:p>
    <w:p>
      <w:pPr>
        <w:pStyle w:val="ListBullet"/>
      </w:pPr>
      <w:r>
        <w:rPr>
          <w:b/>
        </w:rPr>
        <w:t xml:space="preserve">Network API - List Site-To-Site VPN Tunnels: </w:t>
      </w:r>
      <w:r>
        <w:t>https://developer.ui.com/network/v10.3.58/getsitetositevpntunnelpage</w:t>
      </w:r>
    </w:p>
    <w:p>
      <w:pPr>
        <w:pStyle w:val="ListBullet"/>
      </w:pPr>
      <w:r>
        <w:rPr>
          <w:b/>
        </w:rPr>
        <w:t xml:space="preserve">Site Manager API - Getting Started: </w:t>
      </w:r>
      <w:r>
        <w:t>https://developer.ui.com/site-manager/v1.0.0/gettingstarted</w:t>
      </w:r>
    </w:p>
    <w:p>
      <w:pPr>
        <w:pStyle w:val="ListBullet"/>
      </w:pPr>
      <w:r>
        <w:rPr>
          <w:b/>
        </w:rPr>
        <w:t xml:space="preserve">Site Manager API - Get ISP Metrics: </w:t>
      </w:r>
      <w:r>
        <w:t>https://developer.ui.com/site-manager/v1.0.0/getispmetrics</w:t>
      </w:r>
    </w:p>
    <w:p>
      <w:pPr>
        <w:pStyle w:val="ListBullet"/>
      </w:pPr>
      <w:r>
        <w:rPr>
          <w:b/>
        </w:rPr>
        <w:t xml:space="preserve">UniFi Local Management: </w:t>
      </w:r>
      <w:r>
        <w:t>https://help.ui.com/hc/en-us/articles/28457353760919-UniFi-Local-Management</w:t>
      </w:r>
    </w:p>
    <w:p>
      <w:pPr>
        <w:pStyle w:val="ListBullet"/>
      </w:pPr>
      <w:r>
        <w:rPr>
          <w:b/>
        </w:rPr>
        <w:t xml:space="preserve">SNMP Monitoring in UniFi Network: </w:t>
      </w:r>
      <w:r>
        <w:t>https://help.ui.com/hc/en-us/articles/33502980942615-SNMP-Monitoring-in-UniFi-Network</w:t>
      </w:r>
    </w:p>
    <w:p>
      <w:pPr>
        <w:pStyle w:val="Heading1"/>
        <w:spacing w:before="160" w:after="100"/>
      </w:pPr>
      <w:r>
        <w:t>Appendix D - Diagram Inventory</w:t>
      </w:r>
    </w:p>
    <w:p>
      <w:pPr>
        <w:spacing w:after="100" w:line="252" w:lineRule="auto"/>
      </w:pPr>
      <w:r>
        <w:t>D01 - System context: D01_system_context.png</w:t>
      </w:r>
    </w:p>
    <w:p>
      <w:pPr>
        <w:spacing w:after="100" w:line="252" w:lineRule="auto"/>
      </w:pPr>
      <w:r>
        <w:t>D02 - AWS and site deployment topology: D02_deployment_topology.png</w:t>
      </w:r>
    </w:p>
    <w:p>
      <w:pPr>
        <w:spacing w:after="100" w:line="252" w:lineRule="auto"/>
      </w:pPr>
      <w:r>
        <w:t>D03 - Server component architecture: D03_server_components.png</w:t>
      </w:r>
    </w:p>
    <w:p>
      <w:pPr>
        <w:spacing w:after="100" w:line="252" w:lineRule="auto"/>
      </w:pPr>
      <w:r>
        <w:t>D04 - Agent component architecture: D04_agent_components.png</w:t>
      </w:r>
    </w:p>
    <w:p>
      <w:pPr>
        <w:spacing w:after="100" w:line="252" w:lineRule="auto"/>
      </w:pPr>
      <w:r>
        <w:t>D05 - Security trust boundaries: D11_security_boundaries.png</w:t>
      </w:r>
    </w:p>
    <w:p>
      <w:pPr>
        <w:spacing w:after="100" w:line="252" w:lineRule="auto"/>
      </w:pPr>
      <w:r>
        <w:t>D06 - VPN health evaluation: D10_vpn_health.png</w:t>
      </w:r>
    </w:p>
    <w:p>
      <w:pPr>
        <w:spacing w:after="100" w:line="252" w:lineRule="auto"/>
      </w:pPr>
      <w:r>
        <w:t>D07 - Health hierarchy: D12_health_hierarchy.png</w:t>
      </w:r>
    </w:p>
    <w:p>
      <w:pPr>
        <w:spacing w:after="100" w:line="252" w:lineRule="auto"/>
      </w:pPr>
      <w:r>
        <w:t>D08 - Data retention pipeline: D13_retention.png</w:t>
      </w:r>
    </w:p>
    <w:p>
      <w:pPr>
        <w:spacing w:after="100" w:line="252" w:lineRule="auto"/>
      </w:pPr>
      <w:r>
        <w:t>D09 - Agent update flow: D14_agent_update.png</w:t>
      </w:r>
    </w:p>
    <w:p>
      <w:pPr>
        <w:spacing w:after="100" w:line="252" w:lineRule="auto"/>
      </w:pPr>
      <w:r>
        <w:t>D10 - UI navigation map: D15_ui_navigation.png</w:t>
      </w:r>
    </w:p>
    <w:p>
      <w:pPr>
        <w:spacing w:after="100" w:line="252" w:lineRule="auto"/>
      </w:pPr>
      <w:r>
        <w:t>D11 - Outage interpretation decision tree: D16_outage_decision.png</w:t>
      </w:r>
    </w:p>
    <w:p>
      <w:pPr>
        <w:spacing w:after="100" w:line="252" w:lineRule="auto"/>
      </w:pPr>
      <w:r>
        <w:t>D12 - Incident lifecycle: D09_incident_lifecycle.png</w:t>
      </w:r>
    </w:p>
    <w:p>
      <w:pPr>
        <w:spacing w:after="100" w:line="252" w:lineRule="auto"/>
      </w:pPr>
      <w:r>
        <w:t>D13 - Core data model: D08_data_model.png</w:t>
      </w:r>
    </w:p>
    <w:p>
      <w:pPr>
        <w:spacing w:after="100" w:line="252" w:lineRule="auto"/>
      </w:pPr>
      <w:r>
        <w:t>D14 - Enrollment flow: D05_enrollment_sequence.png</w:t>
      </w:r>
    </w:p>
    <w:p>
      <w:pPr>
        <w:spacing w:after="100" w:line="252" w:lineRule="auto"/>
      </w:pPr>
      <w:r>
        <w:t>D15 - Heartbeat and health flow: D06_health_sequence.png</w:t>
      </w:r>
    </w:p>
    <w:p>
      <w:pPr>
        <w:spacing w:after="100" w:line="252" w:lineRule="auto"/>
      </w:pPr>
      <w:r>
        <w:t>D16 - Discovery and approval flow: D07_discovery_sequence.png</w:t>
      </w:r>
    </w:p>
    <w:p>
      <w:pPr>
        <w:spacing w:after="100" w:line="252" w:lineRule="auto"/>
      </w:pPr>
      <w:r>
        <w:t>D17 - Offline buffering and recovery: D17_offline_recovery.png</w:t>
      </w:r>
    </w:p>
    <w:p>
      <w:pPr>
        <w:spacing w:after="100" w:line="252" w:lineRule="auto"/>
      </w:pPr>
      <w:r>
        <w:t>D18 - Configuration snapshot flow: D18_config_snapshot.png</w:t>
      </w:r>
    </w:p>
    <w:p>
      <w:pPr>
        <w:pStyle w:val="Heading1"/>
        <w:spacing w:before="160" w:after="100"/>
      </w:pPr>
      <w:r>
        <w:t>Appendix E - Storyboard Inventory</w:t>
      </w:r>
    </w:p>
    <w:p>
      <w:pPr>
        <w:spacing w:after="100" w:line="252" w:lineRule="auto"/>
      </w:pPr>
      <w:r>
        <w:t>S01 - Login: S01_login.png</w:t>
      </w:r>
    </w:p>
    <w:p>
      <w:pPr>
        <w:spacing w:after="100" w:line="252" w:lineRule="auto"/>
      </w:pPr>
      <w:r>
        <w:t>S02 - Administrative overview: S02_admin_overview.png</w:t>
      </w:r>
    </w:p>
    <w:p>
      <w:pPr>
        <w:spacing w:after="100" w:line="252" w:lineRule="auto"/>
      </w:pPr>
      <w:r>
        <w:t>S03 - NOC global health: S03_noc_global.png</w:t>
      </w:r>
    </w:p>
    <w:p>
      <w:pPr>
        <w:spacing w:after="100" w:line="252" w:lineRule="auto"/>
      </w:pPr>
      <w:r>
        <w:t>S04 - NOC health matrix: S04_noc_health_matrix.png</w:t>
      </w:r>
    </w:p>
    <w:p>
      <w:pPr>
        <w:spacing w:after="100" w:line="252" w:lineRule="auto"/>
      </w:pPr>
      <w:r>
        <w:t>S05 - NOC VPN health: S05_noc_vpn.png</w:t>
      </w:r>
    </w:p>
    <w:p>
      <w:pPr>
        <w:spacing w:after="100" w:line="252" w:lineRule="auto"/>
      </w:pPr>
      <w:r>
        <w:t>S06 - NOC active incidents: S06_noc_incidents.png</w:t>
      </w:r>
    </w:p>
    <w:p>
      <w:pPr>
        <w:spacing w:after="100" w:line="252" w:lineRule="auto"/>
      </w:pPr>
      <w:r>
        <w:t>S07 - Sites list: S07_sites_list.png</w:t>
      </w:r>
    </w:p>
    <w:p>
      <w:pPr>
        <w:spacing w:after="100" w:line="252" w:lineRule="auto"/>
      </w:pPr>
      <w:r>
        <w:t>S08 - Site overview: S08_site_overview.png</w:t>
      </w:r>
    </w:p>
    <w:p>
      <w:pPr>
        <w:spacing w:after="100" w:line="252" w:lineRule="auto"/>
      </w:pPr>
      <w:r>
        <w:t>S09 - Site network summary: S09_network_summary.png</w:t>
      </w:r>
    </w:p>
    <w:p>
      <w:pPr>
        <w:spacing w:after="100" w:line="252" w:lineRule="auto"/>
      </w:pPr>
      <w:r>
        <w:t>S10 - Site WAN: S10_site_wan.png</w:t>
      </w:r>
    </w:p>
    <w:p>
      <w:pPr>
        <w:spacing w:after="100" w:line="252" w:lineRule="auto"/>
      </w:pPr>
      <w:r>
        <w:t>S11 - Site VPN detail: S11_site_vpn.png</w:t>
      </w:r>
    </w:p>
    <w:p>
      <w:pPr>
        <w:spacing w:after="100" w:line="252" w:lineRule="auto"/>
      </w:pPr>
      <w:r>
        <w:t>S12 - Devices inventory: S12_devices.png</w:t>
      </w:r>
    </w:p>
    <w:p>
      <w:pPr>
        <w:spacing w:after="100" w:line="252" w:lineRule="auto"/>
      </w:pPr>
      <w:r>
        <w:t>S13 - Protect summary: S13_protect.png</w:t>
      </w:r>
    </w:p>
    <w:p>
      <w:pPr>
        <w:spacing w:after="100" w:line="252" w:lineRule="auto"/>
      </w:pPr>
      <w:r>
        <w:t>S14 - Incident detail: S14_incident_detail.png</w:t>
      </w:r>
    </w:p>
    <w:p>
      <w:pPr>
        <w:spacing w:after="100" w:line="252" w:lineRule="auto"/>
      </w:pPr>
      <w:r>
        <w:t>S15 - Events and logs: S15_events.png</w:t>
      </w:r>
    </w:p>
    <w:p>
      <w:pPr>
        <w:spacing w:after="100" w:line="252" w:lineRule="auto"/>
      </w:pPr>
      <w:r>
        <w:t>S16 - Audit log: S16_audit.png</w:t>
      </w:r>
    </w:p>
    <w:p>
      <w:pPr>
        <w:spacing w:after="100" w:line="252" w:lineRule="auto"/>
      </w:pPr>
      <w:r>
        <w:t>S17 - Enrollment and API keys: S17_enrollment_keys.png</w:t>
      </w:r>
    </w:p>
    <w:p>
      <w:pPr>
        <w:spacing w:after="100" w:line="252" w:lineRule="auto"/>
      </w:pPr>
      <w:r>
        <w:t>S18 - Agents and approval: S18_agents_approval.png</w:t>
      </w:r>
    </w:p>
    <w:p>
      <w:pPr>
        <w:spacing w:after="100" w:line="252" w:lineRule="auto"/>
      </w:pPr>
      <w:r>
        <w:t>S19 - Monitoring profiles: S19_monitor_profiles.png</w:t>
      </w:r>
    </w:p>
    <w:p>
      <w:pPr>
        <w:spacing w:after="100" w:line="252" w:lineRule="auto"/>
      </w:pPr>
      <w:r>
        <w:t>S20 - NOC display settings: S20_noc_settings.png</w:t>
      </w:r>
    </w:p>
    <w:p>
      <w:pPr>
        <w:spacing w:after="100" w:line="252" w:lineRule="auto"/>
      </w:pPr>
      <w:r>
        <w:t>S21 - Users and RBAC: S21_rbac.png</w:t>
      </w:r>
    </w:p>
    <w:p>
      <w:pPr>
        <w:spacing w:after="100" w:line="252" w:lineRule="auto"/>
      </w:pPr>
      <w:r>
        <w:t>S22 - Settings / dark mode: S22_settings_dark.png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Master ConcessionAir  •  Internal Project Specification  •  August 12,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ARGUS  |  Architecture &amp; Functional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