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tbl>
      <w:tblPr>
        <w:tblStyle w:val="Table1"/>
        <w:tblW w:w="11188" w:type="dxa"/>
        <w:jc w:val="left"/>
        <w:tblInd w:w="-96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73"/>
        <w:gridCol w:w="2776"/>
        <w:gridCol w:w="2773"/>
        <w:gridCol w:w="2865"/>
      </w:tblGrid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Espacio Pedagógico:</w:t>
            </w:r>
            <w:r>
              <w:rPr>
                <w:rFonts w:eastAsia="Calibri" w:cs="Calibri"/>
                <w:color w:val="000000"/>
              </w:rPr>
              <w:t xml:space="preserve"> BASES DE DATOS I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Código: 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Unidad Académica Responsable:</w:t>
            </w:r>
            <w:r>
              <w:rPr>
                <w:rFonts w:eastAsia="Calibri" w:cs="Calibri"/>
                <w:color w:val="000000"/>
              </w:rPr>
              <w:t xml:space="preserve"> Vicerectoría Académica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Carrera según grado:</w:t>
            </w:r>
            <w:r>
              <w:rPr>
                <w:rFonts w:eastAsia="Calibri" w:cs="Calibri"/>
                <w:color w:val="000000"/>
              </w:rPr>
              <w:t xml:space="preserve"> Profesor de informática Con orientación en Robótica o Diseño Gráfico en el grado de Licenciatura.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Requisitos (código, nombre y unidades valorativas):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Estructuras de Datos y Algoritmos.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Distribución de la actividad académica del espacio pedagógico: </w:t>
            </w:r>
          </w:p>
        </w:tc>
      </w:tr>
      <w:tr>
        <w:trPr>
          <w:trHeight w:val="300" w:hRule="atLeast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Total de unidades valorativas:</w:t>
            </w:r>
            <w:r>
              <w:rPr>
                <w:rFonts w:eastAsia="Calibri" w:cs="Calibri"/>
                <w:color w:val="000000"/>
              </w:rPr>
              <w:t xml:space="preserve"> 5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Teóricas:</w:t>
            </w:r>
            <w:r>
              <w:rPr>
                <w:rFonts w:eastAsia="Calibri" w:cs="Calibri"/>
                <w:color w:val="000000"/>
              </w:rPr>
              <w:t xml:space="preserve"> 3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Práctica:</w:t>
            </w:r>
            <w:r>
              <w:rPr>
                <w:rFonts w:eastAsia="Calibri" w:cs="Calibri"/>
                <w:color w:val="000000"/>
              </w:rPr>
              <w:t xml:space="preserve">  2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Número de semanas:</w:t>
            </w:r>
            <w:r>
              <w:rPr>
                <w:rFonts w:eastAsia="Calibri" w:cs="Calibri"/>
                <w:color w:val="000000"/>
              </w:rPr>
              <w:t xml:space="preserve"> 13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Horas por semana Teóricas: </w:t>
            </w:r>
            <w:r>
              <w:rPr>
                <w:rFonts w:eastAsia="Calibri" w:cs="Calibri"/>
                <w:color w:val="000000"/>
              </w:rPr>
              <w:t>45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Horas por semana Prácticas:</w:t>
            </w:r>
            <w:r>
              <w:rPr>
                <w:rFonts w:eastAsia="Calibri" w:cs="Calibri"/>
                <w:color w:val="000000"/>
              </w:rPr>
              <w:t xml:space="preserve"> 30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Horas de clase frente al profesor en el período académico y durante la </w:t>
            </w:r>
            <w:r>
              <w:rPr>
                <w:rFonts w:eastAsia="Calibri" w:cs="Calibri"/>
                <w:b/>
                <w:color w:val="000000"/>
              </w:rPr>
              <w:t>semana: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H.T.: 45/3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H.P.: 30/3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Horas de Trabajo Independiente en el período académico y durante la </w:t>
            </w:r>
            <w:r>
              <w:rPr>
                <w:rFonts w:eastAsia="Calibri" w:cs="Calibri"/>
                <w:b/>
                <w:color w:val="000000"/>
              </w:rPr>
              <w:t>semana:</w:t>
            </w:r>
            <w:r>
              <w:rPr>
                <w:rFonts w:eastAsia="Calibri" w:cs="Calibri"/>
                <w:color w:val="000000"/>
              </w:rPr>
              <w:t xml:space="preserve"> 90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Modalidad en la que se presenta el proceso de aprendizaje: 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4620" cy="128270"/>
                      <wp:effectExtent l="0" t="0" r="0" b="0"/>
                      <wp:wrapNone/>
                      <wp:docPr id="1" name="Imagen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" cy="12780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1" stroked="t" style="position:absolute;margin-left:383.05pt;margin-top:1pt;width:10.5pt;height:10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b/>
                <w:color w:val="000000"/>
              </w:rPr>
              <w:t>Presencial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635</wp:posOffset>
                      </wp:positionV>
                      <wp:extent cx="140970" cy="134620"/>
                      <wp:effectExtent l="0" t="0" r="0" b="0"/>
                      <wp:wrapNone/>
                      <wp:docPr id="3" name="Imagen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00" cy="133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9080">
                                <a:solidFill>
                                  <a:schemeClr val="lt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2" fillcolor="black" stroked="t" style="position:absolute;margin-left:382.05pt;margin-top:0.05pt;width:11pt;height:10.5pt">
                      <w10:wrap type="none"/>
                      <v:fill o:detectmouseclick="t" type="solid" color2="white"/>
                      <v:stroke color="white" weight="1908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 xml:space="preserve">Herramienta de apoyo a la presencialidad (plataforma) 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635</wp:posOffset>
                      </wp:positionV>
                      <wp:extent cx="134620" cy="128270"/>
                      <wp:effectExtent l="0" t="0" r="0" b="0"/>
                      <wp:wrapNone/>
                      <wp:docPr id="5" name="Imagen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" cy="12780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3" stroked="t" style="position:absolute;margin-left:383.05pt;margin-top:0.05pt;width:10.5pt;height:10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b/>
                <w:color w:val="000000"/>
              </w:rPr>
              <w:t>Distancia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4620" cy="128270"/>
                      <wp:effectExtent l="0" t="0" r="0" b="0"/>
                      <wp:wrapNone/>
                      <wp:docPr id="7" name="Imagen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" cy="12780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4" stroked="t" style="position:absolute;margin-left:383.05pt;margin-top:1pt;width:10.5pt;height:10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Semipresencial (e-Learning)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635</wp:posOffset>
                      </wp:positionV>
                      <wp:extent cx="140970" cy="134620"/>
                      <wp:effectExtent l="0" t="0" r="0" b="0"/>
                      <wp:wrapNone/>
                      <wp:docPr id="9" name="Imagen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00" cy="133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9080">
                                <a:solidFill>
                                  <a:schemeClr val="lt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5" fillcolor="black" stroked="t" style="position:absolute;margin-left:382.05pt;margin-top:0.05pt;width:11pt;height:10.5pt">
                      <w10:wrap type="none"/>
                      <v:fill o:detectmouseclick="t" type="solid" color2="white"/>
                      <v:stroke color="white" weight="1908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Semipresencial con mediación virtual (b-Learning)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4620" cy="128270"/>
                      <wp:effectExtent l="0" t="0" r="0" b="0"/>
                      <wp:wrapNone/>
                      <wp:docPr id="11" name="Imagen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" cy="12780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6" stroked="t" style="position:absolute;margin-left:383.05pt;margin-top:1pt;width:10.5pt;height:10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Virtual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Descripción del espacio pedagógico (Naturaleza y propósito):</w:t>
            </w:r>
          </w:p>
          <w:p>
            <w:pPr>
              <w:pStyle w:val="LO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Este espacio de formación es el primero de dos cursos de  base de datos, dónde se proporciona al estudiante los fundamentos teóricos-prácticos sobre los cuales se sustenta  diseño, implementación y manejo de bases de datos en la actualidad y en específico en los entornos organizacionales.</w:t>
            </w:r>
          </w:p>
          <w:p>
            <w:pPr>
              <w:pStyle w:val="LO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La temática abarca desde la conceptualización fundamental, estudio de diversos modelos, diseño de soluciones, la construcción y la manipulación a través del lenguaje de consulta universal SQL (nativo). Requiriendo como conocimiento previos del estudiante, conceptos básicos de estructuras de datos y programación.  </w:t>
            </w:r>
          </w:p>
          <w:p>
            <w:pPr>
              <w:pStyle w:val="LOnormal"/>
              <w:spacing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 lo largo de este espacio se le brindará al estudiante la formación técnica necesaria, pero siempre enfocada al estudio y aplicación de casos y/o proyectos del ámbito actual.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Capacidades previas (conocimientos, habilidades, destrezas, valores adquiridos por los estudiantes):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Considera las acciones propias y de los demás para garantizar que la aplicación se integre correctamente en un entorno complejo y cumpla con las necesidades del usuario / cliente.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Conoce los fundamentos informáticos de la programación.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Analiza, diseña, y construye algoritmos para dar solución a problemas cotidianos que se le presenten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Plantea distintas soluciones a un problema.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Conoce los tipos de datos más utilizados en programación y las operaciones fundamentales sobre los mismos.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Aplica los mecanismos de abstracción y su importancia para solucionar problemas.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Maneja los fundamentos de la estructura de datos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 y aplica de forma eficiente los diferentes tipos y estructuras de datos más adecuados para dar resolución a un problema.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Capacidad para analizar, diseñar, construir y mantener aplicaciones de forma seguras y eficientes, eligiendo el paradigma de programación adecuado.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Diseña, desarrolla y evalúa aplicaciones y sistemas informáticos de forma eficiente.</w:t>
            </w:r>
          </w:p>
          <w:p>
            <w:pPr>
              <w:pStyle w:val="LOnormal"/>
              <w:numPr>
                <w:ilvl w:val="0"/>
                <w:numId w:val="7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Propone, analiza y soluciona adecuadamente problemas informáticos.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Competencias genéricas:</w:t>
            </w:r>
          </w:p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Análisis y síntesis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para plantear y resolver Problemas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comunicarse de forma oral y escrita en su lengua materna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conocer una lengua extranjera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trabajar en equipo: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demostrar compromiso ético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promover en los alumnos el desarrollo del aprendizaje autónomo, crítico y creativo a lo largo de toda la vida.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Competencias específicas: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Domina los conceptos fundamentales asociados a la temática de Bases de datos</w:t>
            </w:r>
            <w:r>
              <w:rPr>
                <w:rFonts w:eastAsia="Calibri" w:cs="Calibri"/>
              </w:rPr>
              <w:t>.</w:t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Diseña y desarrolla soluciones de acuerdo a las necesidades del cliente.</w:t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Cumple con normas y procedimientos apropiadas de control para mantener la integridad de la funcionalidad de las bases de datos como parte fundamental de un sistema total y su fiabilidad.</w:t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Actúa de manera creativa para desarrollar aplicaciones y seleccionar opciones técnicas apropiadas.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Subcompetencias: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Identifica un marco de referencia común para validar los modelos con usuarios, en función de los modelos existentes.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Desarrolla modelos de la estructura del sistema a, través de lenguajes de modelado, según los resultados del análisis de requerimientos de las necesidades del usuario/cliente.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Diseña, implementa o monitorea y mantiene bases de datos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Selecciona la herramienta, entre las diversas opciones, la más apropiada para hacer la construcción; optimizando el equilibrio entre diversos aspectos: capacidad técnica, costo, calidad, entre otros.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Crea una estructura de información para permitir la explotación y la optimización de la información</w:t>
            </w:r>
            <w:r>
              <w:rPr>
                <w:rFonts w:eastAsia="Calibri" w:cs="Calibri"/>
              </w:rPr>
              <w:t>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Propone mejoras a modelos de datos existentes.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</w:rPr>
              <w:t>Integra conceptos de lógica, programación y modelamiento en la solución de problemas que requieran manejo de datos.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Áreas temáticas (unidades de aprendizaje o bloques):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 UNIDAD I: CONCEPTUALIZANDO LAS BASES DE DATOS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1.1. Conceptos generales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1.2. Evolución histórica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1.3. Características de las bases de datos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1.4. Sistemas de gestión de bases de datos (SGBD)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1.4.1. Tareas de los SGBD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1.4.2. Arquitectura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1.4.3. Ventajas y desventajas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1.4.4. Lenguajes integrados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1.4.5. Componentes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1.4.6. Usuarios</w:t>
            </w:r>
            <w:r>
              <w:rPr>
                <w:rFonts w:eastAsia="Calibri" w:cs="Calibri"/>
              </w:rPr>
              <w:t xml:space="preserve"> 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1.4.7. SGBD Actuales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1.5. El análisis de requerimientos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 UNIDAD II: MODELADO DE DATOS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2.1. Definición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2.2. Niveles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2.3. Modelo entidad relación (E-R)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2.3.1. Elementos de diagramación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2.3.2. Definición de restricciones E-R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2.4 Modelo relacional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2.4.1. Descripción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2.4.2. Elementos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2.4.3. Restricciones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2.4.4. Operaciones fundamentales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2.4.5. Algebra relacional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2.5. Transformación de E-R a relacional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 UNIDAD III: NORMALIZACIÓN DE BASES DE DATOS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3.1. Definición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3.2. Anomalías de la no normalización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3.3. Dependencias funcionales y claves primarias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3.4. Proceso de normalización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3.4.1. Relación universal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3.4.2. Primera forma normal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3.4.3. Segunda forma normal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3.4.4. Tercera forma normal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3.4.5. Forma normal Boyce-Codd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3.4.6. Cuarta y quinta forma normal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3.5. Reglas de una base de datos normalizada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3.6. Normalización vrs. E-R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 UNIDAD IV: EL ESTÁNDAR DE MANEJO DE DATOS - SQL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4.1. Introducción a SQL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4.2. Lenguaje de Definición de Datos (DDL)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</w:t>
            </w:r>
            <w:r>
              <w:rPr>
                <w:rFonts w:eastAsia="Calibri" w:cs="Calibri"/>
              </w:rPr>
              <w:t>4.2.1. Creación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</w:t>
            </w:r>
            <w:r>
              <w:rPr>
                <w:rFonts w:eastAsia="Calibri" w:cs="Calibri"/>
              </w:rPr>
              <w:t>4.2.2. Modificación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</w:t>
            </w:r>
            <w:r>
              <w:rPr>
                <w:rFonts w:eastAsia="Calibri" w:cs="Calibri"/>
              </w:rPr>
              <w:t>4.2.3. Borrado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 Lenguaje de Manipulación de Datos (DML)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4.3.1. Selección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4.3.2. Inserción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4.3.3. Eliminación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4.3.4. Actualización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4.3.5. Consultas de unión internas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4.3.6. Consultas de unión externas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4.3.7. Sub consultas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4.3.8. Vistas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4.4. SGBD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4.4.1. Criterios de selección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4.4.2. Estructura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4.4.3. Herramientas integradas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</w:t>
            </w:r>
            <w:r>
              <w:rPr>
                <w:rFonts w:eastAsia="Calibri" w:cs="Calibri"/>
              </w:rPr>
              <w:t>4.4.4. Línea de comandos e Interfaz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Estrategias metodológicas de aprendizaje-enseñanza:</w:t>
            </w:r>
          </w:p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LOnormal"/>
              <w:numPr>
                <w:ilvl w:val="0"/>
                <w:numId w:val="10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Presencial</w:t>
            </w:r>
            <w:r>
              <w:rPr>
                <w:rFonts w:eastAsia="Calibri" w:cs="Calibri"/>
                <w:color w:val="000000"/>
              </w:rPr>
              <w:t xml:space="preserve">: Este espacio será desarrollado de manera participativa y reflexiva de acuerdo a los resultados del aprendizaje esperados, haciendo uso entre otras de las estrategias metodológicas siguiente: clases magistrales, </w:t>
            </w:r>
            <w:r>
              <w:rPr>
                <w:rFonts w:eastAsia="Calibri" w:cs="Calibri"/>
                <w:color w:val="000000"/>
              </w:rPr>
              <w:t>laboratorios y desarrollo de proyectos</w:t>
            </w:r>
            <w:r>
              <w:rPr>
                <w:rFonts w:eastAsia="Calibri" w:cs="Calibri"/>
                <w:color w:val="000000"/>
              </w:rPr>
              <w:t>. Como complemente a la formación se realizan uso de recursos textuales (instructivos, guías, u otros), audio y video; además de las herramientas que las Tecnologías de la Información y Comunicación (TIC) permitan.</w:t>
            </w:r>
          </w:p>
          <w:p>
            <w:pPr>
              <w:pStyle w:val="LOnormal"/>
              <w:spacing w:lineRule="auto" w:line="240" w:before="0" w:after="0"/>
              <w:ind w:left="360" w:hanging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LOnormal"/>
              <w:numPr>
                <w:ilvl w:val="0"/>
                <w:numId w:val="10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Distancia</w:t>
            </w:r>
            <w:r>
              <w:rPr>
                <w:rFonts w:eastAsia="Calibri" w:cs="Calibri"/>
                <w:color w:val="000000"/>
              </w:rPr>
              <w:t>: Se parte del aprendizaje autónomo, donde se utilizarán diversas estrategias de aprendizaje asignadas en la guía didáctica que se elabora por periodo académico y que los estudiantes desarrollan individualmente para cada una de los encuentros de acompañamiento tutorial de acuerdo a los resultados del aprendizaje esperados, haciendo uso entre otras de las estrategias metodológicas siguientes: seminarios, aprendizaje basado en problemas o proyectos, estudio de casos, elaboración de proyectos e informes, análisis de casos, análisis y crítica de textos, uso de software afín a la temática, informes de externos, clases magistrales tras trabajos prácticos y viceversa,  trabajo en grupos colaborativos, exposiciones magistrales dialogadas. La asistencia académica individual o grupal de forma sincrónica y asincrónica que considera tanto herramientas, físicas o tecnológicas; como cognitivas se realiza por parte del Docente-Tutor a través de las diferentes Tecnologías de la Información y Comunicación (TIC), como mediación pedagógica que la UPNFM establezca.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Resultados de aprendizaje: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Comprende el papel de las bases de datos como medio de organización de información a nivel personal, pero sobre todo en las organizaciones.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Diseña, a través de modelos existentes, bases de datos que respondan a las necesidades del usuario.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Asegura que los requerimientos funcionales y los controles estén incorporados en el diseño.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Lleva a cabo la construcción de los diseños de bases de datos a un entorno específico (DBMS)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Domina las sentencias SQL asociadas a la definición y manipulación de la información que se tiene almacenada en bases de datos.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Estrategias de evaluación de los aprendizajes (diagnóstica, formativa, sumativa):</w:t>
            </w:r>
          </w:p>
          <w:p>
            <w:pPr>
              <w:pStyle w:val="LOnormal"/>
              <w:numPr>
                <w:ilvl w:val="0"/>
                <w:numId w:val="8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Presencial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Evaluación Diagnóstica: Se aplicará cuando el docente considere debe hacer una vinculación sobre los saberes previos y los nuevos aprendizajes de la unidad a la cual abordará, con el objetivo de detectar fortalezas y debilidades en los estudiantes y tomar las acciones pertinentes sea el caso presentado.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Evaluación Formativa: el docente debe monitorizar el aprendizaje del estudiante para proporcionar retroalimentación continua enfocada tanto en los saberes temáticos como en las destrezas y dominios que permitan al estudiantes mejorar su aprendizaje.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Evaluación Sumativa: ésta tiene la función de asegurar que las características de los estudiantes respondan a los resultados de aprendizaje esperados, por lo que cada docente debe establecer mecanismos fiables de la medición de los conocimientos y habilidades a evaluar.</w:t>
            </w:r>
          </w:p>
          <w:p>
            <w:pPr>
              <w:pStyle w:val="LOnormal"/>
              <w:numPr>
                <w:ilvl w:val="0"/>
                <w:numId w:val="8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Distancia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highlight w:val="green"/>
              </w:rPr>
            </w:pPr>
            <w:r>
              <w:rPr>
                <w:rFonts w:eastAsia="Calibri" w:cs="Calibri"/>
              </w:rPr>
              <w:t>Las evaluaciones Diagnósticas, Formativa y Sumativa (antes descritas) son aplicables a la modalidad a Distancia; destacando que es fundamental el aprovechamiento de las TIC (plataformas, redes sociales, mensajería, entre otros) que permita una comunicación eficiente y oportuna con los estudiantes.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Referencias bibliográficas sugeridas:</w:t>
            </w:r>
          </w:p>
          <w:p>
            <w:pPr>
              <w:pStyle w:val="LOnormal"/>
              <w:numPr>
                <w:ilvl w:val="0"/>
                <w:numId w:val="9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Básicas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Elmasri y Navathe (2007): Fundamentos de sistemas de bases de datos, 5ta edición, ISBN 9788478290857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López, Ricardo (2010): Fundamentos de Bases de datos, PREUFOD.</w:t>
            </w:r>
          </w:p>
          <w:p>
            <w:pPr>
              <w:pStyle w:val="LOnormal"/>
              <w:numPr>
                <w:ilvl w:val="0"/>
                <w:numId w:val="9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Complementarias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Silberschatz A., Korth H. y Sudarshan S. (2014): Fundamentos de Bases de Datos, 6ta edición, ISBN: 9788448190330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Date, C. J. (2001): Introducción a los sistemas de Bases de datos, 7ma Edición, Prentice Hall.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Gerald V. (2006) Sistemas de Administración de Bases de Datos.3° ed. México: Mc Graw Hill.</w:t>
            </w:r>
          </w:p>
          <w:p>
            <w:pPr>
              <w:pStyle w:val="LOnormal"/>
              <w:numPr>
                <w:ilvl w:val="0"/>
                <w:numId w:val="11"/>
              </w:numPr>
              <w:spacing w:lineRule="auto" w:line="240" w:before="0" w:after="0"/>
              <w:ind w:left="36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 </w:t>
            </w:r>
            <w:r>
              <w:rPr>
                <w:rFonts w:eastAsia="Calibri" w:cs="Calibri"/>
                <w:color w:val="000000"/>
              </w:rPr>
              <w:t>ROB, P. (2006) Sistemas de Bases De Datos.5° ed. México: Thomson.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Recursos adicionales (revistas, Web, videos, películas, otros):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SQL YA, ejercicios prácticos, https://www.tutorialesprogramacionya.com/sqlserverya/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MySQL YA, ejercicios prácticos, https://www.tutorialesprogramacionya.com/mysqlya/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MySQL (http://www.mysql.com)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PostgreSQL (https://www.postgresql.org)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SQL Server (http://www.microsoft.com)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Oracle (http://www.oracle.com)</w:t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/>
      </w:r>
    </w:p>
    <w:sectPr>
      <w:type w:val="nextPage"/>
      <w:pgSz w:w="12240" w:h="15840"/>
      <w:pgMar w:left="1701" w:right="1701" w:header="0" w:top="1418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Calibri" w:cs="Calibri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H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H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0"/>
      <w:ind w:left="0" w:hanging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200" w:after="0"/>
      <w:ind w:left="0" w:hanging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00" w:after="0"/>
      <w:ind w:left="0" w:hanging="0"/>
    </w:pPr>
    <w:rPr>
      <w:rFonts w:ascii="Cambria" w:hAnsi="Cambria" w:eastAsia="Cambria" w:cs="Cambria"/>
      <w:b/>
      <w:color w:val="4F81BD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HN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Contenidodelmarco">
    <w:name w:val="Contenido del marc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5</Pages>
  <Words>1550</Words>
  <Characters>9289</Characters>
  <CharactersWithSpaces>10892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2021-05-23T20:14:10Z</dcterms:modified>
  <cp:revision>6</cp:revision>
  <dc:subject/>
  <dc:title/>
</cp:coreProperties>
</file>