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7ED" w:rsidRDefault="00923550" w:rsidP="00C40DF0">
      <w:pPr>
        <w:jc w:val="center"/>
      </w:pPr>
      <w:r>
        <w:rPr>
          <w:noProof/>
        </w:rPr>
        <w:pict>
          <v:shapetype id="_x0000_t202" coordsize="21600,21600" o:spt="202" path="m,l,21600r21600,l21600,xe">
            <v:stroke joinstyle="miter"/>
            <v:path gradientshapeok="t" o:connecttype="rect"/>
          </v:shapetype>
          <v:shape id="_x0000_s1091" type="#_x0000_t202" style="position:absolute;left:0;text-align:left;margin-left:-19.9pt;margin-top:-41pt;width:502.8pt;height:54.6pt;z-index:251661824" strokecolor="white [3212]">
            <v:textbox>
              <w:txbxContent>
                <w:p w:rsidR="0014545B" w:rsidRDefault="0014545B"/>
              </w:txbxContent>
            </v:textbox>
          </v:shape>
        </w:pict>
      </w:r>
    </w:p>
    <w:p w:rsidR="002B47ED" w:rsidRDefault="002B47ED" w:rsidP="00C40DF0">
      <w:pPr>
        <w:jc w:val="center"/>
      </w:pPr>
    </w:p>
    <w:p w:rsidR="00627838" w:rsidRDefault="00A94047" w:rsidP="00C40DF0">
      <w:pPr>
        <w:jc w:val="center"/>
      </w:pPr>
      <w:r>
        <w:rPr>
          <w:noProof/>
        </w:rPr>
        <w:drawing>
          <wp:inline distT="0" distB="0" distL="0" distR="0">
            <wp:extent cx="1706880" cy="1097280"/>
            <wp:effectExtent l="19050" t="0" r="7620" b="0"/>
            <wp:docPr id="25" name="Imag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pic:cNvPicPr>
                      <a:picLocks noChangeAspect="1" noChangeArrowheads="1"/>
                    </pic:cNvPicPr>
                  </pic:nvPicPr>
                  <pic:blipFill>
                    <a:blip r:embed="rId7"/>
                    <a:srcRect/>
                    <a:stretch>
                      <a:fillRect/>
                    </a:stretch>
                  </pic:blipFill>
                  <pic:spPr bwMode="auto">
                    <a:xfrm>
                      <a:off x="0" y="0"/>
                      <a:ext cx="1706880" cy="1097280"/>
                    </a:xfrm>
                    <a:prstGeom prst="rect">
                      <a:avLst/>
                    </a:prstGeom>
                    <a:noFill/>
                    <a:ln w="9525">
                      <a:noFill/>
                      <a:miter lim="800000"/>
                      <a:headEnd/>
                      <a:tailEnd/>
                    </a:ln>
                  </pic:spPr>
                </pic:pic>
              </a:graphicData>
            </a:graphic>
          </wp:inline>
        </w:drawing>
      </w:r>
    </w:p>
    <w:p w:rsidR="006363B6" w:rsidRDefault="006363B6" w:rsidP="00C40DF0">
      <w:pPr>
        <w:jc w:val="center"/>
      </w:pPr>
    </w:p>
    <w:p w:rsidR="006363B6" w:rsidRDefault="006363B6" w:rsidP="00C40DF0">
      <w:pPr>
        <w:jc w:val="center"/>
        <w:rPr>
          <w:rStyle w:val="Titre1Car"/>
        </w:rPr>
      </w:pPr>
    </w:p>
    <w:p w:rsidR="006363B6" w:rsidRPr="008807ED" w:rsidRDefault="006363B6" w:rsidP="00C40DF0">
      <w:pPr>
        <w:jc w:val="center"/>
        <w:rPr>
          <w:rStyle w:val="Titre1Car"/>
          <w:color w:val="0033CC"/>
        </w:rPr>
      </w:pPr>
      <w:r w:rsidRPr="008807ED">
        <w:rPr>
          <w:rStyle w:val="Titre1Car"/>
          <w:color w:val="0033CC"/>
        </w:rPr>
        <w:t>Laboratoire pharmaceutique Galaxy Swiss Bourdin</w:t>
      </w:r>
    </w:p>
    <w:p w:rsidR="006363B6" w:rsidRPr="008807ED" w:rsidRDefault="006363B6" w:rsidP="00C40DF0">
      <w:pPr>
        <w:jc w:val="center"/>
        <w:rPr>
          <w:rStyle w:val="Titre1Car"/>
          <w:color w:val="0033CC"/>
        </w:rPr>
      </w:pPr>
    </w:p>
    <w:p w:rsidR="006363B6" w:rsidRPr="008807ED" w:rsidRDefault="006363B6" w:rsidP="00C40DF0">
      <w:pPr>
        <w:jc w:val="center"/>
        <w:rPr>
          <w:color w:val="0033CC"/>
        </w:rPr>
      </w:pPr>
    </w:p>
    <w:p w:rsidR="00F71CC8" w:rsidRPr="008807ED" w:rsidRDefault="00F71CC8" w:rsidP="00C40DF0">
      <w:pPr>
        <w:jc w:val="center"/>
        <w:rPr>
          <w:rStyle w:val="Titre1Car"/>
          <w:color w:val="0033CC"/>
        </w:rPr>
      </w:pPr>
    </w:p>
    <w:p w:rsidR="00C40DF0" w:rsidRPr="008807ED" w:rsidRDefault="00F71CC8" w:rsidP="00C40DF0">
      <w:pPr>
        <w:jc w:val="center"/>
        <w:rPr>
          <w:rStyle w:val="Titre1Car"/>
          <w:color w:val="0033CC"/>
        </w:rPr>
      </w:pPr>
      <w:r w:rsidRPr="008807ED">
        <w:rPr>
          <w:rStyle w:val="Titre1Car"/>
          <w:color w:val="0033CC"/>
        </w:rPr>
        <w:t xml:space="preserve">DESCRIPTION DE L’ENTREPRISE GSB </w:t>
      </w:r>
      <w:r w:rsidRPr="008807ED">
        <w:rPr>
          <w:rStyle w:val="Titre1Car"/>
          <w:color w:val="0033CC"/>
        </w:rPr>
        <w:br/>
        <w:t>ET DE SES BESOINS INFORMATIQUES</w:t>
      </w:r>
    </w:p>
    <w:p w:rsidR="002A0D32" w:rsidRDefault="002A0D32" w:rsidP="002A0D32"/>
    <w:p w:rsidR="002A0D32" w:rsidRDefault="002A0D32" w:rsidP="006363B6">
      <w:pPr>
        <w:pStyle w:val="En-ttedetabledesmatires"/>
        <w:jc w:val="center"/>
      </w:pPr>
      <w:r>
        <w:t>Sommaire</w:t>
      </w:r>
    </w:p>
    <w:p w:rsidR="006363B6" w:rsidRPr="006363B6" w:rsidRDefault="006363B6" w:rsidP="006363B6">
      <w:pPr>
        <w:rPr>
          <w:lang w:eastAsia="en-US"/>
        </w:rPr>
      </w:pPr>
    </w:p>
    <w:p w:rsidR="006D7AD4" w:rsidRDefault="00923550">
      <w:pPr>
        <w:pStyle w:val="TM2"/>
        <w:rPr>
          <w:rStyle w:val="Lienhypertexte"/>
        </w:rPr>
      </w:pPr>
      <w:r w:rsidRPr="00923550">
        <w:fldChar w:fldCharType="begin"/>
      </w:r>
      <w:r w:rsidR="002A0D32">
        <w:instrText xml:space="preserve"> TOC \o "1-3" \h \z \u </w:instrText>
      </w:r>
      <w:r w:rsidRPr="00923550">
        <w:fldChar w:fldCharType="separate"/>
      </w:r>
      <w:hyperlink w:anchor="_Toc367946630" w:history="1">
        <w:r w:rsidR="006D7AD4" w:rsidRPr="00236D58">
          <w:rPr>
            <w:rStyle w:val="Lienhypertexte"/>
          </w:rPr>
          <w:t>Description du laboratoire GSB</w:t>
        </w:r>
        <w:r w:rsidR="006D7AD4">
          <w:rPr>
            <w:webHidden/>
          </w:rPr>
          <w:tab/>
        </w:r>
        <w:r>
          <w:rPr>
            <w:webHidden/>
          </w:rPr>
          <w:fldChar w:fldCharType="begin"/>
        </w:r>
        <w:r w:rsidR="006D7AD4">
          <w:rPr>
            <w:webHidden/>
          </w:rPr>
          <w:instrText xml:space="preserve"> PAGEREF _Toc367946630 \h </w:instrText>
        </w:r>
        <w:r>
          <w:rPr>
            <w:webHidden/>
          </w:rPr>
        </w:r>
        <w:r>
          <w:rPr>
            <w:webHidden/>
          </w:rPr>
          <w:fldChar w:fldCharType="separate"/>
        </w:r>
        <w:r w:rsidR="0027105E">
          <w:rPr>
            <w:webHidden/>
          </w:rPr>
          <w:t>2</w:t>
        </w:r>
        <w:r>
          <w:rPr>
            <w:webHidden/>
          </w:rPr>
          <w:fldChar w:fldCharType="end"/>
        </w:r>
      </w:hyperlink>
    </w:p>
    <w:p w:rsidR="006D7AD4" w:rsidRPr="006D7AD4" w:rsidRDefault="006D7AD4" w:rsidP="006D7AD4">
      <w:pPr>
        <w:rPr>
          <w:rFonts w:eastAsiaTheme="minorEastAsia"/>
        </w:rPr>
      </w:pPr>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31" w:history="1">
        <w:r w:rsidR="006D7AD4" w:rsidRPr="00236D58">
          <w:rPr>
            <w:rStyle w:val="Lienhypertexte"/>
            <w:noProof/>
          </w:rPr>
          <w:t>Le secteur d'activité</w:t>
        </w:r>
        <w:r w:rsidR="006D7AD4">
          <w:rPr>
            <w:noProof/>
            <w:webHidden/>
          </w:rPr>
          <w:tab/>
        </w:r>
        <w:r>
          <w:rPr>
            <w:noProof/>
            <w:webHidden/>
          </w:rPr>
          <w:fldChar w:fldCharType="begin"/>
        </w:r>
        <w:r w:rsidR="006D7AD4">
          <w:rPr>
            <w:noProof/>
            <w:webHidden/>
          </w:rPr>
          <w:instrText xml:space="preserve"> PAGEREF _Toc367946631 \h </w:instrText>
        </w:r>
        <w:r>
          <w:rPr>
            <w:noProof/>
            <w:webHidden/>
          </w:rPr>
        </w:r>
        <w:r>
          <w:rPr>
            <w:noProof/>
            <w:webHidden/>
          </w:rPr>
          <w:fldChar w:fldCharType="separate"/>
        </w:r>
        <w:r w:rsidR="0027105E">
          <w:rPr>
            <w:noProof/>
            <w:webHidden/>
          </w:rPr>
          <w:t>2</w:t>
        </w:r>
        <w:r>
          <w:rPr>
            <w:noProof/>
            <w:webHidden/>
          </w:rPr>
          <w:fldChar w:fldCharType="end"/>
        </w:r>
      </w:hyperlink>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32" w:history="1">
        <w:r w:rsidR="006D7AD4" w:rsidRPr="00236D58">
          <w:rPr>
            <w:rStyle w:val="Lienhypertexte"/>
            <w:noProof/>
          </w:rPr>
          <w:t>L'entreprise</w:t>
        </w:r>
        <w:r w:rsidR="006D7AD4">
          <w:rPr>
            <w:noProof/>
            <w:webHidden/>
          </w:rPr>
          <w:tab/>
        </w:r>
        <w:r>
          <w:rPr>
            <w:noProof/>
            <w:webHidden/>
          </w:rPr>
          <w:fldChar w:fldCharType="begin"/>
        </w:r>
        <w:r w:rsidR="006D7AD4">
          <w:rPr>
            <w:noProof/>
            <w:webHidden/>
          </w:rPr>
          <w:instrText xml:space="preserve"> PAGEREF _Toc367946632 \h </w:instrText>
        </w:r>
        <w:r>
          <w:rPr>
            <w:noProof/>
            <w:webHidden/>
          </w:rPr>
        </w:r>
        <w:r>
          <w:rPr>
            <w:noProof/>
            <w:webHidden/>
          </w:rPr>
          <w:fldChar w:fldCharType="separate"/>
        </w:r>
        <w:r w:rsidR="0027105E">
          <w:rPr>
            <w:noProof/>
            <w:webHidden/>
          </w:rPr>
          <w:t>2</w:t>
        </w:r>
        <w:r>
          <w:rPr>
            <w:noProof/>
            <w:webHidden/>
          </w:rPr>
          <w:fldChar w:fldCharType="end"/>
        </w:r>
      </w:hyperlink>
    </w:p>
    <w:p w:rsidR="006D7AD4" w:rsidRDefault="00923550">
      <w:pPr>
        <w:pStyle w:val="TM3"/>
        <w:tabs>
          <w:tab w:val="right" w:leader="dot" w:pos="9060"/>
        </w:tabs>
        <w:rPr>
          <w:rStyle w:val="Lienhypertexte"/>
          <w:noProof/>
        </w:rPr>
      </w:pPr>
      <w:hyperlink w:anchor="_Toc367946633" w:history="1">
        <w:r w:rsidR="006D7AD4" w:rsidRPr="00236D58">
          <w:rPr>
            <w:rStyle w:val="Lienhypertexte"/>
            <w:noProof/>
          </w:rPr>
          <w:t>Réorganisation</w:t>
        </w:r>
        <w:r w:rsidR="006D7AD4">
          <w:rPr>
            <w:noProof/>
            <w:webHidden/>
          </w:rPr>
          <w:tab/>
        </w:r>
        <w:r>
          <w:rPr>
            <w:noProof/>
            <w:webHidden/>
          </w:rPr>
          <w:fldChar w:fldCharType="begin"/>
        </w:r>
        <w:r w:rsidR="006D7AD4">
          <w:rPr>
            <w:noProof/>
            <w:webHidden/>
          </w:rPr>
          <w:instrText xml:space="preserve"> PAGEREF _Toc367946633 \h </w:instrText>
        </w:r>
        <w:r>
          <w:rPr>
            <w:noProof/>
            <w:webHidden/>
          </w:rPr>
        </w:r>
        <w:r>
          <w:rPr>
            <w:noProof/>
            <w:webHidden/>
          </w:rPr>
          <w:fldChar w:fldCharType="separate"/>
        </w:r>
        <w:r w:rsidR="0027105E">
          <w:rPr>
            <w:noProof/>
            <w:webHidden/>
          </w:rPr>
          <w:t>2</w:t>
        </w:r>
        <w:r>
          <w:rPr>
            <w:noProof/>
            <w:webHidden/>
          </w:rPr>
          <w:fldChar w:fldCharType="end"/>
        </w:r>
      </w:hyperlink>
    </w:p>
    <w:p w:rsidR="006D7AD4" w:rsidRPr="006D7AD4" w:rsidRDefault="006D7AD4" w:rsidP="006D7AD4">
      <w:pPr>
        <w:rPr>
          <w:rFonts w:eastAsiaTheme="minorEastAsia"/>
        </w:rPr>
      </w:pPr>
    </w:p>
    <w:p w:rsidR="006D7AD4" w:rsidRDefault="00923550">
      <w:pPr>
        <w:pStyle w:val="TM2"/>
        <w:rPr>
          <w:rStyle w:val="Lienhypertexte"/>
        </w:rPr>
      </w:pPr>
      <w:hyperlink w:anchor="_Toc367946634" w:history="1">
        <w:r w:rsidR="006D7AD4" w:rsidRPr="00236D58">
          <w:rPr>
            <w:rStyle w:val="Lienhypertexte"/>
          </w:rPr>
          <w:t>Description du Système Informatique</w:t>
        </w:r>
        <w:r w:rsidR="006D7AD4">
          <w:rPr>
            <w:webHidden/>
          </w:rPr>
          <w:tab/>
        </w:r>
        <w:r>
          <w:rPr>
            <w:webHidden/>
          </w:rPr>
          <w:fldChar w:fldCharType="begin"/>
        </w:r>
        <w:r w:rsidR="006D7AD4">
          <w:rPr>
            <w:webHidden/>
          </w:rPr>
          <w:instrText xml:space="preserve"> PAGEREF _Toc367946634 \h </w:instrText>
        </w:r>
        <w:r>
          <w:rPr>
            <w:webHidden/>
          </w:rPr>
        </w:r>
        <w:r>
          <w:rPr>
            <w:webHidden/>
          </w:rPr>
          <w:fldChar w:fldCharType="separate"/>
        </w:r>
        <w:r w:rsidR="0027105E">
          <w:rPr>
            <w:webHidden/>
          </w:rPr>
          <w:t>3</w:t>
        </w:r>
        <w:r>
          <w:rPr>
            <w:webHidden/>
          </w:rPr>
          <w:fldChar w:fldCharType="end"/>
        </w:r>
      </w:hyperlink>
    </w:p>
    <w:p w:rsidR="006D7AD4" w:rsidRPr="006D7AD4" w:rsidRDefault="006D7AD4" w:rsidP="006D7AD4">
      <w:pPr>
        <w:rPr>
          <w:rFonts w:eastAsiaTheme="minorEastAsia"/>
        </w:rPr>
      </w:pPr>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35" w:history="1">
        <w:r w:rsidR="006D7AD4" w:rsidRPr="00236D58">
          <w:rPr>
            <w:rStyle w:val="Lienhypertexte"/>
            <w:noProof/>
          </w:rPr>
          <w:t>Le système informatique</w:t>
        </w:r>
        <w:r w:rsidR="006D7AD4">
          <w:rPr>
            <w:noProof/>
            <w:webHidden/>
          </w:rPr>
          <w:tab/>
        </w:r>
        <w:r>
          <w:rPr>
            <w:noProof/>
            <w:webHidden/>
          </w:rPr>
          <w:fldChar w:fldCharType="begin"/>
        </w:r>
        <w:r w:rsidR="006D7AD4">
          <w:rPr>
            <w:noProof/>
            <w:webHidden/>
          </w:rPr>
          <w:instrText xml:space="preserve"> PAGEREF _Toc367946635 \h </w:instrText>
        </w:r>
        <w:r>
          <w:rPr>
            <w:noProof/>
            <w:webHidden/>
          </w:rPr>
        </w:r>
        <w:r>
          <w:rPr>
            <w:noProof/>
            <w:webHidden/>
          </w:rPr>
          <w:fldChar w:fldCharType="separate"/>
        </w:r>
        <w:r w:rsidR="0027105E">
          <w:rPr>
            <w:noProof/>
            <w:webHidden/>
          </w:rPr>
          <w:t>3</w:t>
        </w:r>
        <w:r>
          <w:rPr>
            <w:noProof/>
            <w:webHidden/>
          </w:rPr>
          <w:fldChar w:fldCharType="end"/>
        </w:r>
      </w:hyperlink>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36" w:history="1">
        <w:r w:rsidR="006D7AD4" w:rsidRPr="00236D58">
          <w:rPr>
            <w:rStyle w:val="Lienhypertexte"/>
            <w:noProof/>
          </w:rPr>
          <w:t>La gestion informatique</w:t>
        </w:r>
        <w:r w:rsidR="006D7AD4">
          <w:rPr>
            <w:noProof/>
            <w:webHidden/>
          </w:rPr>
          <w:tab/>
        </w:r>
        <w:r>
          <w:rPr>
            <w:noProof/>
            <w:webHidden/>
          </w:rPr>
          <w:fldChar w:fldCharType="begin"/>
        </w:r>
        <w:r w:rsidR="006D7AD4">
          <w:rPr>
            <w:noProof/>
            <w:webHidden/>
          </w:rPr>
          <w:instrText xml:space="preserve"> PAGEREF _Toc367946636 \h </w:instrText>
        </w:r>
        <w:r>
          <w:rPr>
            <w:noProof/>
            <w:webHidden/>
          </w:rPr>
        </w:r>
        <w:r>
          <w:rPr>
            <w:noProof/>
            <w:webHidden/>
          </w:rPr>
          <w:fldChar w:fldCharType="separate"/>
        </w:r>
        <w:r w:rsidR="0027105E">
          <w:rPr>
            <w:noProof/>
            <w:webHidden/>
          </w:rPr>
          <w:t>3</w:t>
        </w:r>
        <w:r>
          <w:rPr>
            <w:noProof/>
            <w:webHidden/>
          </w:rPr>
          <w:fldChar w:fldCharType="end"/>
        </w:r>
      </w:hyperlink>
    </w:p>
    <w:p w:rsidR="006D7AD4" w:rsidRDefault="00923550">
      <w:pPr>
        <w:pStyle w:val="TM3"/>
        <w:tabs>
          <w:tab w:val="right" w:leader="dot" w:pos="9060"/>
        </w:tabs>
        <w:rPr>
          <w:rStyle w:val="Lienhypertexte"/>
          <w:noProof/>
        </w:rPr>
      </w:pPr>
      <w:hyperlink w:anchor="_Toc367946637" w:history="1">
        <w:r w:rsidR="006D7AD4" w:rsidRPr="00236D58">
          <w:rPr>
            <w:rStyle w:val="Lienhypertexte"/>
            <w:noProof/>
          </w:rPr>
          <w:t>L'équipement</w:t>
        </w:r>
        <w:r w:rsidR="006D7AD4">
          <w:rPr>
            <w:noProof/>
            <w:webHidden/>
          </w:rPr>
          <w:tab/>
        </w:r>
        <w:r>
          <w:rPr>
            <w:noProof/>
            <w:webHidden/>
          </w:rPr>
          <w:fldChar w:fldCharType="begin"/>
        </w:r>
        <w:r w:rsidR="006D7AD4">
          <w:rPr>
            <w:noProof/>
            <w:webHidden/>
          </w:rPr>
          <w:instrText xml:space="preserve"> PAGEREF _Toc367946637 \h </w:instrText>
        </w:r>
        <w:r>
          <w:rPr>
            <w:noProof/>
            <w:webHidden/>
          </w:rPr>
        </w:r>
        <w:r>
          <w:rPr>
            <w:noProof/>
            <w:webHidden/>
          </w:rPr>
          <w:fldChar w:fldCharType="separate"/>
        </w:r>
        <w:r w:rsidR="0027105E">
          <w:rPr>
            <w:noProof/>
            <w:webHidden/>
          </w:rPr>
          <w:t>3</w:t>
        </w:r>
        <w:r>
          <w:rPr>
            <w:noProof/>
            <w:webHidden/>
          </w:rPr>
          <w:fldChar w:fldCharType="end"/>
        </w:r>
      </w:hyperlink>
    </w:p>
    <w:p w:rsidR="006D7AD4" w:rsidRPr="006D7AD4" w:rsidRDefault="006D7AD4" w:rsidP="006D7AD4">
      <w:pPr>
        <w:rPr>
          <w:rFonts w:eastAsiaTheme="minorEastAsia"/>
        </w:rPr>
      </w:pPr>
    </w:p>
    <w:p w:rsidR="006D7AD4" w:rsidRDefault="00923550">
      <w:pPr>
        <w:pStyle w:val="TM2"/>
        <w:rPr>
          <w:rStyle w:val="Lienhypertexte"/>
        </w:rPr>
      </w:pPr>
      <w:hyperlink w:anchor="_Toc367946638" w:history="1">
        <w:r w:rsidR="006D7AD4" w:rsidRPr="00236D58">
          <w:rPr>
            <w:rStyle w:val="Lienhypertexte"/>
          </w:rPr>
          <w:t>Organisation du réseau</w:t>
        </w:r>
        <w:r w:rsidR="006D7AD4">
          <w:rPr>
            <w:webHidden/>
          </w:rPr>
          <w:tab/>
        </w:r>
        <w:r>
          <w:rPr>
            <w:webHidden/>
          </w:rPr>
          <w:fldChar w:fldCharType="begin"/>
        </w:r>
        <w:r w:rsidR="006D7AD4">
          <w:rPr>
            <w:webHidden/>
          </w:rPr>
          <w:instrText xml:space="preserve"> PAGEREF _Toc367946638 \h </w:instrText>
        </w:r>
        <w:r>
          <w:rPr>
            <w:webHidden/>
          </w:rPr>
        </w:r>
        <w:r>
          <w:rPr>
            <w:webHidden/>
          </w:rPr>
          <w:fldChar w:fldCharType="separate"/>
        </w:r>
        <w:r w:rsidR="0027105E">
          <w:rPr>
            <w:webHidden/>
          </w:rPr>
          <w:t>4</w:t>
        </w:r>
        <w:r>
          <w:rPr>
            <w:webHidden/>
          </w:rPr>
          <w:fldChar w:fldCharType="end"/>
        </w:r>
      </w:hyperlink>
    </w:p>
    <w:p w:rsidR="006D7AD4" w:rsidRPr="006D7AD4" w:rsidRDefault="006D7AD4" w:rsidP="006D7AD4">
      <w:pPr>
        <w:rPr>
          <w:rFonts w:eastAsiaTheme="minorEastAsia"/>
        </w:rPr>
      </w:pPr>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39" w:history="1">
        <w:r w:rsidR="006D7AD4" w:rsidRPr="00236D58">
          <w:rPr>
            <w:rStyle w:val="Lienhypertexte"/>
            <w:noProof/>
          </w:rPr>
          <w:t>Répartition des services</w:t>
        </w:r>
        <w:r w:rsidR="006D7AD4">
          <w:rPr>
            <w:noProof/>
            <w:webHidden/>
          </w:rPr>
          <w:tab/>
        </w:r>
        <w:r>
          <w:rPr>
            <w:noProof/>
            <w:webHidden/>
          </w:rPr>
          <w:fldChar w:fldCharType="begin"/>
        </w:r>
        <w:r w:rsidR="006D7AD4">
          <w:rPr>
            <w:noProof/>
            <w:webHidden/>
          </w:rPr>
          <w:instrText xml:space="preserve"> PAGEREF _Toc367946639 \h </w:instrText>
        </w:r>
        <w:r>
          <w:rPr>
            <w:noProof/>
            <w:webHidden/>
          </w:rPr>
        </w:r>
        <w:r>
          <w:rPr>
            <w:noProof/>
            <w:webHidden/>
          </w:rPr>
          <w:fldChar w:fldCharType="separate"/>
        </w:r>
        <w:r w:rsidR="0027105E">
          <w:rPr>
            <w:noProof/>
            <w:webHidden/>
          </w:rPr>
          <w:t>4</w:t>
        </w:r>
        <w:r>
          <w:rPr>
            <w:noProof/>
            <w:webHidden/>
          </w:rPr>
          <w:fldChar w:fldCharType="end"/>
        </w:r>
      </w:hyperlink>
    </w:p>
    <w:p w:rsidR="006D7AD4" w:rsidRDefault="00923550">
      <w:pPr>
        <w:pStyle w:val="TM3"/>
        <w:tabs>
          <w:tab w:val="right" w:leader="dot" w:pos="9060"/>
        </w:tabs>
        <w:rPr>
          <w:rStyle w:val="Lienhypertexte"/>
          <w:noProof/>
        </w:rPr>
      </w:pPr>
      <w:hyperlink w:anchor="_Toc367946640" w:history="1">
        <w:r w:rsidR="006D7AD4" w:rsidRPr="00236D58">
          <w:rPr>
            <w:rStyle w:val="Lienhypertexte"/>
            <w:noProof/>
          </w:rPr>
          <w:t>Segmentation</w:t>
        </w:r>
        <w:r w:rsidR="006D7AD4">
          <w:rPr>
            <w:noProof/>
            <w:webHidden/>
          </w:rPr>
          <w:tab/>
        </w:r>
        <w:r>
          <w:rPr>
            <w:noProof/>
            <w:webHidden/>
          </w:rPr>
          <w:fldChar w:fldCharType="begin"/>
        </w:r>
        <w:r w:rsidR="006D7AD4">
          <w:rPr>
            <w:noProof/>
            <w:webHidden/>
          </w:rPr>
          <w:instrText xml:space="preserve"> PAGEREF _Toc367946640 \h </w:instrText>
        </w:r>
        <w:r>
          <w:rPr>
            <w:noProof/>
            <w:webHidden/>
          </w:rPr>
        </w:r>
        <w:r>
          <w:rPr>
            <w:noProof/>
            <w:webHidden/>
          </w:rPr>
          <w:fldChar w:fldCharType="separate"/>
        </w:r>
        <w:r w:rsidR="0027105E">
          <w:rPr>
            <w:noProof/>
            <w:webHidden/>
          </w:rPr>
          <w:t>4</w:t>
        </w:r>
        <w:r>
          <w:rPr>
            <w:noProof/>
            <w:webHidden/>
          </w:rPr>
          <w:fldChar w:fldCharType="end"/>
        </w:r>
      </w:hyperlink>
    </w:p>
    <w:p w:rsidR="006D7AD4" w:rsidRPr="006D7AD4" w:rsidRDefault="006D7AD4" w:rsidP="006D7AD4">
      <w:pPr>
        <w:rPr>
          <w:rFonts w:eastAsiaTheme="minorEastAsia"/>
        </w:rPr>
      </w:pPr>
    </w:p>
    <w:p w:rsidR="006D7AD4" w:rsidRDefault="00923550">
      <w:pPr>
        <w:pStyle w:val="TM2"/>
        <w:rPr>
          <w:rStyle w:val="Lienhypertexte"/>
        </w:rPr>
      </w:pPr>
      <w:hyperlink w:anchor="_Toc367946641" w:history="1">
        <w:r w:rsidR="006D7AD4" w:rsidRPr="00236D58">
          <w:rPr>
            <w:rStyle w:val="Lienhypertexte"/>
          </w:rPr>
          <w:t>Salle serveur et connexion internet</w:t>
        </w:r>
        <w:r w:rsidR="006D7AD4">
          <w:rPr>
            <w:webHidden/>
          </w:rPr>
          <w:tab/>
        </w:r>
        <w:r>
          <w:rPr>
            <w:webHidden/>
          </w:rPr>
          <w:fldChar w:fldCharType="begin"/>
        </w:r>
        <w:r w:rsidR="006D7AD4">
          <w:rPr>
            <w:webHidden/>
          </w:rPr>
          <w:instrText xml:space="preserve"> PAGEREF _Toc367946641 \h </w:instrText>
        </w:r>
        <w:r>
          <w:rPr>
            <w:webHidden/>
          </w:rPr>
        </w:r>
        <w:r>
          <w:rPr>
            <w:webHidden/>
          </w:rPr>
          <w:fldChar w:fldCharType="separate"/>
        </w:r>
        <w:r w:rsidR="0027105E">
          <w:rPr>
            <w:webHidden/>
          </w:rPr>
          <w:t>5</w:t>
        </w:r>
        <w:r>
          <w:rPr>
            <w:webHidden/>
          </w:rPr>
          <w:fldChar w:fldCharType="end"/>
        </w:r>
      </w:hyperlink>
    </w:p>
    <w:p w:rsidR="006D7AD4" w:rsidRPr="006D7AD4" w:rsidRDefault="006D7AD4" w:rsidP="006D7AD4">
      <w:pPr>
        <w:rPr>
          <w:rFonts w:eastAsiaTheme="minorEastAsia"/>
        </w:rPr>
      </w:pPr>
    </w:p>
    <w:p w:rsidR="006D7AD4" w:rsidRDefault="00923550">
      <w:pPr>
        <w:pStyle w:val="TM2"/>
        <w:rPr>
          <w:rStyle w:val="Lienhypertexte"/>
        </w:rPr>
      </w:pPr>
      <w:hyperlink w:anchor="_Toc367946642" w:history="1">
        <w:r w:rsidR="006D7AD4" w:rsidRPr="00236D58">
          <w:rPr>
            <w:rStyle w:val="Lienhypertexte"/>
          </w:rPr>
          <w:t>Domaine d'étude</w:t>
        </w:r>
        <w:r w:rsidR="006D7AD4">
          <w:rPr>
            <w:webHidden/>
          </w:rPr>
          <w:tab/>
        </w:r>
        <w:r>
          <w:rPr>
            <w:webHidden/>
          </w:rPr>
          <w:fldChar w:fldCharType="begin"/>
        </w:r>
        <w:r w:rsidR="006D7AD4">
          <w:rPr>
            <w:webHidden/>
          </w:rPr>
          <w:instrText xml:space="preserve"> PAGEREF _Toc367946642 \h </w:instrText>
        </w:r>
        <w:r>
          <w:rPr>
            <w:webHidden/>
          </w:rPr>
        </w:r>
        <w:r>
          <w:rPr>
            <w:webHidden/>
          </w:rPr>
          <w:fldChar w:fldCharType="separate"/>
        </w:r>
        <w:r w:rsidR="0027105E">
          <w:rPr>
            <w:webHidden/>
          </w:rPr>
          <w:t>6</w:t>
        </w:r>
        <w:r>
          <w:rPr>
            <w:webHidden/>
          </w:rPr>
          <w:fldChar w:fldCharType="end"/>
        </w:r>
      </w:hyperlink>
    </w:p>
    <w:p w:rsidR="006D7AD4" w:rsidRPr="006D7AD4" w:rsidRDefault="006D7AD4" w:rsidP="006D7AD4">
      <w:pPr>
        <w:rPr>
          <w:rFonts w:eastAsiaTheme="minorEastAsia"/>
        </w:rPr>
      </w:pPr>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43" w:history="1">
        <w:r w:rsidR="006D7AD4" w:rsidRPr="00236D58">
          <w:rPr>
            <w:rStyle w:val="Lienhypertexte"/>
            <w:noProof/>
          </w:rPr>
          <w:t>Les visiteurs</w:t>
        </w:r>
        <w:r w:rsidR="006D7AD4">
          <w:rPr>
            <w:noProof/>
            <w:webHidden/>
          </w:rPr>
          <w:tab/>
        </w:r>
        <w:r>
          <w:rPr>
            <w:noProof/>
            <w:webHidden/>
          </w:rPr>
          <w:fldChar w:fldCharType="begin"/>
        </w:r>
        <w:r w:rsidR="006D7AD4">
          <w:rPr>
            <w:noProof/>
            <w:webHidden/>
          </w:rPr>
          <w:instrText xml:space="preserve"> PAGEREF _Toc367946643 \h </w:instrText>
        </w:r>
        <w:r>
          <w:rPr>
            <w:noProof/>
            <w:webHidden/>
          </w:rPr>
        </w:r>
        <w:r>
          <w:rPr>
            <w:noProof/>
            <w:webHidden/>
          </w:rPr>
          <w:fldChar w:fldCharType="separate"/>
        </w:r>
        <w:r w:rsidR="0027105E">
          <w:rPr>
            <w:noProof/>
            <w:webHidden/>
          </w:rPr>
          <w:t>6</w:t>
        </w:r>
        <w:r>
          <w:rPr>
            <w:noProof/>
            <w:webHidden/>
          </w:rPr>
          <w:fldChar w:fldCharType="end"/>
        </w:r>
      </w:hyperlink>
    </w:p>
    <w:p w:rsidR="006D7AD4" w:rsidRDefault="00923550">
      <w:pPr>
        <w:pStyle w:val="TM3"/>
        <w:tabs>
          <w:tab w:val="right" w:leader="dot" w:pos="9060"/>
        </w:tabs>
        <w:rPr>
          <w:rFonts w:asciiTheme="minorHAnsi" w:eastAsiaTheme="minorEastAsia" w:hAnsiTheme="minorHAnsi" w:cstheme="minorBidi"/>
          <w:noProof/>
          <w:color w:val="auto"/>
          <w:sz w:val="22"/>
          <w:szCs w:val="22"/>
        </w:rPr>
      </w:pPr>
      <w:hyperlink w:anchor="_Toc367946644" w:history="1">
        <w:r w:rsidR="006D7AD4" w:rsidRPr="00236D58">
          <w:rPr>
            <w:rStyle w:val="Lienhypertexte"/>
            <w:noProof/>
          </w:rPr>
          <w:t>Les visiteurs et les autres services</w:t>
        </w:r>
        <w:r w:rsidR="006D7AD4">
          <w:rPr>
            <w:noProof/>
            <w:webHidden/>
          </w:rPr>
          <w:tab/>
        </w:r>
        <w:r>
          <w:rPr>
            <w:noProof/>
            <w:webHidden/>
          </w:rPr>
          <w:fldChar w:fldCharType="begin"/>
        </w:r>
        <w:r w:rsidR="006D7AD4">
          <w:rPr>
            <w:noProof/>
            <w:webHidden/>
          </w:rPr>
          <w:instrText xml:space="preserve"> PAGEREF _Toc367946644 \h </w:instrText>
        </w:r>
        <w:r>
          <w:rPr>
            <w:noProof/>
            <w:webHidden/>
          </w:rPr>
        </w:r>
        <w:r>
          <w:rPr>
            <w:noProof/>
            <w:webHidden/>
          </w:rPr>
          <w:fldChar w:fldCharType="separate"/>
        </w:r>
        <w:r w:rsidR="0027105E">
          <w:rPr>
            <w:noProof/>
            <w:webHidden/>
          </w:rPr>
          <w:t>6</w:t>
        </w:r>
        <w:r>
          <w:rPr>
            <w:noProof/>
            <w:webHidden/>
          </w:rPr>
          <w:fldChar w:fldCharType="end"/>
        </w:r>
      </w:hyperlink>
    </w:p>
    <w:p w:rsidR="002A0D32" w:rsidRDefault="00923550">
      <w:r>
        <w:fldChar w:fldCharType="end"/>
      </w:r>
    </w:p>
    <w:p w:rsidR="0014545B" w:rsidRDefault="006F49D7" w:rsidP="00730F36">
      <w:pPr>
        <w:pStyle w:val="Titre2"/>
      </w:pPr>
      <w:r>
        <w:br w:type="page"/>
      </w:r>
    </w:p>
    <w:p w:rsidR="0014545B" w:rsidRDefault="0014545B" w:rsidP="00EF429C">
      <w:pPr>
        <w:pStyle w:val="Titre2"/>
        <w:spacing w:before="0" w:beforeAutospacing="0" w:after="0" w:afterAutospacing="0"/>
      </w:pPr>
    </w:p>
    <w:p w:rsidR="006F49D7" w:rsidRPr="0091724F" w:rsidRDefault="00730F36" w:rsidP="00EF429C">
      <w:pPr>
        <w:pStyle w:val="Titre2"/>
        <w:spacing w:before="0" w:beforeAutospacing="0"/>
        <w:rPr>
          <w:sz w:val="24"/>
          <w:szCs w:val="24"/>
        </w:rPr>
      </w:pPr>
      <w:bookmarkStart w:id="0" w:name="_Toc367946630"/>
      <w:r w:rsidRPr="0091724F">
        <w:rPr>
          <w:sz w:val="24"/>
          <w:szCs w:val="24"/>
        </w:rPr>
        <w:t xml:space="preserve">Description du laboratoire </w:t>
      </w:r>
      <w:r w:rsidR="006F49D7" w:rsidRPr="0091724F">
        <w:rPr>
          <w:sz w:val="24"/>
          <w:szCs w:val="24"/>
        </w:rPr>
        <w:t>GSB</w:t>
      </w:r>
      <w:bookmarkEnd w:id="0"/>
    </w:p>
    <w:p w:rsidR="008E7606" w:rsidRDefault="008E7606" w:rsidP="006363B6">
      <w:pPr>
        <w:pStyle w:val="Titre3"/>
        <w:spacing w:after="120"/>
        <w:jc w:val="both"/>
      </w:pPr>
      <w:bookmarkStart w:id="1" w:name="_Toc367946631"/>
      <w:r>
        <w:t>Le secteur d'activité</w:t>
      </w:r>
      <w:bookmarkEnd w:id="1"/>
    </w:p>
    <w:p w:rsidR="008E7606" w:rsidRDefault="008E7606" w:rsidP="006363B6">
      <w:pPr>
        <w:spacing w:after="120"/>
        <w:jc w:val="both"/>
      </w:pPr>
      <w:r>
        <w:t xml:space="preserve">L’industrie pharmaceutique est un secteur très lucratif dans lequel le mouvement de fusion acquisition est très fort. Les regroupements de laboratoires ont donné naissance à des entités gigantesques au sein desquelles le travail </w:t>
      </w:r>
      <w:r w:rsidR="00E22866">
        <w:t>est longtemps resté</w:t>
      </w:r>
      <w:r>
        <w:t xml:space="preserve"> organisé selon les anciennes structures. </w:t>
      </w:r>
    </w:p>
    <w:p w:rsidR="005A257C" w:rsidRDefault="005A257C" w:rsidP="006363B6">
      <w:pPr>
        <w:spacing w:after="120"/>
        <w:jc w:val="both"/>
      </w:pPr>
      <w:r>
        <w:t xml:space="preserve">Des déboires récents autour de médicaments ou molécules ayant entraîné des complications médicales ont fait s'élever des voix contre une partie de l'activité des laboratoires </w:t>
      </w:r>
      <w:r w:rsidR="00AD230C">
        <w:t>imposant à ces derniers de repenser l'organisation de leur système d'information.</w:t>
      </w:r>
    </w:p>
    <w:p w:rsidR="005A257C" w:rsidRDefault="005A257C" w:rsidP="0098056E">
      <w:pPr>
        <w:jc w:val="both"/>
      </w:pPr>
    </w:p>
    <w:p w:rsidR="005A257C" w:rsidRDefault="005A257C" w:rsidP="006363B6">
      <w:pPr>
        <w:pStyle w:val="Titre3"/>
        <w:spacing w:after="120"/>
        <w:jc w:val="both"/>
      </w:pPr>
      <w:bookmarkStart w:id="2" w:name="_Toc398367993"/>
      <w:bookmarkStart w:id="3" w:name="_Toc367946632"/>
      <w:r>
        <w:t>L'entreprise</w:t>
      </w:r>
      <w:bookmarkEnd w:id="2"/>
      <w:bookmarkEnd w:id="3"/>
    </w:p>
    <w:p w:rsidR="008E7606" w:rsidRDefault="00522294" w:rsidP="006363B6">
      <w:pPr>
        <w:spacing w:after="120"/>
        <w:jc w:val="both"/>
      </w:pPr>
      <w:r>
        <w:t>Le</w:t>
      </w:r>
      <w:r w:rsidR="008E7606">
        <w:t xml:space="preserve"> laboratoire Galaxy Swiss Bourdin (GSB) </w:t>
      </w:r>
      <w:r>
        <w:t xml:space="preserve">est </w:t>
      </w:r>
      <w:r w:rsidR="008E7606">
        <w:t xml:space="preserve">issu de la fusion entre le géant américain Galaxy (spécialisé dans le secteur des maladies virales dont le SIDA et les hépatites) et le </w:t>
      </w:r>
      <w:r w:rsidR="00AD230C">
        <w:t>laboratoire</w:t>
      </w:r>
      <w:r w:rsidR="008E7606">
        <w:t xml:space="preserve"> européen Swiss Bourdin</w:t>
      </w:r>
      <w:r>
        <w:t xml:space="preserve"> (travaillant sur des médicaments plus conventionnels)</w:t>
      </w:r>
      <w:r w:rsidR="008E7606">
        <w:t>, lui même déjà union de trois petits laboratoires</w:t>
      </w:r>
      <w:r>
        <w:t>.</w:t>
      </w:r>
      <w:r w:rsidR="00193C37" w:rsidRPr="00193C37">
        <w:t xml:space="preserve"> </w:t>
      </w:r>
      <w:r w:rsidR="00193C37">
        <w:t xml:space="preserve">Une conséquence de cette fusion, est la recherche d'une optimisation des activités de production et de distribution des médicaments. </w:t>
      </w:r>
    </w:p>
    <w:p w:rsidR="00BD5D5D" w:rsidRDefault="00522294" w:rsidP="006363B6">
      <w:pPr>
        <w:spacing w:after="120"/>
        <w:jc w:val="both"/>
      </w:pPr>
      <w:r>
        <w:t>En 2009</w:t>
      </w:r>
      <w:r w:rsidR="008E7606">
        <w:t xml:space="preserve">, les deux géants pharmaceutiques ont uni leurs forces pour créer </w:t>
      </w:r>
      <w:r w:rsidR="00E22866">
        <w:t>un leader d</w:t>
      </w:r>
      <w:r w:rsidR="008E7606">
        <w:t xml:space="preserve">e ce secteur industriel. </w:t>
      </w:r>
      <w:r w:rsidR="00BD5D5D">
        <w:t xml:space="preserve">L'entité </w:t>
      </w:r>
      <w:r w:rsidR="00AD230C">
        <w:t xml:space="preserve">GSB - </w:t>
      </w:r>
      <w:r w:rsidR="00BD5D5D">
        <w:t>Galaxy Swiss Bourdin</w:t>
      </w:r>
      <w:r w:rsidR="00AD230C">
        <w:t xml:space="preserve"> -</w:t>
      </w:r>
      <w:r w:rsidR="00BD5D5D">
        <w:t xml:space="preserve"> Europe a établi son siège administratif à Paris. </w:t>
      </w:r>
    </w:p>
    <w:p w:rsidR="00E22866" w:rsidRDefault="00BD5D5D" w:rsidP="006363B6">
      <w:pPr>
        <w:spacing w:after="120"/>
        <w:jc w:val="both"/>
      </w:pPr>
      <w:r>
        <w:t>Le siège social de la multinationale est situé à Philadelphie, Pennsylvanie, aux Etats-Unis.</w:t>
      </w:r>
    </w:p>
    <w:p w:rsidR="00BD5D5D" w:rsidRPr="00EF429C" w:rsidRDefault="0098056E" w:rsidP="0098056E">
      <w:pPr>
        <w:jc w:val="both"/>
        <w:rPr>
          <w:b/>
          <w:i/>
          <w:color w:val="C00000"/>
        </w:rPr>
      </w:pPr>
      <w:r w:rsidRPr="0098056E">
        <w:rPr>
          <w:b/>
          <w:i/>
          <w:color w:val="C00000"/>
        </w:rPr>
        <w:t>La France a été choisie comme témoin pour l'amélioration du suivi de l'activité de visite.</w:t>
      </w:r>
    </w:p>
    <w:p w:rsidR="00BD5D5D" w:rsidRPr="006363B6" w:rsidRDefault="00193C37" w:rsidP="00EF429C">
      <w:pPr>
        <w:pStyle w:val="Titre3"/>
        <w:spacing w:before="360" w:after="120"/>
        <w:jc w:val="both"/>
      </w:pPr>
      <w:bookmarkStart w:id="4" w:name="_Toc367946633"/>
      <w:r>
        <w:t>O</w:t>
      </w:r>
      <w:r w:rsidR="00BD5D5D" w:rsidRPr="006363B6">
        <w:t>rganisation</w:t>
      </w:r>
      <w:bookmarkEnd w:id="4"/>
      <w:r>
        <w:t xml:space="preserve"> de l'activité</w:t>
      </w:r>
    </w:p>
    <w:p w:rsidR="00522294" w:rsidRDefault="001504A1" w:rsidP="006363B6">
      <w:pPr>
        <w:spacing w:after="120"/>
        <w:jc w:val="both"/>
      </w:pPr>
      <w:r w:rsidRPr="006F49D7">
        <w:t xml:space="preserve">L'entreprise </w:t>
      </w:r>
      <w:r w:rsidR="00193C37">
        <w:t xml:space="preserve">GSB </w:t>
      </w:r>
      <w:r w:rsidRPr="006F49D7">
        <w:t xml:space="preserve">compte 480 visiteurs médicaux en France métropolitaine et 60 dans les départements et territoires d'outre-mer. Les territoires sont répartis en </w:t>
      </w:r>
      <w:r w:rsidR="00522294">
        <w:t>6</w:t>
      </w:r>
      <w:r w:rsidRPr="006F49D7">
        <w:t xml:space="preserve"> </w:t>
      </w:r>
      <w:r w:rsidR="00522294">
        <w:t>secteurs géographiques</w:t>
      </w:r>
      <w:r w:rsidRPr="006F49D7">
        <w:t xml:space="preserve"> (Paris</w:t>
      </w:r>
      <w:r w:rsidR="00522294">
        <w:t>-Centre</w:t>
      </w:r>
      <w:r w:rsidRPr="006F49D7">
        <w:t xml:space="preserve">, </w:t>
      </w:r>
      <w:r w:rsidR="00522294">
        <w:t>Sud</w:t>
      </w:r>
      <w:r w:rsidRPr="006F49D7">
        <w:t>, Nord, Ouest, Est, DTOM Caraïbes-Amériques, DTOM Asie-Afrique)</w:t>
      </w:r>
      <w:r w:rsidR="00522294">
        <w:t xml:space="preserve">. </w:t>
      </w:r>
    </w:p>
    <w:p w:rsidR="00E22866" w:rsidRDefault="00522294" w:rsidP="006363B6">
      <w:pPr>
        <w:spacing w:after="120"/>
        <w:jc w:val="both"/>
      </w:pPr>
      <w:r>
        <w:t>Une vision partielle de cette organisation est présentée ci-dessous.</w:t>
      </w:r>
    </w:p>
    <w:p w:rsidR="00522294" w:rsidRDefault="00923550" w:rsidP="0098056E">
      <w:pPr>
        <w:jc w:val="both"/>
      </w:pPr>
      <w:r>
        <w:pict>
          <v:group id="_x0000_s1063" style="position:absolute;left:0;text-align:left;margin-left:209.45pt;margin-top:17.1pt;width:242.05pt;height:166.35pt;z-index:251656704" coordorigin="25,-1" coordsize="19364,20001" o:allowincell="f">
            <v:line id="_x0000_s1064" style="position:absolute;flip:y" from="789,5470" to="793,14902" strokeweight="1pt">
              <v:stroke startarrowwidth="narrow" startarrowlength="short" endarrowwidth="narrow" endarrowlength="short"/>
            </v:line>
            <v:line id="_x0000_s1065" style="position:absolute" from="789,5193" to="4521,8253" strokeweight="1pt">
              <v:stroke startarrowwidth="narrow" startarrowlength="short" endarrowwidth="narrow" endarrowlength="short"/>
            </v:line>
            <v:line id="_x0000_s1066" style="position:absolute;flip:y" from="11037,5349" to="11041,14782" strokeweight="1pt">
              <v:stroke startarrowwidth="narrow" startarrowlength="short" endarrowwidth="narrow" endarrowlength="short"/>
            </v:line>
            <v:line id="_x0000_s1067" style="position:absolute;flip:x" from="7225,5319" to="10957,8379" strokeweight="1pt">
              <v:stroke startarrowwidth="narrow" startarrowlength="short" endarrowwidth="narrow" endarrowlength="short"/>
            </v:line>
            <v:line id="_x0000_s1068" style="position:absolute" from="7309,11812" to="11041,14872" strokeweight="1pt">
              <v:stroke startarrowwidth="narrow" startarrowlength="short" endarrowwidth="narrow" endarrowlength="short"/>
            </v:line>
            <v:line id="_x0000_s1069" style="position:absolute;flip:x" from="789,11812" to="4521,14872" strokeweight="1pt">
              <v:stroke startarrowwidth="narrow" startarrowlength="short" endarrowwidth="narrow" endarrowlength="short"/>
            </v:line>
            <v:line id="_x0000_s1070" style="position:absolute;flip:x" from="789,-1" to="5877,5223" strokeweight="1pt">
              <v:stroke startarrowwidth="narrow" startarrowlength="short" endarrowwidth="narrow" endarrowlength="short"/>
            </v:line>
            <v:line id="_x0000_s1071" style="position:absolute" from="5961,185" to="11049,5410" strokeweight="1pt">
              <v:stroke startarrowwidth="narrow" startarrowlength="short" endarrowwidth="narrow" endarrowlength="short"/>
            </v:line>
            <v:line id="_x0000_s1072" style="position:absolute;flip:y" from="5953,14776" to="11041,20000" strokeweight="1pt">
              <v:stroke startarrowwidth="narrow" startarrowlength="short" endarrowwidth="narrow" endarrowlength="short"/>
            </v:line>
            <v:line id="_x0000_s1073" style="position:absolute;flip:x y" from="789,14776" to="5877,20000" strokeweight="1pt">
              <v:stroke startarrowwidth="narrow" startarrowlength="short" endarrowwidth="narrow" endarrowlength="short"/>
            </v:line>
            <v:oval id="_x0000_s1074" style="position:absolute;left:4173;top:7105;width:3564;height:5609" strokeweight="1pt"/>
            <v:rect id="_x0000_s1075" style="position:absolute;left:4345;top:3540;width:3732;height:1785" strokeweight="1pt">
              <v:textbox style="mso-next-textbox:#_x0000_s1075" inset="1pt,1pt,1pt,1pt">
                <w:txbxContent>
                  <w:p w:rsidR="002A0D32" w:rsidRDefault="002A0D32" w:rsidP="00522294">
                    <w:pPr>
                      <w:tabs>
                        <w:tab w:val="right" w:pos="426"/>
                      </w:tabs>
                      <w:jc w:val="center"/>
                    </w:pPr>
                    <w:r>
                      <w:t>NORD</w:t>
                    </w:r>
                  </w:p>
                </w:txbxContent>
              </v:textbox>
            </v:rect>
            <v:rect id="_x0000_s1076" style="position:absolute;left:25;top:9143;width:3732;height:1785" strokeweight="1pt">
              <v:textbox style="mso-next-textbox:#_x0000_s1076" inset="1pt,1pt,1pt,1pt">
                <w:txbxContent>
                  <w:p w:rsidR="002A0D32" w:rsidRDefault="002A0D32" w:rsidP="00522294">
                    <w:pPr>
                      <w:tabs>
                        <w:tab w:val="right" w:pos="426"/>
                      </w:tabs>
                      <w:jc w:val="center"/>
                    </w:pPr>
                    <w:r>
                      <w:t>OUEST</w:t>
                    </w:r>
                  </w:p>
                </w:txbxContent>
              </v:textbox>
            </v:rect>
            <v:rect id="_x0000_s1077" style="position:absolute;left:8073;top:9143;width:3732;height:1785" strokeweight="1pt">
              <v:textbox style="mso-next-textbox:#_x0000_s1077" inset="1pt,1pt,1pt,1pt">
                <w:txbxContent>
                  <w:p w:rsidR="002A0D32" w:rsidRDefault="002A0D32" w:rsidP="00522294">
                    <w:pPr>
                      <w:tabs>
                        <w:tab w:val="right" w:pos="426"/>
                      </w:tabs>
                      <w:jc w:val="center"/>
                    </w:pPr>
                    <w:r>
                      <w:t>EST</w:t>
                    </w:r>
                  </w:p>
                </w:txbxContent>
              </v:textbox>
            </v:rect>
            <v:rect id="_x0000_s1078" style="position:absolute;left:4429;top:14115;width:3732;height:1785" strokeweight="1pt">
              <v:textbox style="mso-next-textbox:#_x0000_s1078" inset="1pt,1pt,1pt,1pt">
                <w:txbxContent>
                  <w:p w:rsidR="002A0D32" w:rsidRDefault="002A0D32" w:rsidP="00522294">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79" type="#_x0000_t48" style="position:absolute;left:13629;top:1803;width:5760;height:3486" adj="-27180,42306,-14475,7374,-1785,7374" strokeweight="1pt">
              <v:stroke startarrowwidth="narrow" startarrowlength="short" endarrowwidth="narrow" endarrowlength="short"/>
              <v:textbox style="mso-next-textbox:#_x0000_s1079" inset="1pt,1pt,1pt,1pt">
                <w:txbxContent>
                  <w:p w:rsidR="002A0D32" w:rsidRDefault="002A0D32" w:rsidP="00522294">
                    <w:pPr>
                      <w:jc w:val="center"/>
                    </w:pPr>
                    <w:r>
                      <w:t>PARIS CENTRE</w:t>
                    </w:r>
                  </w:p>
                </w:txbxContent>
              </v:textbox>
              <o:callout v:ext="edit" gap="5.95pt" distance="9.9pt" length="179.81278mm" minusy="t" dropauto="t"/>
            </v:shape>
          </v:group>
        </w:pict>
      </w:r>
      <w:r w:rsidR="00A94047">
        <w:rPr>
          <w:noProof/>
        </w:rPr>
        <w:drawing>
          <wp:inline distT="0" distB="0" distL="0" distR="0">
            <wp:extent cx="2788920" cy="2590800"/>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788920" cy="2590800"/>
                    </a:xfrm>
                    <a:prstGeom prst="rect">
                      <a:avLst/>
                    </a:prstGeom>
                    <a:noFill/>
                    <a:ln w="9525">
                      <a:noFill/>
                      <a:miter lim="800000"/>
                      <a:headEnd/>
                      <a:tailEnd/>
                    </a:ln>
                  </pic:spPr>
                </pic:pic>
              </a:graphicData>
            </a:graphic>
          </wp:inline>
        </w:drawing>
      </w:r>
    </w:p>
    <w:p w:rsidR="00522294" w:rsidRDefault="00522294" w:rsidP="0098056E">
      <w:pPr>
        <w:jc w:val="both"/>
      </w:pPr>
    </w:p>
    <w:p w:rsidR="00193C37" w:rsidRDefault="00193C37" w:rsidP="0098056E">
      <w:pPr>
        <w:jc w:val="both"/>
      </w:pPr>
    </w:p>
    <w:p w:rsidR="00522294" w:rsidRPr="00DE299C" w:rsidRDefault="00522294" w:rsidP="0003647E">
      <w:pPr>
        <w:pBdr>
          <w:top w:val="single" w:sz="4" w:space="5" w:color="auto"/>
          <w:left w:val="single" w:sz="4" w:space="5" w:color="auto"/>
          <w:bottom w:val="single" w:sz="4" w:space="5" w:color="auto"/>
          <w:right w:val="single" w:sz="4" w:space="5" w:color="auto"/>
        </w:pBdr>
        <w:ind w:left="142"/>
        <w:jc w:val="both"/>
        <w:rPr>
          <w:b/>
          <w:i/>
          <w:color w:val="C00000"/>
        </w:rPr>
      </w:pPr>
      <w:r w:rsidRPr="00DE299C">
        <w:rPr>
          <w:b/>
          <w:i/>
          <w:color w:val="C00000"/>
        </w:rPr>
        <w:t>Après deux années de réorganisations, tant au niveau du personnel que du fonctionnement administratif, l'entreprise GSB souhaite moderniser l'activité de visite médicale.</w:t>
      </w:r>
    </w:p>
    <w:p w:rsidR="0014545B" w:rsidRDefault="0014545B" w:rsidP="0003647E">
      <w:pPr>
        <w:pStyle w:val="Titre2"/>
        <w:ind w:left="142"/>
        <w:jc w:val="both"/>
      </w:pPr>
    </w:p>
    <w:p w:rsidR="00193C37" w:rsidRDefault="00193C37" w:rsidP="00EF429C">
      <w:pPr>
        <w:pStyle w:val="Titre2"/>
        <w:spacing w:before="0" w:beforeAutospacing="0" w:after="0" w:afterAutospacing="0"/>
        <w:rPr>
          <w:sz w:val="24"/>
          <w:szCs w:val="24"/>
        </w:rPr>
      </w:pPr>
      <w:bookmarkStart w:id="5" w:name="_Toc367946634"/>
    </w:p>
    <w:p w:rsidR="00EF429C" w:rsidRDefault="00EF429C" w:rsidP="00EF429C">
      <w:pPr>
        <w:pStyle w:val="Titre2"/>
        <w:spacing w:before="0" w:beforeAutospacing="0" w:after="0" w:afterAutospacing="0"/>
        <w:rPr>
          <w:sz w:val="24"/>
          <w:szCs w:val="24"/>
        </w:rPr>
      </w:pPr>
    </w:p>
    <w:p w:rsidR="00BD5D5D" w:rsidRPr="0091724F" w:rsidRDefault="00730F36" w:rsidP="00EF429C">
      <w:pPr>
        <w:pStyle w:val="Titre2"/>
        <w:spacing w:before="0" w:beforeAutospacing="0" w:after="240" w:afterAutospacing="0"/>
        <w:rPr>
          <w:sz w:val="24"/>
          <w:szCs w:val="24"/>
        </w:rPr>
      </w:pPr>
      <w:r w:rsidRPr="0091724F">
        <w:rPr>
          <w:sz w:val="24"/>
          <w:szCs w:val="24"/>
        </w:rPr>
        <w:t>Description du Système Informatique</w:t>
      </w:r>
      <w:bookmarkEnd w:id="5"/>
    </w:p>
    <w:p w:rsidR="00F72CDB" w:rsidRPr="00F72CDB" w:rsidRDefault="00F72CDB" w:rsidP="00EF429C">
      <w:pPr>
        <w:pStyle w:val="Titre3"/>
        <w:spacing w:before="360" w:after="120"/>
        <w:jc w:val="both"/>
      </w:pPr>
      <w:bookmarkStart w:id="6" w:name="_Toc367946635"/>
      <w:r w:rsidRPr="00F72CDB">
        <w:t>Le système informatique</w:t>
      </w:r>
      <w:bookmarkEnd w:id="6"/>
    </w:p>
    <w:p w:rsidR="00F72CDB" w:rsidRDefault="00BD5D5D" w:rsidP="006363B6">
      <w:pPr>
        <w:spacing w:after="120"/>
        <w:jc w:val="both"/>
      </w:pPr>
      <w:r>
        <w:t xml:space="preserve">Sur le site parisien, </w:t>
      </w:r>
      <w:r w:rsidR="00F72CDB">
        <w:t xml:space="preserve">toutes les fonctions administratives (gestion des ressources humaines, comptabilité, direction, commerciale, etc.) sont présentes. On trouve en outre un service </w:t>
      </w:r>
      <w:r w:rsidR="00F72CDB">
        <w:rPr>
          <w:i/>
        </w:rPr>
        <w:t>labo-recherche</w:t>
      </w:r>
      <w:r w:rsidR="00F72CDB">
        <w:t>, le service juridique et le service communication.</w:t>
      </w:r>
    </w:p>
    <w:p w:rsidR="00F72CDB" w:rsidRDefault="00F72CDB" w:rsidP="006363B6">
      <w:pPr>
        <w:spacing w:after="120"/>
        <w:jc w:val="both"/>
      </w:pPr>
      <w:r>
        <w:t>La salle serveur occupe le 6ème étage du bâtiment et les accès y sont restreints (étage accessible par ascenseur à l'aide d'une clé sécurisée, portes d'accès par escalier munies d'un lecteur de badge, sas d'entrée avec gardien présent 24h/24</w:t>
      </w:r>
      <w:r w:rsidR="00CD236E">
        <w:t>)</w:t>
      </w:r>
      <w:r>
        <w:t xml:space="preserve">. </w:t>
      </w:r>
      <w:r w:rsidR="00DF61B2">
        <w:t xml:space="preserve"> </w:t>
      </w:r>
    </w:p>
    <w:p w:rsidR="00DF61B2" w:rsidRDefault="00DF61B2" w:rsidP="006363B6">
      <w:pPr>
        <w:spacing w:after="120"/>
        <w:jc w:val="both"/>
      </w:pPr>
      <w:r>
        <w:t>Les serveurs assurent les fonctions de base du réseau (DHCP, DNS, Annuaire et gestion centralisée des environnements) et les fonctions de communication (Intranet, Messagerie</w:t>
      </w:r>
      <w:r w:rsidR="00915BB2">
        <w:t>, Agenda partagé, etc.</w:t>
      </w:r>
      <w:r>
        <w:t xml:space="preserve">). </w:t>
      </w:r>
    </w:p>
    <w:p w:rsidR="00DF61B2" w:rsidRDefault="00DF61B2" w:rsidP="006363B6">
      <w:pPr>
        <w:spacing w:after="120"/>
        <w:jc w:val="both"/>
      </w:pPr>
      <w:r>
        <w:t>On trouve aussi de nombreuses applications métier (base d'information pharmaceutique, serveurs dédiés à la recherche, base de données des produits du laboratoire, base de données des licences d'exploitation pharmaceutique, etc.) et les fonctions plus génériques de toute entreprise (Progiciel de Gestion Intégré</w:t>
      </w:r>
      <w:r w:rsidR="00CD236E">
        <w:t xml:space="preserve"> avec ses modules RH, GRC, etc.).</w:t>
      </w:r>
      <w:r w:rsidR="007C14A2">
        <w:t xml:space="preserve"> </w:t>
      </w:r>
    </w:p>
    <w:p w:rsidR="007C14A2" w:rsidRDefault="007C14A2" w:rsidP="006363B6">
      <w:pPr>
        <w:spacing w:after="120"/>
        <w:jc w:val="both"/>
      </w:pPr>
      <w:r>
        <w:t xml:space="preserve">Un nombre croissant de serveurs est virtualisé.  </w:t>
      </w:r>
    </w:p>
    <w:p w:rsidR="00F72CDB" w:rsidRDefault="00DF61B2" w:rsidP="006363B6">
      <w:pPr>
        <w:spacing w:after="120"/>
        <w:jc w:val="both"/>
      </w:pPr>
      <w:r>
        <w:t>Constitué autour de VLAN, le réseau segmente les services de manière à fluidifier le trafic.</w:t>
      </w:r>
    </w:p>
    <w:p w:rsidR="00F72CDB" w:rsidRDefault="00F72CDB" w:rsidP="006363B6">
      <w:pPr>
        <w:spacing w:after="120"/>
        <w:jc w:val="both"/>
      </w:pPr>
      <w:r>
        <w:t>Les données de l'entreprise sont considérées comme stratégiques et ne peuvent tolérer ni fuite, ni destruction. L'ensemble des informations est répliqué quotidiennement aux Etats-Unis par un lien dédié. Toutes les fonctions de redondances (RAID, alimentation, lien réseau</w:t>
      </w:r>
      <w:r w:rsidR="00DF61B2">
        <w:t xml:space="preserve"> redondant, Spanning-tree</w:t>
      </w:r>
      <w:r>
        <w:t>, clustering</w:t>
      </w:r>
      <w:r w:rsidR="00DF61B2">
        <w:t>, etc.</w:t>
      </w:r>
      <w:r>
        <w:t xml:space="preserve">) sont mises en œuvre pour assurer une tolérance </w:t>
      </w:r>
      <w:r w:rsidR="008F32F9">
        <w:t xml:space="preserve">maximale </w:t>
      </w:r>
      <w:r>
        <w:t>aux pannes.</w:t>
      </w:r>
    </w:p>
    <w:p w:rsidR="004C5543" w:rsidRPr="00F72CDB" w:rsidRDefault="004C5543" w:rsidP="00EF429C">
      <w:pPr>
        <w:pStyle w:val="Titre3"/>
        <w:spacing w:before="360" w:after="120"/>
        <w:jc w:val="both"/>
      </w:pPr>
      <w:bookmarkStart w:id="7" w:name="_Toc367946637"/>
      <w:bookmarkStart w:id="8" w:name="_Toc367946636"/>
      <w:r>
        <w:t>L'équipement</w:t>
      </w:r>
      <w:bookmarkEnd w:id="7"/>
      <w:r>
        <w:t xml:space="preserve"> </w:t>
      </w:r>
    </w:p>
    <w:p w:rsidR="004C5543" w:rsidRDefault="004C5543" w:rsidP="004C5543">
      <w:pPr>
        <w:spacing w:after="120"/>
        <w:jc w:val="both"/>
      </w:pPr>
      <w:r>
        <w:t xml:space="preserve">L'informatique est fortement répandue sur le site. Chaque employé est équipé d'un poste fixe relié au système central. On dénombre ainsi plus de 350 équipements terminaux et un nombre </w:t>
      </w:r>
      <w:r w:rsidR="00AE6736">
        <w:t xml:space="preserve">conséquent </w:t>
      </w:r>
      <w:r>
        <w:t>de serveurs physiques (45 en 2012) sur lesquels tournent plus de 100 serveurs virtuels.</w:t>
      </w:r>
    </w:p>
    <w:p w:rsidR="004C5543" w:rsidRDefault="004C5543" w:rsidP="004C5543">
      <w:pPr>
        <w:spacing w:after="120"/>
        <w:jc w:val="both"/>
      </w:pPr>
      <w:r>
        <w:t xml:space="preserve">On trouve aussi des stations de travail plus puissantes dans la partie </w:t>
      </w:r>
      <w:r>
        <w:rPr>
          <w:i/>
        </w:rPr>
        <w:t>labo-recherche</w:t>
      </w:r>
      <w:r>
        <w:t xml:space="preserve">, et une multitude d'ordinateurs portables (personnels de direction, service informatique, services commerciaux, etc). </w:t>
      </w:r>
    </w:p>
    <w:p w:rsidR="00AE6736" w:rsidRDefault="004C5543" w:rsidP="00AE6736">
      <w:pPr>
        <w:spacing w:after="120"/>
        <w:jc w:val="both"/>
      </w:pPr>
      <w:r>
        <w:t xml:space="preserve">Chaque employé de l'entreprise a une adresse de messagerie de la forme </w:t>
      </w:r>
      <w:r>
        <w:rPr>
          <w:i/>
        </w:rPr>
        <w:t>nomUtilisateur@swiss-galaxy.com</w:t>
      </w:r>
      <w:r>
        <w:t xml:space="preserve">. Les anciennes adresses de chaque laboratoire ont été définitivement fermées au 1er janvier 2012. </w:t>
      </w:r>
    </w:p>
    <w:p w:rsidR="004C5543" w:rsidRDefault="00AE6736" w:rsidP="004C5543">
      <w:pPr>
        <w:spacing w:after="120"/>
        <w:jc w:val="both"/>
      </w:pPr>
      <w:r>
        <w:t>Les visiteurs médicaux, commerciaux de l'entreprise en charge de faire connaître les produits médicaux du laboratoire GSB</w:t>
      </w:r>
      <w:r w:rsidR="00BD5DC6">
        <w:t xml:space="preserve"> auprès des médecins</w:t>
      </w:r>
      <w:r>
        <w:t>,</w:t>
      </w:r>
      <w:r w:rsidR="00BD5DC6">
        <w:t xml:space="preserve"> </w:t>
      </w:r>
      <w:r>
        <w:t xml:space="preserve">reçoivent une indemnité bisannuelle pour s'équiper en informatique. </w:t>
      </w:r>
    </w:p>
    <w:p w:rsidR="00CD236E" w:rsidRDefault="00CD236E" w:rsidP="00EF429C">
      <w:pPr>
        <w:pStyle w:val="Titre3"/>
        <w:spacing w:before="360" w:after="120"/>
        <w:jc w:val="both"/>
      </w:pPr>
      <w:r>
        <w:t>La gestion informatique</w:t>
      </w:r>
      <w:bookmarkEnd w:id="8"/>
    </w:p>
    <w:p w:rsidR="00293962" w:rsidRDefault="00CD236E" w:rsidP="006363B6">
      <w:pPr>
        <w:spacing w:after="120"/>
        <w:jc w:val="both"/>
      </w:pPr>
      <w:r>
        <w:t xml:space="preserve">La DSI (Direction des Services Informatiques) est une entité importante </w:t>
      </w:r>
      <w:r w:rsidR="0046196E">
        <w:t>qui participe aux choix stratégiques</w:t>
      </w:r>
      <w:r>
        <w:t xml:space="preserve">. </w:t>
      </w:r>
    </w:p>
    <w:p w:rsidR="004C5543" w:rsidRDefault="0046196E" w:rsidP="006363B6">
      <w:pPr>
        <w:spacing w:after="120"/>
        <w:jc w:val="both"/>
      </w:pPr>
      <w:r>
        <w:t xml:space="preserve">Pour </w:t>
      </w:r>
      <w:r w:rsidR="00CD236E">
        <w:t>Swiss-Bourdin, qui occupait le siège parisien avant la fusion</w:t>
      </w:r>
      <w:r>
        <w:t xml:space="preserve">, l'outil informatique </w:t>
      </w:r>
      <w:r w:rsidR="00293962">
        <w:t xml:space="preserve">et </w:t>
      </w:r>
      <w:r>
        <w:t>l'</w:t>
      </w:r>
      <w:r w:rsidR="00293962">
        <w:t>utilisation d'outils décisionnels pour améliorer la vision et la planification de l'activité</w:t>
      </w:r>
      <w:r>
        <w:t xml:space="preserve"> ont toujours fait partie de la politique </w:t>
      </w:r>
      <w:r w:rsidR="00600EA3">
        <w:t>de l'entreprise</w:t>
      </w:r>
      <w:r>
        <w:t>,</w:t>
      </w:r>
      <w:r w:rsidR="00293962">
        <w:t xml:space="preserve"> en particulier pour ce qui concerne la partie recherche, production, communication et juridique.</w:t>
      </w:r>
    </w:p>
    <w:p w:rsidR="00FD4AB6" w:rsidRDefault="00FD4AB6" w:rsidP="006363B6">
      <w:pPr>
        <w:spacing w:after="120"/>
        <w:jc w:val="both"/>
      </w:pPr>
    </w:p>
    <w:p w:rsidR="00CD236E" w:rsidRPr="00600EA3" w:rsidRDefault="00600EA3" w:rsidP="00600EA3">
      <w:pPr>
        <w:pBdr>
          <w:top w:val="single" w:sz="4" w:space="5" w:color="auto"/>
          <w:left w:val="single" w:sz="4" w:space="5" w:color="auto"/>
          <w:bottom w:val="single" w:sz="4" w:space="5" w:color="auto"/>
          <w:right w:val="single" w:sz="4" w:space="5" w:color="auto"/>
        </w:pBdr>
        <w:ind w:left="142"/>
        <w:jc w:val="both"/>
        <w:rPr>
          <w:b/>
          <w:i/>
          <w:color w:val="C00000"/>
        </w:rPr>
      </w:pPr>
      <w:r>
        <w:rPr>
          <w:b/>
          <w:i/>
          <w:color w:val="C00000"/>
        </w:rPr>
        <w:t>L</w:t>
      </w:r>
      <w:r w:rsidRPr="00DE299C">
        <w:rPr>
          <w:b/>
          <w:i/>
          <w:color w:val="C00000"/>
        </w:rPr>
        <w:t xml:space="preserve">es visiteurs </w:t>
      </w:r>
      <w:r>
        <w:rPr>
          <w:b/>
          <w:i/>
          <w:color w:val="C00000"/>
        </w:rPr>
        <w:t xml:space="preserve">médicaux </w:t>
      </w:r>
      <w:r w:rsidRPr="00DE299C">
        <w:rPr>
          <w:b/>
          <w:i/>
          <w:color w:val="C00000"/>
        </w:rPr>
        <w:t xml:space="preserve">étant </w:t>
      </w:r>
      <w:r>
        <w:rPr>
          <w:b/>
          <w:i/>
          <w:color w:val="C00000"/>
        </w:rPr>
        <w:t>considérés comme</w:t>
      </w:r>
      <w:r w:rsidRPr="00DE299C">
        <w:rPr>
          <w:b/>
          <w:i/>
          <w:color w:val="C00000"/>
        </w:rPr>
        <w:t xml:space="preserve"> des acteurs autonomes</w:t>
      </w:r>
      <w:r>
        <w:rPr>
          <w:b/>
          <w:i/>
          <w:color w:val="C00000"/>
        </w:rPr>
        <w:t>, l</w:t>
      </w:r>
      <w:r w:rsidR="00293962" w:rsidRPr="00DE299C">
        <w:rPr>
          <w:b/>
          <w:i/>
          <w:color w:val="C00000"/>
        </w:rPr>
        <w:t xml:space="preserve">a </w:t>
      </w:r>
      <w:r w:rsidR="00FD4AB6">
        <w:rPr>
          <w:b/>
          <w:i/>
          <w:color w:val="C00000"/>
        </w:rPr>
        <w:t>gestion</w:t>
      </w:r>
      <w:r w:rsidR="00293962" w:rsidRPr="00DE299C">
        <w:rPr>
          <w:b/>
          <w:i/>
          <w:color w:val="C00000"/>
        </w:rPr>
        <w:t xml:space="preserve"> commerciale a été le parent pauvre de cette informatisation. </w:t>
      </w:r>
      <w:r w:rsidR="00C25399" w:rsidRPr="00DE299C">
        <w:rPr>
          <w:b/>
          <w:i/>
          <w:color w:val="C00000"/>
        </w:rPr>
        <w:t xml:space="preserve">La DSI a convaincu l'entreprise que l'intégration </w:t>
      </w:r>
      <w:r w:rsidR="00FD4AB6">
        <w:rPr>
          <w:b/>
          <w:i/>
          <w:color w:val="C00000"/>
        </w:rPr>
        <w:t xml:space="preserve">de </w:t>
      </w:r>
      <w:r>
        <w:rPr>
          <w:b/>
          <w:i/>
          <w:color w:val="C00000"/>
        </w:rPr>
        <w:t xml:space="preserve">la </w:t>
      </w:r>
      <w:r w:rsidRPr="00FD4AB6">
        <w:rPr>
          <w:b/>
          <w:i/>
          <w:color w:val="C00000"/>
          <w:u w:val="single"/>
        </w:rPr>
        <w:t>gestion des visiteurs</w:t>
      </w:r>
      <w:r>
        <w:rPr>
          <w:b/>
          <w:i/>
          <w:color w:val="C00000"/>
        </w:rPr>
        <w:t xml:space="preserve"> </w:t>
      </w:r>
      <w:r w:rsidR="00C25399" w:rsidRPr="00DE299C">
        <w:rPr>
          <w:b/>
          <w:i/>
          <w:color w:val="C00000"/>
        </w:rPr>
        <w:t xml:space="preserve">aura un impact important sur l'ensemble de l'activité. </w:t>
      </w:r>
    </w:p>
    <w:p w:rsidR="00293962" w:rsidRDefault="00293962" w:rsidP="0098056E">
      <w:pPr>
        <w:jc w:val="both"/>
      </w:pPr>
    </w:p>
    <w:p w:rsidR="0069274A" w:rsidRPr="00F02C79" w:rsidRDefault="00915BB2" w:rsidP="00F02C79">
      <w:pPr>
        <w:pStyle w:val="Titre2"/>
        <w:numPr>
          <w:ilvl w:val="1"/>
          <w:numId w:val="34"/>
        </w:numPr>
        <w:suppressAutoHyphens/>
        <w:spacing w:before="360" w:beforeAutospacing="0" w:after="240" w:afterAutospacing="0"/>
        <w:ind w:left="578" w:hanging="578"/>
        <w:jc w:val="both"/>
        <w:rPr>
          <w:sz w:val="24"/>
          <w:szCs w:val="24"/>
        </w:rPr>
      </w:pPr>
      <w:r>
        <w:br w:type="page"/>
      </w:r>
      <w:r w:rsidR="0092355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0;text-align:left;margin-left:176.55pt;margin-top:42.95pt;width:299.25pt;height:337.5pt;z-index:251657728" wrapcoords="1949 96 1949 864 866 1632 704 1680 650 10848 217 10848 217 11328 650 11616 650 20544 1137 20832 1949 20832 1949 21504 21600 21504 21600 96 1949 96">
            <v:imagedata r:id="rId9" o:title=""/>
            <w10:wrap type="tight"/>
          </v:shape>
          <o:OLEObject Type="Embed" ProgID="Visio.Drawing.11" ShapeID="_x0000_s1081" DrawAspect="Content" ObjectID="_1471259711" r:id="rId10"/>
        </w:pict>
      </w:r>
      <w:bookmarkStart w:id="9" w:name="__RefHeading__19_648499181"/>
      <w:bookmarkStart w:id="10" w:name="_Toc367946638"/>
      <w:bookmarkEnd w:id="9"/>
      <w:r w:rsidR="0069274A" w:rsidRPr="00F02C79">
        <w:rPr>
          <w:sz w:val="24"/>
          <w:szCs w:val="24"/>
        </w:rPr>
        <w:t>Organisation du réseau</w:t>
      </w:r>
      <w:bookmarkEnd w:id="10"/>
    </w:p>
    <w:p w:rsidR="0069274A" w:rsidRDefault="00923550" w:rsidP="00F02C79">
      <w:pPr>
        <w:pStyle w:val="Titre3"/>
        <w:spacing w:before="240" w:after="120"/>
        <w:jc w:val="both"/>
      </w:pPr>
      <w:bookmarkStart w:id="11" w:name="__RefHeading__21_648499181"/>
      <w:bookmarkEnd w:id="11"/>
      <w:r>
        <w:pict>
          <v:shape id="_x0000_s1087" type="#_x0000_t75" style="position:absolute;left:0;text-align:left;margin-left:185.55pt;margin-top:0;width:299.2pt;height:345.05pt;z-index:251658752;mso-wrap-distance-left:9.05pt;mso-wrap-distance-right:9.05pt" wrapcoords="1947 94 1947 862 864 1630 702 1678 648 10846 215 10846 215 11326 648 11614 648 20542 1135 20830 1947 20830 1947 21502 21600 21502 21600 94 1947 94" filled="t">
            <v:fill color2="black"/>
            <v:imagedata r:id="rId11" o:title=""/>
            <w10:wrap type="tight"/>
          </v:shape>
          <o:OLEObject Type="Embed" ProgID="Visio.Drawing.11" ShapeID="_x0000_s1087" DrawAspect="Content" ObjectID="_1471259712" r:id="rId12"/>
        </w:pict>
      </w:r>
      <w:bookmarkStart w:id="12" w:name="_Toc367946639"/>
      <w:r w:rsidR="0069274A">
        <w:t>Répartition des services</w:t>
      </w:r>
      <w:bookmarkEnd w:id="12"/>
    </w:p>
    <w:p w:rsidR="0069274A" w:rsidRDefault="0069274A" w:rsidP="0069274A">
      <w:pPr>
        <w:jc w:val="both"/>
      </w:pPr>
      <w:r>
        <w:t xml:space="preserve">Chaque étage dispose d'une baie de brassage qui le relie par une fibre à la baie centrale de la salle serveurs. </w:t>
      </w:r>
    </w:p>
    <w:p w:rsidR="0069274A" w:rsidRDefault="0069274A" w:rsidP="0069274A">
      <w:pPr>
        <w:jc w:val="both"/>
      </w:pPr>
    </w:p>
    <w:p w:rsidR="0069274A" w:rsidRDefault="0069274A" w:rsidP="0069274A">
      <w:pPr>
        <w:jc w:val="both"/>
      </w:pPr>
      <w:r>
        <w:t xml:space="preserve">Toutes les salles de réunion sont équipées d'un point d'accès Wifi positionné par défaut dans le VLAN "Visiteurs" qui autorise uniquement un accès Internet. </w:t>
      </w:r>
    </w:p>
    <w:p w:rsidR="0069274A" w:rsidRDefault="0069274A" w:rsidP="0069274A">
      <w:pPr>
        <w:jc w:val="both"/>
      </w:pPr>
      <w:r>
        <w:t>Les portables connectés en wifi à ce point d'accès reçoivent ainsi une adresse I</w:t>
      </w:r>
      <w:r w:rsidR="00BE44AC">
        <w:t>P</w:t>
      </w:r>
      <w:r>
        <w:t xml:space="preserve"> et n'ont, par conséquent accès qu'aux services DHCP et DNS.</w:t>
      </w:r>
    </w:p>
    <w:p w:rsidR="0069274A" w:rsidRDefault="0069274A" w:rsidP="0069274A">
      <w:pPr>
        <w:jc w:val="both"/>
      </w:pPr>
    </w:p>
    <w:p w:rsidR="0069274A" w:rsidRDefault="0069274A" w:rsidP="0069274A">
      <w:pPr>
        <w:jc w:val="both"/>
      </w:pPr>
      <w:r>
        <w:t>Le point d’accès peut être configuré à la demande pour être raccordé à un VLAN présent au niveau de l'étage.</w:t>
      </w:r>
    </w:p>
    <w:p w:rsidR="0069274A" w:rsidRDefault="0069274A" w:rsidP="0069274A">
      <w:pPr>
        <w:jc w:val="both"/>
      </w:pPr>
    </w:p>
    <w:p w:rsidR="0069274A" w:rsidRDefault="0069274A" w:rsidP="0069274A">
      <w:pPr>
        <w:jc w:val="both"/>
      </w:pPr>
      <w:r>
        <w:t xml:space="preserve">Chaque salle de réunion dispose d'un vidéoprojecteur, d'enceintes et d'un tableau numérique interactif. </w:t>
      </w:r>
    </w:p>
    <w:p w:rsidR="0069274A" w:rsidRDefault="0069274A" w:rsidP="0069274A">
      <w:pPr>
        <w:jc w:val="both"/>
      </w:pPr>
    </w:p>
    <w:p w:rsidR="0069274A" w:rsidRDefault="0069274A" w:rsidP="0069274A">
      <w:pPr>
        <w:jc w:val="both"/>
      </w:pPr>
      <w:r>
        <w:t>La salle "Démonstration" est destinée à l'accueil des organismes de santé (</w:t>
      </w:r>
      <w:r w:rsidR="00BE44AC">
        <w:t>AFSSAPS</w:t>
      </w:r>
      <w:r>
        <w:t xml:space="preserve"> notamment) et des partenaires scientifiques. Elle dispose de paillasses et d'équipements de laboratoire, en plus d'une salle de réunion.</w:t>
      </w:r>
    </w:p>
    <w:p w:rsidR="0069274A" w:rsidRDefault="0069274A" w:rsidP="0069274A">
      <w:pPr>
        <w:jc w:val="both"/>
      </w:pPr>
    </w:p>
    <w:p w:rsidR="0069274A" w:rsidRDefault="0069274A" w:rsidP="0069274A">
      <w:pPr>
        <w:jc w:val="both"/>
      </w:pPr>
    </w:p>
    <w:p w:rsidR="0069274A" w:rsidRDefault="0069274A" w:rsidP="006363B6">
      <w:pPr>
        <w:pStyle w:val="Titre3"/>
        <w:spacing w:after="120"/>
        <w:jc w:val="both"/>
      </w:pPr>
      <w:bookmarkStart w:id="13" w:name="__RefHeading__23_648499181"/>
      <w:bookmarkStart w:id="14" w:name="_Toc367946640"/>
      <w:bookmarkEnd w:id="13"/>
      <w:r>
        <w:t>Segmentation</w:t>
      </w:r>
      <w:bookmarkEnd w:id="14"/>
    </w:p>
    <w:p w:rsidR="0069274A" w:rsidRDefault="0069274A" w:rsidP="006363B6">
      <w:pPr>
        <w:spacing w:after="120"/>
        <w:jc w:val="both"/>
      </w:pPr>
      <w:r>
        <w:t xml:space="preserve">L'organisation des VLAN et de l'adressage IP est la suivante : </w:t>
      </w:r>
    </w:p>
    <w:tbl>
      <w:tblPr>
        <w:tblW w:w="0" w:type="auto"/>
        <w:jc w:val="center"/>
        <w:tblInd w:w="-5" w:type="dxa"/>
        <w:tblLayout w:type="fixed"/>
        <w:tblLook w:val="0000"/>
      </w:tblPr>
      <w:tblGrid>
        <w:gridCol w:w="1101"/>
        <w:gridCol w:w="2551"/>
        <w:gridCol w:w="1853"/>
      </w:tblGrid>
      <w:tr w:rsidR="0069274A" w:rsidTr="006363B6">
        <w:trPr>
          <w:jc w:val="center"/>
        </w:trPr>
        <w:tc>
          <w:tcPr>
            <w:tcW w:w="1101" w:type="dxa"/>
            <w:tcBorders>
              <w:top w:val="single" w:sz="4" w:space="0" w:color="000000"/>
              <w:left w:val="single" w:sz="4" w:space="0" w:color="000000"/>
              <w:bottom w:val="single" w:sz="4" w:space="0" w:color="000000"/>
            </w:tcBorders>
            <w:shd w:val="clear" w:color="auto" w:fill="C6D9F1"/>
          </w:tcPr>
          <w:p w:rsidR="0069274A" w:rsidRDefault="0069274A" w:rsidP="008B55FA">
            <w:pPr>
              <w:snapToGrid w:val="0"/>
              <w:jc w:val="center"/>
              <w:rPr>
                <w:b/>
                <w:i/>
                <w:color w:val="1F497D"/>
              </w:rPr>
            </w:pPr>
            <w:r>
              <w:rPr>
                <w:b/>
                <w:i/>
                <w:color w:val="1F497D"/>
              </w:rPr>
              <w:t>N° VLAN</w:t>
            </w:r>
          </w:p>
        </w:tc>
        <w:tc>
          <w:tcPr>
            <w:tcW w:w="2551" w:type="dxa"/>
            <w:tcBorders>
              <w:top w:val="single" w:sz="4" w:space="0" w:color="000000"/>
              <w:left w:val="single" w:sz="4" w:space="0" w:color="000000"/>
              <w:bottom w:val="single" w:sz="4" w:space="0" w:color="000000"/>
            </w:tcBorders>
            <w:shd w:val="clear" w:color="auto" w:fill="C6D9F1"/>
          </w:tcPr>
          <w:p w:rsidR="0069274A" w:rsidRDefault="0069274A" w:rsidP="008B55FA">
            <w:pPr>
              <w:snapToGrid w:val="0"/>
              <w:jc w:val="center"/>
              <w:rPr>
                <w:b/>
                <w:i/>
                <w:color w:val="1F497D"/>
              </w:rPr>
            </w:pPr>
            <w:r>
              <w:rPr>
                <w:b/>
                <w:i/>
                <w:color w:val="1F497D"/>
              </w:rPr>
              <w:t>Service(s)</w:t>
            </w:r>
          </w:p>
        </w:tc>
        <w:tc>
          <w:tcPr>
            <w:tcW w:w="1853" w:type="dxa"/>
            <w:tcBorders>
              <w:top w:val="single" w:sz="4" w:space="0" w:color="000000"/>
              <w:left w:val="single" w:sz="4" w:space="0" w:color="000000"/>
              <w:bottom w:val="single" w:sz="4" w:space="0" w:color="000000"/>
              <w:right w:val="single" w:sz="4" w:space="0" w:color="000000"/>
            </w:tcBorders>
            <w:shd w:val="clear" w:color="auto" w:fill="C6D9F1"/>
          </w:tcPr>
          <w:p w:rsidR="0069274A" w:rsidRDefault="0069274A" w:rsidP="008B55FA">
            <w:pPr>
              <w:snapToGrid w:val="0"/>
              <w:jc w:val="center"/>
              <w:rPr>
                <w:b/>
                <w:i/>
                <w:color w:val="1F497D"/>
              </w:rPr>
            </w:pPr>
            <w:r>
              <w:rPr>
                <w:b/>
                <w:i/>
                <w:color w:val="1F497D"/>
              </w:rPr>
              <w:t>Adressage IP</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Réseau &amp; Système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20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Direction / DSI</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192.168.20.0/24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30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RH / Compta / Juridique / Secrétariat Administratif</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192.168.30.0/24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40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Communication / Rédaction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192.168.40.0/24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50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Développement</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192.168.50.0/24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60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Commercial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192.168.60.0/24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70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Labo-Recherche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192.168.70.0/24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Accueil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192.168.100.0/24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150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Visiteurs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192.168.150.0/24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200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Démonstration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192.168.200.0/24</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300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Serveurs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5F49DA" w:rsidP="008B55FA">
            <w:pPr>
              <w:snapToGrid w:val="0"/>
              <w:jc w:val="right"/>
            </w:pPr>
            <w:r>
              <w:t>172.16.0.0/17</w:t>
            </w:r>
          </w:p>
        </w:tc>
      </w:tr>
      <w:tr w:rsidR="0069274A" w:rsidTr="006363B6">
        <w:trPr>
          <w:jc w:val="center"/>
        </w:trPr>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400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Sortie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172.18.0.0/30</w:t>
            </w:r>
          </w:p>
        </w:tc>
      </w:tr>
    </w:tbl>
    <w:p w:rsidR="0069274A" w:rsidRDefault="0069274A" w:rsidP="0069274A">
      <w:pPr>
        <w:jc w:val="both"/>
      </w:pPr>
    </w:p>
    <w:p w:rsidR="0069274A" w:rsidRDefault="0069274A" w:rsidP="0069274A">
      <w:pPr>
        <w:jc w:val="both"/>
      </w:pPr>
      <w:r>
        <w:t>Les règles actuelles concernant les vlans sont les suivantes :</w:t>
      </w:r>
    </w:p>
    <w:p w:rsidR="0069274A" w:rsidRDefault="0069274A" w:rsidP="0069274A">
      <w:pPr>
        <w:numPr>
          <w:ilvl w:val="0"/>
          <w:numId w:val="36"/>
        </w:numPr>
        <w:suppressAutoHyphens/>
      </w:pPr>
      <w:r>
        <w:t>chaque vlan (sauf le vlan visiteur) peut uniquement accéder (quel</w:t>
      </w:r>
      <w:r w:rsidR="00814A72">
        <w:t xml:space="preserve"> </w:t>
      </w:r>
      <w:r>
        <w:t>que soit le protocole) aux vlans "Serveurs" et "Sortie";</w:t>
      </w:r>
    </w:p>
    <w:p w:rsidR="0069274A" w:rsidRDefault="0069274A" w:rsidP="0069274A">
      <w:pPr>
        <w:numPr>
          <w:ilvl w:val="0"/>
          <w:numId w:val="36"/>
        </w:numPr>
        <w:suppressAutoHyphens/>
      </w:pPr>
      <w:r>
        <w:t xml:space="preserve">le vlan "Visiteurs" peut uniquement </w:t>
      </w:r>
      <w:r w:rsidR="001B28E3">
        <w:t>interroger les</w:t>
      </w:r>
      <w:r>
        <w:t xml:space="preserve"> serveur </w:t>
      </w:r>
      <w:r w:rsidR="001B28E3">
        <w:t>DNS</w:t>
      </w:r>
      <w:r>
        <w:t xml:space="preserve"> et </w:t>
      </w:r>
      <w:r w:rsidR="001B28E3">
        <w:t>DHCP</w:t>
      </w:r>
      <w:r>
        <w:t xml:space="preserve"> et sortir sur internet ;</w:t>
      </w:r>
    </w:p>
    <w:p w:rsidR="00EF429C" w:rsidRDefault="00EF429C" w:rsidP="00EF429C">
      <w:pPr>
        <w:pStyle w:val="Titre2"/>
        <w:spacing w:before="0" w:beforeAutospacing="0"/>
        <w:rPr>
          <w:sz w:val="24"/>
          <w:szCs w:val="24"/>
        </w:rPr>
      </w:pPr>
      <w:bookmarkStart w:id="15" w:name="__RefHeading__25_648499181"/>
      <w:bookmarkStart w:id="16" w:name="_Toc367946641"/>
      <w:bookmarkEnd w:id="15"/>
    </w:p>
    <w:p w:rsidR="00EF429C" w:rsidRDefault="00EF429C" w:rsidP="00EF429C">
      <w:pPr>
        <w:pStyle w:val="Titre2"/>
        <w:spacing w:before="0" w:beforeAutospacing="0" w:after="0" w:afterAutospacing="0"/>
        <w:rPr>
          <w:sz w:val="24"/>
          <w:szCs w:val="24"/>
        </w:rPr>
      </w:pPr>
    </w:p>
    <w:p w:rsidR="0069274A" w:rsidRPr="0091724F" w:rsidRDefault="0069274A" w:rsidP="00EF429C">
      <w:pPr>
        <w:pStyle w:val="Titre2"/>
        <w:spacing w:before="0" w:beforeAutospacing="0"/>
        <w:rPr>
          <w:sz w:val="24"/>
          <w:szCs w:val="24"/>
        </w:rPr>
      </w:pPr>
      <w:r w:rsidRPr="0091724F">
        <w:rPr>
          <w:sz w:val="24"/>
          <w:szCs w:val="24"/>
        </w:rPr>
        <w:t>Salle serveur et connexion internet</w:t>
      </w:r>
      <w:bookmarkEnd w:id="16"/>
    </w:p>
    <w:p w:rsidR="00814A72" w:rsidRDefault="0069274A" w:rsidP="0069274A">
      <w:r>
        <w:t xml:space="preserve">L'organisation des serveurs est la suivante. Il n’est pas précisé si les serveurs sont virtualisés ou non. </w:t>
      </w:r>
    </w:p>
    <w:p w:rsidR="0069274A" w:rsidRDefault="0069274A" w:rsidP="0069274A">
      <w:r>
        <w:t xml:space="preserve">Seuls les serveurs principaux sont présentés, les redondances n'apparaissent pas. </w:t>
      </w:r>
    </w:p>
    <w:p w:rsidR="0029728F" w:rsidRDefault="0029728F" w:rsidP="0069274A"/>
    <w:p w:rsidR="0069274A" w:rsidRDefault="00DA3075" w:rsidP="0069274A">
      <w:pPr>
        <w:jc w:val="both"/>
      </w:pPr>
      <w:r>
        <w:object w:dxaOrig="20354" w:dyaOrig="13216">
          <v:shape id="_x0000_i1025" type="#_x0000_t75" style="width:453pt;height:294pt" o:ole="" filled="t">
            <v:fill color2="black"/>
            <v:imagedata r:id="rId13" o:title=""/>
          </v:shape>
          <o:OLEObject Type="Embed" ProgID="Visio.Drawing.11" ShapeID="_x0000_i1025" DrawAspect="Content" ObjectID="_1471259710" r:id="rId14"/>
        </w:object>
      </w:r>
    </w:p>
    <w:p w:rsidR="00E549E3" w:rsidRDefault="00E549E3" w:rsidP="0069274A">
      <w:pPr>
        <w:jc w:val="both"/>
      </w:pPr>
    </w:p>
    <w:p w:rsidR="00DA3075" w:rsidRDefault="00DA3075" w:rsidP="00F040E1">
      <w:pPr>
        <w:spacing w:after="120"/>
        <w:jc w:val="both"/>
      </w:pPr>
    </w:p>
    <w:p w:rsidR="00DA3075" w:rsidRDefault="00DA3075" w:rsidP="00DA3075">
      <w:pPr>
        <w:spacing w:after="120"/>
        <w:jc w:val="both"/>
      </w:pPr>
      <w:r>
        <w:t>Les bases de données des serveurs BDMED</w:t>
      </w:r>
      <w:r w:rsidR="001A4C0F">
        <w:t>, concernant les informations des médecins,</w:t>
      </w:r>
      <w:r>
        <w:t xml:space="preserve"> et BDPHARMA</w:t>
      </w:r>
      <w:r w:rsidR="001A4C0F">
        <w:t xml:space="preserve">, concernant les données pharmaceutiques, </w:t>
      </w:r>
      <w:r>
        <w:t xml:space="preserve">sont achetées périodiquement auprès d'organismes extérieurs et tenues à jour par les employés entre deux achats. </w:t>
      </w:r>
    </w:p>
    <w:p w:rsidR="001A4C0F" w:rsidRDefault="0069274A" w:rsidP="00F040E1">
      <w:pPr>
        <w:spacing w:after="120"/>
        <w:jc w:val="both"/>
      </w:pPr>
      <w:r>
        <w:t xml:space="preserve">Le commutateur MUTLAB assure un fonctionnement de niveau </w:t>
      </w:r>
      <w:r w:rsidR="0029728F">
        <w:t>2</w:t>
      </w:r>
      <w:r>
        <w:t xml:space="preserve">. </w:t>
      </w:r>
    </w:p>
    <w:p w:rsidR="0069274A" w:rsidRDefault="0029728F" w:rsidP="00F040E1">
      <w:pPr>
        <w:spacing w:after="120"/>
        <w:jc w:val="both"/>
      </w:pPr>
      <w:r>
        <w:t xml:space="preserve">Le routeur RTINTRA </w:t>
      </w:r>
      <w:r w:rsidR="0069274A">
        <w:t xml:space="preserve">réalise un routage inter-vlan en limitant les communications grâce à des listes de contrôles d'accès (ACL). </w:t>
      </w:r>
    </w:p>
    <w:p w:rsidR="00DA3075" w:rsidRDefault="00DA3075" w:rsidP="00DA3075">
      <w:pPr>
        <w:jc w:val="both"/>
      </w:pPr>
      <w:r>
        <w:t xml:space="preserve">Le serveur de messagerie et l'intranet sont limités à un usage interne au site parisien. Des services externalisés (relai de messagerie auprès de l'opérateur et recopie d'une partie du serveur intranet sur le serveur Web hébergé chez un prestataire) permettent aux visiteurs médicaux d'utiliser la messagerie de l'entreprise et d'avoir accès aux principales informations de l'intranet (Comité d'entreprise, circulaires importantes, stratégie de l'entreprise, comptes rendus de CA, etc.). </w:t>
      </w:r>
    </w:p>
    <w:p w:rsidR="0069274A" w:rsidRDefault="0069274A" w:rsidP="00F040E1">
      <w:pPr>
        <w:spacing w:after="120"/>
        <w:jc w:val="both"/>
      </w:pPr>
    </w:p>
    <w:p w:rsidR="0069274A" w:rsidRDefault="0069274A" w:rsidP="00F040E1">
      <w:pPr>
        <w:spacing w:after="120"/>
        <w:jc w:val="both"/>
      </w:pPr>
      <w:r>
        <w:t xml:space="preserve">La messagerie publique </w:t>
      </w:r>
      <w:r>
        <w:rPr>
          <w:i/>
        </w:rPr>
        <w:t>@swiss-galxy.com</w:t>
      </w:r>
      <w:r>
        <w:t xml:space="preserve"> est hébergée aux États-Unis. </w:t>
      </w:r>
    </w:p>
    <w:p w:rsidR="0069274A" w:rsidRDefault="0069274A" w:rsidP="0069274A">
      <w:pPr>
        <w:jc w:val="both"/>
      </w:pPr>
    </w:p>
    <w:p w:rsidR="0014545B" w:rsidRDefault="0014545B" w:rsidP="0014545B">
      <w:pPr>
        <w:pStyle w:val="Titre2"/>
        <w:numPr>
          <w:ilvl w:val="1"/>
          <w:numId w:val="34"/>
        </w:numPr>
        <w:suppressAutoHyphens/>
        <w:spacing w:before="120" w:beforeAutospacing="0" w:after="240" w:afterAutospacing="0"/>
        <w:ind w:left="578" w:hanging="578"/>
        <w:jc w:val="both"/>
      </w:pPr>
      <w:bookmarkStart w:id="17" w:name="__RefHeading__27_648499181"/>
      <w:bookmarkEnd w:id="17"/>
    </w:p>
    <w:p w:rsidR="0014545B" w:rsidRDefault="0014545B" w:rsidP="0014545B">
      <w:pPr>
        <w:pStyle w:val="Titre2"/>
        <w:numPr>
          <w:ilvl w:val="1"/>
          <w:numId w:val="34"/>
        </w:numPr>
        <w:suppressAutoHyphens/>
        <w:spacing w:before="120" w:beforeAutospacing="0" w:after="240" w:afterAutospacing="0"/>
        <w:ind w:left="578" w:hanging="578"/>
        <w:jc w:val="both"/>
      </w:pPr>
    </w:p>
    <w:p w:rsidR="0014545B" w:rsidRDefault="0014545B" w:rsidP="0014545B">
      <w:pPr>
        <w:pStyle w:val="Titre2"/>
        <w:numPr>
          <w:ilvl w:val="1"/>
          <w:numId w:val="34"/>
        </w:numPr>
        <w:suppressAutoHyphens/>
        <w:spacing w:before="120" w:beforeAutospacing="0" w:after="240" w:afterAutospacing="0"/>
        <w:ind w:left="578" w:hanging="578"/>
        <w:jc w:val="both"/>
      </w:pPr>
    </w:p>
    <w:p w:rsidR="0014545B" w:rsidRDefault="0014545B" w:rsidP="0014545B">
      <w:pPr>
        <w:pStyle w:val="Titre2"/>
        <w:numPr>
          <w:ilvl w:val="1"/>
          <w:numId w:val="34"/>
        </w:numPr>
        <w:suppressAutoHyphens/>
        <w:spacing w:before="0" w:beforeAutospacing="0" w:after="0" w:afterAutospacing="0" w:line="120" w:lineRule="auto"/>
        <w:ind w:left="578" w:hanging="578"/>
        <w:jc w:val="both"/>
      </w:pPr>
    </w:p>
    <w:p w:rsidR="0014545B" w:rsidRDefault="0014545B" w:rsidP="0014545B">
      <w:pPr>
        <w:pStyle w:val="Titre2"/>
        <w:suppressAutoHyphens/>
        <w:spacing w:before="0" w:beforeAutospacing="0" w:after="0" w:afterAutospacing="0" w:line="120" w:lineRule="auto"/>
        <w:jc w:val="both"/>
      </w:pPr>
    </w:p>
    <w:p w:rsidR="00DA3075" w:rsidRDefault="00DA3075" w:rsidP="00DA3075">
      <w:pPr>
        <w:pStyle w:val="Titre2"/>
        <w:spacing w:before="0" w:beforeAutospacing="0" w:after="0" w:afterAutospacing="0"/>
        <w:rPr>
          <w:sz w:val="24"/>
          <w:szCs w:val="24"/>
        </w:rPr>
      </w:pPr>
    </w:p>
    <w:p w:rsidR="00EF429C" w:rsidRDefault="00EF429C" w:rsidP="00EF429C">
      <w:pPr>
        <w:pStyle w:val="Titre2"/>
        <w:spacing w:before="0" w:beforeAutospacing="0" w:after="0" w:afterAutospacing="0"/>
        <w:rPr>
          <w:sz w:val="24"/>
          <w:szCs w:val="24"/>
        </w:rPr>
      </w:pPr>
      <w:bookmarkStart w:id="18" w:name="_Toc367946642"/>
    </w:p>
    <w:p w:rsidR="0069274A" w:rsidRPr="0091724F" w:rsidRDefault="0069274A" w:rsidP="000428A6">
      <w:pPr>
        <w:pStyle w:val="Titre2"/>
        <w:spacing w:before="0" w:beforeAutospacing="0" w:after="240" w:afterAutospacing="0"/>
        <w:rPr>
          <w:sz w:val="24"/>
          <w:szCs w:val="24"/>
        </w:rPr>
      </w:pPr>
      <w:r w:rsidRPr="0091724F">
        <w:rPr>
          <w:sz w:val="24"/>
          <w:szCs w:val="24"/>
        </w:rPr>
        <w:t>Domaine d'étude</w:t>
      </w:r>
      <w:bookmarkEnd w:id="18"/>
    </w:p>
    <w:p w:rsidR="00D16D34" w:rsidRDefault="0069274A" w:rsidP="000428A6">
      <w:pPr>
        <w:jc w:val="both"/>
      </w:pPr>
      <w:r w:rsidRPr="008807ED">
        <w:t xml:space="preserve">L'entreprise souhaite porter une attention nouvelle à sa force commerciale dans un double </w:t>
      </w:r>
      <w:r w:rsidR="00D16D34">
        <w:t>objectif :</w:t>
      </w:r>
    </w:p>
    <w:p w:rsidR="00D16D34" w:rsidRDefault="00D16D34" w:rsidP="00D16D34">
      <w:pPr>
        <w:pStyle w:val="Paragraphedeliste"/>
        <w:numPr>
          <w:ilvl w:val="0"/>
          <w:numId w:val="38"/>
        </w:numPr>
        <w:spacing w:after="120"/>
        <w:ind w:left="568" w:hanging="284"/>
        <w:jc w:val="both"/>
      </w:pPr>
      <w:r w:rsidRPr="008807ED">
        <w:t xml:space="preserve">redonner confiance aux équipes </w:t>
      </w:r>
      <w:r w:rsidR="00F80C46">
        <w:t>de visiteurs</w:t>
      </w:r>
      <w:r>
        <w:t>,</w:t>
      </w:r>
      <w:r w:rsidR="00F80C46">
        <w:t xml:space="preserve">  </w:t>
      </w:r>
    </w:p>
    <w:p w:rsidR="00D16D34" w:rsidRDefault="00D16D34" w:rsidP="00D16D34">
      <w:pPr>
        <w:pStyle w:val="Paragraphedeliste"/>
        <w:numPr>
          <w:ilvl w:val="0"/>
          <w:numId w:val="38"/>
        </w:numPr>
        <w:spacing w:after="120"/>
        <w:ind w:left="568" w:hanging="284"/>
        <w:jc w:val="both"/>
      </w:pPr>
      <w:r>
        <w:t>obtenir une vision</w:t>
      </w:r>
      <w:r w:rsidR="0069274A" w:rsidRPr="008807ED">
        <w:t xml:space="preserve"> régulière et efficace de l'activité menée </w:t>
      </w:r>
      <w:r w:rsidRPr="008807ED">
        <w:t xml:space="preserve">sur le terrain </w:t>
      </w:r>
      <w:r>
        <w:t xml:space="preserve">par les visiteurs médicaux </w:t>
      </w:r>
      <w:r w:rsidR="0069274A" w:rsidRPr="008807ED">
        <w:t xml:space="preserve">auprès des praticiens, </w:t>
      </w:r>
    </w:p>
    <w:p w:rsidR="0069274A" w:rsidRPr="008807ED" w:rsidRDefault="00D16D34" w:rsidP="00D16D34">
      <w:pPr>
        <w:pStyle w:val="Paragraphedeliste"/>
        <w:numPr>
          <w:ilvl w:val="0"/>
          <w:numId w:val="38"/>
        </w:numPr>
        <w:spacing w:after="120"/>
        <w:ind w:left="568" w:hanging="284"/>
        <w:jc w:val="both"/>
      </w:pPr>
      <w:r>
        <w:t>assurer une meilleure gestion des frais occasionnés par les déplacement des visiteurs afin de le</w:t>
      </w:r>
      <w:r w:rsidR="00F80C46">
        <w:t>s</w:t>
      </w:r>
      <w:r>
        <w:t xml:space="preserve"> rembourser plus rapidement</w:t>
      </w:r>
      <w:r w:rsidR="0069274A" w:rsidRPr="008807ED">
        <w:t>.</w:t>
      </w:r>
    </w:p>
    <w:p w:rsidR="0069274A" w:rsidRDefault="0069274A" w:rsidP="009F275B">
      <w:pPr>
        <w:pStyle w:val="Titre3"/>
        <w:spacing w:before="360" w:after="120"/>
        <w:jc w:val="both"/>
      </w:pPr>
      <w:bookmarkStart w:id="19" w:name="__RefHeading__29_648499181"/>
      <w:bookmarkStart w:id="20" w:name="_Toc367946643"/>
      <w:bookmarkEnd w:id="19"/>
      <w:r>
        <w:t>Les visiteurs</w:t>
      </w:r>
      <w:bookmarkEnd w:id="20"/>
    </w:p>
    <w:p w:rsidR="0069274A" w:rsidRPr="008807ED" w:rsidRDefault="0069274A" w:rsidP="000428A6">
      <w:pPr>
        <w:spacing w:after="120"/>
        <w:ind w:right="-2"/>
        <w:jc w:val="both"/>
      </w:pPr>
      <w:r w:rsidRPr="008807ED">
        <w:t xml:space="preserve">La force commerciale d'un laboratoire pharmaceutique est assurée par un travail de conseil et d'information </w:t>
      </w:r>
      <w:r w:rsidR="00F80C46">
        <w:t xml:space="preserve">effectué par les visiteurs médicaux </w:t>
      </w:r>
      <w:r w:rsidRPr="008807ED">
        <w:t xml:space="preserve">auprès des </w:t>
      </w:r>
      <w:r w:rsidR="00F80C46">
        <w:t>praticiens</w:t>
      </w:r>
      <w:r w:rsidRPr="008807ED">
        <w:t>.</w:t>
      </w:r>
      <w:r w:rsidR="00DB6E0B" w:rsidRPr="008807ED">
        <w:t xml:space="preserve"> </w:t>
      </w:r>
      <w:r w:rsidRPr="008807ED">
        <w:t xml:space="preserve">Les visiteurs médicaux démarchent </w:t>
      </w:r>
      <w:r w:rsidR="00E845F8">
        <w:t xml:space="preserve">: </w:t>
      </w:r>
      <w:r w:rsidRPr="008807ED">
        <w:t xml:space="preserve">les médecins, </w:t>
      </w:r>
      <w:r w:rsidR="00E845F8">
        <w:t xml:space="preserve">les </w:t>
      </w:r>
      <w:r w:rsidRPr="008807ED">
        <w:t>pharmaciens,</w:t>
      </w:r>
      <w:r w:rsidR="00E845F8">
        <w:t xml:space="preserve"> les </w:t>
      </w:r>
      <w:r w:rsidRPr="008807ED">
        <w:t>infirmières et autres métiers de santé susceptibles de prescrire aux patients les produits du laboratoire.</w:t>
      </w:r>
    </w:p>
    <w:p w:rsidR="0069274A" w:rsidRPr="008807ED" w:rsidRDefault="0069274A" w:rsidP="000428A6">
      <w:pPr>
        <w:spacing w:after="120"/>
        <w:ind w:right="-2"/>
        <w:jc w:val="both"/>
      </w:pPr>
      <w:r w:rsidRPr="008807ED">
        <w:t xml:space="preserve">L'objectif d'une visite est d'actualiser la connaissance des professionnels de santé sur les produits </w:t>
      </w:r>
      <w:r w:rsidR="009B625A">
        <w:t>distribués par GSB</w:t>
      </w:r>
      <w:r w:rsidRPr="008807ED">
        <w:t xml:space="preserve">. Les visiteurs ne font pas de vente, mais leurs interventions ont un impact </w:t>
      </w:r>
      <w:r w:rsidR="009B625A">
        <w:t>important</w:t>
      </w:r>
      <w:r w:rsidRPr="008807ED">
        <w:t xml:space="preserve"> sur la prescription de la pharmacopée du laboratoire</w:t>
      </w:r>
      <w:r w:rsidR="009B625A">
        <w:t xml:space="preserve"> par les </w:t>
      </w:r>
      <w:r w:rsidR="00E845F8">
        <w:t>médecins</w:t>
      </w:r>
      <w:r w:rsidRPr="008807ED">
        <w:t>.</w:t>
      </w:r>
    </w:p>
    <w:p w:rsidR="0069274A" w:rsidRDefault="00923550" w:rsidP="000428A6">
      <w:pPr>
        <w:spacing w:after="120"/>
        <w:ind w:right="4817"/>
        <w:jc w:val="both"/>
      </w:pPr>
      <w:r>
        <w:pict>
          <v:shape id="_x0000_s1090" type="#_x0000_t75" style="position:absolute;left:0;text-align:left;margin-left:221.3pt;margin-top:1.4pt;width:250.8pt;height:86.2pt;z-index:251660800" filled="t">
            <v:fill color2="black"/>
            <v:imagedata r:id="rId15" o:title=""/>
          </v:shape>
          <o:OLEObject Type="Embed" ProgID="OrgPlusWOPX.4" ShapeID="_x0000_s1090" DrawAspect="Content" ObjectID="_1471259713" r:id="rId16"/>
        </w:pict>
      </w:r>
      <w:r w:rsidR="00E845F8">
        <w:t>L'entreprise a adopté u</w:t>
      </w:r>
      <w:r w:rsidR="0069274A" w:rsidRPr="008807ED">
        <w:t xml:space="preserve">ne organisation </w:t>
      </w:r>
      <w:r w:rsidR="00E845F8">
        <w:t>hiérarchique des</w:t>
      </w:r>
      <w:r w:rsidR="0069274A" w:rsidRPr="008807ED">
        <w:t xml:space="preserve"> délégués médicaux</w:t>
      </w:r>
      <w:r w:rsidR="00E845F8">
        <w:t xml:space="preserve">. Chaque visiteur travaille </w:t>
      </w:r>
      <w:r w:rsidR="00DF319D">
        <w:t xml:space="preserve">sur plusieurs </w:t>
      </w:r>
      <w:r w:rsidR="00E845F8">
        <w:t>région sous la responsabilité d'un délégué régional, qui lui-même dépend</w:t>
      </w:r>
      <w:r w:rsidR="00DF319D">
        <w:t>,</w:t>
      </w:r>
      <w:r w:rsidR="00E845F8">
        <w:t xml:space="preserve"> à un niveau hiérarchique supérieur</w:t>
      </w:r>
      <w:r w:rsidR="00DF319D">
        <w:t>,</w:t>
      </w:r>
      <w:r w:rsidR="00E845F8">
        <w:t xml:space="preserve"> d'un responsable de secteur</w:t>
      </w:r>
      <w:r w:rsidR="0069274A" w:rsidRPr="008807ED">
        <w:t xml:space="preserve"> (Sud, Nord, </w:t>
      </w:r>
      <w:r w:rsidR="001B28E3" w:rsidRPr="008807ED">
        <w:t>P</w:t>
      </w:r>
      <w:r w:rsidR="0069274A" w:rsidRPr="008807ED">
        <w:t xml:space="preserve">aris-Centre, </w:t>
      </w:r>
      <w:r w:rsidR="001B28E3" w:rsidRPr="008807ED">
        <w:t xml:space="preserve">Antilles-Guyane, </w:t>
      </w:r>
      <w:r w:rsidR="0069274A" w:rsidRPr="008807ED">
        <w:t>etc).</w:t>
      </w:r>
      <w:r w:rsidR="000428A6">
        <w:t xml:space="preserve"> Délégués régionaux et responsables de secteur sont avant tout des visiteurs médicaux.</w:t>
      </w:r>
    </w:p>
    <w:p w:rsidR="008807ED" w:rsidRDefault="008807ED" w:rsidP="0069274A">
      <w:pPr>
        <w:jc w:val="both"/>
        <w:rPr>
          <w:b/>
          <w:i/>
          <w:color w:val="C00000"/>
          <w:sz w:val="18"/>
          <w:szCs w:val="18"/>
        </w:rPr>
      </w:pPr>
    </w:p>
    <w:p w:rsidR="0069274A" w:rsidRPr="00E845F8" w:rsidRDefault="0069274A" w:rsidP="00E845F8">
      <w:pPr>
        <w:pBdr>
          <w:top w:val="single" w:sz="4" w:space="5" w:color="auto"/>
          <w:left w:val="single" w:sz="4" w:space="5" w:color="auto"/>
          <w:bottom w:val="single" w:sz="4" w:space="5" w:color="auto"/>
          <w:right w:val="single" w:sz="4" w:space="5" w:color="auto"/>
        </w:pBdr>
        <w:ind w:left="142"/>
        <w:jc w:val="both"/>
        <w:rPr>
          <w:b/>
          <w:i/>
          <w:color w:val="C00000"/>
        </w:rPr>
      </w:pPr>
      <w:r w:rsidRPr="00E845F8">
        <w:rPr>
          <w:b/>
          <w:i/>
          <w:color w:val="C00000"/>
        </w:rPr>
        <w:t xml:space="preserve">On </w:t>
      </w:r>
      <w:r w:rsidR="00E845F8">
        <w:rPr>
          <w:b/>
          <w:i/>
          <w:color w:val="C00000"/>
        </w:rPr>
        <w:t>veut</w:t>
      </w:r>
      <w:r w:rsidRPr="00E845F8">
        <w:rPr>
          <w:b/>
          <w:i/>
          <w:color w:val="C00000"/>
        </w:rPr>
        <w:t xml:space="preserve"> </w:t>
      </w:r>
      <w:r w:rsidR="00F03A4E">
        <w:rPr>
          <w:b/>
          <w:i/>
          <w:color w:val="C00000"/>
        </w:rPr>
        <w:t>faciliter</w:t>
      </w:r>
      <w:r w:rsidRPr="00E845F8">
        <w:rPr>
          <w:b/>
          <w:i/>
          <w:color w:val="C00000"/>
        </w:rPr>
        <w:t xml:space="preserve"> le contact entre ces </w:t>
      </w:r>
      <w:r w:rsidR="000428A6">
        <w:rPr>
          <w:b/>
          <w:i/>
          <w:color w:val="C00000"/>
        </w:rPr>
        <w:t xml:space="preserve">différents </w:t>
      </w:r>
      <w:r w:rsidRPr="00E845F8">
        <w:rPr>
          <w:b/>
          <w:i/>
          <w:color w:val="C00000"/>
        </w:rPr>
        <w:t xml:space="preserve">acteurs </w:t>
      </w:r>
      <w:r w:rsidR="000428A6">
        <w:rPr>
          <w:b/>
          <w:i/>
          <w:color w:val="C00000"/>
        </w:rPr>
        <w:t>e</w:t>
      </w:r>
      <w:r w:rsidRPr="00E845F8">
        <w:rPr>
          <w:b/>
          <w:i/>
          <w:color w:val="C00000"/>
        </w:rPr>
        <w:t xml:space="preserve">t les services du siège parisien de l'entité Europe. Il s’agit </w:t>
      </w:r>
      <w:r w:rsidR="00F03A4E">
        <w:rPr>
          <w:b/>
          <w:i/>
          <w:color w:val="C00000"/>
        </w:rPr>
        <w:t xml:space="preserve">d'améliorer </w:t>
      </w:r>
      <w:r w:rsidRPr="00E845F8">
        <w:rPr>
          <w:b/>
          <w:i/>
          <w:color w:val="C00000"/>
        </w:rPr>
        <w:t xml:space="preserve">la gestion </w:t>
      </w:r>
      <w:r w:rsidR="00F252A8">
        <w:rPr>
          <w:b/>
          <w:i/>
          <w:color w:val="C00000"/>
        </w:rPr>
        <w:t>des visiteurs</w:t>
      </w:r>
      <w:r w:rsidRPr="00E845F8">
        <w:rPr>
          <w:b/>
          <w:i/>
          <w:color w:val="C00000"/>
        </w:rPr>
        <w:t>.</w:t>
      </w:r>
    </w:p>
    <w:p w:rsidR="000428A6" w:rsidRDefault="000428A6" w:rsidP="009F275B">
      <w:pPr>
        <w:pStyle w:val="Titre3"/>
        <w:spacing w:before="360" w:after="120"/>
        <w:jc w:val="both"/>
      </w:pPr>
      <w:bookmarkStart w:id="21" w:name="__RefHeading__31_648499181"/>
      <w:bookmarkStart w:id="22" w:name="_Toc367946644"/>
      <w:bookmarkEnd w:id="21"/>
      <w:r>
        <w:t>Le suivi des rapports de visites</w:t>
      </w:r>
    </w:p>
    <w:p w:rsidR="000428A6" w:rsidRDefault="000428A6" w:rsidP="000428A6">
      <w:pPr>
        <w:spacing w:after="120"/>
        <w:jc w:val="both"/>
      </w:pPr>
      <w:r>
        <w:t>Lors de leur visite auprès des praticiens, l</w:t>
      </w:r>
      <w:r w:rsidRPr="008807ED">
        <w:t xml:space="preserve">es </w:t>
      </w:r>
      <w:r>
        <w:t xml:space="preserve">visiteurs </w:t>
      </w:r>
      <w:r w:rsidRPr="008807ED">
        <w:t>récupèrent une information directe sur le terrain. Ceci concerne aussi bien le niveau de la confiance qu'inspire le laboratoire que la lisibilité des notices d'utilisation des médicaments ou encore les éventuels problèmes rencontrés lors de leur utilisation, etc.</w:t>
      </w:r>
      <w:r>
        <w:t xml:space="preserve"> </w:t>
      </w:r>
      <w:r w:rsidRPr="008807ED">
        <w:t>Ces informations ne sont actuellement pas systématiquement remontées au siège, ou elles le sont dans des délais jugés trop longs. Le service rédaction qui produit les notices souhaite avoir des remontées plus régulières et directes. Ceci permettra également au service labo-recherche d’engager des év</w:t>
      </w:r>
      <w:r w:rsidR="00EC5378">
        <w:t>olutions sur les produits</w:t>
      </w:r>
      <w:r w:rsidRPr="008807ED">
        <w:t xml:space="preserve">. </w:t>
      </w:r>
    </w:p>
    <w:p w:rsidR="000428A6" w:rsidRPr="000428A6" w:rsidRDefault="000428A6" w:rsidP="000428A6">
      <w:pPr>
        <w:pBdr>
          <w:top w:val="single" w:sz="4" w:space="5" w:color="auto"/>
          <w:left w:val="single" w:sz="4" w:space="5" w:color="auto"/>
          <w:bottom w:val="single" w:sz="4" w:space="5" w:color="auto"/>
          <w:right w:val="single" w:sz="4" w:space="5" w:color="auto"/>
        </w:pBdr>
        <w:ind w:left="142"/>
        <w:jc w:val="both"/>
        <w:rPr>
          <w:b/>
          <w:i/>
          <w:color w:val="C00000"/>
        </w:rPr>
      </w:pPr>
      <w:r w:rsidRPr="000428A6">
        <w:rPr>
          <w:b/>
          <w:i/>
          <w:color w:val="C00000"/>
        </w:rPr>
        <w:t xml:space="preserve">Il est essentiel que les rapports de visite que doivent rédiger les visiteurs médicaux à l'issue d'une rencontre avec un praticien </w:t>
      </w:r>
      <w:r w:rsidR="00A01DBE">
        <w:rPr>
          <w:b/>
          <w:i/>
          <w:color w:val="C00000"/>
        </w:rPr>
        <w:t>soient</w:t>
      </w:r>
      <w:r w:rsidRPr="000428A6">
        <w:rPr>
          <w:b/>
          <w:i/>
          <w:color w:val="C00000"/>
        </w:rPr>
        <w:t xml:space="preserve"> l'objet d'une informatisation pour une remontée </w:t>
      </w:r>
      <w:r w:rsidR="00A01DBE">
        <w:rPr>
          <w:b/>
          <w:i/>
          <w:color w:val="C00000"/>
        </w:rPr>
        <w:t>rapide et efficace</w:t>
      </w:r>
      <w:r w:rsidRPr="000428A6">
        <w:rPr>
          <w:b/>
          <w:i/>
          <w:color w:val="C00000"/>
        </w:rPr>
        <w:t xml:space="preserve"> des données collectées </w:t>
      </w:r>
      <w:r w:rsidR="00A01DBE">
        <w:rPr>
          <w:b/>
          <w:i/>
          <w:color w:val="C00000"/>
        </w:rPr>
        <w:t>auprès des praticiens</w:t>
      </w:r>
      <w:r w:rsidRPr="000428A6">
        <w:rPr>
          <w:b/>
          <w:i/>
          <w:color w:val="C00000"/>
        </w:rPr>
        <w:t xml:space="preserve">. </w:t>
      </w:r>
    </w:p>
    <w:p w:rsidR="009F275B" w:rsidRDefault="0069274A" w:rsidP="009F275B">
      <w:pPr>
        <w:pStyle w:val="Titre3"/>
        <w:spacing w:before="360" w:after="120"/>
        <w:jc w:val="both"/>
      </w:pPr>
      <w:r>
        <w:t xml:space="preserve">Les </w:t>
      </w:r>
      <w:r w:rsidR="009F275B">
        <w:t>frais engagés par les visiteurs</w:t>
      </w:r>
    </w:p>
    <w:bookmarkEnd w:id="22"/>
    <w:p w:rsidR="0069274A" w:rsidRPr="008807ED" w:rsidRDefault="0069274A" w:rsidP="00DB6E0B">
      <w:pPr>
        <w:spacing w:after="120"/>
        <w:jc w:val="both"/>
      </w:pPr>
      <w:r w:rsidRPr="008807ED">
        <w:t>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w:t>
      </w:r>
    </w:p>
    <w:p w:rsidR="0069274A" w:rsidRPr="008807ED" w:rsidRDefault="009F275B" w:rsidP="00DB6E0B">
      <w:pPr>
        <w:spacing w:after="120"/>
        <w:jc w:val="both"/>
      </w:pPr>
      <w:r>
        <w:t>Le</w:t>
      </w:r>
      <w:r w:rsidR="0069274A" w:rsidRPr="008807ED">
        <w:t xml:space="preserve"> remboursement est fait après retour des pièces justificatives.</w:t>
      </w:r>
    </w:p>
    <w:p w:rsidR="0069274A" w:rsidRPr="009F275B" w:rsidRDefault="0069274A" w:rsidP="009F275B">
      <w:pPr>
        <w:pBdr>
          <w:top w:val="single" w:sz="4" w:space="5" w:color="auto"/>
          <w:left w:val="single" w:sz="4" w:space="5" w:color="auto"/>
          <w:bottom w:val="single" w:sz="4" w:space="5" w:color="auto"/>
          <w:right w:val="single" w:sz="4" w:space="5" w:color="auto"/>
        </w:pBdr>
        <w:ind w:left="142"/>
        <w:jc w:val="both"/>
        <w:rPr>
          <w:b/>
          <w:i/>
          <w:color w:val="C00000"/>
        </w:rPr>
      </w:pPr>
      <w:r w:rsidRPr="009F275B">
        <w:rPr>
          <w:b/>
          <w:i/>
          <w:color w:val="C00000"/>
        </w:rPr>
        <w:t xml:space="preserve">Une gestion </w:t>
      </w:r>
      <w:r w:rsidR="009F275B">
        <w:rPr>
          <w:b/>
          <w:i/>
          <w:color w:val="C00000"/>
        </w:rPr>
        <w:t>des</w:t>
      </w:r>
      <w:r w:rsidRPr="009F275B">
        <w:rPr>
          <w:b/>
          <w:i/>
          <w:color w:val="C00000"/>
        </w:rPr>
        <w:t xml:space="preserve"> frais et remboursement</w:t>
      </w:r>
      <w:r w:rsidR="009F275B">
        <w:rPr>
          <w:b/>
          <w:i/>
          <w:color w:val="C00000"/>
        </w:rPr>
        <w:t>s</w:t>
      </w:r>
      <w:r w:rsidRPr="009F275B">
        <w:rPr>
          <w:b/>
          <w:i/>
          <w:color w:val="C00000"/>
        </w:rPr>
        <w:t xml:space="preserve"> pour l'ensemble de la flotte visite est souhaitée.</w:t>
      </w:r>
    </w:p>
    <w:p w:rsidR="008807ED" w:rsidRPr="008807ED" w:rsidRDefault="008807ED" w:rsidP="008807ED">
      <w:pPr>
        <w:jc w:val="both"/>
        <w:rPr>
          <w:b/>
          <w:i/>
          <w:color w:val="C00000"/>
          <w:sz w:val="18"/>
          <w:szCs w:val="18"/>
        </w:rPr>
      </w:pPr>
    </w:p>
    <w:p w:rsidR="00AB2D65" w:rsidRPr="00730F36" w:rsidRDefault="0069274A" w:rsidP="00F02C79">
      <w:pPr>
        <w:jc w:val="both"/>
      </w:pPr>
      <w:r w:rsidRPr="008807ED">
        <w:rPr>
          <w:b/>
          <w:i/>
          <w:color w:val="C00000"/>
          <w:sz w:val="18"/>
          <w:szCs w:val="18"/>
        </w:rPr>
        <w:t xml:space="preserve"> </w:t>
      </w:r>
      <w:bookmarkStart w:id="23" w:name="__RefHeading__33_648499181"/>
      <w:bookmarkEnd w:id="23"/>
    </w:p>
    <w:sectPr w:rsidR="00AB2D65" w:rsidRPr="00730F36" w:rsidSect="002B47ED">
      <w:headerReference w:type="default" r:id="rId17"/>
      <w:footerReference w:type="default" r:id="rId18"/>
      <w:pgSz w:w="11906" w:h="16838" w:code="9"/>
      <w:pgMar w:top="863" w:right="1418" w:bottom="1134" w:left="1418"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427" w:rsidRDefault="00AC4427">
      <w:r>
        <w:separator/>
      </w:r>
    </w:p>
  </w:endnote>
  <w:endnote w:type="continuationSeparator" w:id="0">
    <w:p w:rsidR="00AC4427" w:rsidRDefault="00AC44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D32" w:rsidRPr="0014545B" w:rsidRDefault="0014545B" w:rsidP="0014545B">
    <w:pPr>
      <w:pStyle w:val="Pieddepage"/>
      <w:rPr>
        <w:sz w:val="18"/>
        <w:szCs w:val="18"/>
      </w:rPr>
    </w:pPr>
    <w:r w:rsidRPr="00224483">
      <w:rPr>
        <w:sz w:val="18"/>
        <w:szCs w:val="18"/>
      </w:rPr>
      <w:t xml:space="preserve">Cas </w:t>
    </w:r>
    <w:r>
      <w:rPr>
        <w:sz w:val="18"/>
        <w:szCs w:val="18"/>
      </w:rPr>
      <w:t xml:space="preserve">mis au point </w:t>
    </w:r>
    <w:r w:rsidR="00DF1010">
      <w:rPr>
        <w:sz w:val="18"/>
        <w:szCs w:val="18"/>
      </w:rPr>
      <w:t>par L</w:t>
    </w:r>
    <w:r>
      <w:rPr>
        <w:sz w:val="18"/>
        <w:szCs w:val="18"/>
      </w:rPr>
      <w:t xml:space="preserve">ycée Carcouët </w:t>
    </w:r>
    <w:r w:rsidRPr="00224483">
      <w:rPr>
        <w:sz w:val="18"/>
        <w:szCs w:val="18"/>
      </w:rPr>
      <w:t xml:space="preserve"> à partir de sources du réseau CERTA </w:t>
    </w:r>
    <w:r>
      <w:rPr>
        <w:sz w:val="18"/>
        <w:szCs w:val="18"/>
      </w:rPr>
      <w:t xml:space="preserve">  </w:t>
    </w:r>
    <w:r w:rsidR="00DF1010">
      <w:rPr>
        <w:sz w:val="18"/>
        <w:szCs w:val="18"/>
      </w:rPr>
      <w:t xml:space="preserve">  </w:t>
    </w:r>
    <w:r w:rsidRPr="00224483">
      <w:rPr>
        <w:sz w:val="18"/>
        <w:szCs w:val="18"/>
      </w:rPr>
      <w:t xml:space="preserve">- </w:t>
    </w:r>
    <w:r w:rsidR="00923550" w:rsidRPr="00224483">
      <w:rPr>
        <w:sz w:val="18"/>
        <w:szCs w:val="18"/>
      </w:rPr>
      <w:fldChar w:fldCharType="begin"/>
    </w:r>
    <w:r w:rsidRPr="00224483">
      <w:rPr>
        <w:sz w:val="18"/>
        <w:szCs w:val="18"/>
      </w:rPr>
      <w:instrText xml:space="preserve"> DATE  \@ "MMMM yyyy" </w:instrText>
    </w:r>
    <w:r w:rsidR="00923550" w:rsidRPr="00224483">
      <w:rPr>
        <w:sz w:val="18"/>
        <w:szCs w:val="18"/>
      </w:rPr>
      <w:fldChar w:fldCharType="separate"/>
    </w:r>
    <w:r w:rsidR="00DF319D">
      <w:rPr>
        <w:noProof/>
        <w:sz w:val="18"/>
        <w:szCs w:val="18"/>
      </w:rPr>
      <w:t>septembre 2014</w:t>
    </w:r>
    <w:r w:rsidR="00923550" w:rsidRPr="00224483">
      <w:rPr>
        <w:sz w:val="18"/>
        <w:szCs w:val="18"/>
      </w:rPr>
      <w:fldChar w:fldCharType="end"/>
    </w:r>
    <w:r w:rsidRPr="00224483">
      <w:rPr>
        <w:sz w:val="18"/>
        <w:szCs w:val="18"/>
      </w:rPr>
      <w:t xml:space="preserve"> </w:t>
    </w:r>
    <w:r w:rsidR="00E22CF5">
      <w:rPr>
        <w:sz w:val="18"/>
        <w:szCs w:val="18"/>
      </w:rPr>
      <w:t xml:space="preserve">- </w:t>
    </w:r>
    <w:r w:rsidR="00E22CF5">
      <w:rPr>
        <w:sz w:val="18"/>
        <w:szCs w:val="18"/>
      </w:rPr>
      <w:tab/>
    </w:r>
    <w:r w:rsidR="00923550" w:rsidRPr="00224483">
      <w:rPr>
        <w:rStyle w:val="Numrodepage"/>
        <w:sz w:val="18"/>
        <w:szCs w:val="18"/>
      </w:rPr>
      <w:fldChar w:fldCharType="begin"/>
    </w:r>
    <w:r w:rsidRPr="00224483">
      <w:rPr>
        <w:rStyle w:val="Numrodepage"/>
        <w:sz w:val="18"/>
        <w:szCs w:val="18"/>
      </w:rPr>
      <w:instrText xml:space="preserve"> PAGE </w:instrText>
    </w:r>
    <w:r w:rsidR="00923550" w:rsidRPr="00224483">
      <w:rPr>
        <w:rStyle w:val="Numrodepage"/>
        <w:sz w:val="18"/>
        <w:szCs w:val="18"/>
      </w:rPr>
      <w:fldChar w:fldCharType="separate"/>
    </w:r>
    <w:r w:rsidR="00AC4427">
      <w:rPr>
        <w:rStyle w:val="Numrodepage"/>
        <w:noProof/>
        <w:sz w:val="18"/>
        <w:szCs w:val="18"/>
      </w:rPr>
      <w:t>1</w:t>
    </w:r>
    <w:r w:rsidR="00923550" w:rsidRPr="00224483">
      <w:rPr>
        <w:rStyle w:val="Numrodepage"/>
        <w:sz w:val="18"/>
        <w:szCs w:val="18"/>
      </w:rPr>
      <w:fldChar w:fldCharType="end"/>
    </w:r>
    <w:r w:rsidRPr="00224483">
      <w:rPr>
        <w:rStyle w:val="Numrodepage"/>
        <w:sz w:val="18"/>
        <w:szCs w:val="18"/>
      </w:rPr>
      <w:t>/</w:t>
    </w:r>
    <w:r w:rsidR="00923550" w:rsidRPr="00224483">
      <w:rPr>
        <w:rStyle w:val="Numrodepage"/>
        <w:sz w:val="18"/>
        <w:szCs w:val="18"/>
      </w:rPr>
      <w:fldChar w:fldCharType="begin"/>
    </w:r>
    <w:r w:rsidRPr="00224483">
      <w:rPr>
        <w:rStyle w:val="Numrodepage"/>
        <w:sz w:val="18"/>
        <w:szCs w:val="18"/>
      </w:rPr>
      <w:instrText xml:space="preserve"> NUMPAGES </w:instrText>
    </w:r>
    <w:r w:rsidR="00923550" w:rsidRPr="00224483">
      <w:rPr>
        <w:rStyle w:val="Numrodepage"/>
        <w:sz w:val="18"/>
        <w:szCs w:val="18"/>
      </w:rPr>
      <w:fldChar w:fldCharType="separate"/>
    </w:r>
    <w:r w:rsidR="00AC4427">
      <w:rPr>
        <w:rStyle w:val="Numrodepage"/>
        <w:noProof/>
        <w:sz w:val="18"/>
        <w:szCs w:val="18"/>
      </w:rPr>
      <w:t>1</w:t>
    </w:r>
    <w:r w:rsidR="00923550"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427" w:rsidRDefault="00AC4427">
      <w:r>
        <w:separator/>
      </w:r>
    </w:p>
  </w:footnote>
  <w:footnote w:type="continuationSeparator" w:id="0">
    <w:p w:rsidR="00AC4427" w:rsidRDefault="00AC44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45B" w:rsidRPr="002B47ED" w:rsidRDefault="002B47ED" w:rsidP="00E22CF5">
    <w:pPr>
      <w:pStyle w:val="Titre1"/>
      <w:tabs>
        <w:tab w:val="left" w:pos="2268"/>
        <w:tab w:val="right" w:pos="9070"/>
      </w:tabs>
      <w:jc w:val="center"/>
      <w:rPr>
        <w:color w:val="0033CC"/>
        <w:sz w:val="22"/>
        <w:szCs w:val="22"/>
      </w:rPr>
    </w:pPr>
    <w:r w:rsidRPr="00742D88">
      <w:rPr>
        <w:noProof/>
        <w:color w:val="0033CC"/>
        <w:sz w:val="22"/>
        <w:szCs w:val="22"/>
      </w:rPr>
      <w:drawing>
        <wp:anchor distT="0" distB="0" distL="114300" distR="114300" simplePos="0" relativeHeight="251661312" behindDoc="0" locked="0" layoutInCell="1" allowOverlap="1">
          <wp:simplePos x="0" y="0"/>
          <wp:positionH relativeFrom="column">
            <wp:posOffset>-88900</wp:posOffset>
          </wp:positionH>
          <wp:positionV relativeFrom="paragraph">
            <wp:posOffset>-159385</wp:posOffset>
          </wp:positionV>
          <wp:extent cx="984885" cy="632460"/>
          <wp:effectExtent l="19050" t="0" r="5715" b="0"/>
          <wp:wrapNone/>
          <wp:docPr id="4"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984885" cy="632460"/>
                  </a:xfrm>
                  <a:prstGeom prst="rect">
                    <a:avLst/>
                  </a:prstGeom>
                  <a:noFill/>
                  <a:ln w="9525">
                    <a:noFill/>
                    <a:miter lim="800000"/>
                    <a:headEnd/>
                    <a:tailEnd/>
                  </a:ln>
                </pic:spPr>
              </pic:pic>
            </a:graphicData>
          </a:graphic>
        </wp:anchor>
      </w:drawing>
    </w:r>
    <w:r w:rsidR="00E22CF5">
      <w:rPr>
        <w:color w:val="0033CC"/>
        <w:sz w:val="22"/>
        <w:szCs w:val="22"/>
      </w:rPr>
      <w:tab/>
    </w:r>
    <w:r>
      <w:rPr>
        <w:color w:val="0033CC"/>
        <w:sz w:val="22"/>
        <w:szCs w:val="22"/>
      </w:rPr>
      <w:t>Présentation du laboratoire Galaxy Swiss Bourdin</w:t>
    </w:r>
    <w:r w:rsidR="00E22CF5">
      <w:rPr>
        <w:color w:val="0033CC"/>
        <w:sz w:val="22"/>
        <w:szCs w:val="22"/>
      </w:rPr>
      <w:tab/>
    </w:r>
    <w:r w:rsidR="00E22CF5" w:rsidRPr="00224483">
      <w:rPr>
        <w:sz w:val="18"/>
        <w:szCs w:val="18"/>
      </w:rPr>
      <w:t>v1.</w:t>
    </w:r>
    <w:r w:rsidR="00E22CF5">
      <w:rPr>
        <w:sz w:val="18"/>
        <w:szCs w:val="18"/>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86A4470"/>
    <w:lvl w:ilvl="0">
      <w:start w:val="1"/>
      <w:numFmt w:val="decimal"/>
      <w:lvlText w:val="%1."/>
      <w:lvlJc w:val="left"/>
      <w:pPr>
        <w:tabs>
          <w:tab w:val="num" w:pos="926"/>
        </w:tabs>
        <w:ind w:left="926" w:hanging="360"/>
      </w:pPr>
    </w:lvl>
  </w:abstractNum>
  <w:abstractNum w:abstractNumId="3">
    <w:nsid w:val="FFFFFF7F"/>
    <w:multiLevelType w:val="singleLevel"/>
    <w:tmpl w:val="419C62E0"/>
    <w:lvl w:ilvl="0">
      <w:start w:val="1"/>
      <w:numFmt w:val="decimal"/>
      <w:lvlText w:val="%1."/>
      <w:lvlJc w:val="left"/>
      <w:pPr>
        <w:tabs>
          <w:tab w:val="num" w:pos="643"/>
        </w:tabs>
        <w:ind w:left="643" w:hanging="360"/>
      </w:pPr>
    </w:lvl>
  </w:abstractNum>
  <w:abstractNum w:abstractNumId="4">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12">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nsid w:val="024B1F79"/>
    <w:multiLevelType w:val="hybridMultilevel"/>
    <w:tmpl w:val="4B2431A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5">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0A5E650B"/>
    <w:multiLevelType w:val="hybridMultilevel"/>
    <w:tmpl w:val="DD92AFE2"/>
    <w:lvl w:ilvl="0" w:tplc="BAA2ECA2">
      <w:numFmt w:val="bullet"/>
      <w:lvlText w:val=""/>
      <w:lvlJc w:val="left"/>
      <w:pPr>
        <w:tabs>
          <w:tab w:val="num" w:pos="720"/>
        </w:tabs>
        <w:ind w:left="720" w:hanging="360"/>
      </w:pPr>
      <w:rPr>
        <w:rFonts w:ascii="Symbol" w:eastAsia="Times New Roman" w:hAnsi="Symbol" w:hint="default"/>
        <w:w w:val="0"/>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7">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8">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9">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1">
    <w:nsid w:val="33272503"/>
    <w:multiLevelType w:val="hybridMultilevel"/>
    <w:tmpl w:val="300A4964"/>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3">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4">
    <w:nsid w:val="54F92C49"/>
    <w:multiLevelType w:val="hybridMultilevel"/>
    <w:tmpl w:val="51488738"/>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325E78"/>
    <w:multiLevelType w:val="hybridMultilevel"/>
    <w:tmpl w:val="FD265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64C3A2D"/>
    <w:multiLevelType w:val="hybridMultilevel"/>
    <w:tmpl w:val="38A0A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8">
    <w:nsid w:val="73AE363D"/>
    <w:multiLevelType w:val="singleLevel"/>
    <w:tmpl w:val="9E302B7E"/>
    <w:lvl w:ilvl="0">
      <w:numFmt w:val="bullet"/>
      <w:lvlText w:val="-"/>
      <w:lvlJc w:val="left"/>
      <w:pPr>
        <w:tabs>
          <w:tab w:val="num" w:pos="360"/>
        </w:tabs>
        <w:ind w:left="360" w:hanging="360"/>
      </w:pPr>
      <w:rPr>
        <w:rFonts w:hint="default"/>
      </w:rPr>
    </w:lvl>
  </w:abstractNum>
  <w:abstractNum w:abstractNumId="29">
    <w:nsid w:val="73E9794C"/>
    <w:multiLevelType w:val="hybridMultilevel"/>
    <w:tmpl w:val="6978B82E"/>
    <w:lvl w:ilvl="0" w:tplc="993644A2">
      <w:numFmt w:val="bullet"/>
      <w:lvlText w:val="•"/>
      <w:lvlJc w:val="left"/>
      <w:pPr>
        <w:ind w:left="780" w:hanging="360"/>
      </w:pPr>
      <w:rPr>
        <w:rFonts w:ascii="OpenSymbol" w:hAnsi="OpenSymbol" w:cs="OpenSymbol" w:hint="default"/>
        <w:sz w:val="20"/>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nsid w:val="7C6D45FC"/>
    <w:multiLevelType w:val="hybridMultilevel"/>
    <w:tmpl w:val="1A7EC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8"/>
  </w:num>
  <w:num w:numId="4">
    <w:abstractNumId w:val="9"/>
  </w:num>
  <w:num w:numId="5">
    <w:abstractNumId w:val="9"/>
  </w:num>
  <w:num w:numId="6">
    <w:abstractNumId w:val="22"/>
  </w:num>
  <w:num w:numId="7">
    <w:abstractNumId w:val="20"/>
  </w:num>
  <w:num w:numId="8">
    <w:abstractNumId w:val="22"/>
  </w:num>
  <w:num w:numId="9">
    <w:abstractNumId w:val="20"/>
  </w:num>
  <w:num w:numId="10">
    <w:abstractNumId w:val="22"/>
  </w:num>
  <w:num w:numId="11">
    <w:abstractNumId w:val="20"/>
  </w:num>
  <w:num w:numId="12">
    <w:abstractNumId w:val="7"/>
  </w:num>
  <w:num w:numId="13">
    <w:abstractNumId w:val="23"/>
  </w:num>
  <w:num w:numId="14">
    <w:abstractNumId w:val="1"/>
  </w:num>
  <w:num w:numId="15">
    <w:abstractNumId w:val="0"/>
  </w:num>
  <w:num w:numId="16">
    <w:abstractNumId w:val="15"/>
  </w:num>
  <w:num w:numId="17">
    <w:abstractNumId w:val="27"/>
  </w:num>
  <w:num w:numId="18">
    <w:abstractNumId w:val="17"/>
  </w:num>
  <w:num w:numId="19">
    <w:abstractNumId w:val="18"/>
  </w:num>
  <w:num w:numId="20">
    <w:abstractNumId w:val="3"/>
  </w:num>
  <w:num w:numId="21">
    <w:abstractNumId w:val="2"/>
  </w:num>
  <w:num w:numId="22">
    <w:abstractNumId w:val="6"/>
  </w:num>
  <w:num w:numId="23">
    <w:abstractNumId w:val="5"/>
  </w:num>
  <w:num w:numId="24">
    <w:abstractNumId w:val="4"/>
  </w:num>
  <w:num w:numId="25">
    <w:abstractNumId w:val="14"/>
  </w:num>
  <w:num w:numId="26">
    <w:abstractNumId w:val="31"/>
  </w:num>
  <w:num w:numId="27">
    <w:abstractNumId w:val="19"/>
  </w:num>
  <w:num w:numId="28">
    <w:abstractNumId w:val="16"/>
  </w:num>
  <w:num w:numId="29">
    <w:abstractNumId w:val="26"/>
  </w:num>
  <w:num w:numId="30">
    <w:abstractNumId w:val="25"/>
  </w:num>
  <w:num w:numId="31">
    <w:abstractNumId w:val="30"/>
  </w:num>
  <w:num w:numId="32">
    <w:abstractNumId w:val="24"/>
  </w:num>
  <w:num w:numId="33">
    <w:abstractNumId w:val="21"/>
  </w:num>
  <w:num w:numId="34">
    <w:abstractNumId w:val="10"/>
  </w:num>
  <w:num w:numId="35">
    <w:abstractNumId w:val="11"/>
  </w:num>
  <w:num w:numId="36">
    <w:abstractNumId w:val="12"/>
  </w:num>
  <w:num w:numId="37">
    <w:abstractNumId w:val="13"/>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savePreviewPicture/>
  <w:footnotePr>
    <w:footnote w:id="-1"/>
    <w:footnote w:id="0"/>
  </w:footnotePr>
  <w:endnotePr>
    <w:endnote w:id="-1"/>
    <w:endnote w:id="0"/>
  </w:endnotePr>
  <w:compat/>
  <w:rsids>
    <w:rsidRoot w:val="00575096"/>
    <w:rsid w:val="00002B91"/>
    <w:rsid w:val="00006CBB"/>
    <w:rsid w:val="0001349B"/>
    <w:rsid w:val="0002588A"/>
    <w:rsid w:val="0003647E"/>
    <w:rsid w:val="000377F0"/>
    <w:rsid w:val="000428A6"/>
    <w:rsid w:val="000440E3"/>
    <w:rsid w:val="00047A0A"/>
    <w:rsid w:val="000530E8"/>
    <w:rsid w:val="0008329A"/>
    <w:rsid w:val="00086D0E"/>
    <w:rsid w:val="000A5208"/>
    <w:rsid w:val="000B0EF4"/>
    <w:rsid w:val="000C2AD0"/>
    <w:rsid w:val="000D182E"/>
    <w:rsid w:val="000D3AC1"/>
    <w:rsid w:val="000D65E3"/>
    <w:rsid w:val="000D7920"/>
    <w:rsid w:val="000E6013"/>
    <w:rsid w:val="000F25FB"/>
    <w:rsid w:val="000F76FF"/>
    <w:rsid w:val="00141E49"/>
    <w:rsid w:val="00142A9A"/>
    <w:rsid w:val="0014545B"/>
    <w:rsid w:val="00145F24"/>
    <w:rsid w:val="001504A1"/>
    <w:rsid w:val="0017767A"/>
    <w:rsid w:val="00190E75"/>
    <w:rsid w:val="00193C37"/>
    <w:rsid w:val="001A4C0F"/>
    <w:rsid w:val="001B28E3"/>
    <w:rsid w:val="001B42FD"/>
    <w:rsid w:val="001C38DA"/>
    <w:rsid w:val="001F4FDB"/>
    <w:rsid w:val="00206696"/>
    <w:rsid w:val="002137CD"/>
    <w:rsid w:val="00213B49"/>
    <w:rsid w:val="00215272"/>
    <w:rsid w:val="00237D42"/>
    <w:rsid w:val="0024524F"/>
    <w:rsid w:val="002516A7"/>
    <w:rsid w:val="0027105E"/>
    <w:rsid w:val="00284892"/>
    <w:rsid w:val="00293962"/>
    <w:rsid w:val="0029728F"/>
    <w:rsid w:val="002A0D32"/>
    <w:rsid w:val="002B47ED"/>
    <w:rsid w:val="002C72B2"/>
    <w:rsid w:val="002C7506"/>
    <w:rsid w:val="002F0CB1"/>
    <w:rsid w:val="00301A80"/>
    <w:rsid w:val="0034352B"/>
    <w:rsid w:val="00344662"/>
    <w:rsid w:val="00365D8F"/>
    <w:rsid w:val="003739D5"/>
    <w:rsid w:val="003B7154"/>
    <w:rsid w:val="003C451F"/>
    <w:rsid w:val="003C485E"/>
    <w:rsid w:val="003D0A1E"/>
    <w:rsid w:val="003F681D"/>
    <w:rsid w:val="0041378F"/>
    <w:rsid w:val="004206B5"/>
    <w:rsid w:val="00430292"/>
    <w:rsid w:val="00431077"/>
    <w:rsid w:val="0046196E"/>
    <w:rsid w:val="004734F6"/>
    <w:rsid w:val="004A2B7F"/>
    <w:rsid w:val="004A5C7D"/>
    <w:rsid w:val="004C5543"/>
    <w:rsid w:val="004C5DD5"/>
    <w:rsid w:val="00500095"/>
    <w:rsid w:val="005134B5"/>
    <w:rsid w:val="00521A15"/>
    <w:rsid w:val="00522294"/>
    <w:rsid w:val="0052565A"/>
    <w:rsid w:val="00536BC3"/>
    <w:rsid w:val="00551AEE"/>
    <w:rsid w:val="00565B01"/>
    <w:rsid w:val="00572455"/>
    <w:rsid w:val="00574E22"/>
    <w:rsid w:val="00575096"/>
    <w:rsid w:val="00591ECD"/>
    <w:rsid w:val="005A257C"/>
    <w:rsid w:val="005B1C68"/>
    <w:rsid w:val="005B1E62"/>
    <w:rsid w:val="005F49DA"/>
    <w:rsid w:val="005F5F67"/>
    <w:rsid w:val="005F7898"/>
    <w:rsid w:val="00600EA3"/>
    <w:rsid w:val="00610B52"/>
    <w:rsid w:val="00627838"/>
    <w:rsid w:val="00631E10"/>
    <w:rsid w:val="006363B6"/>
    <w:rsid w:val="00674CAD"/>
    <w:rsid w:val="006904FD"/>
    <w:rsid w:val="00692747"/>
    <w:rsid w:val="0069274A"/>
    <w:rsid w:val="006A65C9"/>
    <w:rsid w:val="006D7AD4"/>
    <w:rsid w:val="006E7468"/>
    <w:rsid w:val="006F49D7"/>
    <w:rsid w:val="00702138"/>
    <w:rsid w:val="00717B3D"/>
    <w:rsid w:val="00720623"/>
    <w:rsid w:val="00725461"/>
    <w:rsid w:val="00730F36"/>
    <w:rsid w:val="00733EE6"/>
    <w:rsid w:val="007421B6"/>
    <w:rsid w:val="00790854"/>
    <w:rsid w:val="007B0B79"/>
    <w:rsid w:val="007C14A2"/>
    <w:rsid w:val="007C392C"/>
    <w:rsid w:val="007F490D"/>
    <w:rsid w:val="00802624"/>
    <w:rsid w:val="00807A5E"/>
    <w:rsid w:val="00814A72"/>
    <w:rsid w:val="00817B8A"/>
    <w:rsid w:val="008245B6"/>
    <w:rsid w:val="00834719"/>
    <w:rsid w:val="00847DA4"/>
    <w:rsid w:val="00857969"/>
    <w:rsid w:val="00865702"/>
    <w:rsid w:val="00870DCC"/>
    <w:rsid w:val="008807ED"/>
    <w:rsid w:val="008916DE"/>
    <w:rsid w:val="00893232"/>
    <w:rsid w:val="00894D61"/>
    <w:rsid w:val="008A6E30"/>
    <w:rsid w:val="008B55FA"/>
    <w:rsid w:val="008C3018"/>
    <w:rsid w:val="008E0F08"/>
    <w:rsid w:val="008E26F4"/>
    <w:rsid w:val="008E5866"/>
    <w:rsid w:val="008E60C5"/>
    <w:rsid w:val="008E7606"/>
    <w:rsid w:val="008F32F9"/>
    <w:rsid w:val="008F528A"/>
    <w:rsid w:val="00915BB2"/>
    <w:rsid w:val="0091724F"/>
    <w:rsid w:val="00923550"/>
    <w:rsid w:val="00956F8A"/>
    <w:rsid w:val="00980220"/>
    <w:rsid w:val="0098056E"/>
    <w:rsid w:val="009977D1"/>
    <w:rsid w:val="009A04DF"/>
    <w:rsid w:val="009B4BFA"/>
    <w:rsid w:val="009B625A"/>
    <w:rsid w:val="009C271C"/>
    <w:rsid w:val="009C5CB3"/>
    <w:rsid w:val="009D5E09"/>
    <w:rsid w:val="009F275B"/>
    <w:rsid w:val="009F2C57"/>
    <w:rsid w:val="00A01DBE"/>
    <w:rsid w:val="00A04D11"/>
    <w:rsid w:val="00A3193E"/>
    <w:rsid w:val="00A66899"/>
    <w:rsid w:val="00A94047"/>
    <w:rsid w:val="00AB2D65"/>
    <w:rsid w:val="00AC4427"/>
    <w:rsid w:val="00AD230C"/>
    <w:rsid w:val="00AD532C"/>
    <w:rsid w:val="00AE06EE"/>
    <w:rsid w:val="00AE6736"/>
    <w:rsid w:val="00AF2317"/>
    <w:rsid w:val="00AF279B"/>
    <w:rsid w:val="00AF5285"/>
    <w:rsid w:val="00B4089C"/>
    <w:rsid w:val="00B459EB"/>
    <w:rsid w:val="00B45FA3"/>
    <w:rsid w:val="00B47AFE"/>
    <w:rsid w:val="00B50C19"/>
    <w:rsid w:val="00B724F1"/>
    <w:rsid w:val="00BA000D"/>
    <w:rsid w:val="00BA2FE7"/>
    <w:rsid w:val="00BA6E10"/>
    <w:rsid w:val="00BB4EAC"/>
    <w:rsid w:val="00BB63ED"/>
    <w:rsid w:val="00BD1E2D"/>
    <w:rsid w:val="00BD5D5D"/>
    <w:rsid w:val="00BD5DC6"/>
    <w:rsid w:val="00BE44AC"/>
    <w:rsid w:val="00BE6F5C"/>
    <w:rsid w:val="00BE727F"/>
    <w:rsid w:val="00C039E4"/>
    <w:rsid w:val="00C1301F"/>
    <w:rsid w:val="00C25399"/>
    <w:rsid w:val="00C260AC"/>
    <w:rsid w:val="00C3588D"/>
    <w:rsid w:val="00C40D33"/>
    <w:rsid w:val="00C40DF0"/>
    <w:rsid w:val="00C6216B"/>
    <w:rsid w:val="00C63FD2"/>
    <w:rsid w:val="00C66650"/>
    <w:rsid w:val="00C72E76"/>
    <w:rsid w:val="00C75FE6"/>
    <w:rsid w:val="00C91D20"/>
    <w:rsid w:val="00CA4FF0"/>
    <w:rsid w:val="00CA6D68"/>
    <w:rsid w:val="00CA7BF0"/>
    <w:rsid w:val="00CB7254"/>
    <w:rsid w:val="00CD236E"/>
    <w:rsid w:val="00CF1605"/>
    <w:rsid w:val="00CF6D3D"/>
    <w:rsid w:val="00D16D34"/>
    <w:rsid w:val="00D25801"/>
    <w:rsid w:val="00D52B11"/>
    <w:rsid w:val="00D55183"/>
    <w:rsid w:val="00D661B1"/>
    <w:rsid w:val="00D8097A"/>
    <w:rsid w:val="00D927D1"/>
    <w:rsid w:val="00DA3075"/>
    <w:rsid w:val="00DA5EC6"/>
    <w:rsid w:val="00DA66AC"/>
    <w:rsid w:val="00DB6E0B"/>
    <w:rsid w:val="00DC78B6"/>
    <w:rsid w:val="00DD0364"/>
    <w:rsid w:val="00DD2A16"/>
    <w:rsid w:val="00DD3DDB"/>
    <w:rsid w:val="00DE0AC8"/>
    <w:rsid w:val="00DE299C"/>
    <w:rsid w:val="00DF1010"/>
    <w:rsid w:val="00DF319D"/>
    <w:rsid w:val="00DF61B2"/>
    <w:rsid w:val="00E1455E"/>
    <w:rsid w:val="00E2079E"/>
    <w:rsid w:val="00E22866"/>
    <w:rsid w:val="00E22CF5"/>
    <w:rsid w:val="00E24174"/>
    <w:rsid w:val="00E271A3"/>
    <w:rsid w:val="00E41124"/>
    <w:rsid w:val="00E42490"/>
    <w:rsid w:val="00E549E3"/>
    <w:rsid w:val="00E67F8A"/>
    <w:rsid w:val="00E75E52"/>
    <w:rsid w:val="00E845F8"/>
    <w:rsid w:val="00EA414A"/>
    <w:rsid w:val="00EC5378"/>
    <w:rsid w:val="00EC7BF5"/>
    <w:rsid w:val="00EE2B02"/>
    <w:rsid w:val="00EE624B"/>
    <w:rsid w:val="00EF429C"/>
    <w:rsid w:val="00EF54E7"/>
    <w:rsid w:val="00EF70F4"/>
    <w:rsid w:val="00F02C79"/>
    <w:rsid w:val="00F03A4E"/>
    <w:rsid w:val="00F040E1"/>
    <w:rsid w:val="00F15AB6"/>
    <w:rsid w:val="00F15D21"/>
    <w:rsid w:val="00F252A8"/>
    <w:rsid w:val="00F63835"/>
    <w:rsid w:val="00F64710"/>
    <w:rsid w:val="00F71CC8"/>
    <w:rsid w:val="00F72A88"/>
    <w:rsid w:val="00F72CDB"/>
    <w:rsid w:val="00F80C46"/>
    <w:rsid w:val="00FB64B7"/>
    <w:rsid w:val="00FC64BF"/>
    <w:rsid w:val="00FD4AB6"/>
    <w:rsid w:val="00FD6A24"/>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1" type="callout"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table" w:styleId="Grilledutableau">
    <w:name w:val="Table Grid"/>
    <w:basedOn w:val="TableauNormal"/>
    <w:rsid w:val="00610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rsid w:val="00C40DF0"/>
    <w:rPr>
      <w:rFonts w:ascii="Arial" w:hAnsi="Arial" w:cs="Arial"/>
      <w:b/>
      <w:bCs/>
      <w:color w:val="7D9BFF"/>
      <w:sz w:val="28"/>
      <w:szCs w:val="28"/>
      <w:lang w:val="fr-FR" w:eastAsia="ar-SA" w:bidi="ar-SA"/>
    </w:rPr>
  </w:style>
  <w:style w:type="character" w:customStyle="1" w:styleId="Marquedecommentaire3">
    <w:name w:val="Marque de commentaire3"/>
    <w:rsid w:val="00C40DF0"/>
    <w:rPr>
      <w:sz w:val="16"/>
      <w:szCs w:val="16"/>
    </w:rPr>
  </w:style>
  <w:style w:type="paragraph" w:styleId="En-ttedetabledesmatires">
    <w:name w:val="TOC Heading"/>
    <w:basedOn w:val="Titre1"/>
    <w:next w:val="Normal"/>
    <w:uiPriority w:val="39"/>
    <w:semiHidden/>
    <w:unhideWhenUsed/>
    <w:qFormat/>
    <w:rsid w:val="002A0D32"/>
    <w:pPr>
      <w:keepNext/>
      <w:keepLines/>
      <w:spacing w:before="480" w:beforeAutospacing="0" w:after="0" w:afterAutospacing="0" w:line="276" w:lineRule="auto"/>
      <w:outlineLvl w:val="9"/>
    </w:pPr>
    <w:rPr>
      <w:rFonts w:ascii="Cambria" w:hAnsi="Cambria" w:cs="Times New Roman"/>
      <w:color w:val="365F91"/>
      <w:lang w:eastAsia="en-US"/>
    </w:rPr>
  </w:style>
  <w:style w:type="paragraph" w:styleId="TM2">
    <w:name w:val="toc 2"/>
    <w:basedOn w:val="Normal"/>
    <w:next w:val="Normal"/>
    <w:autoRedefine/>
    <w:uiPriority w:val="39"/>
    <w:rsid w:val="006363B6"/>
    <w:pPr>
      <w:tabs>
        <w:tab w:val="right" w:leader="dot" w:pos="9060"/>
      </w:tabs>
      <w:ind w:left="200"/>
    </w:pPr>
    <w:rPr>
      <w:b/>
      <w:noProof/>
    </w:rPr>
  </w:style>
  <w:style w:type="paragraph" w:styleId="TM3">
    <w:name w:val="toc 3"/>
    <w:basedOn w:val="Normal"/>
    <w:next w:val="Normal"/>
    <w:autoRedefine/>
    <w:uiPriority w:val="39"/>
    <w:rsid w:val="002A0D32"/>
    <w:pPr>
      <w:ind w:left="400"/>
    </w:pPr>
  </w:style>
  <w:style w:type="paragraph" w:styleId="Paragraphedeliste">
    <w:name w:val="List Paragraph"/>
    <w:basedOn w:val="Normal"/>
    <w:uiPriority w:val="34"/>
    <w:qFormat/>
    <w:rsid w:val="00D16D34"/>
    <w:pPr>
      <w:ind w:left="720"/>
      <w:contextualSpacing/>
    </w:pPr>
  </w:style>
</w:styles>
</file>

<file path=word/webSettings.xml><?xml version="1.0" encoding="utf-8"?>
<w:webSettings xmlns:r="http://schemas.openxmlformats.org/officeDocument/2006/relationships" xmlns:w="http://schemas.openxmlformats.org/wordprocessingml/2006/main">
  <w:divs>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74</TotalTime>
  <Pages>6</Pages>
  <Words>1970</Words>
  <Characters>10835</Characters>
  <Application>Microsoft Office Word</Application>
  <DocSecurity>0</DocSecurity>
  <Lines>90</Lines>
  <Paragraphs>25</Paragraphs>
  <ScaleCrop>false</ScaleCrop>
  <HeadingPairs>
    <vt:vector size="4" baseType="variant">
      <vt:variant>
        <vt:lpstr>Titre</vt:lpstr>
      </vt:variant>
      <vt:variant>
        <vt:i4>1</vt:i4>
      </vt:variant>
      <vt:variant>
        <vt:lpstr>Titres</vt:lpstr>
      </vt:variant>
      <vt:variant>
        <vt:i4>30</vt:i4>
      </vt:variant>
    </vt:vector>
  </HeadingPairs>
  <TitlesOfParts>
    <vt:vector size="31" baseType="lpstr">
      <vt:lpstr>Contexte GSB</vt:lpstr>
      <vt:lpstr>    </vt:lpstr>
      <vt:lpstr>    </vt:lpstr>
      <vt:lpstr>    Description du laboratoire GSB</vt:lpstr>
      <vt:lpstr>        Le secteur d'activité</vt:lpstr>
      <vt:lpstr>        L'entreprise</vt:lpstr>
      <vt:lpstr>        Organisation de l'activité</vt:lpstr>
      <vt:lpstr>    </vt:lpstr>
      <vt:lpstr>    </vt:lpstr>
      <vt:lpstr>    </vt:lpstr>
      <vt:lpstr>    Description du Système Informatique</vt:lpstr>
      <vt:lpstr>        Le système informatique</vt:lpstr>
      <vt:lpstr>        L'équipement </vt:lpstr>
      <vt:lpstr>        La gestion informatique</vt:lpstr>
      <vt:lpstr>    Organisation du réseau</vt:lpstr>
      <vt:lpstr>        Répartition des services</vt:lpstr>
      <vt:lpstr>        Segmentation</vt:lpstr>
      <vt:lpstr>    </vt:lpstr>
      <vt:lpstr>    </vt:lpstr>
      <vt:lpstr>    Salle serveur et connexion internet</vt:lpstr>
      <vt:lpstr>    </vt:lpstr>
      <vt:lpstr>    </vt:lpstr>
      <vt:lpstr>    </vt:lpstr>
      <vt:lpstr>    </vt:lpstr>
      <vt:lpstr>    </vt:lpstr>
      <vt:lpstr>    </vt:lpstr>
      <vt:lpstr>    </vt:lpstr>
      <vt:lpstr>    Domaine d'étude</vt:lpstr>
      <vt:lpstr>        Les visiteurs</vt:lpstr>
      <vt:lpstr>        Le suivi des rapports de visites</vt:lpstr>
      <vt:lpstr>        Les frais engagés par les visiteurs</vt:lpstr>
    </vt:vector>
  </TitlesOfParts>
  <Company>Education Nationale</Company>
  <LinksUpToDate>false</LinksUpToDate>
  <CharactersWithSpaces>12780</CharactersWithSpaces>
  <SharedDoc>false</SharedDoc>
  <HLinks>
    <vt:vector size="90" baseType="variant">
      <vt:variant>
        <vt:i4>1769528</vt:i4>
      </vt:variant>
      <vt:variant>
        <vt:i4>86</vt:i4>
      </vt:variant>
      <vt:variant>
        <vt:i4>0</vt:i4>
      </vt:variant>
      <vt:variant>
        <vt:i4>5</vt:i4>
      </vt:variant>
      <vt:variant>
        <vt:lpwstr/>
      </vt:variant>
      <vt:variant>
        <vt:lpwstr>_Toc315188641</vt:lpwstr>
      </vt:variant>
      <vt:variant>
        <vt:i4>1769528</vt:i4>
      </vt:variant>
      <vt:variant>
        <vt:i4>80</vt:i4>
      </vt:variant>
      <vt:variant>
        <vt:i4>0</vt:i4>
      </vt:variant>
      <vt:variant>
        <vt:i4>5</vt:i4>
      </vt:variant>
      <vt:variant>
        <vt:lpwstr/>
      </vt:variant>
      <vt:variant>
        <vt:lpwstr>_Toc315188640</vt:lpwstr>
      </vt:variant>
      <vt:variant>
        <vt:i4>1835064</vt:i4>
      </vt:variant>
      <vt:variant>
        <vt:i4>74</vt:i4>
      </vt:variant>
      <vt:variant>
        <vt:i4>0</vt:i4>
      </vt:variant>
      <vt:variant>
        <vt:i4>5</vt:i4>
      </vt:variant>
      <vt:variant>
        <vt:lpwstr/>
      </vt:variant>
      <vt:variant>
        <vt:lpwstr>_Toc315188639</vt:lpwstr>
      </vt:variant>
      <vt:variant>
        <vt:i4>1835064</vt:i4>
      </vt:variant>
      <vt:variant>
        <vt:i4>68</vt:i4>
      </vt:variant>
      <vt:variant>
        <vt:i4>0</vt:i4>
      </vt:variant>
      <vt:variant>
        <vt:i4>5</vt:i4>
      </vt:variant>
      <vt:variant>
        <vt:lpwstr/>
      </vt:variant>
      <vt:variant>
        <vt:lpwstr>_Toc315188638</vt:lpwstr>
      </vt:variant>
      <vt:variant>
        <vt:i4>1835064</vt:i4>
      </vt:variant>
      <vt:variant>
        <vt:i4>62</vt:i4>
      </vt:variant>
      <vt:variant>
        <vt:i4>0</vt:i4>
      </vt:variant>
      <vt:variant>
        <vt:i4>5</vt:i4>
      </vt:variant>
      <vt:variant>
        <vt:lpwstr/>
      </vt:variant>
      <vt:variant>
        <vt:lpwstr>_Toc315188637</vt:lpwstr>
      </vt:variant>
      <vt:variant>
        <vt:i4>1835064</vt:i4>
      </vt:variant>
      <vt:variant>
        <vt:i4>56</vt:i4>
      </vt:variant>
      <vt:variant>
        <vt:i4>0</vt:i4>
      </vt:variant>
      <vt:variant>
        <vt:i4>5</vt:i4>
      </vt:variant>
      <vt:variant>
        <vt:lpwstr/>
      </vt:variant>
      <vt:variant>
        <vt:lpwstr>_Toc315188636</vt:lpwstr>
      </vt:variant>
      <vt:variant>
        <vt:i4>1835064</vt:i4>
      </vt:variant>
      <vt:variant>
        <vt:i4>50</vt:i4>
      </vt:variant>
      <vt:variant>
        <vt:i4>0</vt:i4>
      </vt:variant>
      <vt:variant>
        <vt:i4>5</vt:i4>
      </vt:variant>
      <vt:variant>
        <vt:lpwstr/>
      </vt:variant>
      <vt:variant>
        <vt:lpwstr>_Toc315188635</vt:lpwstr>
      </vt:variant>
      <vt:variant>
        <vt:i4>1835064</vt:i4>
      </vt:variant>
      <vt:variant>
        <vt:i4>44</vt:i4>
      </vt:variant>
      <vt:variant>
        <vt:i4>0</vt:i4>
      </vt:variant>
      <vt:variant>
        <vt:i4>5</vt:i4>
      </vt:variant>
      <vt:variant>
        <vt:lpwstr/>
      </vt:variant>
      <vt:variant>
        <vt:lpwstr>_Toc315188634</vt:lpwstr>
      </vt:variant>
      <vt:variant>
        <vt:i4>1835064</vt:i4>
      </vt:variant>
      <vt:variant>
        <vt:i4>38</vt:i4>
      </vt:variant>
      <vt:variant>
        <vt:i4>0</vt:i4>
      </vt:variant>
      <vt:variant>
        <vt:i4>5</vt:i4>
      </vt:variant>
      <vt:variant>
        <vt:lpwstr/>
      </vt:variant>
      <vt:variant>
        <vt:lpwstr>_Toc315188633</vt:lpwstr>
      </vt:variant>
      <vt:variant>
        <vt:i4>1835064</vt:i4>
      </vt:variant>
      <vt:variant>
        <vt:i4>32</vt:i4>
      </vt:variant>
      <vt:variant>
        <vt:i4>0</vt:i4>
      </vt:variant>
      <vt:variant>
        <vt:i4>5</vt:i4>
      </vt:variant>
      <vt:variant>
        <vt:lpwstr/>
      </vt:variant>
      <vt:variant>
        <vt:lpwstr>_Toc315188632</vt:lpwstr>
      </vt:variant>
      <vt:variant>
        <vt:i4>1835064</vt:i4>
      </vt:variant>
      <vt:variant>
        <vt:i4>26</vt:i4>
      </vt:variant>
      <vt:variant>
        <vt:i4>0</vt:i4>
      </vt:variant>
      <vt:variant>
        <vt:i4>5</vt:i4>
      </vt:variant>
      <vt:variant>
        <vt:lpwstr/>
      </vt:variant>
      <vt:variant>
        <vt:lpwstr>_Toc315188631</vt:lpwstr>
      </vt:variant>
      <vt:variant>
        <vt:i4>1835064</vt:i4>
      </vt:variant>
      <vt:variant>
        <vt:i4>20</vt:i4>
      </vt:variant>
      <vt:variant>
        <vt:i4>0</vt:i4>
      </vt:variant>
      <vt:variant>
        <vt:i4>5</vt:i4>
      </vt:variant>
      <vt:variant>
        <vt:lpwstr/>
      </vt:variant>
      <vt:variant>
        <vt:lpwstr>_Toc315188630</vt:lpwstr>
      </vt:variant>
      <vt:variant>
        <vt:i4>1900600</vt:i4>
      </vt:variant>
      <vt:variant>
        <vt:i4>14</vt:i4>
      </vt:variant>
      <vt:variant>
        <vt:i4>0</vt:i4>
      </vt:variant>
      <vt:variant>
        <vt:i4>5</vt:i4>
      </vt:variant>
      <vt:variant>
        <vt:lpwstr/>
      </vt:variant>
      <vt:variant>
        <vt:lpwstr>_Toc315188629</vt:lpwstr>
      </vt:variant>
      <vt:variant>
        <vt:i4>1900600</vt:i4>
      </vt:variant>
      <vt:variant>
        <vt:i4>8</vt:i4>
      </vt:variant>
      <vt:variant>
        <vt:i4>0</vt:i4>
      </vt:variant>
      <vt:variant>
        <vt:i4>5</vt:i4>
      </vt:variant>
      <vt:variant>
        <vt:lpwstr/>
      </vt:variant>
      <vt:variant>
        <vt:lpwstr>_Toc315188628</vt:lpwstr>
      </vt:variant>
      <vt:variant>
        <vt:i4>1900600</vt:i4>
      </vt:variant>
      <vt:variant>
        <vt:i4>2</vt:i4>
      </vt:variant>
      <vt:variant>
        <vt:i4>0</vt:i4>
      </vt:variant>
      <vt:variant>
        <vt:i4>5</vt:i4>
      </vt:variant>
      <vt:variant>
        <vt:lpwstr/>
      </vt:variant>
      <vt:variant>
        <vt:lpwstr>_Toc315188627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SIO Carcouët; Chaumette Hervy</dc:creator>
  <cp:lastModifiedBy>Carcouet</cp:lastModifiedBy>
  <cp:revision>24</cp:revision>
  <cp:lastPrinted>2013-09-26T06:22:00Z</cp:lastPrinted>
  <dcterms:created xsi:type="dcterms:W3CDTF">2014-09-03T06:38:00Z</dcterms:created>
  <dcterms:modified xsi:type="dcterms:W3CDTF">2014-09-03T12:29:00Z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