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E3328">
      <w:pPr>
        <w:shd w:val="clear" w:color="auto" w:fill="FFFFFF"/>
        <w:spacing w:after="0" w:line="240" w:lineRule="auto"/>
        <w:jc w:val="both"/>
        <w:rPr>
          <w:rFonts w:eastAsia="Times New Roman" w:asciiTheme="majorBidi" w:hAnsiTheme="majorBidi" w:cstheme="majorBidi"/>
          <w:b/>
          <w:bCs/>
          <w:color w:val="222222"/>
          <w:sz w:val="24"/>
          <w:szCs w:val="24"/>
          <w:lang w:eastAsia="tr-TR"/>
        </w:rPr>
      </w:pPr>
      <w:r>
        <w:rPr>
          <w:rFonts w:eastAsia="Times New Roman" w:asciiTheme="majorBidi" w:hAnsiTheme="majorBidi" w:cstheme="majorBidi"/>
          <w:b/>
          <w:bCs/>
          <w:color w:val="222222"/>
          <w:sz w:val="24"/>
          <w:szCs w:val="24"/>
          <w:lang w:eastAsia="tr-TR"/>
        </w:rPr>
        <w:t>BİYOMETRİK VERİ PROTOKOLÜ (EK-1)</w:t>
      </w:r>
    </w:p>
    <w:p w14:paraId="61BBFDC5">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w:t>
      </w:r>
    </w:p>
    <w:p w14:paraId="5EC69E8E">
      <w:pPr>
        <w:shd w:val="clear" w:color="auto" w:fill="FFFFFF"/>
        <w:spacing w:after="0" w:line="240" w:lineRule="auto"/>
        <w:jc w:val="both"/>
        <w:rPr>
          <w:rFonts w:eastAsia="Times New Roman" w:asciiTheme="majorBidi" w:hAnsiTheme="majorBidi" w:cstheme="majorBidi"/>
          <w:b/>
          <w:bCs/>
          <w:color w:val="222222"/>
          <w:sz w:val="24"/>
          <w:szCs w:val="24"/>
          <w:lang w:eastAsia="tr-TR"/>
        </w:rPr>
      </w:pPr>
      <w:r>
        <w:rPr>
          <w:rFonts w:eastAsia="Times New Roman" w:asciiTheme="majorBidi" w:hAnsiTheme="majorBidi" w:cstheme="majorBidi"/>
          <w:b/>
          <w:bCs/>
          <w:color w:val="222222"/>
          <w:sz w:val="24"/>
          <w:szCs w:val="24"/>
          <w:lang w:eastAsia="tr-TR"/>
        </w:rPr>
        <w:t>ZYRONOVA BİYOMETRİK VERİ, DİJİTAL DELİL VE KVKK MUVAFAKAT PROTOKOLÜ (EK-1)</w:t>
      </w:r>
    </w:p>
    <w:p w14:paraId="4F64FB3E">
      <w:pPr>
        <w:shd w:val="clear" w:color="auto" w:fill="FFFFFF"/>
        <w:spacing w:after="0" w:line="240" w:lineRule="auto"/>
        <w:jc w:val="both"/>
        <w:rPr>
          <w:rFonts w:eastAsia="Times New Roman" w:asciiTheme="majorBidi" w:hAnsiTheme="majorBidi" w:cstheme="majorBidi"/>
          <w:b/>
          <w:bCs/>
          <w:color w:val="222222"/>
          <w:sz w:val="24"/>
          <w:szCs w:val="24"/>
          <w:lang w:eastAsia="tr-TR"/>
        </w:rPr>
      </w:pPr>
    </w:p>
    <w:p w14:paraId="4834C332">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w:t>
      </w:r>
      <w:r>
        <w:rPr>
          <w:rFonts w:eastAsia="Times New Roman" w:asciiTheme="majorBidi" w:hAnsiTheme="majorBidi" w:cstheme="majorBidi"/>
          <w:b/>
          <w:bCs/>
          <w:color w:val="222222"/>
          <w:sz w:val="24"/>
          <w:szCs w:val="24"/>
          <w:lang w:eastAsia="tr-TR"/>
        </w:rPr>
        <w:t>MADDE 1 – PROTOKOLÜN AMACI VE ASLİ NİTELİĞİ</w:t>
      </w:r>
    </w:p>
    <w:p w14:paraId="67BAEB08">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İşbu protokol; ZYRONOVA ile MÜŞTERİ (Rent a Car İşletmesi) arasında akdedilen Ana Lisans Sözleşmesi'nin ayrılmaz, tamamlayıcı (hüküm uyuşmazlığında öncelikli) parçası (Ek-1) olup; ZYRONOVA platformuna entegre edilen "Biyometrik İmza ve Zaman Damgası Modülü"nün kullanımından doğacak idari, cezai ve hukuki mesuliyetlerin 6698 sayılı KVKK ve 5237 sayılı TCK kapsamında kesin sınırlarla ayrıştırılması gayesiyle tanzim edilmiştir.</w:t>
      </w:r>
    </w:p>
    <w:p w14:paraId="22024659">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263373CD">
      <w:pPr>
        <w:shd w:val="clear" w:color="auto" w:fill="FFFFFF"/>
        <w:spacing w:after="0" w:line="240" w:lineRule="auto"/>
        <w:jc w:val="both"/>
        <w:rPr>
          <w:rFonts w:eastAsia="Times New Roman" w:asciiTheme="majorBidi" w:hAnsiTheme="majorBidi" w:cstheme="majorBidi"/>
          <w:b/>
          <w:bCs/>
          <w:color w:val="222222"/>
          <w:sz w:val="24"/>
          <w:szCs w:val="24"/>
          <w:lang w:eastAsia="tr-TR"/>
        </w:rPr>
      </w:pPr>
      <w:r>
        <w:rPr>
          <w:rFonts w:eastAsia="Times New Roman" w:asciiTheme="majorBidi" w:hAnsiTheme="majorBidi" w:cstheme="majorBidi"/>
          <w:color w:val="222222"/>
          <w:sz w:val="24"/>
          <w:szCs w:val="24"/>
          <w:lang w:eastAsia="tr-TR"/>
        </w:rPr>
        <w:t>​</w:t>
      </w:r>
      <w:r>
        <w:rPr>
          <w:rFonts w:eastAsia="Times New Roman" w:asciiTheme="majorBidi" w:hAnsiTheme="majorBidi" w:cstheme="majorBidi"/>
          <w:b/>
          <w:bCs/>
          <w:color w:val="222222"/>
          <w:sz w:val="24"/>
          <w:szCs w:val="24"/>
          <w:lang w:eastAsia="tr-TR"/>
        </w:rPr>
        <w:t>MADDE 2 – ÖZEL NİTELİKLİ KİŞİSEL VERİ VE HUKUKİ NİTELENDİRME (KVKK MADDE 6)</w:t>
      </w:r>
    </w:p>
    <w:p w14:paraId="66752871">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2.1. MÜŞTERİ, kiralama operasyonlarında son kullanıcılara (müşterilerine) tablet veya dokunmatik ekran üzerinden attıracağı imzanın arka planında kaydedilen hız, ivme, basınç ve yön vektörü (X-Y koordinatları) kayıtlarının, 6698 sayılı KVKK Madde 6/1 uyarınca "Özel Nitelikli Kişisel Veri (Biyometrik Veri)" statüsünde olduğunu gayrikabili rücu kabul ve beyan eder.</w:t>
      </w:r>
    </w:p>
    <w:p w14:paraId="4E456EEF">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2.2. Bu verilerin işlenmesi, Kanun’un 6/2. maddesi amir hükmü gereğince ilgili kişinin (imza atanın) "Açık Rızası" olmaksızın mutlak surette yasaktır.</w:t>
      </w:r>
    </w:p>
    <w:p w14:paraId="44C13E39">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5E9216D5">
      <w:pPr>
        <w:shd w:val="clear" w:color="auto" w:fill="FFFFFF"/>
        <w:spacing w:after="0" w:line="240" w:lineRule="auto"/>
        <w:jc w:val="both"/>
        <w:rPr>
          <w:rFonts w:eastAsia="Times New Roman" w:asciiTheme="majorBidi" w:hAnsiTheme="majorBidi" w:cstheme="majorBidi"/>
          <w:b/>
          <w:bCs/>
          <w:color w:val="222222"/>
          <w:sz w:val="24"/>
          <w:szCs w:val="24"/>
          <w:lang w:eastAsia="tr-TR"/>
        </w:rPr>
      </w:pPr>
      <w:r>
        <w:rPr>
          <w:rFonts w:eastAsia="Times New Roman" w:asciiTheme="majorBidi" w:hAnsiTheme="majorBidi" w:cstheme="majorBidi"/>
          <w:color w:val="222222"/>
          <w:sz w:val="24"/>
          <w:szCs w:val="24"/>
          <w:lang w:eastAsia="tr-TR"/>
        </w:rPr>
        <w:t>​</w:t>
      </w:r>
      <w:r>
        <w:rPr>
          <w:rFonts w:eastAsia="Times New Roman" w:asciiTheme="majorBidi" w:hAnsiTheme="majorBidi" w:cstheme="majorBidi"/>
          <w:b/>
          <w:bCs/>
          <w:color w:val="222222"/>
          <w:sz w:val="24"/>
          <w:szCs w:val="24"/>
          <w:lang w:eastAsia="tr-TR"/>
        </w:rPr>
        <w:t>MADDE 3 – AYDINLATMA VE AÇIK RIZA YÜKÜMLÜLÜĞÜNÜN MÜNHASIRLIĞI (KVKK MADDE 10 VE MADDE 5/6)</w:t>
      </w:r>
    </w:p>
    <w:p w14:paraId="240F3B91">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b/>
          <w:bCs/>
          <w:color w:val="222222"/>
          <w:sz w:val="24"/>
          <w:szCs w:val="24"/>
          <w:lang w:eastAsia="tr-TR"/>
        </w:rPr>
        <w:t>3.1. Aydınlatma Yükümlülüğü:</w:t>
      </w:r>
      <w:r>
        <w:rPr>
          <w:rFonts w:eastAsia="Times New Roman" w:asciiTheme="majorBidi" w:hAnsiTheme="majorBidi" w:cstheme="majorBidi"/>
          <w:color w:val="222222"/>
          <w:sz w:val="24"/>
          <w:szCs w:val="24"/>
          <w:lang w:eastAsia="tr-TR"/>
        </w:rPr>
        <w:t xml:space="preserve"> MÜŞTERİ, tableti son kullanıcının önüne sunduğu an itibarıyla, KVKK Madde 10 kapsamında belirtilen "Aydınlatma Yükümlülüğünü" (verinin kim tarafından, hangi amaçla ve hukuki sebeple işleneceği bilgisini) eksiksiz olarak yerine getirmekle münhasıran mükelleftir.</w:t>
      </w:r>
    </w:p>
    <w:p w14:paraId="120CD0B8">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b/>
          <w:bCs/>
          <w:color w:val="222222"/>
          <w:sz w:val="24"/>
          <w:szCs w:val="24"/>
          <w:lang w:eastAsia="tr-TR"/>
        </w:rPr>
        <w:t>3.2. Açık Rızanın Temini:</w:t>
      </w:r>
      <w:r>
        <w:rPr>
          <w:rFonts w:eastAsia="Times New Roman" w:asciiTheme="majorBidi" w:hAnsiTheme="majorBidi" w:cstheme="majorBidi"/>
          <w:color w:val="222222"/>
          <w:sz w:val="24"/>
          <w:szCs w:val="24"/>
          <w:lang w:eastAsia="tr-TR"/>
        </w:rPr>
        <w:t xml:space="preserve"> MÜŞTERİ, kiralama işlemi öncesinde son kullanıcıdan biyometrik imzanın alınmasına dair, KVKK amir hükümleri çerçevesinde "özgür iradeye dayanan, belirli bir konuya ilişkin ve bilgilendirmeye dayalı" Açık Rıza almak zorundadır.</w:t>
      </w:r>
    </w:p>
    <w:p w14:paraId="0F2F55E9">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b/>
          <w:bCs/>
          <w:color w:val="222222"/>
          <w:sz w:val="24"/>
          <w:szCs w:val="24"/>
          <w:lang w:eastAsia="tr-TR"/>
        </w:rPr>
        <w:t>3.3. Sorumsuzluk ve İlliyet Bağının Kesilmesi:</w:t>
      </w:r>
      <w:r>
        <w:rPr>
          <w:rFonts w:eastAsia="Times New Roman" w:asciiTheme="majorBidi" w:hAnsiTheme="majorBidi" w:cstheme="majorBidi"/>
          <w:color w:val="222222"/>
          <w:sz w:val="24"/>
          <w:szCs w:val="24"/>
          <w:lang w:eastAsia="tr-TR"/>
        </w:rPr>
        <w:t xml:space="preserve"> ZYRONOVA, platformun salt teknik altyapısını sağlayan "Veri İşleyen" konumundadır. Açık rızanın usulüne uygun alınıp alınmadığını, aydınlatma yapılıp yapılmadığını denetleme yükümlülüğü ZYRONOVA'da değildir. MÜŞTERİ'nin bu maddeleri ihlali halinde Kişisel Verileri Koruma Kurulu'nca kesilecek idari para cezalarının tek muhatabı "Veri Sorumlusu" sıfatıyla MÜŞTERİ'dir.</w:t>
      </w:r>
    </w:p>
    <w:p w14:paraId="10637F34">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2A603520">
      <w:pPr>
        <w:shd w:val="clear" w:color="auto" w:fill="FFFFFF"/>
        <w:spacing w:after="0" w:line="240" w:lineRule="auto"/>
        <w:jc w:val="both"/>
        <w:rPr>
          <w:rFonts w:eastAsia="Times New Roman" w:asciiTheme="majorBidi" w:hAnsiTheme="majorBidi" w:cstheme="majorBidi"/>
          <w:b/>
          <w:bCs/>
          <w:color w:val="222222"/>
          <w:sz w:val="24"/>
          <w:szCs w:val="24"/>
          <w:lang w:eastAsia="tr-TR"/>
        </w:rPr>
      </w:pPr>
      <w:r>
        <w:rPr>
          <w:rFonts w:eastAsia="Times New Roman" w:asciiTheme="majorBidi" w:hAnsiTheme="majorBidi" w:cstheme="majorBidi"/>
          <w:color w:val="222222"/>
          <w:sz w:val="24"/>
          <w:szCs w:val="24"/>
          <w:lang w:eastAsia="tr-TR"/>
        </w:rPr>
        <w:t>​</w:t>
      </w:r>
      <w:r>
        <w:rPr>
          <w:rFonts w:eastAsia="Times New Roman" w:asciiTheme="majorBidi" w:hAnsiTheme="majorBidi" w:cstheme="majorBidi"/>
          <w:b/>
          <w:bCs/>
          <w:color w:val="222222"/>
          <w:sz w:val="24"/>
          <w:szCs w:val="24"/>
          <w:lang w:eastAsia="tr-TR"/>
        </w:rPr>
        <w:t>MADDE 4 – VERİ GÜVENLİĞİ VE İDARİ/TEKNİK TEDBİRLER (KVKK MADDE 12)</w:t>
      </w:r>
    </w:p>
    <w:p w14:paraId="6AC79FC4">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ZYRONOVA, sisteme aktarılan kriptolanmış biyometrik verileri KVKK Madde 12 uyarınca yetkisiz erişimlere karşı korumak adına 256-Bit şifreleme ve SHA-256 hash algoritmaları kullanmaktadır. Ancak, MÜŞTERİ'nin kendi işletmesindeki donanımların (tablet/bilgisayar) güvenliğini sağlamaması, personelinin şifrelerini çaldırması veya verileri hukuka aykırı olarak kopyalayarak sızdırması durumunda ZYRONOVA'nın Kanun kapsamındaki hiçbir idari ve teknik tedbir ihlali sorumluluğu doğmayacaktır.</w:t>
      </w:r>
    </w:p>
    <w:p w14:paraId="0AD463CA">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61111257">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688FD5B2">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127C03E8">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02984D0A">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w:t>
      </w:r>
      <w:r>
        <w:rPr>
          <w:rFonts w:eastAsia="Times New Roman" w:asciiTheme="majorBidi" w:hAnsiTheme="majorBidi" w:cstheme="majorBidi"/>
          <w:b/>
          <w:bCs/>
          <w:color w:val="222222"/>
          <w:sz w:val="24"/>
          <w:szCs w:val="24"/>
          <w:lang w:eastAsia="tr-TR"/>
        </w:rPr>
        <w:t>MADDE 5 – TCK BAĞLAMINDA CEZAİ SORUMLULUK VE TAM RÜCU (TCK MADDE 135-138 VE KVKK MADDE 17-18)</w:t>
      </w:r>
    </w:p>
    <w:p w14:paraId="2A9E8E33">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5.1. MÜŞTERİ'nin, son kullanıcıdan açık rıza almadan gizlice veya hileyle biyometrik imza alması, 5237 sayılı Türk Ceza Kanunu Madde 135 (Kişisel Verilerin Kaydedilmesi) ve Madde 136 (Verileri Hukuka Aykırı Olarak Verme veya Ele Geçirme) kapsamında Hapis Cezasının konusudur.</w:t>
      </w:r>
    </w:p>
    <w:p w14:paraId="6AA939D5">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5.2. Bu tür bir suç isnadı veya idari soruşturma neticesinde; ZYRONOVA tüzel kişiliğine, kurucularına veya yöneticilerine yöneltilebilecek her türlü adli para cezası, idari yaptırım (KVKK m.18), maddi veya manevi tazminat talepleri, ferileri ve avukatlık vekalet ücretleriyle birlikte ilk yazılı talepte nakden ve defaten MÜŞTERİ'ye rücu edilecektir. MÜŞTERİ, bu rücu talebini hiçbir itiraz ileri sürmeksizin derhal ifa edeceğini taahhüt eder.</w:t>
      </w:r>
    </w:p>
    <w:p w14:paraId="794F7EE9">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2BC8940B">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w:t>
      </w:r>
      <w:r>
        <w:rPr>
          <w:rFonts w:eastAsia="Times New Roman" w:asciiTheme="majorBidi" w:hAnsiTheme="majorBidi" w:cstheme="majorBidi"/>
          <w:b/>
          <w:bCs/>
          <w:color w:val="222222"/>
          <w:sz w:val="24"/>
          <w:szCs w:val="24"/>
          <w:lang w:eastAsia="tr-TR"/>
        </w:rPr>
        <w:t>MADDE</w:t>
      </w:r>
      <w:r>
        <w:rPr>
          <w:rFonts w:eastAsia="Times New Roman" w:asciiTheme="majorBidi" w:hAnsiTheme="majorBidi" w:cstheme="majorBidi"/>
          <w:color w:val="222222"/>
          <w:sz w:val="24"/>
          <w:szCs w:val="24"/>
          <w:lang w:eastAsia="tr-TR"/>
        </w:rPr>
        <w:t xml:space="preserve"> </w:t>
      </w:r>
      <w:r>
        <w:rPr>
          <w:rFonts w:eastAsia="Times New Roman" w:asciiTheme="majorBidi" w:hAnsiTheme="majorBidi" w:cstheme="majorBidi"/>
          <w:b/>
          <w:bCs/>
          <w:color w:val="222222"/>
          <w:sz w:val="24"/>
          <w:szCs w:val="24"/>
          <w:lang w:eastAsia="tr-TR"/>
        </w:rPr>
        <w:t>6 – HMK M.193 UYARINCA KESİN DELİL VE İNKAR MUAFİYETİ</w:t>
      </w:r>
    </w:p>
    <w:p w14:paraId="0069EAFB">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ZYRONOVA sistemi üzerinden oluşturulan dijital kiralama belgesi ve üzerine alınan biyometrik imza, vurulan "Zaman Damgası (Time Stamp)" ile birlikte taraflar arasında 6100 sayılı Hukuk Muhakemeleri Kanunu Madde 193 uyarınca KESİN DELİL teşkil eder. Bir son kullanıcının, MÜŞTERİ'ye karşı sahtecilik veya imza inkarı iddiasıyla mahkemeye başvurması durumunda; ZYRONOVA'nın tek hukuki mükellefiyeti mahkemeye veya savcılığa ilgili log (iz) kayıtlarını sunmaktan ibarettir. ZYRONOVA, davaya fer'i müdahil, garantör veya ihbar olunan sıfatıyla dâhil edilemez.</w:t>
      </w:r>
    </w:p>
    <w:p w14:paraId="040BB19D">
      <w:pPr>
        <w:shd w:val="clear" w:color="auto" w:fill="FFFFFF"/>
        <w:spacing w:after="0" w:line="240" w:lineRule="auto"/>
        <w:jc w:val="both"/>
        <w:rPr>
          <w:rFonts w:eastAsia="Times New Roman" w:asciiTheme="majorBidi" w:hAnsiTheme="majorBidi" w:cstheme="majorBidi"/>
          <w:color w:val="222222"/>
          <w:sz w:val="24"/>
          <w:szCs w:val="24"/>
          <w:lang w:eastAsia="tr-TR"/>
        </w:rPr>
      </w:pPr>
    </w:p>
    <w:p w14:paraId="51EE1294">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w:t>
      </w:r>
      <w:r>
        <w:rPr>
          <w:rFonts w:eastAsia="Times New Roman" w:asciiTheme="majorBidi" w:hAnsiTheme="majorBidi" w:cstheme="majorBidi"/>
          <w:b/>
          <w:bCs/>
          <w:color w:val="222222"/>
          <w:sz w:val="24"/>
          <w:szCs w:val="24"/>
          <w:lang w:eastAsia="tr-TR"/>
        </w:rPr>
        <w:t>MADDE 7 – YÜRÜRLÜK VE  İCRA YETKİSİ</w:t>
      </w:r>
    </w:p>
    <w:p w14:paraId="05B2E52B">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İşbu 7 (Yedi) maddelik Ek Protokol, Ana Lisans Sözleşmesi ile ayrılmaz bir bütün olarak, okunup anlaşılarak imza altına alınmıştır. İşbu protokolden doğacak her türlü hukuki, cezai ve idari ihtilafın çözümünde, ZYRONOVA'nın yerleşim yeri olan Alanya Mahkemeleri ve Alanya İcra Daireleri kesin surette yetkilidir.</w:t>
      </w:r>
    </w:p>
    <w:p w14:paraId="64D7B2A5">
      <w:pPr>
        <w:shd w:val="clear" w:color="auto" w:fill="FFFFFF"/>
        <w:spacing w:after="0" w:line="240" w:lineRule="auto"/>
        <w:jc w:val="both"/>
        <w:rPr>
          <w:rFonts w:eastAsia="Times New Roman" w:asciiTheme="majorBidi" w:hAnsiTheme="majorBidi" w:cstheme="majorBidi"/>
          <w:color w:val="222222"/>
          <w:sz w:val="24"/>
          <w:szCs w:val="24"/>
          <w:lang w:eastAsia="tr-TR"/>
        </w:rPr>
      </w:pPr>
      <w:r>
        <w:rPr>
          <w:rFonts w:eastAsia="Times New Roman" w:asciiTheme="majorBidi" w:hAnsiTheme="majorBidi" w:cstheme="majorBidi"/>
          <w:color w:val="222222"/>
          <w:sz w:val="24"/>
          <w:szCs w:val="24"/>
          <w:lang w:eastAsia="tr-TR"/>
        </w:rPr>
        <w:t>​</w:t>
      </w:r>
    </w:p>
    <w:p w14:paraId="62D680E0">
      <w:pPr>
        <w:shd w:val="clear" w:color="auto" w:fill="FFFFFF"/>
        <w:spacing w:after="0" w:line="240" w:lineRule="auto"/>
        <w:jc w:val="both"/>
        <w:rPr>
          <w:rFonts w:eastAsia="Times New Roman" w:asciiTheme="majorBidi" w:hAnsiTheme="majorBidi" w:cstheme="majorBidi"/>
          <w:color w:val="222222"/>
          <w:sz w:val="18"/>
          <w:szCs w:val="18"/>
          <w:lang w:eastAsia="tr-TR"/>
        </w:rPr>
      </w:pPr>
      <w:r>
        <w:rPr>
          <w:rFonts w:eastAsia="Times New Roman" w:asciiTheme="majorBidi" w:hAnsiTheme="majorBidi" w:cstheme="majorBidi"/>
          <w:b/>
          <w:bCs/>
          <w:color w:val="222222"/>
          <w:sz w:val="18"/>
          <w:szCs w:val="18"/>
          <w:lang w:eastAsia="tr-TR"/>
        </w:rPr>
        <w:t>LİSANS VEREN (VERİ İŞLEYEN - ZYRONOVA)                        LİSANS ALAN (VERİ SORUMLUSU - MÜŞTERİ)</w:t>
      </w:r>
    </w:p>
    <w:p w14:paraId="5E32572B">
      <w:pPr>
        <w:jc w:val="both"/>
        <w:rPr>
          <w:rFonts w:asciiTheme="majorBidi" w:hAnsiTheme="majorBidi" w:cstheme="majorBidi"/>
          <w:sz w:val="18"/>
          <w:szCs w:val="18"/>
        </w:rPr>
      </w:pPr>
      <w:r>
        <w:rPr>
          <w:rFonts w:eastAsia="Times New Roman" w:asciiTheme="majorBidi" w:hAnsiTheme="majorBidi" w:cstheme="majorBidi"/>
          <w:b/>
          <w:bCs/>
          <w:color w:val="222222"/>
          <w:sz w:val="18"/>
          <w:szCs w:val="18"/>
          <w:lang w:eastAsia="tr-TR"/>
        </w:rPr>
        <w:t>[Muhamme</w:t>
      </w:r>
      <w:r>
        <w:rPr>
          <w:rFonts w:hint="default" w:eastAsia="Times New Roman" w:asciiTheme="majorBidi" w:hAnsiTheme="majorBidi" w:cstheme="majorBidi"/>
          <w:b/>
          <w:bCs/>
          <w:color w:val="222222"/>
          <w:sz w:val="18"/>
          <w:szCs w:val="18"/>
          <w:lang w:val="en-US" w:eastAsia="tr-TR"/>
        </w:rPr>
        <w:t>t</w:t>
      </w:r>
      <w:r>
        <w:rPr>
          <w:rFonts w:eastAsia="Times New Roman" w:asciiTheme="majorBidi" w:hAnsiTheme="majorBidi" w:cstheme="majorBidi"/>
          <w:b/>
          <w:bCs/>
          <w:color w:val="222222"/>
          <w:sz w:val="18"/>
          <w:szCs w:val="18"/>
          <w:lang w:eastAsia="tr-TR"/>
        </w:rPr>
        <w:t xml:space="preserve"> Can DEMİR-ZYRONOVA Yazılım]</w:t>
      </w:r>
      <w:bookmarkStart w:id="0" w:name="_GoBack"/>
      <w:bookmarkEnd w:id="0"/>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A2"/>
    <w:family w:val="swiss"/>
    <w:pitch w:val="default"/>
    <w:sig w:usb0="E0002EFF" w:usb1="C000785B" w:usb2="00000009" w:usb3="00000000" w:csb0="400001FF" w:csb1="FFFF0000"/>
  </w:font>
  <w:font w:name="Calibri">
    <w:panose1 w:val="020F0502020204030204"/>
    <w:charset w:val="A2"/>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2"/>
  </w:compat>
  <w:rsids>
    <w:rsidRoot w:val="00FD6EB8"/>
    <w:rsid w:val="00090CED"/>
    <w:rsid w:val="00220EAB"/>
    <w:rsid w:val="004213B0"/>
    <w:rsid w:val="00576EDF"/>
    <w:rsid w:val="006D157C"/>
    <w:rsid w:val="009613F4"/>
    <w:rsid w:val="00B76E71"/>
    <w:rsid w:val="00BE6FDD"/>
    <w:rsid w:val="00CD2599"/>
    <w:rsid w:val="00FD6EB8"/>
    <w:rsid w:val="48F77C8E"/>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tr-TR"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608</Words>
  <Characters>4076</Characters>
  <Lines>33</Lines>
  <Paragraphs>9</Paragraphs>
  <TotalTime>66</TotalTime>
  <ScaleCrop>false</ScaleCrop>
  <LinksUpToDate>false</LinksUpToDate>
  <CharactersWithSpaces>4684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2026-05-23T15:31:00Z</dcterms:created>
  <dc:creator>user</dc:creator>
  <cp:lastModifiedBy>Muhammet can demir</cp:lastModifiedBy>
  <dcterms:modified xsi:type="dcterms:W3CDTF">2026-05-24T12:52:48Z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eyJoZGlkIjoiOWZmMDhkN2E2ZTJmNjIzMWJlZTZhNzViYWRmN2MzMWQiLCJ1c2VySWQiOiIyNjExMzQxNjg4Njc5In0=</vt:lpwstr>
  </property>
  <property fmtid="{D5CDD505-2E9C-101B-9397-08002B2CF9AE}" pid="3" name="KSOProductBuildVer">
    <vt:lpwstr>1055-12.1.0.26372</vt:lpwstr>
  </property>
  <property fmtid="{D5CDD505-2E9C-101B-9397-08002B2CF9AE}" pid="4" name="ICV">
    <vt:lpwstr>5D2A9A44C4B644EFBF6A88F0AAC66C42_12</vt:lpwstr>
  </property>
</Properties>
</file>