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5.png" ContentType="image/png"/>
  <Override PartName="/word/media/rId48.png" ContentType="image/png"/>
  <Override PartName="/word/media/rId55.png" ContentType="image/png"/>
  <Override PartName="/word/media/rId59.png" ContentType="image/png"/>
  <Override PartName="/word/media/rId68.png" ContentType="image/png"/>
  <Override PartName="/word/media/rId65.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module-12-final-report"/>
    <w:p>
      <w:pPr>
        <w:pStyle w:val="Heading1"/>
      </w:pPr>
      <w:r>
        <w:t xml:space="preserve">Module 12 Final Report</w:t>
      </w:r>
    </w:p>
    <w:bookmarkStart w:id="9" w:name="introduction"/>
    <w:p>
      <w:pPr>
        <w:pStyle w:val="Heading2"/>
      </w:pPr>
      <w:r>
        <w:t xml:space="preserve">1. Introduction</w:t>
      </w:r>
    </w:p>
    <w:p>
      <w:pPr>
        <w:pStyle w:val="FirstParagraph"/>
      </w:pPr>
      <w:r>
        <w:t xml:space="preserve">This module pulled together several ideas that build on each other. It started with estimating the noise variance in the captures, then used that estimate to build a CFAR-style energy detector threshold, then used the threshold to study probability of detection and actual time-slot occupancy. After that, the occupancy sequence was used as the observed sequence for a two-state HMM, which made it possible to estimate transition matrices and then compute limiting distributions for long-term channel usage. The extra-credit parts extended that same chain of ideas to long whitespace opportunities and to a pretrained modulation classifier tested across SNR.</w:t>
      </w:r>
    </w:p>
    <w:p>
      <w:pPr>
        <w:pStyle w:val="BodyText"/>
      </w:pPr>
      <w:r>
        <w:t xml:space="preserve">What I liked about this module is that the problems connected in a very natural way. Problem 2.1 produced the noise estimates and timeslot energies, Problems 2.2 through 2.4 turned those into detection and occupancy results, Problems 2.5 and 2.6 turned the occupancy sequence into a Markov model and long-term prediction, and the extra-credit problems showed how those same results can be used to think about channel access opportunities and classifier robustness.</w:t>
      </w:r>
    </w:p>
    <w:bookmarkEnd w:id="9"/>
    <w:bookmarkStart w:id="13" w:name="problem-2.1-noise-estimation"/>
    <w:p>
      <w:pPr>
        <w:pStyle w:val="Heading2"/>
      </w:pPr>
      <w:r>
        <w:t xml:space="preserve">2. Problem 2.1 – Noise Estimation</w:t>
      </w:r>
    </w:p>
    <w:p>
      <w:pPr>
        <w:pStyle w:val="FirstParagraph"/>
      </w:pPr>
      <w:r>
        <w:t xml:space="preserve">The goal of Problem 2.1 was to estimate the noise variance in the example channel and the six unknown channels. The main requirement here was to reuse the MDL eigenvalue noise estimator from Module 11 instead of switching to a different estimator.</w:t>
      </w:r>
    </w:p>
    <w:p>
      <w:pPr>
        <w:pStyle w:val="BodyText"/>
      </w:pPr>
      <w:r>
        <w:t xml:space="preserve">The basic idea was to reshape the capture into short observation vectors, build a sample covariance matrix, compute its eigenvalues, and then use the MDL criterion to decide where the signal subspace ends and the noise-only eigenvalues begin. Once that split is chosen, the noise variance estimate is the average of the trailing eigenvalues.</w:t>
      </w:r>
    </w:p>
    <w:p>
      <w:pPr>
        <w:pStyle w:val="BodyText"/>
      </w:pPr>
      <w:r>
        <w:t xml:space="preserve">The main equations behind that idea are</w:t>
      </w:r>
    </w:p>
    <w:p>
      <w:pPr>
        <w:pStyle w:val="BodyText"/>
      </w:pPr>
      <m:oMathPara>
        <m:oMathParaPr>
          <m:jc m:val="center"/>
        </m:oMathParaPr>
        <m:oMath>
          <m:r>
            <m:rPr>
              <m:sty m:val="bi"/>
            </m:rPr>
            <m:t>R</m:t>
          </m:r>
          <m:r>
            <m:rPr>
              <m:sty m:val="p"/>
            </m:rPr>
            <m:t>=</m:t>
          </m:r>
          <m:f>
            <m:fPr>
              <m:type m:val="bar"/>
            </m:fPr>
            <m:num>
              <m:r>
                <m:t>1</m:t>
              </m:r>
            </m:num>
            <m:den>
              <m:r>
                <m:t>N</m:t>
              </m:r>
            </m:den>
          </m:f>
          <m:r>
            <m:rPr>
              <m:sty m:val="bi"/>
            </m:rPr>
            <m:t>X</m:t>
          </m:r>
          <m:sSup>
            <m:e>
              <m:r>
                <m:rPr>
                  <m:sty m:val="bi"/>
                </m:rPr>
                <m:t>X</m:t>
              </m:r>
            </m:e>
            <m:sup>
              <m:r>
                <m:t>H</m:t>
              </m:r>
            </m:sup>
          </m:sSup>
        </m:oMath>
      </m:oMathPara>
    </w:p>
    <w:p>
      <w:pPr>
        <w:pStyle w:val="FirstParagraph"/>
      </w:pPr>
      <w:r>
        <w:t xml:space="preserve">and</w:t>
      </w:r>
    </w:p>
    <w:p>
      <w:pPr>
        <w:pStyle w:val="BodyText"/>
      </w:pPr>
      <m:oMathPara>
        <m:oMathParaPr>
          <m:jc m:val="center"/>
        </m:oMathParaPr>
        <m:oMath>
          <m:sSubSup>
            <m:e>
              <m:acc>
                <m:accPr>
                  <m:chr m:val="̂"/>
                </m:accPr>
                <m:e>
                  <m:r>
                    <m:t>σ</m:t>
                  </m:r>
                </m:e>
              </m:acc>
            </m:e>
            <m:sub>
              <m:r>
                <m:t>n</m:t>
              </m:r>
            </m:sub>
            <m:sup>
              <m:r>
                <m:t>2</m:t>
              </m:r>
            </m:sup>
          </m:sSubSup>
          <m:r>
            <m:rPr>
              <m:sty m:val="p"/>
            </m:rPr>
            <m:t>=</m:t>
          </m:r>
          <m:f>
            <m:fPr>
              <m:type m:val="bar"/>
            </m:fPr>
            <m:num>
              <m:r>
                <m:t>1</m:t>
              </m:r>
            </m:num>
            <m:den>
              <m:r>
                <m:t>L</m:t>
              </m:r>
              <m:r>
                <m:rPr>
                  <m:sty m:val="p"/>
                </m:rPr>
                <m:t>−</m:t>
              </m:r>
              <m:r>
                <m:t>k</m:t>
              </m:r>
            </m:den>
          </m:f>
          <m:nary>
            <m:naryPr>
              <m:chr m:val="∑"/>
              <m:limLoc m:val="undOvr"/>
              <m:subHide m:val="off"/>
              <m:supHide m:val="off"/>
            </m:naryPr>
            <m:sub>
              <m:r>
                <m:t>i</m:t>
              </m:r>
              <m:r>
                <m:rPr>
                  <m:sty m:val="p"/>
                </m:rPr>
                <m:t>=</m:t>
              </m:r>
              <m:r>
                <m:t>k</m:t>
              </m:r>
              <m:r>
                <m:rPr>
                  <m:sty m:val="p"/>
                </m:rPr>
                <m:t>+</m:t>
              </m:r>
              <m:r>
                <m:t>1</m:t>
              </m:r>
            </m:sub>
            <m:sup>
              <m:r>
                <m:t>L</m:t>
              </m:r>
            </m:sup>
            <m:e>
              <m:sSub>
                <m:e>
                  <m:r>
                    <m:t>λ</m:t>
                  </m:r>
                </m:e>
                <m:sub>
                  <m:r>
                    <m:t>i</m:t>
                  </m:r>
                </m:sub>
              </m:sSub>
            </m:e>
          </m:nary>
        </m:oMath>
      </m:oMathPara>
    </w:p>
    <w:p>
      <w:pPr>
        <w:pStyle w:val="FirstParagraph"/>
      </w:pPr>
      <w:r>
        <w:t xml:space="preserve">where</w:t>
      </w:r>
      <w:r>
        <w:t xml:space="preserve"> </w:t>
      </w:r>
      <m:oMath>
        <m:sSub>
          <m:e>
            <m:r>
              <m:t>λ</m:t>
            </m:r>
          </m:e>
          <m:sub>
            <m:r>
              <m:t>i</m:t>
            </m:r>
          </m:sub>
        </m:sSub>
      </m:oMath>
      <w:r>
        <w:t xml:space="preserve"> </w:t>
      </w:r>
      <w:r>
        <w:t xml:space="preserve">are the sorted covariance eigenvalues and</w:t>
      </w:r>
      <w:r>
        <w:t xml:space="preserve"> </w:t>
      </w:r>
      <m:oMath>
        <m:r>
          <m:t>k</m:t>
        </m:r>
      </m:oMath>
      <w:r>
        <w:t xml:space="preserve"> </w:t>
      </w:r>
      <w:r>
        <w:t xml:space="preserve">is the MDL-selected signal-subspace dimension.</w:t>
      </w:r>
    </w:p>
    <w:p>
      <w:pPr>
        <w:pStyle w:val="BodyText"/>
      </w:pPr>
      <w:r>
        <w:t xml:space="preserve">The MDL estimator reused here is the same implementation developed in Module 11. In this module, the implementation used 10-sample observations so that the estimator lined up cleanly with the 10-sample timeslot structure used later in the detector problems. Problem 2.1 also saved the per-timeslot energies for later reuse, but those energies were not used as the actual noise estimator.</w:t>
      </w:r>
    </w:p>
    <w:bookmarkStart w:id="10" w:name="example-channel-validation"/>
    <w:p>
      <w:pPr>
        <w:pStyle w:val="Heading3"/>
      </w:pPr>
      <w:r>
        <w:t xml:space="preserve">Example Channel Validation</w:t>
      </w:r>
    </w:p>
    <w:p>
      <w:pPr>
        <w:pStyle w:val="Compact"/>
        <w:numPr>
          <w:ilvl w:val="0"/>
          <w:numId w:val="1001"/>
        </w:numPr>
      </w:pPr>
      <w:r>
        <w:t xml:space="preserve">Estimated noise variance:</w:t>
      </w:r>
      <w:r>
        <w:t xml:space="preserve"> </w:t>
      </w:r>
      <w:r>
        <w:rPr>
          <w:rStyle w:val="VerbatimChar"/>
        </w:rPr>
        <w:t xml:space="preserve">0.315746968375</w:t>
      </w:r>
    </w:p>
    <w:p>
      <w:pPr>
        <w:pStyle w:val="Compact"/>
        <w:numPr>
          <w:ilvl w:val="0"/>
          <w:numId w:val="1001"/>
        </w:numPr>
      </w:pPr>
      <w:r>
        <w:t xml:space="preserve">Ground-truth noise variance:</w:t>
      </w:r>
      <w:r>
        <w:t xml:space="preserve"> </w:t>
      </w:r>
      <w:r>
        <w:rPr>
          <w:rStyle w:val="VerbatimChar"/>
        </w:rPr>
        <w:t xml:space="preserve">0.316227766017</w:t>
      </w:r>
    </w:p>
    <w:p>
      <w:pPr>
        <w:pStyle w:val="Compact"/>
        <w:numPr>
          <w:ilvl w:val="0"/>
          <w:numId w:val="1001"/>
        </w:numPr>
      </w:pPr>
      <w:r>
        <w:t xml:space="preserve">Relative error:</w:t>
      </w:r>
      <w:r>
        <w:t xml:space="preserve"> </w:t>
      </w:r>
      <w:r>
        <w:rPr>
          <w:rStyle w:val="VerbatimChar"/>
        </w:rPr>
        <w:t xml:space="preserve">|estimate - truth| / |truth| = 0.00152042</w:t>
      </w:r>
      <w:r>
        <w:t xml:space="preserve"> </w:t>
      </w:r>
      <w:r>
        <w:t xml:space="preserve">(0.1520%)</w:t>
      </w:r>
    </w:p>
    <w:p>
      <w:pPr>
        <w:pStyle w:val="Compact"/>
        <w:numPr>
          <w:ilvl w:val="0"/>
          <w:numId w:val="1001"/>
        </w:numPr>
      </w:pPr>
      <w:r>
        <w:t xml:space="preserve">Meets 5% requirement:</w:t>
      </w:r>
      <w:r>
        <w:t xml:space="preserve"> </w:t>
      </w:r>
      <w:r>
        <w:rPr>
          <w:rStyle w:val="VerbatimChar"/>
        </w:rPr>
        <w:t xml:space="preserve">Yes</w:t>
      </w:r>
    </w:p>
    <w:bookmarkEnd w:id="10"/>
    <w:bookmarkStart w:id="11" w:name="six-unknown-channel-noise-estimates"/>
    <w:p>
      <w:pPr>
        <w:pStyle w:val="Heading3"/>
      </w:pPr>
      <w:r>
        <w:t xml:space="preserve">Six Unknown Channel Noise Estimates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jc w:val="right"/>
            </w:pPr>
            <w:r>
              <w:t xml:space="preserve">Estimated Noise Variance</w:t>
            </w:r>
          </w:p>
        </w:tc>
      </w:tr>
      <w:tr>
        <w:tc>
          <w:tcPr/>
          <w:p>
            <w:pPr>
              <w:pStyle w:val="Compact"/>
            </w:pPr>
            <w:r>
              <w:t xml:space="preserve">1</w:t>
            </w:r>
          </w:p>
        </w:tc>
        <w:tc>
          <w:tcPr/>
          <w:p>
            <w:pPr>
              <w:pStyle w:val="Compact"/>
              <w:jc w:val="right"/>
            </w:pPr>
            <w:r>
              <w:t xml:space="preserve">0.199687919633</w:t>
            </w:r>
          </w:p>
        </w:tc>
      </w:tr>
      <w:tr>
        <w:tc>
          <w:tcPr/>
          <w:p>
            <w:pPr>
              <w:pStyle w:val="Compact"/>
            </w:pPr>
            <w:r>
              <w:t xml:space="preserve">2</w:t>
            </w:r>
          </w:p>
        </w:tc>
        <w:tc>
          <w:tcPr/>
          <w:p>
            <w:pPr>
              <w:pStyle w:val="Compact"/>
              <w:jc w:val="right"/>
            </w:pPr>
            <w:r>
              <w:t xml:space="preserve">0.316107506737</w:t>
            </w:r>
          </w:p>
        </w:tc>
      </w:tr>
      <w:tr>
        <w:tc>
          <w:tcPr/>
          <w:p>
            <w:pPr>
              <w:pStyle w:val="Compact"/>
            </w:pPr>
            <w:r>
              <w:t xml:space="preserve">3</w:t>
            </w:r>
          </w:p>
        </w:tc>
        <w:tc>
          <w:tcPr/>
          <w:p>
            <w:pPr>
              <w:pStyle w:val="Compact"/>
              <w:jc w:val="right"/>
            </w:pPr>
            <w:r>
              <w:t xml:space="preserve">0.251593606238</w:t>
            </w:r>
          </w:p>
        </w:tc>
      </w:tr>
      <w:tr>
        <w:tc>
          <w:tcPr/>
          <w:p>
            <w:pPr>
              <w:pStyle w:val="Compact"/>
            </w:pPr>
            <w:r>
              <w:t xml:space="preserve">4</w:t>
            </w:r>
          </w:p>
        </w:tc>
        <w:tc>
          <w:tcPr/>
          <w:p>
            <w:pPr>
              <w:pStyle w:val="Compact"/>
              <w:jc w:val="right"/>
            </w:pPr>
            <w:r>
              <w:t xml:space="preserve">0.794220689995</w:t>
            </w:r>
          </w:p>
        </w:tc>
      </w:tr>
      <w:tr>
        <w:tc>
          <w:tcPr/>
          <w:p>
            <w:pPr>
              <w:pStyle w:val="Compact"/>
            </w:pPr>
            <w:r>
              <w:t xml:space="preserve">5</w:t>
            </w:r>
          </w:p>
        </w:tc>
        <w:tc>
          <w:tcPr/>
          <w:p>
            <w:pPr>
              <w:pStyle w:val="Compact"/>
              <w:jc w:val="right"/>
            </w:pPr>
            <w:r>
              <w:t xml:space="preserve">0.500708822246</w:t>
            </w:r>
          </w:p>
        </w:tc>
      </w:tr>
      <w:tr>
        <w:tc>
          <w:tcPr/>
          <w:p>
            <w:pPr>
              <w:pStyle w:val="Compact"/>
            </w:pPr>
            <w:r>
              <w:t xml:space="preserve">6</w:t>
            </w:r>
          </w:p>
        </w:tc>
        <w:tc>
          <w:tcPr/>
          <w:p>
            <w:pPr>
              <w:pStyle w:val="Compact"/>
              <w:jc w:val="right"/>
            </w:pPr>
            <w:r>
              <w:t xml:space="preserve">0.631326269422</w:t>
            </w:r>
          </w:p>
        </w:tc>
      </w:tr>
    </w:tbl>
    <w:bookmarkEnd w:id="11"/>
    <w:bookmarkStart w:id="12" w:name="note"/>
    <w:p>
      <w:pPr>
        <w:pStyle w:val="Heading3"/>
      </w:pPr>
      <w:r>
        <w:t xml:space="preserve">Note</w:t>
      </w:r>
    </w:p>
    <w:p>
      <w:pPr>
        <w:pStyle w:val="FirstParagraph"/>
      </w:pPr>
      <w:r>
        <w:t xml:space="preserve">The main assumption that mattered here was that the MDL estimator from Module 11 could be reused directly as long as the observation length matched the Module 12 timeslot structure. Once that was settled, the rest of the module could build on the saved noise estimates and saved timeslot energies without recomputing them.</w:t>
      </w:r>
    </w:p>
    <w:bookmarkEnd w:id="12"/>
    <w:bookmarkEnd w:id="13"/>
    <w:bookmarkStart w:id="17" w:name="problem-2.2-cfar-threshold"/>
    <w:p>
      <w:pPr>
        <w:pStyle w:val="Heading2"/>
      </w:pPr>
      <w:r>
        <w:t xml:space="preserve">3. Problem 2.2 – CFAR Threshold</w:t>
      </w:r>
    </w:p>
    <w:p>
      <w:pPr>
        <w:pStyle w:val="FirstParagraph"/>
      </w:pPr>
      <w:r>
        <w:t xml:space="preserve">Problem 2.2 used the saved noise variance estimates from Problem 2.1 to compute an energy-detector threshold for each channel at a target false alarm probability of 0.05. The important part here was to keep the detector statistic convention fixed as summed timeslot energy over one 10-sample timeslot.</w:t>
      </w:r>
    </w:p>
    <w:p>
      <w:pPr>
        <w:pStyle w:val="BodyText"/>
      </w:pPr>
      <w:r>
        <w:t xml:space="preserve">The detector statistic was</w:t>
      </w:r>
    </w:p>
    <w:p>
      <w:pPr>
        <w:pStyle w:val="BodyText"/>
      </w:pPr>
      <m:oMathPara>
        <m:oMathParaPr>
          <m:jc m:val="center"/>
        </m:oMathParaPr>
        <m:oMath>
          <m:r>
            <m:t>T</m:t>
          </m:r>
          <m:r>
            <m:rPr>
              <m:sty m:val="p"/>
            </m:rPr>
            <m:t>=</m:t>
          </m:r>
          <m:nary>
            <m:naryPr>
              <m:chr m:val="∑"/>
              <m:limLoc m:val="undOvr"/>
              <m:subHide m:val="off"/>
              <m:supHide m:val="off"/>
            </m:naryPr>
            <m:sub>
              <m:r>
                <m:t>n</m:t>
              </m:r>
              <m:r>
                <m:rPr>
                  <m:sty m:val="p"/>
                </m:rPr>
                <m:t>=</m:t>
              </m:r>
              <m:r>
                <m:t>1</m:t>
              </m:r>
            </m:sub>
            <m:sup>
              <m:r>
                <m:t>N</m:t>
              </m:r>
            </m:sup>
            <m:e>
              <m:r>
                <m:rPr>
                  <m:sty m:val="p"/>
                </m:rPr>
                <m:t>|</m:t>
              </m:r>
            </m:e>
          </m:nary>
          <m:r>
            <m:t>x</m:t>
          </m:r>
          <m:r>
            <m:rPr>
              <m:sty m:val="p"/>
            </m:rPr>
            <m:t>[</m:t>
          </m:r>
          <m:r>
            <m:t>n</m:t>
          </m:r>
          <m:r>
            <m:rPr>
              <m:sty m:val="p"/>
            </m:rPr>
            <m:t>]</m:t>
          </m:r>
          <m:sSup>
            <m:e>
              <m:r>
                <m:rPr>
                  <m:sty m:val="p"/>
                </m:rPr>
                <m:t>|</m:t>
              </m:r>
            </m:e>
            <m:sup>
              <m:r>
                <m:t>2</m:t>
              </m:r>
            </m:sup>
          </m:sSup>
        </m:oMath>
      </m:oMathPara>
    </w:p>
    <w:p>
      <w:pPr>
        <w:pStyle w:val="FirstParagraph"/>
      </w:pPr>
      <w:r>
        <w:t xml:space="preserve">with</w:t>
      </w:r>
      <w:r>
        <w:t xml:space="preserve"> </w:t>
      </w:r>
      <m:oMath>
        <m:r>
          <m:t>N</m:t>
        </m:r>
        <m:r>
          <m:rPr>
            <m:sty m:val="p"/>
          </m:rPr>
          <m:t>=</m:t>
        </m:r>
        <m:r>
          <m:t>10</m:t>
        </m:r>
      </m:oMath>
      <w:r>
        <w:t xml:space="preserve">. Under noise-only conditions, the summed complex-sample energy was modeled as gamma distributed with shape</w:t>
      </w:r>
      <w:r>
        <w:t xml:space="preserve"> </w:t>
      </w:r>
      <m:oMath>
        <m:r>
          <m:t>N</m:t>
        </m:r>
      </m:oMath>
      <w:r>
        <w:t xml:space="preserve"> </w:t>
      </w:r>
      <w:r>
        <w:t xml:space="preserve">and scale</w:t>
      </w:r>
      <w:r>
        <w:t xml:space="preserve"> </w:t>
      </w:r>
      <m:oMath>
        <m:sSubSup>
          <m:e>
            <m:r>
              <m:t>σ</m:t>
            </m:r>
          </m:e>
          <m:sub>
            <m:r>
              <m:t>n</m:t>
            </m:r>
          </m:sub>
          <m:sup>
            <m:r>
              <m:t>2</m:t>
            </m:r>
          </m:sup>
        </m:sSubSup>
      </m:oMath>
      <w:r>
        <w:t xml:space="preserve"> </w:t>
      </w:r>
      <w:r>
        <w:t xml:space="preserve">per complex sample. That made the threshold calculation</w:t>
      </w:r>
    </w:p>
    <w:p>
      <w:pPr>
        <w:pStyle w:val="BodyText"/>
      </w:pPr>
      <m:oMathPara>
        <m:oMathParaPr>
          <m:jc m:val="center"/>
        </m:oMathParaPr>
        <m:oMath>
          <m:r>
            <m:t>P</m:t>
          </m:r>
          <m:r>
            <m:rPr>
              <m:sty m:val="p"/>
            </m:rPr>
            <m:t>(</m:t>
          </m:r>
          <m:r>
            <m:t>T</m:t>
          </m:r>
          <m:r>
            <m:rPr>
              <m:sty m:val="p"/>
            </m:rPr>
            <m:t>&gt;</m:t>
          </m:r>
          <m:r>
            <m:t>λ</m:t>
          </m:r>
          <m:r>
            <m:rPr>
              <m:sty m:val="p"/>
            </m:rPr>
            <m:t>∣</m:t>
          </m:r>
          <m:sSub>
            <m:e>
              <m:r>
                <m:t>H</m:t>
              </m:r>
            </m:e>
            <m:sub>
              <m:r>
                <m:t>0</m:t>
              </m:r>
            </m:sub>
          </m:sSub>
          <m:r>
            <m:rPr>
              <m:sty m:val="p"/>
            </m:rPr>
            <m:t>)</m:t>
          </m:r>
          <m:r>
            <m:rPr>
              <m:sty m:val="p"/>
            </m:rPr>
            <m:t>=</m:t>
          </m:r>
          <m:sSub>
            <m:e>
              <m:r>
                <m:t>P</m:t>
              </m:r>
            </m:e>
            <m:sub>
              <m:r>
                <m:t>F</m:t>
              </m:r>
              <m:r>
                <m:t>A</m:t>
              </m:r>
            </m:sub>
          </m:sSub>
        </m:oMath>
      </m:oMathPara>
    </w:p>
    <w:p>
      <w:pPr>
        <w:pStyle w:val="FirstParagraph"/>
      </w:pPr>
      <w:r>
        <w:t xml:space="preserve">and in MATLAB form</w:t>
      </w:r>
    </w:p>
    <w:p>
      <w:pPr>
        <w:pStyle w:val="BodyText"/>
      </w:pPr>
      <m:oMathPara>
        <m:oMathParaPr>
          <m:jc m:val="center"/>
        </m:oMathParaPr>
        <m:oMath>
          <m:r>
            <m:t>λ</m:t>
          </m:r>
          <m:r>
            <m:rPr>
              <m:sty m:val="p"/>
            </m:rPr>
            <m:t>=</m:t>
          </m:r>
          <m:r>
            <m:rPr>
              <m:sty m:val="p"/>
            </m:rPr>
            <m:t>g</m:t>
          </m:r>
          <m:r>
            <m:rPr>
              <m:sty m:val="p"/>
            </m:rPr>
            <m:t>a</m:t>
          </m:r>
          <m:r>
            <m:rPr>
              <m:sty m:val="p"/>
            </m:rPr>
            <m:t>m</m:t>
          </m:r>
          <m:r>
            <m:rPr>
              <m:sty m:val="p"/>
            </m:rPr>
            <m:t>i</m:t>
          </m:r>
          <m:r>
            <m:rPr>
              <m:sty m:val="p"/>
            </m:rPr>
            <m:t>n</m:t>
          </m:r>
          <m:r>
            <m:rPr>
              <m:sty m:val="p"/>
            </m:rPr>
            <m:t>v</m:t>
          </m:r>
          <m:r>
            <m:rPr>
              <m:sty m:val="p"/>
            </m:rPr>
            <m:t>(</m:t>
          </m:r>
          <m:r>
            <m:t>1</m:t>
          </m:r>
          <m:r>
            <m:rPr>
              <m:sty m:val="p"/>
            </m:rPr>
            <m:t>−</m:t>
          </m:r>
          <m:sSub>
            <m:e>
              <m:r>
                <m:t>P</m:t>
              </m:r>
            </m:e>
            <m:sub>
              <m:r>
                <m:t>F</m:t>
              </m:r>
              <m:r>
                <m:t>A</m:t>
              </m:r>
            </m:sub>
          </m:sSub>
          <m:r>
            <m:rPr>
              <m:sty m:val="p"/>
            </m:rPr>
            <m:t>,</m:t>
          </m:r>
          <m:r>
            <m:t>N</m:t>
          </m:r>
          <m:r>
            <m:rPr>
              <m:sty m:val="p"/>
            </m:rPr>
            <m:t>,</m:t>
          </m:r>
          <m:sSubSup>
            <m:e>
              <m:acc>
                <m:accPr>
                  <m:chr m:val="̂"/>
                </m:accPr>
                <m:e>
                  <m:r>
                    <m:t>σ</m:t>
                  </m:r>
                </m:e>
              </m:acc>
            </m:e>
            <m:sub>
              <m:r>
                <m:t>n</m:t>
              </m:r>
            </m:sub>
            <m:sup>
              <m:r>
                <m:t>2</m:t>
              </m:r>
            </m:sup>
          </m:sSubSup>
          <m:r>
            <m:rPr>
              <m:sty m:val="p"/>
            </m:rPr>
            <m:t>)</m:t>
          </m:r>
        </m:oMath>
      </m:oMathPara>
    </w:p>
    <w:p>
      <w:pPr>
        <w:pStyle w:val="FirstParagraph"/>
      </w:pPr>
      <w:r>
        <w:t xml:space="preserve">For this homework, the target false alarm probability was fixed at</w:t>
      </w:r>
    </w:p>
    <w:p>
      <w:pPr>
        <w:pStyle w:val="BodyText"/>
      </w:pPr>
      <m:oMathPara>
        <m:oMathParaPr>
          <m:jc m:val="center"/>
        </m:oMathParaPr>
        <m:oMath>
          <m:sSub>
            <m:e>
              <m:r>
                <m:t>P</m:t>
              </m:r>
            </m:e>
            <m:sub>
              <m:r>
                <m:t>F</m:t>
              </m:r>
              <m:r>
                <m:t>A</m:t>
              </m:r>
            </m:sub>
          </m:sSub>
          <m:r>
            <m:rPr>
              <m:sty m:val="p"/>
            </m:rPr>
            <m:t>=</m:t>
          </m:r>
          <m:r>
            <m:t>0.05</m:t>
          </m:r>
        </m:oMath>
      </m:oMathPara>
    </w:p>
    <w:p>
      <w:pPr>
        <w:pStyle w:val="FirstParagraph"/>
      </w:pPr>
      <w:r>
        <w:t xml:space="preserve">The reason the summed-timeslot-energy convention mattered is that the saved timeslot energies from Problem 2.1 and the thresholds from Problem 2.2 had to use the same scaling. If I had switched to average energy here, the later detection and occupancy steps would have been inconsistent.</w:t>
      </w:r>
    </w:p>
    <w:bookmarkStart w:id="14" w:name="example-channel-validation-1"/>
    <w:p>
      <w:pPr>
        <w:pStyle w:val="Heading3"/>
      </w:pPr>
      <w:r>
        <w:t xml:space="preserve">Example Channel Validation</w:t>
      </w:r>
    </w:p>
    <w:p>
      <w:pPr>
        <w:pStyle w:val="Compact"/>
        <w:numPr>
          <w:ilvl w:val="0"/>
          <w:numId w:val="1002"/>
        </w:numPr>
      </w:pPr>
      <w:r>
        <w:t xml:space="preserve">Threshold estimate:</w:t>
      </w:r>
      <w:r>
        <w:t xml:space="preserve"> </w:t>
      </w:r>
      <w:r>
        <w:rPr>
          <w:rStyle w:val="VerbatimChar"/>
        </w:rPr>
        <w:t xml:space="preserve">4.95887447296</w:t>
      </w:r>
    </w:p>
    <w:p>
      <w:pPr>
        <w:pStyle w:val="Compact"/>
        <w:numPr>
          <w:ilvl w:val="0"/>
          <w:numId w:val="1002"/>
        </w:numPr>
      </w:pPr>
      <w:r>
        <w:t xml:space="preserve">Threshold truth:</w:t>
      </w:r>
      <w:r>
        <w:t xml:space="preserve"> </w:t>
      </w:r>
      <w:r>
        <w:rPr>
          <w:rStyle w:val="VerbatimChar"/>
        </w:rPr>
        <w:t xml:space="preserve">4.96642550398</w:t>
      </w:r>
    </w:p>
    <w:p>
      <w:pPr>
        <w:pStyle w:val="Compact"/>
        <w:numPr>
          <w:ilvl w:val="0"/>
          <w:numId w:val="1002"/>
        </w:numPr>
      </w:pPr>
      <w:r>
        <w:t xml:space="preserve">Relative error vs truth:</w:t>
      </w:r>
      <w:r>
        <w:t xml:space="preserve"> </w:t>
      </w:r>
      <w:r>
        <w:rPr>
          <w:rStyle w:val="VerbatimChar"/>
        </w:rPr>
        <w:t xml:space="preserve">0.00152042</w:t>
      </w:r>
      <w:r>
        <w:t xml:space="preserve"> </w:t>
      </w:r>
      <w:r>
        <w:t xml:space="preserve">(0.1520%)</w:t>
      </w:r>
    </w:p>
    <w:p>
      <w:pPr>
        <w:pStyle w:val="Compact"/>
        <w:numPr>
          <w:ilvl w:val="0"/>
          <w:numId w:val="1002"/>
        </w:numPr>
      </w:pPr>
      <w:r>
        <w:t xml:space="preserve">Achieved false alarm probability:</w:t>
      </w:r>
      <w:r>
        <w:t xml:space="preserve"> </w:t>
      </w:r>
      <w:r>
        <w:rPr>
          <w:rStyle w:val="VerbatimChar"/>
        </w:rPr>
        <w:t xml:space="preserve">0.05000000</w:t>
      </w:r>
    </w:p>
    <w:p>
      <w:pPr>
        <w:pStyle w:val="Compact"/>
        <w:numPr>
          <w:ilvl w:val="0"/>
          <w:numId w:val="1002"/>
        </w:numPr>
      </w:pPr>
      <w:r>
        <w:t xml:space="preserve">Passes required Pfa range [0.049, 0.051]:</w:t>
      </w:r>
      <w:r>
        <w:t xml:space="preserve"> </w:t>
      </w:r>
      <w:r>
        <w:rPr>
          <w:rStyle w:val="VerbatimChar"/>
        </w:rPr>
        <w:t xml:space="preserve">Yes</w:t>
      </w:r>
    </w:p>
    <w:bookmarkEnd w:id="14"/>
    <w:bookmarkStart w:id="15" w:name="six-channel-threshold-table"/>
    <w:p>
      <w:pPr>
        <w:pStyle w:val="Heading3"/>
      </w:pPr>
      <w:r>
        <w:t xml:space="preserve">Six Channel Threshold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jc w:val="right"/>
            </w:pPr>
            <w:r>
              <w:t xml:space="preserve">Noise Variance Estimate</w:t>
            </w:r>
          </w:p>
        </w:tc>
        <w:tc>
          <w:tcPr/>
          <w:p>
            <w:pPr>
              <w:pStyle w:val="Compact"/>
              <w:jc w:val="right"/>
            </w:pPr>
            <w:r>
              <w:t xml:space="preserve">Threshold Estimate</w:t>
            </w:r>
          </w:p>
        </w:tc>
      </w:tr>
      <w:tr>
        <w:tc>
          <w:tcPr/>
          <w:p>
            <w:pPr>
              <w:pStyle w:val="Compact"/>
            </w:pPr>
            <w:r>
              <w:t xml:space="preserve">1</w:t>
            </w:r>
          </w:p>
        </w:tc>
        <w:tc>
          <w:tcPr/>
          <w:p>
            <w:pPr>
              <w:pStyle w:val="Compact"/>
              <w:jc w:val="right"/>
            </w:pPr>
            <w:r>
              <w:t xml:space="preserve">0.199687919633</w:t>
            </w:r>
          </w:p>
        </w:tc>
        <w:tc>
          <w:tcPr/>
          <w:p>
            <w:pPr>
              <w:pStyle w:val="Compact"/>
              <w:jc w:val="right"/>
            </w:pPr>
            <w:r>
              <w:t xml:space="preserve">3.13614199472</w:t>
            </w:r>
          </w:p>
        </w:tc>
      </w:tr>
      <w:tr>
        <w:tc>
          <w:tcPr/>
          <w:p>
            <w:pPr>
              <w:pStyle w:val="Compact"/>
            </w:pPr>
            <w:r>
              <w:t xml:space="preserve">2</w:t>
            </w:r>
          </w:p>
        </w:tc>
        <w:tc>
          <w:tcPr/>
          <w:p>
            <w:pPr>
              <w:pStyle w:val="Compact"/>
              <w:jc w:val="right"/>
            </w:pPr>
            <w:r>
              <w:t xml:space="preserve">0.316107506737</w:t>
            </w:r>
          </w:p>
        </w:tc>
        <w:tc>
          <w:tcPr/>
          <w:p>
            <w:pPr>
              <w:pStyle w:val="Compact"/>
              <w:jc w:val="right"/>
            </w:pPr>
            <w:r>
              <w:t xml:space="preserve">4.96453680595</w:t>
            </w:r>
          </w:p>
        </w:tc>
      </w:tr>
      <w:tr>
        <w:tc>
          <w:tcPr/>
          <w:p>
            <w:pPr>
              <w:pStyle w:val="Compact"/>
            </w:pPr>
            <w:r>
              <w:t xml:space="preserve">3</w:t>
            </w:r>
          </w:p>
        </w:tc>
        <w:tc>
          <w:tcPr/>
          <w:p>
            <w:pPr>
              <w:pStyle w:val="Compact"/>
              <w:jc w:val="right"/>
            </w:pPr>
            <w:r>
              <w:t xml:space="preserve">0.251593606238</w:t>
            </w:r>
          </w:p>
        </w:tc>
        <w:tc>
          <w:tcPr/>
          <w:p>
            <w:pPr>
              <w:pStyle w:val="Compact"/>
              <w:jc w:val="right"/>
            </w:pPr>
            <w:r>
              <w:t xml:space="preserve">3.95133203639</w:t>
            </w:r>
          </w:p>
        </w:tc>
      </w:tr>
      <w:tr>
        <w:tc>
          <w:tcPr/>
          <w:p>
            <w:pPr>
              <w:pStyle w:val="Compact"/>
            </w:pPr>
            <w:r>
              <w:t xml:space="preserve">4</w:t>
            </w:r>
          </w:p>
        </w:tc>
        <w:tc>
          <w:tcPr/>
          <w:p>
            <w:pPr>
              <w:pStyle w:val="Compact"/>
              <w:jc w:val="right"/>
            </w:pPr>
            <w:r>
              <w:t xml:space="preserve">0.794220689995</w:t>
            </w:r>
          </w:p>
        </w:tc>
        <w:tc>
          <w:tcPr/>
          <w:p>
            <w:pPr>
              <w:pStyle w:val="Compact"/>
              <w:jc w:val="right"/>
            </w:pPr>
            <w:r>
              <w:t xml:space="preserve">12.4734078233</w:t>
            </w:r>
          </w:p>
        </w:tc>
      </w:tr>
      <w:tr>
        <w:tc>
          <w:tcPr/>
          <w:p>
            <w:pPr>
              <w:pStyle w:val="Compact"/>
            </w:pPr>
            <w:r>
              <w:t xml:space="preserve">5</w:t>
            </w:r>
          </w:p>
        </w:tc>
        <w:tc>
          <w:tcPr/>
          <w:p>
            <w:pPr>
              <w:pStyle w:val="Compact"/>
              <w:jc w:val="right"/>
            </w:pPr>
            <w:r>
              <w:t xml:space="preserve">0.500708822246</w:t>
            </w:r>
          </w:p>
        </w:tc>
        <w:tc>
          <w:tcPr/>
          <w:p>
            <w:pPr>
              <w:pStyle w:val="Compact"/>
              <w:jc w:val="right"/>
            </w:pPr>
            <w:r>
              <w:t xml:space="preserve">7.86374041784</w:t>
            </w:r>
          </w:p>
        </w:tc>
      </w:tr>
      <w:tr>
        <w:tc>
          <w:tcPr/>
          <w:p>
            <w:pPr>
              <w:pStyle w:val="Compact"/>
            </w:pPr>
            <w:r>
              <w:t xml:space="preserve">6</w:t>
            </w:r>
          </w:p>
        </w:tc>
        <w:tc>
          <w:tcPr/>
          <w:p>
            <w:pPr>
              <w:pStyle w:val="Compact"/>
              <w:jc w:val="right"/>
            </w:pPr>
            <w:r>
              <w:t xml:space="preserve">0.631326269422</w:t>
            </w:r>
          </w:p>
        </w:tc>
        <w:tc>
          <w:tcPr/>
          <w:p>
            <w:pPr>
              <w:pStyle w:val="Compact"/>
              <w:jc w:val="right"/>
            </w:pPr>
            <w:r>
              <w:t xml:space="preserve">9.91511569424</w:t>
            </w:r>
          </w:p>
        </w:tc>
      </w:tr>
    </w:tbl>
    <w:bookmarkEnd w:id="15"/>
    <w:bookmarkStart w:id="16" w:name="note-1"/>
    <w:p>
      <w:pPr>
        <w:pStyle w:val="Heading3"/>
      </w:pPr>
      <w:r>
        <w:t xml:space="preserve">Note</w:t>
      </w:r>
    </w:p>
    <w:p>
      <w:pPr>
        <w:pStyle w:val="FirstParagraph"/>
      </w:pPr>
      <w:r>
        <w:t xml:space="preserve">The main validation priority here was not just matching the example threshold value, but making sure the achieved false alarm probability landed in the required range. Matching the example threshold was still a useful secondary check.</w:t>
      </w:r>
    </w:p>
    <w:bookmarkEnd w:id="16"/>
    <w:bookmarkEnd w:id="17"/>
    <w:bookmarkStart w:id="23" w:name="problem-2.3-probability-of-detection"/>
    <w:p>
      <w:pPr>
        <w:pStyle w:val="Heading2"/>
      </w:pPr>
      <w:r>
        <w:t xml:space="preserve">4. Problem 2.3 – Probability of Detection</w:t>
      </w:r>
    </w:p>
    <w:p>
      <w:pPr>
        <w:pStyle w:val="FirstParagraph"/>
      </w:pPr>
      <w:r>
        <w:t xml:space="preserve">Problem 2.3 used the saved noise estimates from Problem 2.1 and the saved thresholds from Problem 2.2 to compute the theoretical probability of detection for each channel.</w:t>
      </w:r>
    </w:p>
    <w:p>
      <w:pPr>
        <w:pStyle w:val="BodyText"/>
      </w:pPr>
      <w:r>
        <w:t xml:space="preserve">The textbook expressions used were</w:t>
      </w:r>
    </w:p>
    <w:p>
      <w:pPr>
        <w:pStyle w:val="BodyText"/>
      </w:pPr>
      <m:oMathPara>
        <m:oMathParaPr>
          <m:jc m:val="center"/>
        </m:oMathParaPr>
        <m:oMath>
          <m:sSub>
            <m:e>
              <m:r>
                <m:t>P</m:t>
              </m:r>
            </m:e>
            <m:sub>
              <m:r>
                <m:t>D</m:t>
              </m:r>
            </m:sub>
          </m:sSub>
          <m:r>
            <m:rPr>
              <m:sty m:val="p"/>
            </m:rPr>
            <m:t>=</m:t>
          </m:r>
          <m:sSub>
            <m:e>
              <m:r>
                <m:t>Q</m:t>
              </m:r>
            </m:e>
            <m:sub>
              <m:r>
                <m:t>K</m:t>
              </m:r>
            </m:sub>
          </m:sSub>
          <m:r>
            <m:t>​</m:t>
          </m:r>
          <m:d>
            <m:dPr>
              <m:begChr m:val="("/>
              <m:sepChr m:val=""/>
              <m:endChr m:val=")"/>
              <m:grow/>
            </m:dPr>
            <m:e>
              <m:f>
                <m:fPr>
                  <m:type m:val="bar"/>
                </m:fPr>
                <m:num>
                  <m:rad>
                    <m:radPr>
                      <m:degHide m:val="on"/>
                    </m:radPr>
                    <m:deg/>
                    <m:e>
                      <m:sSub>
                        <m:e>
                          <m:r>
                            <m:t>E</m:t>
                          </m:r>
                        </m:e>
                        <m:sub>
                          <m:r>
                            <m:t>s</m:t>
                          </m:r>
                        </m:sub>
                      </m:sSub>
                    </m:e>
                  </m:rad>
                </m:num>
                <m:den>
                  <m:sSub>
                    <m:e>
                      <m:r>
                        <m:t>σ</m:t>
                      </m:r>
                    </m:e>
                    <m:sub>
                      <m:r>
                        <m:t>n</m:t>
                      </m:r>
                    </m:sub>
                  </m:sSub>
                </m:den>
              </m:f>
              <m:r>
                <m:rPr>
                  <m:sty m:val="p"/>
                </m:rPr>
                <m:t>,</m:t>
              </m:r>
              <m:f>
                <m:fPr>
                  <m:type m:val="bar"/>
                </m:fPr>
                <m:num>
                  <m:rad>
                    <m:radPr>
                      <m:degHide m:val="on"/>
                    </m:radPr>
                    <m:deg/>
                    <m:e>
                      <m:r>
                        <m:t>η</m:t>
                      </m:r>
                    </m:e>
                  </m:rad>
                </m:num>
                <m:den>
                  <m:sSub>
                    <m:e>
                      <m:r>
                        <m:t>σ</m:t>
                      </m:r>
                    </m:e>
                    <m:sub>
                      <m:r>
                        <m:t>n</m:t>
                      </m:r>
                    </m:sub>
                  </m:sSub>
                </m:den>
              </m:f>
            </m:e>
          </m:d>
        </m:oMath>
      </m:oMathPara>
    </w:p>
    <w:p>
      <w:pPr>
        <w:pStyle w:val="FirstParagraph"/>
      </w:pPr>
      <w:r>
        <w:t xml:space="preserve">and</w:t>
      </w:r>
    </w:p>
    <w:p>
      <w:pPr>
        <w:pStyle w:val="BodyText"/>
      </w:pPr>
      <m:oMathPara>
        <m:oMathParaPr>
          <m:jc m:val="center"/>
        </m:oMathParaPr>
        <m:oMath>
          <m:sSub>
            <m:e>
              <m:r>
                <m:t>P</m:t>
              </m:r>
            </m:e>
            <m:sub>
              <m:r>
                <m:t>M</m:t>
              </m:r>
              <m:r>
                <m:t>D</m:t>
              </m:r>
            </m:sub>
          </m:sSub>
          <m:r>
            <m:rPr>
              <m:sty m:val="p"/>
            </m:rPr>
            <m:t>=</m:t>
          </m:r>
          <m:r>
            <m:t>1</m:t>
          </m:r>
          <m:r>
            <m:rPr>
              <m:sty m:val="p"/>
            </m:rPr>
            <m:t>−</m:t>
          </m:r>
          <m:sSub>
            <m:e>
              <m:r>
                <m:t>P</m:t>
              </m:r>
            </m:e>
            <m:sub>
              <m:r>
                <m:t>D</m:t>
              </m:r>
            </m:sub>
          </m:sSub>
        </m:oMath>
      </m:oMathPara>
    </w:p>
    <w:p>
      <w:pPr>
        <w:pStyle w:val="FirstParagraph"/>
      </w:pPr>
      <w:r>
        <w:t xml:space="preserve">where</w:t>
      </w:r>
      <w:r>
        <w:t xml:space="preserve"> </w:t>
      </w:r>
      <m:oMath>
        <m:sSub>
          <m:e>
            <m:r>
              <m:t>Q</m:t>
            </m:r>
          </m:e>
          <m:sub>
            <m:r>
              <m:t>K</m:t>
            </m:r>
          </m:sub>
        </m:sSub>
        <m:r>
          <m:rPr>
            <m:sty m:val="p"/>
          </m:rPr>
          <m:t>(</m:t>
        </m:r>
        <m:r>
          <m:rPr>
            <m:sty m:val="p"/>
          </m:rPr>
          <m:t>⋅</m:t>
        </m:r>
        <m:r>
          <m:rPr>
            <m:sty m:val="p"/>
          </m:rPr>
          <m:t>,</m:t>
        </m:r>
        <m:r>
          <m:rPr>
            <m:sty m:val="p"/>
          </m:rPr>
          <m:t>⋅</m:t>
        </m:r>
        <m:r>
          <m:rPr>
            <m:sty m:val="p"/>
          </m:rPr>
          <m:t>)</m:t>
        </m:r>
      </m:oMath>
      <w:r>
        <w:t xml:space="preserve"> </w:t>
      </w:r>
      <w:r>
        <w:t xml:space="preserve">is the generalized Marcum-</w:t>
      </w:r>
      <m:oMath>
        <m:r>
          <m:t>Q</m:t>
        </m:r>
      </m:oMath>
      <w:r>
        <w:t xml:space="preserve"> </w:t>
      </w:r>
      <w:r>
        <w:t xml:space="preserve">function. In this problem,</w:t>
      </w:r>
    </w:p>
    <w:p>
      <w:pPr>
        <w:pStyle w:val="BodyText"/>
      </w:pPr>
      <m:oMathPara>
        <m:oMathParaPr>
          <m:jc m:val="center"/>
        </m:oMathParaPr>
        <m:oMath>
          <m:r>
            <m:t>K</m:t>
          </m:r>
          <m:r>
            <m:rPr>
              <m:sty m:val="p"/>
            </m:rPr>
            <m:t>=</m:t>
          </m:r>
          <m:r>
            <m:t>10</m:t>
          </m:r>
        </m:oMath>
      </m:oMathPara>
    </w:p>
    <w:p>
      <w:pPr>
        <w:pStyle w:val="FirstParagraph"/>
      </w:pPr>
      <w:r>
        <w:t xml:space="preserve">and because the assignment stated unit average signal power over a 10-sample measurement,</w:t>
      </w:r>
    </w:p>
    <w:p>
      <w:pPr>
        <w:pStyle w:val="BodyText"/>
      </w:pPr>
      <m:oMathPara>
        <m:oMathParaPr>
          <m:jc m:val="center"/>
        </m:oMathParaPr>
        <m:oMath>
          <m:sSub>
            <m:e>
              <m:r>
                <m:t>E</m:t>
              </m:r>
            </m:e>
            <m:sub>
              <m:r>
                <m:t>s</m:t>
              </m:r>
            </m:sub>
          </m:sSub>
          <m:r>
            <m:rPr>
              <m:sty m:val="p"/>
            </m:rPr>
            <m:t>=</m:t>
          </m:r>
          <m:r>
            <m:t>K</m:t>
          </m:r>
          <m:r>
            <m:rPr>
              <m:sty m:val="p"/>
            </m:rPr>
            <m:t>⋅</m:t>
          </m:r>
          <m:r>
            <m:t>1</m:t>
          </m:r>
          <m:r>
            <m:rPr>
              <m:sty m:val="p"/>
            </m:rPr>
            <m:t>=</m:t>
          </m:r>
          <m:r>
            <m:t>10</m:t>
          </m:r>
        </m:oMath>
      </m:oMathPara>
    </w:p>
    <w:p>
      <w:pPr>
        <w:pStyle w:val="FirstParagraph"/>
      </w:pPr>
      <w:r>
        <w:t xml:space="preserve">This detail mattered. At first glance it would be easy to use</w:t>
      </w:r>
      <w:r>
        <w:t xml:space="preserve"> </w:t>
      </w:r>
      <m:oMath>
        <m:sSub>
          <m:e>
            <m:r>
              <m:t>E</m:t>
            </m:r>
          </m:e>
          <m:sub>
            <m:r>
              <m:t>s</m:t>
            </m:r>
          </m:sub>
        </m:sSub>
        <m:r>
          <m:rPr>
            <m:sty m:val="p"/>
          </m:rPr>
          <m:t>=</m:t>
        </m:r>
        <m:r>
          <m:t>1</m:t>
        </m:r>
      </m:oMath>
      <w:r>
        <w:t xml:space="preserve">, but the correct interpretation here is total signal energy over the full 10-sample measurement window.</w:t>
      </w:r>
    </w:p>
    <w:p>
      <w:pPr>
        <w:pStyle w:val="BodyText"/>
      </w:pPr>
      <w:r>
        <w:t xml:space="preserve">As the noise variance increases or the threshold gets larger, the two Marcum-</w:t>
      </w:r>
      <m:oMath>
        <m:r>
          <m:t>Q</m:t>
        </m:r>
      </m:oMath>
      <w:r>
        <w:t xml:space="preserve"> </w:t>
      </w:r>
      <w:r>
        <w:t xml:space="preserve">arguments change in a way that generally lowers</w:t>
      </w:r>
      <w:r>
        <w:t xml:space="preserve"> </w:t>
      </w:r>
      <m:oMath>
        <m:sSub>
          <m:e>
            <m:r>
              <m:t>P</m:t>
            </m:r>
          </m:e>
          <m:sub>
            <m:r>
              <m:t>D</m:t>
            </m:r>
          </m:sub>
        </m:sSub>
      </m:oMath>
      <w:r>
        <w:t xml:space="preserve">. That is why noisier channels or more conservative thresholds lead to lower detection probability.</w:t>
      </w:r>
    </w:p>
    <w:bookmarkStart w:id="18" w:name="computed-p_d-values"/>
    <w:p>
      <w:pPr>
        <w:pStyle w:val="Heading3"/>
      </w:pPr>
      <w:r>
        <w:t xml:space="preserve">Computed</w:t>
      </w:r>
      <w:r>
        <w:t xml:space="preserve"> </w:t>
      </w:r>
      <m:oMath>
        <m:sSub>
          <m:e>
            <m:r>
              <m:t>P</m:t>
            </m:r>
          </m:e>
          <m:sub>
            <m:r>
              <m:t>D</m:t>
            </m:r>
          </m:sub>
        </m:sSub>
      </m:oMath>
      <w:r>
        <w:t xml:space="preserve"> </w:t>
      </w:r>
      <w:r>
        <w:t xml:space="preserve">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jc w:val="right"/>
            </w:pPr>
            <w:r>
              <w:t xml:space="preserve">Noise Variance</w:t>
            </w:r>
          </w:p>
        </w:tc>
        <w:tc>
          <w:tcPr/>
          <w:p>
            <w:pPr>
              <w:pStyle w:val="Compact"/>
              <w:jc w:val="right"/>
            </w:pPr>
            <w:r>
              <w:t xml:space="preserve">Threshold</w:t>
            </w:r>
          </w:p>
        </w:tc>
        <w:tc>
          <w:tcPr/>
          <w:p>
            <w:pPr>
              <w:pStyle w:val="Compact"/>
              <w:jc w:val="right"/>
            </w:pPr>
            <w:r>
              <w:t xml:space="preserve">P_D</w:t>
            </w:r>
          </w:p>
        </w:tc>
      </w:tr>
      <w:tr>
        <w:tc>
          <w:tcPr/>
          <w:p>
            <w:pPr>
              <w:pStyle w:val="Compact"/>
            </w:pPr>
            <w:r>
              <w:t xml:space="preserve">1</w:t>
            </w:r>
          </w:p>
        </w:tc>
        <w:tc>
          <w:tcPr/>
          <w:p>
            <w:pPr>
              <w:pStyle w:val="Compact"/>
              <w:jc w:val="right"/>
            </w:pPr>
            <w:r>
              <w:t xml:space="preserve">0.199687919633</w:t>
            </w:r>
          </w:p>
        </w:tc>
        <w:tc>
          <w:tcPr/>
          <w:p>
            <w:pPr>
              <w:pStyle w:val="Compact"/>
              <w:jc w:val="right"/>
            </w:pPr>
            <w:r>
              <w:t xml:space="preserve">3.13614199472</w:t>
            </w:r>
          </w:p>
        </w:tc>
        <w:tc>
          <w:tcPr/>
          <w:p>
            <w:pPr>
              <w:pStyle w:val="Compact"/>
              <w:jc w:val="right"/>
            </w:pPr>
            <w:r>
              <w:t xml:space="preserve">0.999999518542</w:t>
            </w:r>
          </w:p>
        </w:tc>
      </w:tr>
      <w:tr>
        <w:tc>
          <w:tcPr/>
          <w:p>
            <w:pPr>
              <w:pStyle w:val="Compact"/>
            </w:pPr>
            <w:r>
              <w:t xml:space="preserve">2</w:t>
            </w:r>
          </w:p>
        </w:tc>
        <w:tc>
          <w:tcPr/>
          <w:p>
            <w:pPr>
              <w:pStyle w:val="Compact"/>
              <w:jc w:val="right"/>
            </w:pPr>
            <w:r>
              <w:t xml:space="preserve">0.316107506737</w:t>
            </w:r>
          </w:p>
        </w:tc>
        <w:tc>
          <w:tcPr/>
          <w:p>
            <w:pPr>
              <w:pStyle w:val="Compact"/>
              <w:jc w:val="right"/>
            </w:pPr>
            <w:r>
              <w:t xml:space="preserve">4.96453680595</w:t>
            </w:r>
          </w:p>
        </w:tc>
        <w:tc>
          <w:tcPr/>
          <w:p>
            <w:pPr>
              <w:pStyle w:val="Compact"/>
              <w:jc w:val="right"/>
            </w:pPr>
            <w:r>
              <w:t xml:space="preserve">0.999881327354</w:t>
            </w:r>
          </w:p>
        </w:tc>
      </w:tr>
      <w:tr>
        <w:tc>
          <w:tcPr/>
          <w:p>
            <w:pPr>
              <w:pStyle w:val="Compact"/>
            </w:pPr>
            <w:r>
              <w:t xml:space="preserve">3</w:t>
            </w:r>
          </w:p>
        </w:tc>
        <w:tc>
          <w:tcPr/>
          <w:p>
            <w:pPr>
              <w:pStyle w:val="Compact"/>
              <w:jc w:val="right"/>
            </w:pPr>
            <w:r>
              <w:t xml:space="preserve">0.251593606238</w:t>
            </w:r>
          </w:p>
        </w:tc>
        <w:tc>
          <w:tcPr/>
          <w:p>
            <w:pPr>
              <w:pStyle w:val="Compact"/>
              <w:jc w:val="right"/>
            </w:pPr>
            <w:r>
              <w:t xml:space="preserve">3.95133203639</w:t>
            </w:r>
          </w:p>
        </w:tc>
        <w:tc>
          <w:tcPr/>
          <w:p>
            <w:pPr>
              <w:pStyle w:val="Compact"/>
              <w:jc w:val="right"/>
            </w:pPr>
            <w:r>
              <w:t xml:space="preserve">0.999988828434</w:t>
            </w:r>
          </w:p>
        </w:tc>
      </w:tr>
      <w:tr>
        <w:tc>
          <w:tcPr/>
          <w:p>
            <w:pPr>
              <w:pStyle w:val="Compact"/>
            </w:pPr>
            <w:r>
              <w:t xml:space="preserve">4</w:t>
            </w:r>
          </w:p>
        </w:tc>
        <w:tc>
          <w:tcPr/>
          <w:p>
            <w:pPr>
              <w:pStyle w:val="Compact"/>
              <w:jc w:val="right"/>
            </w:pPr>
            <w:r>
              <w:t xml:space="preserve">0.794220689995</w:t>
            </w:r>
          </w:p>
        </w:tc>
        <w:tc>
          <w:tcPr/>
          <w:p>
            <w:pPr>
              <w:pStyle w:val="Compact"/>
              <w:jc w:val="right"/>
            </w:pPr>
            <w:r>
              <w:t xml:space="preserve">12.4734078233</w:t>
            </w:r>
          </w:p>
        </w:tc>
        <w:tc>
          <w:tcPr/>
          <w:p>
            <w:pPr>
              <w:pStyle w:val="Compact"/>
              <w:jc w:val="right"/>
            </w:pPr>
            <w:r>
              <w:t xml:space="preserve">0.981808766435</w:t>
            </w:r>
          </w:p>
        </w:tc>
      </w:tr>
      <w:tr>
        <w:tc>
          <w:tcPr/>
          <w:p>
            <w:pPr>
              <w:pStyle w:val="Compact"/>
            </w:pPr>
            <w:r>
              <w:t xml:space="preserve">5</w:t>
            </w:r>
          </w:p>
        </w:tc>
        <w:tc>
          <w:tcPr/>
          <w:p>
            <w:pPr>
              <w:pStyle w:val="Compact"/>
              <w:jc w:val="right"/>
            </w:pPr>
            <w:r>
              <w:t xml:space="preserve">0.500708822246</w:t>
            </w:r>
          </w:p>
        </w:tc>
        <w:tc>
          <w:tcPr/>
          <w:p>
            <w:pPr>
              <w:pStyle w:val="Compact"/>
              <w:jc w:val="right"/>
            </w:pPr>
            <w:r>
              <w:t xml:space="preserve">7.86374041784</w:t>
            </w:r>
          </w:p>
        </w:tc>
        <w:tc>
          <w:tcPr/>
          <w:p>
            <w:pPr>
              <w:pStyle w:val="Compact"/>
              <w:jc w:val="right"/>
            </w:pPr>
            <w:r>
              <w:t xml:space="preserve">0.997128113403</w:t>
            </w:r>
          </w:p>
        </w:tc>
      </w:tr>
      <w:tr>
        <w:tc>
          <w:tcPr/>
          <w:p>
            <w:pPr>
              <w:pStyle w:val="Compact"/>
            </w:pPr>
            <w:r>
              <w:t xml:space="preserve">6</w:t>
            </w:r>
          </w:p>
        </w:tc>
        <w:tc>
          <w:tcPr/>
          <w:p>
            <w:pPr>
              <w:pStyle w:val="Compact"/>
              <w:jc w:val="right"/>
            </w:pPr>
            <w:r>
              <w:t xml:space="preserve">0.631326269422</w:t>
            </w:r>
          </w:p>
        </w:tc>
        <w:tc>
          <w:tcPr/>
          <w:p>
            <w:pPr>
              <w:pStyle w:val="Compact"/>
              <w:jc w:val="right"/>
            </w:pPr>
            <w:r>
              <w:t xml:space="preserve">9.91511569424</w:t>
            </w:r>
          </w:p>
        </w:tc>
        <w:tc>
          <w:tcPr/>
          <w:p>
            <w:pPr>
              <w:pStyle w:val="Compact"/>
              <w:jc w:val="right"/>
            </w:pPr>
            <w:r>
              <w:t xml:space="preserve">0.991769212568</w:t>
            </w:r>
          </w:p>
        </w:tc>
      </w:tr>
    </w:tbl>
    <w:bookmarkEnd w:id="18"/>
    <w:bookmarkStart w:id="22" w:name="plot"/>
    <w:p>
      <w:pPr>
        <w:pStyle w:val="Heading3"/>
      </w:pPr>
      <w:r>
        <w:t xml:space="preserve">Plot</w:t>
      </w:r>
    </w:p>
    <w:p>
      <w:pPr>
        <w:pStyle w:val="CaptionedFigure"/>
      </w:pPr>
      <w:r>
        <w:drawing>
          <wp:inline>
            <wp:extent cx="5334000" cy="3485524"/>
            <wp:effectExtent b="0" l="0" r="0" t="0"/>
            <wp:docPr descr="Energy Detector Probability of Detection" title="" id="20" name="Picture"/>
            <a:graphic>
              <a:graphicData uri="http://schemas.openxmlformats.org/drawingml/2006/picture">
                <pic:pic>
                  <pic:nvPicPr>
                    <pic:cNvPr descr="Problem_2_3_ProbabilityDetection/probability_detection_bar.png" id="21" name="Picture"/>
                    <pic:cNvPicPr>
                      <a:picLocks noChangeArrowheads="1" noChangeAspect="1"/>
                    </pic:cNvPicPr>
                  </pic:nvPicPr>
                  <pic:blipFill>
                    <a:blip r:embed="rId19"/>
                    <a:stretch>
                      <a:fillRect/>
                    </a:stretch>
                  </pic:blipFill>
                  <pic:spPr bwMode="auto">
                    <a:xfrm>
                      <a:off x="0" y="0"/>
                      <a:ext cx="5334000" cy="3485524"/>
                    </a:xfrm>
                    <a:prstGeom prst="rect">
                      <a:avLst/>
                    </a:prstGeom>
                    <a:noFill/>
                    <a:ln w="9525">
                      <a:noFill/>
                      <a:headEnd/>
                      <a:tailEnd/>
                    </a:ln>
                  </pic:spPr>
                </pic:pic>
              </a:graphicData>
            </a:graphic>
          </wp:inline>
        </w:drawing>
      </w:r>
    </w:p>
    <w:p>
      <w:pPr>
        <w:pStyle w:val="ImageCaption"/>
      </w:pPr>
      <w:r>
        <w:t xml:space="preserve">Energy Detector Probability of Detection</w:t>
      </w:r>
    </w:p>
    <w:bookmarkEnd w:id="22"/>
    <w:bookmarkEnd w:id="23"/>
    <w:bookmarkStart w:id="27" w:name="problem-2.4-energy-detection-occupancy"/>
    <w:p>
      <w:pPr>
        <w:pStyle w:val="Heading2"/>
      </w:pPr>
      <w:r>
        <w:t xml:space="preserve">5. Problem 2.4 – Energy Detection / Occupancy</w:t>
      </w:r>
    </w:p>
    <w:p>
      <w:pPr>
        <w:pStyle w:val="FirstParagraph"/>
      </w:pPr>
      <w:r>
        <w:t xml:space="preserve">Problem 2.4 applied the saved thresholds from Problem 2.2 to the saved timeslot energies from Problem 2.1 in order to decide whether each timeslot was occupied or idle.</w:t>
      </w:r>
    </w:p>
    <w:p>
      <w:pPr>
        <w:pStyle w:val="BodyText"/>
      </w:pPr>
      <w:r>
        <w:t xml:space="preserve">The detector rule was just a direct threshold test:</w:t>
      </w:r>
    </w:p>
    <w:p>
      <w:pPr>
        <w:pStyle w:val="BodyText"/>
      </w:pPr>
      <m:oMathPara>
        <m:oMathParaPr>
          <m:jc m:val="center"/>
        </m:oMathParaPr>
        <m:oMath>
          <m:r>
            <m:t>T</m:t>
          </m:r>
          <m:r>
            <m:rPr>
              <m:sty m:val="p"/>
            </m:rPr>
            <m:t>&gt;</m:t>
          </m:r>
          <m:r>
            <m:t>λ</m:t>
          </m:r>
          <m:r>
            <m:t> </m:t>
          </m:r>
          <m:r>
            <m:rPr>
              <m:nor/>
              <m:sty m:val="p"/>
            </m:rPr>
            <m:t>(decide occupied)</m:t>
          </m:r>
        </m:oMath>
      </m:oMathPara>
    </w:p>
    <w:p>
      <w:pPr>
        <w:pStyle w:val="FirstParagraph"/>
      </w:pPr>
      <m:oMathPara>
        <m:oMathParaPr>
          <m:jc m:val="center"/>
        </m:oMathParaPr>
        <m:oMath>
          <m:r>
            <m:t>T</m:t>
          </m:r>
          <m:r>
            <m:rPr>
              <m:sty m:val="p"/>
            </m:rPr>
            <m:t>≤</m:t>
          </m:r>
          <m:r>
            <m:t>λ</m:t>
          </m:r>
          <m:r>
            <m:t> </m:t>
          </m:r>
          <m:r>
            <m:rPr>
              <m:nor/>
              <m:sty m:val="p"/>
            </m:rPr>
            <m:t>(decide idle)</m:t>
          </m:r>
        </m:oMath>
      </m:oMathPara>
    </w:p>
    <w:p>
      <w:pPr>
        <w:pStyle w:val="FirstParagraph"/>
      </w:pPr>
      <w:r>
        <w:t xml:space="preserve">or more explicitly,</w:t>
      </w:r>
    </w:p>
    <w:p>
      <w:pPr>
        <w:pStyle w:val="BodyText"/>
      </w:pPr>
      <m:oMathPara>
        <m:oMathParaPr>
          <m:jc m:val="center"/>
        </m:oMathParaPr>
        <m:oMath>
          <m:r>
            <m:rPr>
              <m:nor/>
              <m:sty m:val="p"/>
            </m:rPr>
            <m:t>decide occupied if </m:t>
          </m:r>
          <m:r>
            <m:t>T</m:t>
          </m:r>
          <m:r>
            <m:rPr>
              <m:sty m:val="p"/>
            </m:rPr>
            <m:t>&gt;</m:t>
          </m:r>
          <m:r>
            <m:t>λ</m:t>
          </m:r>
        </m:oMath>
      </m:oMathPara>
    </w:p>
    <w:p>
      <w:pPr>
        <w:pStyle w:val="FirstParagraph"/>
      </w:pPr>
      <w:r>
        <w:t xml:space="preserve">where</w:t>
      </w:r>
      <w:r>
        <w:t xml:space="preserve"> </w:t>
      </w:r>
      <m:oMath>
        <m:r>
          <m:t>T</m:t>
        </m:r>
      </m:oMath>
      <w:r>
        <w:t xml:space="preserve"> </w:t>
      </w:r>
      <w:r>
        <w:t xml:space="preserve">is the summed energy over one 10-sample timeslot.</w:t>
      </w:r>
    </w:p>
    <w:p>
      <w:pPr>
        <w:pStyle w:val="BodyText"/>
      </w:pPr>
      <w:r>
        <w:t xml:space="preserve">This step was important because it produced the first full binary activity sequence for each channel. Those saved decision vectors became the observed sequences used later for the HMM work.</w:t>
      </w:r>
    </w:p>
    <w:p>
      <w:pPr>
        <w:pStyle w:val="BodyText"/>
      </w:pPr>
      <w:r>
        <w:t xml:space="preserve">For the example channel, the truth sequence was available, so I could directly compare the detector output against the actual state sequence. One subtle point here was that the example truth labels were coded as two state labels rather than simple 0/1 values, so the larger label had to be treated as the occupied state before computing agreement and confusion counts.</w:t>
      </w:r>
    </w:p>
    <w:bookmarkStart w:id="24" w:name="example-channel-validation-2"/>
    <w:p>
      <w:pPr>
        <w:pStyle w:val="Heading3"/>
      </w:pPr>
      <w:r>
        <w:t xml:space="preserve">Example Channel Validation</w:t>
      </w:r>
    </w:p>
    <w:p>
      <w:pPr>
        <w:pStyle w:val="Compact"/>
        <w:numPr>
          <w:ilvl w:val="0"/>
          <w:numId w:val="1003"/>
        </w:numPr>
      </w:pPr>
      <w:r>
        <w:t xml:space="preserve">Percent occupied:</w:t>
      </w:r>
      <w:r>
        <w:t xml:space="preserve"> </w:t>
      </w:r>
      <w:r>
        <w:rPr>
          <w:rStyle w:val="VerbatimChar"/>
        </w:rPr>
        <w:t xml:space="preserve">36.8515%</w:t>
      </w:r>
    </w:p>
    <w:p>
      <w:pPr>
        <w:pStyle w:val="Compact"/>
        <w:numPr>
          <w:ilvl w:val="0"/>
          <w:numId w:val="1003"/>
        </w:numPr>
      </w:pPr>
      <w:r>
        <w:t xml:space="preserve">Percent idle:</w:t>
      </w:r>
      <w:r>
        <w:t xml:space="preserve"> </w:t>
      </w:r>
      <w:r>
        <w:rPr>
          <w:rStyle w:val="VerbatimChar"/>
        </w:rPr>
        <w:t xml:space="preserve">63.1485%</w:t>
      </w:r>
    </w:p>
    <w:p>
      <w:pPr>
        <w:pStyle w:val="Compact"/>
        <w:numPr>
          <w:ilvl w:val="0"/>
          <w:numId w:val="1003"/>
        </w:numPr>
      </w:pPr>
      <w:r>
        <w:t xml:space="preserve">Percent agreement with truth:</w:t>
      </w:r>
      <w:r>
        <w:t xml:space="preserve"> </w:t>
      </w:r>
      <w:r>
        <w:rPr>
          <w:rStyle w:val="VerbatimChar"/>
        </w:rPr>
        <w:t xml:space="preserve">96.6568%</w:t>
      </w:r>
    </w:p>
    <w:p>
      <w:pPr>
        <w:pStyle w:val="Compact"/>
        <w:numPr>
          <w:ilvl w:val="0"/>
          <w:numId w:val="1003"/>
        </w:numPr>
      </w:pPr>
      <w:r>
        <w:t xml:space="preserve">True positives:</w:t>
      </w:r>
      <w:r>
        <w:t xml:space="preserve"> </w:t>
      </w:r>
      <w:r>
        <w:rPr>
          <w:rStyle w:val="VerbatimChar"/>
        </w:rPr>
        <w:t xml:space="preserve">21960</w:t>
      </w:r>
    </w:p>
    <w:p>
      <w:pPr>
        <w:pStyle w:val="Compact"/>
        <w:numPr>
          <w:ilvl w:val="0"/>
          <w:numId w:val="1003"/>
        </w:numPr>
      </w:pPr>
      <w:r>
        <w:t xml:space="preserve">True negatives:</w:t>
      </w:r>
      <w:r>
        <w:t xml:space="preserve"> </w:t>
      </w:r>
      <w:r>
        <w:rPr>
          <w:rStyle w:val="VerbatimChar"/>
        </w:rPr>
        <w:t xml:space="preserve">41385</w:t>
      </w:r>
    </w:p>
    <w:p>
      <w:pPr>
        <w:pStyle w:val="Compact"/>
        <w:numPr>
          <w:ilvl w:val="0"/>
          <w:numId w:val="1003"/>
        </w:numPr>
      </w:pPr>
      <w:r>
        <w:t xml:space="preserve">False alarms:</w:t>
      </w:r>
      <w:r>
        <w:t xml:space="preserve"> </w:t>
      </w:r>
      <w:r>
        <w:rPr>
          <w:rStyle w:val="VerbatimChar"/>
        </w:rPr>
        <w:t xml:space="preserve">2191</w:t>
      </w:r>
    </w:p>
    <w:p>
      <w:pPr>
        <w:pStyle w:val="Compact"/>
        <w:numPr>
          <w:ilvl w:val="0"/>
          <w:numId w:val="1003"/>
        </w:numPr>
      </w:pPr>
      <w:r>
        <w:t xml:space="preserve">Missed detections:</w:t>
      </w:r>
      <w:r>
        <w:t xml:space="preserve"> </w:t>
      </w:r>
      <w:r>
        <w:rPr>
          <w:rStyle w:val="VerbatimChar"/>
        </w:rPr>
        <w:t xml:space="preserve">0</w:t>
      </w:r>
    </w:p>
    <w:bookmarkEnd w:id="24"/>
    <w:bookmarkStart w:id="25" w:name="occupied-idle-percentages"/>
    <w:p>
      <w:pPr>
        <w:pStyle w:val="Heading3"/>
      </w:pPr>
      <w:r>
        <w:t xml:space="preserve">Occupied / Idle Percentages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jc w:val="right"/>
            </w:pPr>
            <w:r>
              <w:t xml:space="preserve">Percent Occupied</w:t>
            </w:r>
          </w:p>
        </w:tc>
        <w:tc>
          <w:tcPr/>
          <w:p>
            <w:pPr>
              <w:pStyle w:val="Compact"/>
              <w:jc w:val="right"/>
            </w:pPr>
            <w:r>
              <w:t xml:space="preserve">Percent Idle</w:t>
            </w:r>
          </w:p>
        </w:tc>
      </w:tr>
      <w:tr>
        <w:tc>
          <w:tcPr/>
          <w:p>
            <w:pPr>
              <w:pStyle w:val="Compact"/>
            </w:pPr>
            <w:r>
              <w:t xml:space="preserve">1</w:t>
            </w:r>
          </w:p>
        </w:tc>
        <w:tc>
          <w:tcPr/>
          <w:p>
            <w:pPr>
              <w:pStyle w:val="Compact"/>
              <w:jc w:val="right"/>
            </w:pPr>
            <w:r>
              <w:t xml:space="preserve">79.6967</w:t>
            </w:r>
          </w:p>
        </w:tc>
        <w:tc>
          <w:tcPr/>
          <w:p>
            <w:pPr>
              <w:pStyle w:val="Compact"/>
              <w:jc w:val="right"/>
            </w:pPr>
            <w:r>
              <w:t xml:space="preserve">20.3033</w:t>
            </w:r>
          </w:p>
        </w:tc>
      </w:tr>
      <w:tr>
        <w:tc>
          <w:tcPr/>
          <w:p>
            <w:pPr>
              <w:pStyle w:val="Compact"/>
            </w:pPr>
            <w:r>
              <w:t xml:space="preserve">2</w:t>
            </w:r>
          </w:p>
        </w:tc>
        <w:tc>
          <w:tcPr/>
          <w:p>
            <w:pPr>
              <w:pStyle w:val="Compact"/>
              <w:jc w:val="right"/>
            </w:pPr>
            <w:r>
              <w:t xml:space="preserve">52.5146</w:t>
            </w:r>
          </w:p>
        </w:tc>
        <w:tc>
          <w:tcPr/>
          <w:p>
            <w:pPr>
              <w:pStyle w:val="Compact"/>
              <w:jc w:val="right"/>
            </w:pPr>
            <w:r>
              <w:t xml:space="preserve">47.4854</w:t>
            </w:r>
          </w:p>
        </w:tc>
      </w:tr>
      <w:tr>
        <w:tc>
          <w:tcPr/>
          <w:p>
            <w:pPr>
              <w:pStyle w:val="Compact"/>
            </w:pPr>
            <w:r>
              <w:t xml:space="preserve">3</w:t>
            </w:r>
          </w:p>
        </w:tc>
        <w:tc>
          <w:tcPr/>
          <w:p>
            <w:pPr>
              <w:pStyle w:val="Compact"/>
              <w:jc w:val="right"/>
            </w:pPr>
            <w:r>
              <w:t xml:space="preserve">14.5111</w:t>
            </w:r>
          </w:p>
        </w:tc>
        <w:tc>
          <w:tcPr/>
          <w:p>
            <w:pPr>
              <w:pStyle w:val="Compact"/>
              <w:jc w:val="right"/>
            </w:pPr>
            <w:r>
              <w:t xml:space="preserve">85.4889</w:t>
            </w:r>
          </w:p>
        </w:tc>
      </w:tr>
      <w:tr>
        <w:tc>
          <w:tcPr/>
          <w:p>
            <w:pPr>
              <w:pStyle w:val="Compact"/>
            </w:pPr>
            <w:r>
              <w:t xml:space="preserve">4</w:t>
            </w:r>
          </w:p>
        </w:tc>
        <w:tc>
          <w:tcPr/>
          <w:p>
            <w:pPr>
              <w:pStyle w:val="Compact"/>
              <w:jc w:val="right"/>
            </w:pPr>
            <w:r>
              <w:t xml:space="preserve">63.4003</w:t>
            </w:r>
          </w:p>
        </w:tc>
        <w:tc>
          <w:tcPr/>
          <w:p>
            <w:pPr>
              <w:pStyle w:val="Compact"/>
              <w:jc w:val="right"/>
            </w:pPr>
            <w:r>
              <w:t xml:space="preserve">36.5997</w:t>
            </w:r>
          </w:p>
        </w:tc>
      </w:tr>
      <w:tr>
        <w:tc>
          <w:tcPr/>
          <w:p>
            <w:pPr>
              <w:pStyle w:val="Compact"/>
            </w:pPr>
            <w:r>
              <w:t xml:space="preserve">5</w:t>
            </w:r>
          </w:p>
        </w:tc>
        <w:tc>
          <w:tcPr/>
          <w:p>
            <w:pPr>
              <w:pStyle w:val="Compact"/>
              <w:jc w:val="right"/>
            </w:pPr>
            <w:r>
              <w:t xml:space="preserve">51.7441</w:t>
            </w:r>
          </w:p>
        </w:tc>
        <w:tc>
          <w:tcPr/>
          <w:p>
            <w:pPr>
              <w:pStyle w:val="Compact"/>
              <w:jc w:val="right"/>
            </w:pPr>
            <w:r>
              <w:t xml:space="preserve">48.2559</w:t>
            </w:r>
          </w:p>
        </w:tc>
      </w:tr>
      <w:tr>
        <w:tc>
          <w:tcPr/>
          <w:p>
            <w:pPr>
              <w:pStyle w:val="Compact"/>
            </w:pPr>
            <w:r>
              <w:t xml:space="preserve">6</w:t>
            </w:r>
          </w:p>
        </w:tc>
        <w:tc>
          <w:tcPr/>
          <w:p>
            <w:pPr>
              <w:pStyle w:val="Compact"/>
              <w:jc w:val="right"/>
            </w:pPr>
            <w:r>
              <w:t xml:space="preserve">9.5779</w:t>
            </w:r>
          </w:p>
        </w:tc>
        <w:tc>
          <w:tcPr/>
          <w:p>
            <w:pPr>
              <w:pStyle w:val="Compact"/>
              <w:jc w:val="right"/>
            </w:pPr>
            <w:r>
              <w:t xml:space="preserve">90.4221</w:t>
            </w:r>
          </w:p>
        </w:tc>
      </w:tr>
    </w:tbl>
    <w:bookmarkEnd w:id="25"/>
    <w:bookmarkStart w:id="26" w:name="note-2"/>
    <w:p>
      <w:pPr>
        <w:pStyle w:val="Heading3"/>
      </w:pPr>
      <w:r>
        <w:t xml:space="preserve">Note</w:t>
      </w:r>
    </w:p>
    <w:p>
      <w:pPr>
        <w:pStyle w:val="FirstParagraph"/>
      </w:pPr>
      <w:r>
        <w:t xml:space="preserve">Saving the full decision vectors mattered more than it might seem at first. The percentages were useful summaries, but Problems 2.5 and 2.6 really needed the actual slot-by-slot observation sequence rather than just aggregate occupancy numbers.</w:t>
      </w:r>
    </w:p>
    <w:bookmarkEnd w:id="26"/>
    <w:bookmarkEnd w:id="27"/>
    <w:bookmarkStart w:id="39" w:name="Xbbf47ca6efa2cf72188d0374c120908e2324cfd"/>
    <w:p>
      <w:pPr>
        <w:pStyle w:val="Heading2"/>
      </w:pPr>
      <w:r>
        <w:t xml:space="preserve">6. Problem 2.5 – Hidden Markov Model Estimation</w:t>
      </w:r>
    </w:p>
    <w:p>
      <w:pPr>
        <w:pStyle w:val="FirstParagraph"/>
      </w:pPr>
      <w:r>
        <w:t xml:space="preserve">Problem 2.5 estimated a two-state HMM for the channel activity process using the detector decisions from Problem 2.4 as the observation sequence.</w:t>
      </w:r>
    </w:p>
    <w:p>
      <w:pPr>
        <w:pStyle w:val="BodyText"/>
      </w:pPr>
      <w:r>
        <w:t xml:space="preserve">The hidden-state interpretation was</w:t>
      </w:r>
    </w:p>
    <w:p>
      <w:pPr>
        <w:pStyle w:val="Compact"/>
        <w:numPr>
          <w:ilvl w:val="0"/>
          <w:numId w:val="1004"/>
        </w:numPr>
      </w:pPr>
      <m:oMath>
        <m:sSub>
          <m:e>
            <m:r>
              <m:t>S</m:t>
            </m:r>
          </m:e>
          <m:sub>
            <m:r>
              <m:t>1</m:t>
            </m:r>
          </m:sub>
        </m:sSub>
      </m:oMath>
      <w:r>
        <w:t xml:space="preserve"> </w:t>
      </w:r>
      <w:r>
        <w:t xml:space="preserve">= idle</w:t>
      </w:r>
    </w:p>
    <w:p>
      <w:pPr>
        <w:pStyle w:val="Compact"/>
        <w:numPr>
          <w:ilvl w:val="0"/>
          <w:numId w:val="1004"/>
        </w:numPr>
      </w:pPr>
      <m:oMath>
        <m:sSub>
          <m:e>
            <m:r>
              <m:t>S</m:t>
            </m:r>
          </m:e>
          <m:sub>
            <m:r>
              <m:t>2</m:t>
            </m:r>
          </m:sub>
        </m:sSub>
      </m:oMath>
      <w:r>
        <w:t xml:space="preserve"> </w:t>
      </w:r>
      <w:r>
        <w:t xml:space="preserve">= occupied</w:t>
      </w:r>
    </w:p>
    <w:p>
      <w:pPr>
        <w:pStyle w:val="FirstParagraph"/>
      </w:pPr>
      <w:r>
        <w:t xml:space="preserve">The key modeling point here is that the detector outputs from Problem 2.4 are not the hidden states themselves. They are observations generated from those hidden states through an imperfect detector. That is why an emission matrix is needed in addition to the transition matrix.</w:t>
      </w:r>
    </w:p>
    <w:p>
      <w:pPr>
        <w:pStyle w:val="BodyText"/>
      </w:pPr>
      <w:r>
        <w:t xml:space="preserve">The transition matrix notation was</w:t>
      </w:r>
    </w:p>
    <w:p>
      <w:pPr>
        <w:pStyle w:val="BodyText"/>
      </w:pPr>
      <m:oMathPara>
        <m:oMathParaPr>
          <m:jc m:val="center"/>
        </m:oMathParaPr>
        <m:oMath>
          <m:r>
            <m:t>A</m:t>
          </m:r>
          <m:r>
            <m:rPr>
              <m:sty m:val="p"/>
            </m:rPr>
            <m:t>(</m:t>
          </m:r>
          <m:r>
            <m:t>i</m:t>
          </m:r>
          <m:r>
            <m:rPr>
              <m:sty m:val="p"/>
            </m:rPr>
            <m:t>,</m:t>
          </m:r>
          <m:r>
            <m:t>j</m:t>
          </m:r>
          <m:r>
            <m:rPr>
              <m:sty m:val="p"/>
            </m:rPr>
            <m:t>)</m:t>
          </m:r>
          <m:r>
            <m:rPr>
              <m:sty m:val="p"/>
            </m:rPr>
            <m:t>=</m:t>
          </m:r>
          <m:r>
            <m:t>P</m:t>
          </m:r>
          <m:r>
            <m:rPr>
              <m:sty m:val="p"/>
            </m:rPr>
            <m:t>(</m:t>
          </m:r>
          <m:sSub>
            <m:e>
              <m:r>
                <m:t>S</m:t>
              </m:r>
            </m:e>
            <m:sub>
              <m:r>
                <m:t>k</m:t>
              </m:r>
              <m:r>
                <m:rPr>
                  <m:sty m:val="p"/>
                </m:rPr>
                <m:t>+</m:t>
              </m:r>
              <m:r>
                <m:t>1</m:t>
              </m:r>
            </m:sub>
          </m:sSub>
          <m:r>
            <m:rPr>
              <m:sty m:val="p"/>
            </m:rPr>
            <m:t>=</m:t>
          </m:r>
          <m:sSub>
            <m:e>
              <m:r>
                <m:t>S</m:t>
              </m:r>
            </m:e>
            <m:sub>
              <m:r>
                <m:t>j</m:t>
              </m:r>
            </m:sub>
          </m:sSub>
          <m:r>
            <m:rPr>
              <m:sty m:val="p"/>
            </m:rPr>
            <m:t>∣</m:t>
          </m:r>
          <m:sSub>
            <m:e>
              <m:r>
                <m:t>S</m:t>
              </m:r>
            </m:e>
            <m:sub>
              <m:r>
                <m:t>k</m:t>
              </m:r>
            </m:sub>
          </m:sSub>
          <m:r>
            <m:rPr>
              <m:sty m:val="p"/>
            </m:rPr>
            <m:t>=</m:t>
          </m:r>
          <m:sSub>
            <m:e>
              <m:r>
                <m:t>S</m:t>
              </m:r>
            </m:e>
            <m:sub>
              <m:r>
                <m:t>i</m:t>
              </m:r>
            </m:sub>
          </m:sSub>
          <m:r>
            <m:rPr>
              <m:sty m:val="p"/>
            </m:rPr>
            <m:t>)</m:t>
          </m:r>
        </m:oMath>
      </m:oMathPara>
    </w:p>
    <w:p>
      <w:pPr>
        <w:pStyle w:val="FirstParagraph"/>
      </w:pPr>
      <w:r>
        <w:t xml:space="preserve">with the convention:</w:t>
      </w:r>
    </w:p>
    <w:p>
      <w:pPr>
        <w:pStyle w:val="Compact"/>
        <w:numPr>
          <w:ilvl w:val="0"/>
          <w:numId w:val="1005"/>
        </w:numPr>
      </w:pPr>
      <w:r>
        <w:t xml:space="preserve">rows = current state</w:t>
      </w:r>
    </w:p>
    <w:p>
      <w:pPr>
        <w:pStyle w:val="Compact"/>
        <w:numPr>
          <w:ilvl w:val="0"/>
          <w:numId w:val="1005"/>
        </w:numPr>
      </w:pPr>
      <w:r>
        <w:t xml:space="preserve">columns = next state</w:t>
      </w:r>
    </w:p>
    <w:p>
      <w:pPr>
        <w:pStyle w:val="FirstParagraph"/>
      </w:pPr>
      <w:r>
        <w:t xml:space="preserve">This means each row must sum to 1 because it contains all possible next-state probabilities from the current state.</w:t>
      </w:r>
    </w:p>
    <w:p>
      <w:pPr>
        <w:pStyle w:val="BodyText"/>
      </w:pPr>
      <w:r>
        <w:t xml:space="preserve">The emission matrix had the form</w:t>
      </w:r>
    </w:p>
    <w:p>
      <w:pPr>
        <w:pStyle w:val="BodyText"/>
      </w:pPr>
      <m:oMathPara>
        <m:oMathParaPr>
          <m:jc m:val="center"/>
        </m:oMathParaPr>
        <m:oMath>
          <m:r>
            <m:t>B</m:t>
          </m:r>
          <m:r>
            <m:rPr>
              <m:sty m:val="p"/>
            </m:rPr>
            <m:t>=</m:t>
          </m:r>
          <m:m>
            <m:mPr>
              <m:baseJc m:val="center"/>
              <m:plcHide m:val="on"/>
              <m:mcs>
                <m:mc>
                  <m:mcPr>
                    <m:mcJc m:val="center"/>
                    <m:count m:val="1"/>
                  </m:mcPr>
                </m:mc>
                <m:mc>
                  <m:mcPr>
                    <m:mcJc m:val="center"/>
                    <m:count m:val="1"/>
                  </m:mcPr>
                </m:mc>
              </m:mcs>
            </m:mPr>
            <m:mr>
              <m:e>
                <m:r>
                  <m:t>P</m:t>
                </m:r>
                <m:r>
                  <m:rPr>
                    <m:sty m:val="p"/>
                  </m:rPr>
                  <m:t>(</m:t>
                </m:r>
                <m:r>
                  <m:t>O</m:t>
                </m:r>
                <m:r>
                  <m:rPr>
                    <m:sty m:val="p"/>
                  </m:rPr>
                  <m:t>=</m:t>
                </m:r>
                <m:r>
                  <m:rPr>
                    <m:nor/>
                    <m:sty m:val="p"/>
                  </m:rPr>
                  <m:t>idle</m:t>
                </m:r>
                <m:r>
                  <m:rPr>
                    <m:sty m:val="p"/>
                  </m:rPr>
                  <m:t>∣</m:t>
                </m:r>
                <m:r>
                  <m:t>S</m:t>
                </m:r>
                <m:r>
                  <m:rPr>
                    <m:sty m:val="p"/>
                  </m:rPr>
                  <m:t>=</m:t>
                </m:r>
                <m:r>
                  <m:rPr>
                    <m:nor/>
                    <m:sty m:val="p"/>
                  </m:rPr>
                  <m:t>idle</m:t>
                </m:r>
                <m:r>
                  <m:rPr>
                    <m:sty m:val="p"/>
                  </m:rPr>
                  <m:t>)</m:t>
                </m:r>
              </m:e>
              <m:e>
                <m:r>
                  <m:t>P</m:t>
                </m:r>
                <m:r>
                  <m:rPr>
                    <m:sty m:val="p"/>
                  </m:rPr>
                  <m:t>(</m:t>
                </m:r>
                <m:r>
                  <m:t>O</m:t>
                </m:r>
                <m:r>
                  <m:rPr>
                    <m:sty m:val="p"/>
                  </m:rPr>
                  <m:t>=</m:t>
                </m:r>
                <m:r>
                  <m:rPr>
                    <m:nor/>
                    <m:sty m:val="p"/>
                  </m:rPr>
                  <m:t>occ</m:t>
                </m:r>
                <m:r>
                  <m:rPr>
                    <m:sty m:val="p"/>
                  </m:rPr>
                  <m:t>∣</m:t>
                </m:r>
                <m:r>
                  <m:t>S</m:t>
                </m:r>
                <m:r>
                  <m:rPr>
                    <m:sty m:val="p"/>
                  </m:rPr>
                  <m:t>=</m:t>
                </m:r>
                <m:r>
                  <m:rPr>
                    <m:nor/>
                    <m:sty m:val="p"/>
                  </m:rPr>
                  <m:t>idle</m:t>
                </m:r>
                <m:r>
                  <m:rPr>
                    <m:sty m:val="p"/>
                  </m:rPr>
                  <m:t>)</m:t>
                </m:r>
              </m:e>
            </m:mr>
            <m:mr>
              <m:e>
                <m:r>
                  <m:t>P</m:t>
                </m:r>
                <m:r>
                  <m:rPr>
                    <m:sty m:val="p"/>
                  </m:rPr>
                  <m:t>(</m:t>
                </m:r>
                <m:r>
                  <m:t>O</m:t>
                </m:r>
                <m:r>
                  <m:rPr>
                    <m:sty m:val="p"/>
                  </m:rPr>
                  <m:t>=</m:t>
                </m:r>
                <m:r>
                  <m:rPr>
                    <m:nor/>
                    <m:sty m:val="p"/>
                  </m:rPr>
                  <m:t>idle</m:t>
                </m:r>
                <m:r>
                  <m:rPr>
                    <m:sty m:val="p"/>
                  </m:rPr>
                  <m:t>∣</m:t>
                </m:r>
                <m:r>
                  <m:t>S</m:t>
                </m:r>
                <m:r>
                  <m:rPr>
                    <m:sty m:val="p"/>
                  </m:rPr>
                  <m:t>=</m:t>
                </m:r>
                <m:r>
                  <m:rPr>
                    <m:nor/>
                    <m:sty m:val="p"/>
                  </m:rPr>
                  <m:t>occ</m:t>
                </m:r>
                <m:r>
                  <m:rPr>
                    <m:sty m:val="p"/>
                  </m:rPr>
                  <m:t>)</m:t>
                </m:r>
              </m:e>
              <m:e>
                <m:r>
                  <m:t>P</m:t>
                </m:r>
                <m:r>
                  <m:rPr>
                    <m:sty m:val="p"/>
                  </m:rPr>
                  <m:t>(</m:t>
                </m:r>
                <m:r>
                  <m:t>O</m:t>
                </m:r>
                <m:r>
                  <m:rPr>
                    <m:sty m:val="p"/>
                  </m:rPr>
                  <m:t>=</m:t>
                </m:r>
                <m:r>
                  <m:rPr>
                    <m:nor/>
                    <m:sty m:val="p"/>
                  </m:rPr>
                  <m:t>occ</m:t>
                </m:r>
                <m:r>
                  <m:rPr>
                    <m:sty m:val="p"/>
                  </m:rPr>
                  <m:t>∣</m:t>
                </m:r>
                <m:r>
                  <m:t>S</m:t>
                </m:r>
                <m:r>
                  <m:rPr>
                    <m:sty m:val="p"/>
                  </m:rPr>
                  <m:t>=</m:t>
                </m:r>
                <m:r>
                  <m:rPr>
                    <m:nor/>
                    <m:sty m:val="p"/>
                  </m:rPr>
                  <m:t>occ</m:t>
                </m:r>
                <m:r>
                  <m:rPr>
                    <m:sty m:val="p"/>
                  </m:rPr>
                  <m:t>)</m:t>
                </m:r>
              </m:e>
            </m:mr>
          </m:m>
        </m:oMath>
      </m:oMathPara>
    </w:p>
    <w:p>
      <w:pPr>
        <w:pStyle w:val="FirstParagraph"/>
      </w:pPr>
      <w:r>
        <w:t xml:space="preserve">Conceptually, this ties back to earlier problems:</w:t>
      </w:r>
    </w:p>
    <w:p>
      <w:pPr>
        <w:pStyle w:val="Compact"/>
        <w:numPr>
          <w:ilvl w:val="0"/>
          <w:numId w:val="1006"/>
        </w:numPr>
      </w:pPr>
      <w:r>
        <w:t xml:space="preserve">false alarms mean an idle state can emit an occupied observation</w:t>
      </w:r>
    </w:p>
    <w:p>
      <w:pPr>
        <w:pStyle w:val="Compact"/>
        <w:numPr>
          <w:ilvl w:val="0"/>
          <w:numId w:val="1006"/>
        </w:numPr>
      </w:pPr>
      <w:r>
        <w:t xml:space="preserve">missed detections mean an occupied state can emit an idle observation</w:t>
      </w:r>
    </w:p>
    <w:p>
      <w:pPr>
        <w:pStyle w:val="FirstParagraph"/>
      </w:pPr>
      <w:r>
        <w:rPr>
          <w:rStyle w:val="VerbatimChar"/>
        </w:rPr>
        <w:t xml:space="preserve">hmmtrain</w:t>
      </w:r>
      <w:r>
        <w:t xml:space="preserve"> </w:t>
      </w:r>
      <w:r>
        <w:t xml:space="preserve">was then used to estimate the model from detector observations, not from direct hidden-state truth labels. That is an important distinction, because the transition matrices here are inferred through the observation model rather than counted directly from known state sequences.</w:t>
      </w:r>
    </w:p>
    <w:bookmarkStart w:id="30" w:name="example-channel"/>
    <w:p>
      <w:pPr>
        <w:pStyle w:val="Heading3"/>
      </w:pPr>
      <w:r>
        <w:t xml:space="preserve">Example Channel</w:t>
      </w:r>
    </w:p>
    <w:bookmarkStart w:id="28" w:name="transition-matrix"/>
    <w:p>
      <w:pPr>
        <w:pStyle w:val="Heading4"/>
      </w:pPr>
      <w:r>
        <w:t xml:space="preserve">Transition Matrix</w:t>
      </w:r>
    </w:p>
    <w:p>
      <w:pPr>
        <w:pStyle w:val="SourceCode"/>
      </w:pPr>
      <w:r>
        <w:rPr>
          <w:rStyle w:val="VerbatimChar"/>
        </w:rPr>
        <w:t xml:space="preserve">0.751844 0.248156</w:t>
      </w:r>
      <w:r>
        <w:br/>
      </w:r>
      <w:r>
        <w:rPr>
          <w:rStyle w:val="VerbatimChar"/>
        </w:rPr>
        <w:t xml:space="preserve">0.486193 0.513807</w:t>
      </w:r>
    </w:p>
    <w:bookmarkEnd w:id="28"/>
    <w:bookmarkStart w:id="29" w:name="emission-matrix"/>
    <w:p>
      <w:pPr>
        <w:pStyle w:val="Heading4"/>
      </w:pPr>
      <w:r>
        <w:t xml:space="preserve">Emission Matrix</w:t>
      </w:r>
    </w:p>
    <w:p>
      <w:pPr>
        <w:pStyle w:val="SourceCode"/>
      </w:pPr>
      <w:r>
        <w:rPr>
          <w:rStyle w:val="VerbatimChar"/>
        </w:rPr>
        <w:t xml:space="preserve">0.943933 0.056067</w:t>
      </w:r>
      <w:r>
        <w:br/>
      </w:r>
      <w:r>
        <w:rPr>
          <w:rStyle w:val="VerbatimChar"/>
        </w:rPr>
        <w:t xml:space="preserve">0.019331 0.980669</w:t>
      </w:r>
    </w:p>
    <w:bookmarkEnd w:id="29"/>
    <w:bookmarkEnd w:id="30"/>
    <w:bookmarkStart w:id="37" w:name="X937d3874137f3146713007b6f4eb2796db5133b"/>
    <w:p>
      <w:pPr>
        <w:pStyle w:val="Heading3"/>
      </w:pPr>
      <w:r>
        <w:t xml:space="preserve">Transition Matrix Results for Channels 1-6</w:t>
      </w:r>
    </w:p>
    <w:bookmarkStart w:id="31" w:name="channel-1"/>
    <w:p>
      <w:pPr>
        <w:pStyle w:val="Heading4"/>
      </w:pPr>
      <w:r>
        <w:t xml:space="preserve">Channel 1</w:t>
      </w:r>
    </w:p>
    <w:p>
      <w:pPr>
        <w:pStyle w:val="SourceCode"/>
      </w:pPr>
      <w:r>
        <w:rPr>
          <w:rStyle w:val="VerbatimChar"/>
        </w:rPr>
        <w:t xml:space="preserve">0.285031 0.714969</w:t>
      </w:r>
      <w:r>
        <w:br/>
      </w:r>
      <w:r>
        <w:rPr>
          <w:rStyle w:val="VerbatimChar"/>
        </w:rPr>
        <w:t xml:space="preserve">0.216852 0.783148</w:t>
      </w:r>
    </w:p>
    <w:bookmarkEnd w:id="31"/>
    <w:bookmarkStart w:id="32" w:name="channel-2"/>
    <w:p>
      <w:pPr>
        <w:pStyle w:val="Heading4"/>
      </w:pPr>
      <w:r>
        <w:t xml:space="preserve">Channel 2</w:t>
      </w:r>
    </w:p>
    <w:p>
      <w:pPr>
        <w:pStyle w:val="SourceCode"/>
      </w:pPr>
      <w:r>
        <w:rPr>
          <w:rStyle w:val="VerbatimChar"/>
        </w:rPr>
        <w:t xml:space="preserve">0.152367 0.847633</w:t>
      </w:r>
      <w:r>
        <w:br/>
      </w:r>
      <w:r>
        <w:rPr>
          <w:rStyle w:val="VerbatimChar"/>
        </w:rPr>
        <w:t xml:space="preserve">0.846649 0.153351</w:t>
      </w:r>
    </w:p>
    <w:bookmarkEnd w:id="32"/>
    <w:bookmarkStart w:id="33" w:name="channel-3"/>
    <w:p>
      <w:pPr>
        <w:pStyle w:val="Heading4"/>
      </w:pPr>
      <w:r>
        <w:t xml:space="preserve">Channel 3</w:t>
      </w:r>
    </w:p>
    <w:p>
      <w:pPr>
        <w:pStyle w:val="SourceCode"/>
      </w:pPr>
      <w:r>
        <w:rPr>
          <w:rStyle w:val="VerbatimChar"/>
        </w:rPr>
        <w:t xml:space="preserve">0.819179 0.180821</w:t>
      </w:r>
      <w:r>
        <w:br/>
      </w:r>
      <w:r>
        <w:rPr>
          <w:rStyle w:val="VerbatimChar"/>
        </w:rPr>
        <w:t xml:space="preserve">0.820401 0.179599</w:t>
      </w:r>
    </w:p>
    <w:bookmarkEnd w:id="33"/>
    <w:bookmarkStart w:id="34" w:name="channel-4"/>
    <w:p>
      <w:pPr>
        <w:pStyle w:val="Heading4"/>
      </w:pPr>
      <w:r>
        <w:t xml:space="preserve">Channel 4</w:t>
      </w:r>
    </w:p>
    <w:p>
      <w:pPr>
        <w:pStyle w:val="SourceCode"/>
      </w:pPr>
      <w:r>
        <w:rPr>
          <w:rStyle w:val="VerbatimChar"/>
        </w:rPr>
        <w:t xml:space="preserve">0.379896 0.620104</w:t>
      </w:r>
      <w:r>
        <w:br/>
      </w:r>
      <w:r>
        <w:rPr>
          <w:rStyle w:val="VerbatimChar"/>
        </w:rPr>
        <w:t xml:space="preserve">0.379093 0.620907</w:t>
      </w:r>
    </w:p>
    <w:bookmarkEnd w:id="34"/>
    <w:bookmarkStart w:id="35" w:name="channel-5"/>
    <w:p>
      <w:pPr>
        <w:pStyle w:val="Heading4"/>
      </w:pPr>
      <w:r>
        <w:t xml:space="preserve">Channel 5</w:t>
      </w:r>
    </w:p>
    <w:p>
      <w:pPr>
        <w:pStyle w:val="SourceCode"/>
      </w:pPr>
      <w:r>
        <w:rPr>
          <w:rStyle w:val="VerbatimChar"/>
        </w:rPr>
        <w:t xml:space="preserve">0.197591 0.802409</w:t>
      </w:r>
      <w:r>
        <w:br/>
      </w:r>
      <w:r>
        <w:rPr>
          <w:rStyle w:val="VerbatimChar"/>
        </w:rPr>
        <w:t xml:space="preserve">0.802133 0.197867</w:t>
      </w:r>
    </w:p>
    <w:bookmarkEnd w:id="35"/>
    <w:bookmarkStart w:id="36" w:name="channel-6"/>
    <w:p>
      <w:pPr>
        <w:pStyle w:val="Heading4"/>
      </w:pPr>
      <w:r>
        <w:t xml:space="preserve">Channel 6</w:t>
      </w:r>
    </w:p>
    <w:p>
      <w:pPr>
        <w:pStyle w:val="SourceCode"/>
      </w:pPr>
      <w:r>
        <w:rPr>
          <w:rStyle w:val="VerbatimChar"/>
        </w:rPr>
        <w:t xml:space="preserve">0.864992 0.135008</w:t>
      </w:r>
      <w:r>
        <w:br/>
      </w:r>
      <w:r>
        <w:rPr>
          <w:rStyle w:val="VerbatimChar"/>
        </w:rPr>
        <w:t xml:space="preserve">0.856235 0.143765</w:t>
      </w:r>
    </w:p>
    <w:bookmarkEnd w:id="36"/>
    <w:bookmarkEnd w:id="37"/>
    <w:bookmarkStart w:id="38" w:name="note-3"/>
    <w:p>
      <w:pPr>
        <w:pStyle w:val="Heading3"/>
      </w:pPr>
      <w:r>
        <w:t xml:space="preserve">Note</w:t>
      </w:r>
    </w:p>
    <w:p>
      <w:pPr>
        <w:pStyle w:val="FirstParagraph"/>
      </w:pPr>
      <w:r>
        <w:t xml:space="preserve">The emission matrix was initialized from the example-channel detector behavior, with a diagonally dominant fallback available if needed. That kept the HMM setup simple while still respecting the fact that the detector is not perfect.</w:t>
      </w:r>
    </w:p>
    <w:bookmarkEnd w:id="38"/>
    <w:bookmarkEnd w:id="39"/>
    <w:bookmarkStart w:id="43" w:name="problem-2.6-limiting-distribution"/>
    <w:p>
      <w:pPr>
        <w:pStyle w:val="Heading2"/>
      </w:pPr>
      <w:r>
        <w:t xml:space="preserve">7. Problem 2.6 – Limiting Distribution</w:t>
      </w:r>
    </w:p>
    <w:p>
      <w:pPr>
        <w:pStyle w:val="FirstParagraph"/>
      </w:pPr>
      <w:r>
        <w:t xml:space="preserve">Problem 2.6 used the transition matrices estimated in Problem 2.5 to compute the long-term steady-state occupancy of each channel.</w:t>
      </w:r>
    </w:p>
    <w:p>
      <w:pPr>
        <w:pStyle w:val="BodyText"/>
      </w:pPr>
      <w:r>
        <w:t xml:space="preserve">The limiting distribution</w:t>
      </w:r>
      <w:r>
        <w:t xml:space="preserve"> </w:t>
      </w:r>
      <m:oMath>
        <m:r>
          <m:t>π</m:t>
        </m:r>
      </m:oMath>
      <w:r>
        <w:t xml:space="preserve"> </w:t>
      </w:r>
      <w:r>
        <w:t xml:space="preserve">satisfies</w:t>
      </w:r>
    </w:p>
    <w:p>
      <w:pPr>
        <w:pStyle w:val="BodyText"/>
      </w:pPr>
      <m:oMathPara>
        <m:oMathParaPr>
          <m:jc m:val="center"/>
        </m:oMathParaPr>
        <m:oMath>
          <m:r>
            <m:t>π</m:t>
          </m:r>
          <m:r>
            <m:rPr>
              <m:sty m:val="p"/>
            </m:rPr>
            <m:t>=</m:t>
          </m:r>
          <m:r>
            <m:t>π</m:t>
          </m:r>
          <m:r>
            <m:t>A</m:t>
          </m:r>
          <m:r>
            <m:rPr>
              <m:sty m:val="p"/>
            </m:rPr>
            <m:t>,</m:t>
          </m:r>
          <m:r>
            <m:t>  </m:t>
          </m:r>
          <m:nary>
            <m:naryPr>
              <m:chr m:val="∑"/>
              <m:limLoc m:val="undOvr"/>
              <m:subHide m:val="off"/>
              <m:supHide m:val="on"/>
            </m:naryPr>
            <m:sub>
              <m:r>
                <m:t>i</m:t>
              </m:r>
            </m:sub>
            <m:sup>
              <m:r>
                <m:t>​</m:t>
              </m:r>
            </m:sup>
            <m:e>
              <m:sSub>
                <m:e>
                  <m:r>
                    <m:t>π</m:t>
                  </m:r>
                </m:e>
                <m:sub>
                  <m:r>
                    <m:t>i</m:t>
                  </m:r>
                </m:sub>
              </m:sSub>
            </m:e>
          </m:nary>
          <m:r>
            <m:rPr>
              <m:sty m:val="p"/>
            </m:rPr>
            <m:t>=</m:t>
          </m:r>
          <m:r>
            <m:t>1</m:t>
          </m:r>
        </m:oMath>
      </m:oMathPara>
    </w:p>
    <w:p>
      <w:pPr>
        <w:pStyle w:val="FirstParagraph"/>
      </w:pPr>
      <w:r>
        <w:t xml:space="preserve">For the two-state chain with</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r>
                      <m:rPr>
                        <m:sty m:val="p"/>
                      </m:rPr>
                      <m:t>−</m:t>
                    </m:r>
                    <m:r>
                      <m:t>a</m:t>
                    </m:r>
                  </m:e>
                  <m:e>
                    <m:r>
                      <m:t>a</m:t>
                    </m:r>
                  </m:e>
                </m:mr>
                <m:mr>
                  <m:e>
                    <m:r>
                      <m:t>b</m:t>
                    </m:r>
                  </m:e>
                  <m:e>
                    <m:r>
                      <m:t>1</m:t>
                    </m:r>
                    <m:r>
                      <m:rPr>
                        <m:sty m:val="p"/>
                      </m:rPr>
                      <m:t>−</m:t>
                    </m:r>
                    <m:r>
                      <m:t>b</m:t>
                    </m:r>
                    <m:r>
                      <m:rPr>
                        <m:sty m:val="p"/>
                      </m:rPr>
                      <m:t>]</m:t>
                    </m:r>
                  </m:e>
                </m:mr>
              </m:m>
            </m:e>
          </m:d>
        </m:oMath>
      </m:oMathPara>
    </w:p>
    <w:p>
      <w:pPr>
        <w:pStyle w:val="FirstParagraph"/>
      </w:pPr>
      <w:r>
        <w:t xml:space="preserve">the steady-state shortcut is</w:t>
      </w:r>
    </w:p>
    <w:p>
      <w:pPr>
        <w:pStyle w:val="BodyText"/>
      </w:pPr>
      <m:oMathPara>
        <m:oMathParaPr>
          <m:jc m:val="center"/>
        </m:oMathParaPr>
        <m:oMath>
          <m:sSub>
            <m:e>
              <m:r>
                <m:t>π</m:t>
              </m:r>
            </m:e>
            <m:sub>
              <m:r>
                <m:rPr>
                  <m:nor/>
                  <m:sty m:val="p"/>
                </m:rPr>
                <m:t>idle</m:t>
              </m:r>
            </m:sub>
          </m:sSub>
          <m:r>
            <m:rPr>
              <m:sty m:val="p"/>
            </m:rPr>
            <m:t>=</m:t>
          </m:r>
          <m:f>
            <m:fPr>
              <m:type m:val="bar"/>
            </m:fPr>
            <m:num>
              <m:r>
                <m:t>b</m:t>
              </m:r>
            </m:num>
            <m:den>
              <m:r>
                <m:t>a</m:t>
              </m:r>
              <m:r>
                <m:rPr>
                  <m:sty m:val="p"/>
                </m:rPr>
                <m:t>+</m:t>
              </m:r>
              <m:r>
                <m:t>b</m:t>
              </m:r>
            </m:den>
          </m:f>
          <m:r>
            <m:rPr>
              <m:sty m:val="p"/>
            </m:rPr>
            <m:t>,</m:t>
          </m:r>
          <m:r>
            <m:t>  </m:t>
          </m:r>
          <m:sSub>
            <m:e>
              <m:r>
                <m:t>π</m:t>
              </m:r>
            </m:e>
            <m:sub>
              <m:r>
                <m:rPr>
                  <m:nor/>
                  <m:sty m:val="p"/>
                </m:rPr>
                <m:t>occupied</m:t>
              </m:r>
            </m:sub>
          </m:sSub>
          <m:r>
            <m:rPr>
              <m:sty m:val="p"/>
            </m:rPr>
            <m:t>=</m:t>
          </m:r>
          <m:f>
            <m:fPr>
              <m:type m:val="bar"/>
            </m:fPr>
            <m:num>
              <m:r>
                <m:t>a</m:t>
              </m:r>
            </m:num>
            <m:den>
              <m:r>
                <m:t>a</m:t>
              </m:r>
              <m:r>
                <m:rPr>
                  <m:sty m:val="p"/>
                </m:rPr>
                <m:t>+</m:t>
              </m:r>
              <m:r>
                <m:t>b</m:t>
              </m:r>
            </m:den>
          </m:f>
        </m:oMath>
      </m:oMathPara>
    </w:p>
    <w:p>
      <w:pPr>
        <w:pStyle w:val="FirstParagraph"/>
      </w:pPr>
      <w:r>
        <w:t xml:space="preserve">This was the main implementation method because it is simple and matches the live-lab limiting-distribution script directly.</w:t>
      </w:r>
    </w:p>
    <w:p>
      <w:pPr>
        <w:pStyle w:val="BodyText"/>
      </w:pPr>
      <w:r>
        <w:t xml:space="preserve">The resulting steady-state probabilities are predictions of the long-term fraction of time the channel should spend idle and occupied. These can differ from the observed percentages from Problem 2.4 because:</w:t>
      </w:r>
    </w:p>
    <w:p>
      <w:pPr>
        <w:pStyle w:val="Compact"/>
        <w:numPr>
          <w:ilvl w:val="0"/>
          <w:numId w:val="1007"/>
        </w:numPr>
      </w:pPr>
      <w:r>
        <w:t xml:space="preserve">the observed sequence is finite</w:t>
      </w:r>
    </w:p>
    <w:p>
      <w:pPr>
        <w:pStyle w:val="Compact"/>
        <w:numPr>
          <w:ilvl w:val="0"/>
          <w:numId w:val="1007"/>
        </w:numPr>
      </w:pPr>
      <w:r>
        <w:t xml:space="preserve">the detector makes false alarms and missed detections</w:t>
      </w:r>
    </w:p>
    <w:p>
      <w:pPr>
        <w:pStyle w:val="Compact"/>
        <w:numPr>
          <w:ilvl w:val="0"/>
          <w:numId w:val="1007"/>
        </w:numPr>
      </w:pPr>
      <w:r>
        <w:t xml:space="preserve">the HMM was estimated from observations rather than hidden truth states</w:t>
      </w:r>
    </w:p>
    <w:p>
      <w:pPr>
        <w:pStyle w:val="Compact"/>
        <w:numPr>
          <w:ilvl w:val="0"/>
          <w:numId w:val="1007"/>
        </w:numPr>
      </w:pPr>
      <w:r>
        <w:t xml:space="preserve">the limiting distribution is a steady-state quantity, while the measured sequence may contain transient effects</w:t>
      </w:r>
    </w:p>
    <w:bookmarkStart w:id="40" w:name="example-channel-results"/>
    <w:p>
      <w:pPr>
        <w:pStyle w:val="Heading3"/>
      </w:pPr>
      <w:r>
        <w:t xml:space="preserve">Example Channel Results</w:t>
      </w:r>
    </w:p>
    <w:p>
      <w:pPr>
        <w:pStyle w:val="FirstParagraph"/>
      </w:pPr>
      <w:r>
        <w:t xml:space="preserve">The predicted steady-state percentages are very close to the truth-derived percentages, which is a good sign that the HMM model is capturing the channel behavior fairly well.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jc w:val="right"/>
            </w:pPr>
            <w:r>
              <w:t xml:space="preserve">Idle %</w:t>
            </w:r>
          </w:p>
        </w:tc>
        <w:tc>
          <w:tcPr/>
          <w:p>
            <w:pPr>
              <w:pStyle w:val="Compact"/>
              <w:jc w:val="right"/>
            </w:pPr>
            <w:r>
              <w:t xml:space="preserve">Occupied %</w:t>
            </w:r>
          </w:p>
        </w:tc>
      </w:tr>
      <w:tr>
        <w:tc>
          <w:tcPr/>
          <w:p>
            <w:pPr>
              <w:pStyle w:val="Compact"/>
            </w:pPr>
            <w:r>
              <w:t xml:space="preserve">Predicted</w:t>
            </w:r>
          </w:p>
        </w:tc>
        <w:tc>
          <w:tcPr/>
          <w:p>
            <w:pPr>
              <w:pStyle w:val="Compact"/>
              <w:jc w:val="right"/>
            </w:pPr>
            <w:r>
              <w:t xml:space="preserve">66.2073</w:t>
            </w:r>
          </w:p>
        </w:tc>
        <w:tc>
          <w:tcPr/>
          <w:p>
            <w:pPr>
              <w:pStyle w:val="Compact"/>
              <w:jc w:val="right"/>
            </w:pPr>
            <w:r>
              <w:t xml:space="preserve">33.7927</w:t>
            </w:r>
          </w:p>
        </w:tc>
      </w:tr>
      <w:tr>
        <w:tc>
          <w:tcPr/>
          <w:p>
            <w:pPr>
              <w:pStyle w:val="Compact"/>
            </w:pPr>
            <w:r>
              <w:t xml:space="preserve">Observed</w:t>
            </w:r>
          </w:p>
        </w:tc>
        <w:tc>
          <w:tcPr/>
          <w:p>
            <w:pPr>
              <w:pStyle w:val="Compact"/>
              <w:jc w:val="right"/>
            </w:pPr>
            <w:r>
              <w:t xml:space="preserve">63.1485</w:t>
            </w:r>
          </w:p>
        </w:tc>
        <w:tc>
          <w:tcPr/>
          <w:p>
            <w:pPr>
              <w:pStyle w:val="Compact"/>
              <w:jc w:val="right"/>
            </w:pPr>
            <w:r>
              <w:t xml:space="preserve">36.8515</w:t>
            </w:r>
          </w:p>
        </w:tc>
      </w:tr>
      <w:tr>
        <w:tc>
          <w:tcPr/>
          <w:p>
            <w:pPr>
              <w:pStyle w:val="Compact"/>
            </w:pPr>
            <w:r>
              <w:t xml:space="preserve">Truth</w:t>
            </w:r>
          </w:p>
        </w:tc>
        <w:tc>
          <w:tcPr/>
          <w:p>
            <w:pPr>
              <w:pStyle w:val="Compact"/>
              <w:jc w:val="right"/>
            </w:pPr>
            <w:r>
              <w:t xml:space="preserve">66.4917</w:t>
            </w:r>
          </w:p>
        </w:tc>
        <w:tc>
          <w:tcPr/>
          <w:p>
            <w:pPr>
              <w:pStyle w:val="Compact"/>
              <w:jc w:val="right"/>
            </w:pPr>
            <w:r>
              <w:t xml:space="preserve">33.5083</w:t>
            </w:r>
          </w:p>
        </w:tc>
      </w:tr>
    </w:tbl>
    <w:bookmarkEnd w:id="40"/>
    <w:bookmarkStart w:id="41" w:name="six-channel-predictions"/>
    <w:p>
      <w:pPr>
        <w:pStyle w:val="Heading3"/>
      </w:pPr>
      <w:r>
        <w:t xml:space="preserve">Six Channel Predictions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Channel</w:t>
            </w:r>
          </w:p>
        </w:tc>
        <w:tc>
          <w:tcPr/>
          <w:p>
            <w:pPr>
              <w:pStyle w:val="Compact"/>
              <w:jc w:val="right"/>
            </w:pPr>
            <w:r>
              <w:t xml:space="preserve">Predicted Idle %</w:t>
            </w:r>
          </w:p>
        </w:tc>
        <w:tc>
          <w:tcPr/>
          <w:p>
            <w:pPr>
              <w:pStyle w:val="Compact"/>
              <w:jc w:val="right"/>
            </w:pPr>
            <w:r>
              <w:t xml:space="preserve">Predicted Occupied %</w:t>
            </w:r>
          </w:p>
        </w:tc>
        <w:tc>
          <w:tcPr/>
          <w:p>
            <w:pPr>
              <w:pStyle w:val="Compact"/>
              <w:jc w:val="right"/>
            </w:pPr>
            <w:r>
              <w:t xml:space="preserve">Observed Idle %</w:t>
            </w:r>
          </w:p>
        </w:tc>
        <w:tc>
          <w:tcPr/>
          <w:p>
            <w:pPr>
              <w:pStyle w:val="Compact"/>
              <w:jc w:val="right"/>
            </w:pPr>
            <w:r>
              <w:t xml:space="preserve">Observed Occupied %</w:t>
            </w:r>
          </w:p>
        </w:tc>
      </w:tr>
      <w:tr>
        <w:tc>
          <w:tcPr/>
          <w:p>
            <w:pPr>
              <w:pStyle w:val="Compact"/>
            </w:pPr>
            <w:r>
              <w:t xml:space="preserve">1</w:t>
            </w:r>
          </w:p>
        </w:tc>
        <w:tc>
          <w:tcPr/>
          <w:p>
            <w:pPr>
              <w:pStyle w:val="Compact"/>
              <w:jc w:val="right"/>
            </w:pPr>
            <w:r>
              <w:t xml:space="preserve">23.2719</w:t>
            </w:r>
          </w:p>
        </w:tc>
        <w:tc>
          <w:tcPr/>
          <w:p>
            <w:pPr>
              <w:pStyle w:val="Compact"/>
              <w:jc w:val="right"/>
            </w:pPr>
            <w:r>
              <w:t xml:space="preserve">76.7281</w:t>
            </w:r>
          </w:p>
        </w:tc>
        <w:tc>
          <w:tcPr/>
          <w:p>
            <w:pPr>
              <w:pStyle w:val="Compact"/>
              <w:jc w:val="right"/>
            </w:pPr>
            <w:r>
              <w:t xml:space="preserve">20.3033</w:t>
            </w:r>
          </w:p>
        </w:tc>
        <w:tc>
          <w:tcPr/>
          <w:p>
            <w:pPr>
              <w:pStyle w:val="Compact"/>
              <w:jc w:val="right"/>
            </w:pPr>
            <w:r>
              <w:t xml:space="preserve">79.6967</w:t>
            </w:r>
          </w:p>
        </w:tc>
      </w:tr>
      <w:tr>
        <w:tc>
          <w:tcPr/>
          <w:p>
            <w:pPr>
              <w:pStyle w:val="Compact"/>
            </w:pPr>
            <w:r>
              <w:t xml:space="preserve">2</w:t>
            </w:r>
          </w:p>
        </w:tc>
        <w:tc>
          <w:tcPr/>
          <w:p>
            <w:pPr>
              <w:pStyle w:val="Compact"/>
              <w:jc w:val="right"/>
            </w:pPr>
            <w:r>
              <w:t xml:space="preserve">49.9710</w:t>
            </w:r>
          </w:p>
        </w:tc>
        <w:tc>
          <w:tcPr/>
          <w:p>
            <w:pPr>
              <w:pStyle w:val="Compact"/>
              <w:jc w:val="right"/>
            </w:pPr>
            <w:r>
              <w:t xml:space="preserve">50.0290</w:t>
            </w:r>
          </w:p>
        </w:tc>
        <w:tc>
          <w:tcPr/>
          <w:p>
            <w:pPr>
              <w:pStyle w:val="Compact"/>
              <w:jc w:val="right"/>
            </w:pPr>
            <w:r>
              <w:t xml:space="preserve">47.4854</w:t>
            </w:r>
          </w:p>
        </w:tc>
        <w:tc>
          <w:tcPr/>
          <w:p>
            <w:pPr>
              <w:pStyle w:val="Compact"/>
              <w:jc w:val="right"/>
            </w:pPr>
            <w:r>
              <w:t xml:space="preserve">52.5146</w:t>
            </w:r>
          </w:p>
        </w:tc>
      </w:tr>
      <w:tr>
        <w:tc>
          <w:tcPr/>
          <w:p>
            <w:pPr>
              <w:pStyle w:val="Compact"/>
            </w:pPr>
            <w:r>
              <w:t xml:space="preserve">3</w:t>
            </w:r>
          </w:p>
        </w:tc>
        <w:tc>
          <w:tcPr/>
          <w:p>
            <w:pPr>
              <w:pStyle w:val="Compact"/>
              <w:jc w:val="right"/>
            </w:pPr>
            <w:r>
              <w:t xml:space="preserve">81.9400</w:t>
            </w:r>
          </w:p>
        </w:tc>
        <w:tc>
          <w:tcPr/>
          <w:p>
            <w:pPr>
              <w:pStyle w:val="Compact"/>
              <w:jc w:val="right"/>
            </w:pPr>
            <w:r>
              <w:t xml:space="preserve">18.0600</w:t>
            </w:r>
          </w:p>
        </w:tc>
        <w:tc>
          <w:tcPr/>
          <w:p>
            <w:pPr>
              <w:pStyle w:val="Compact"/>
              <w:jc w:val="right"/>
            </w:pPr>
            <w:r>
              <w:t xml:space="preserve">85.4889</w:t>
            </w:r>
          </w:p>
        </w:tc>
        <w:tc>
          <w:tcPr/>
          <w:p>
            <w:pPr>
              <w:pStyle w:val="Compact"/>
              <w:jc w:val="right"/>
            </w:pPr>
            <w:r>
              <w:t xml:space="preserve">14.5111</w:t>
            </w:r>
          </w:p>
        </w:tc>
      </w:tr>
      <w:tr>
        <w:tc>
          <w:tcPr/>
          <w:p>
            <w:pPr>
              <w:pStyle w:val="Compact"/>
            </w:pPr>
            <w:r>
              <w:t xml:space="preserve">4</w:t>
            </w:r>
          </w:p>
        </w:tc>
        <w:tc>
          <w:tcPr/>
          <w:p>
            <w:pPr>
              <w:pStyle w:val="Compact"/>
              <w:jc w:val="right"/>
            </w:pPr>
            <w:r>
              <w:t xml:space="preserve">37.9398</w:t>
            </w:r>
          </w:p>
        </w:tc>
        <w:tc>
          <w:tcPr/>
          <w:p>
            <w:pPr>
              <w:pStyle w:val="Compact"/>
              <w:jc w:val="right"/>
            </w:pPr>
            <w:r>
              <w:t xml:space="preserve">62.0602</w:t>
            </w:r>
          </w:p>
        </w:tc>
        <w:tc>
          <w:tcPr/>
          <w:p>
            <w:pPr>
              <w:pStyle w:val="Compact"/>
              <w:jc w:val="right"/>
            </w:pPr>
            <w:r>
              <w:t xml:space="preserve">36.5997</w:t>
            </w:r>
          </w:p>
        </w:tc>
        <w:tc>
          <w:tcPr/>
          <w:p>
            <w:pPr>
              <w:pStyle w:val="Compact"/>
              <w:jc w:val="right"/>
            </w:pPr>
            <w:r>
              <w:t xml:space="preserve">63.4003</w:t>
            </w:r>
          </w:p>
        </w:tc>
      </w:tr>
      <w:tr>
        <w:tc>
          <w:tcPr/>
          <w:p>
            <w:pPr>
              <w:pStyle w:val="Compact"/>
            </w:pPr>
            <w:r>
              <w:t xml:space="preserve">5</w:t>
            </w:r>
          </w:p>
        </w:tc>
        <w:tc>
          <w:tcPr/>
          <w:p>
            <w:pPr>
              <w:pStyle w:val="Compact"/>
              <w:jc w:val="right"/>
            </w:pPr>
            <w:r>
              <w:t xml:space="preserve">49.9914</w:t>
            </w:r>
          </w:p>
        </w:tc>
        <w:tc>
          <w:tcPr/>
          <w:p>
            <w:pPr>
              <w:pStyle w:val="Compact"/>
              <w:jc w:val="right"/>
            </w:pPr>
            <w:r>
              <w:t xml:space="preserve">50.0086</w:t>
            </w:r>
          </w:p>
        </w:tc>
        <w:tc>
          <w:tcPr/>
          <w:p>
            <w:pPr>
              <w:pStyle w:val="Compact"/>
              <w:jc w:val="right"/>
            </w:pPr>
            <w:r>
              <w:t xml:space="preserve">48.2559</w:t>
            </w:r>
          </w:p>
        </w:tc>
        <w:tc>
          <w:tcPr/>
          <w:p>
            <w:pPr>
              <w:pStyle w:val="Compact"/>
              <w:jc w:val="right"/>
            </w:pPr>
            <w:r>
              <w:t xml:space="preserve">51.7441</w:t>
            </w:r>
          </w:p>
        </w:tc>
      </w:tr>
      <w:tr>
        <w:tc>
          <w:tcPr/>
          <w:p>
            <w:pPr>
              <w:pStyle w:val="Compact"/>
            </w:pPr>
            <w:r>
              <w:t xml:space="preserve">6</w:t>
            </w:r>
          </w:p>
        </w:tc>
        <w:tc>
          <w:tcPr/>
          <w:p>
            <w:pPr>
              <w:pStyle w:val="Compact"/>
              <w:jc w:val="right"/>
            </w:pPr>
            <w:r>
              <w:t xml:space="preserve">86.3799</w:t>
            </w:r>
          </w:p>
        </w:tc>
        <w:tc>
          <w:tcPr/>
          <w:p>
            <w:pPr>
              <w:pStyle w:val="Compact"/>
              <w:jc w:val="right"/>
            </w:pPr>
            <w:r>
              <w:t xml:space="preserve">13.6201</w:t>
            </w:r>
          </w:p>
        </w:tc>
        <w:tc>
          <w:tcPr/>
          <w:p>
            <w:pPr>
              <w:pStyle w:val="Compact"/>
              <w:jc w:val="right"/>
            </w:pPr>
            <w:r>
              <w:t xml:space="preserve">90.4221</w:t>
            </w:r>
          </w:p>
        </w:tc>
        <w:tc>
          <w:tcPr/>
          <w:p>
            <w:pPr>
              <w:pStyle w:val="Compact"/>
              <w:jc w:val="right"/>
            </w:pPr>
            <w:r>
              <w:t xml:space="preserve">9.5779</w:t>
            </w:r>
          </w:p>
        </w:tc>
      </w:tr>
    </w:tbl>
    <w:bookmarkEnd w:id="41"/>
    <w:bookmarkStart w:id="42" w:name="quietest-channels"/>
    <w:p>
      <w:pPr>
        <w:pStyle w:val="Heading3"/>
      </w:pPr>
      <w:r>
        <w:t xml:space="preserve">Quietest Channels</w:t>
      </w:r>
    </w:p>
    <w:p>
      <w:pPr>
        <w:pStyle w:val="FirstParagraph"/>
      </w:pPr>
      <w:r>
        <w:t xml:space="preserve">The two channels with the lowest predicted occupied probability are</w:t>
      </w:r>
      <w:r>
        <w:t xml:space="preserve"> </w:t>
      </w:r>
      <w:r>
        <w:rPr>
          <w:b/>
          <w:bCs/>
        </w:rPr>
        <w:t xml:space="preserve">Channel 6</w:t>
      </w:r>
      <w:r>
        <w:t xml:space="preserve"> </w:t>
      </w:r>
      <w:r>
        <w:t xml:space="preserve">and</w:t>
      </w:r>
      <w:r>
        <w:t xml:space="preserve"> </w:t>
      </w:r>
      <w:r>
        <w:rPr>
          <w:b/>
          <w:bCs/>
        </w:rPr>
        <w:t xml:space="preserve">Channel 3</w:t>
      </w:r>
      <w:r>
        <w:t xml:space="preserve">. That means they look like the best choices for secondary user access in the long run.</w:t>
      </w:r>
    </w:p>
    <w:bookmarkEnd w:id="42"/>
    <w:bookmarkEnd w:id="43"/>
    <w:bookmarkStart w:id="54" w:name="problem-2.7-long-whitespace-probability"/>
    <w:p>
      <w:pPr>
        <w:pStyle w:val="Heading2"/>
      </w:pPr>
      <w:r>
        <w:t xml:space="preserve">8. Problem 2.7 – Long Whitespace Probability</w:t>
      </w:r>
    </w:p>
    <w:p>
      <w:pPr>
        <w:pStyle w:val="FirstParagraph"/>
      </w:pPr>
      <w:r>
        <w:t xml:space="preserve">Problem 2.7 asked for the probability of getting a string of 4 consecutive empty slots in two different ways:</w:t>
      </w:r>
    </w:p>
    <w:p>
      <w:pPr>
        <w:pStyle w:val="Compact"/>
        <w:numPr>
          <w:ilvl w:val="0"/>
          <w:numId w:val="1008"/>
        </w:numPr>
      </w:pPr>
      <w:r>
        <w:t xml:space="preserve">directly from the observed detector decisions</w:t>
      </w:r>
    </w:p>
    <w:p>
      <w:pPr>
        <w:pStyle w:val="Compact"/>
        <w:numPr>
          <w:ilvl w:val="0"/>
          <w:numId w:val="1008"/>
        </w:numPr>
      </w:pPr>
      <w:r>
        <w:t xml:space="preserve">from the Markov model</w:t>
      </w:r>
    </w:p>
    <w:p>
      <w:pPr>
        <w:pStyle w:val="FirstParagraph"/>
      </w:pPr>
      <w:r>
        <w:t xml:space="preserve">The important event definition was that the count uses overlapping sliding windows. So if 5 slots in a row are idle, that contributes 2 successful length-4 windows instead of just 1 disjoint run.</w:t>
      </w:r>
    </w:p>
    <w:p>
      <w:pPr>
        <w:pStyle w:val="BodyText"/>
      </w:pPr>
      <w:r>
        <w:t xml:space="preserve">For the observation-based method, the estimate was</w:t>
      </w:r>
    </w:p>
    <w:p>
      <w:pPr>
        <w:pStyle w:val="BodyText"/>
      </w:pPr>
      <m:oMathPara>
        <m:oMathParaPr>
          <m:jc m:val="center"/>
        </m:oMathParaPr>
        <m:oMath>
          <m:sSub>
            <m:e>
              <m:r>
                <m:t>P</m:t>
              </m:r>
            </m:e>
            <m:sub>
              <m:r>
                <m:rPr>
                  <m:nor/>
                  <m:sty m:val="p"/>
                </m:rPr>
                <m:t>observed</m:t>
              </m:r>
            </m:sub>
          </m:sSub>
          <m:r>
            <m:rPr>
              <m:sty m:val="p"/>
            </m:rPr>
            <m:t>(</m:t>
          </m:r>
          <m:r>
            <m:t>4</m:t>
          </m:r>
          <m:r>
            <m:t> </m:t>
          </m:r>
          <m:r>
            <m:rPr>
              <m:nor/>
              <m:sty m:val="p"/>
            </m:rPr>
            <m:t>idle</m:t>
          </m:r>
          <m:r>
            <m:rPr>
              <m:sty m:val="p"/>
            </m:rPr>
            <m:t>)</m:t>
          </m:r>
          <m:r>
            <m:rPr>
              <m:sty m:val="p"/>
            </m:rPr>
            <m:t>=</m:t>
          </m:r>
          <m:f>
            <m:fPr>
              <m:type m:val="bar"/>
            </m:fPr>
            <m:num>
              <m:r>
                <m:rPr>
                  <m:nor/>
                  <m:sty m:val="p"/>
                </m:rPr>
                <m:t>number of all-idle 4-slot windows</m:t>
              </m:r>
            </m:num>
            <m:den>
              <m:r>
                <m:t>N</m:t>
              </m:r>
              <m:r>
                <m:rPr>
                  <m:sty m:val="p"/>
                </m:rPr>
                <m:t>−</m:t>
              </m:r>
              <m:r>
                <m:t>3</m:t>
              </m:r>
            </m:den>
          </m:f>
        </m:oMath>
      </m:oMathPara>
    </w:p>
    <w:p>
      <w:pPr>
        <w:pStyle w:val="FirstParagraph"/>
      </w:pPr>
      <w:r>
        <w:t xml:space="preserve">For the Markov-model method, this is not an IID problem, so the correct shortcut is not</w:t>
      </w:r>
      <w:r>
        <w:t xml:space="preserve"> </w:t>
      </w:r>
      <m:oMath>
        <m:r>
          <m:rPr>
            <m:sty m:val="p"/>
          </m:rPr>
          <m:t>(</m:t>
        </m:r>
        <m:sSub>
          <m:e>
            <m:r>
              <m:t>π</m:t>
            </m:r>
          </m:e>
          <m:sub>
            <m:r>
              <m:rPr>
                <m:nor/>
                <m:sty m:val="p"/>
              </m:rPr>
              <m:t>idle</m:t>
            </m:r>
          </m:sub>
        </m:sSub>
        <m:sSup>
          <m:e>
            <m:r>
              <m:rPr>
                <m:sty m:val="p"/>
              </m:rPr>
              <m:t>)</m:t>
            </m:r>
          </m:e>
          <m:sup>
            <m:r>
              <m:t>4</m:t>
            </m:r>
          </m:sup>
        </m:sSup>
      </m:oMath>
      <w:r>
        <w:t xml:space="preserve">. Instead, with state 1 = idle and transition probability</w:t>
      </w:r>
      <w:r>
        <w:t xml:space="preserve"> </w:t>
      </w:r>
      <m:oMath>
        <m:sSub>
          <m:e>
            <m:r>
              <m:t>P</m:t>
            </m:r>
          </m:e>
          <m:sub>
            <m:r>
              <m:t>11</m:t>
            </m:r>
          </m:sub>
        </m:sSub>
      </m:oMath>
      <w:r>
        <w:t xml:space="preserve"> </w:t>
      </w:r>
      <w:r>
        <w:t xml:space="preserve">for idle-to-idle,</w:t>
      </w:r>
    </w:p>
    <w:p>
      <w:pPr>
        <w:pStyle w:val="BodyText"/>
      </w:pPr>
      <m:oMathPara>
        <m:oMathParaPr>
          <m:jc m:val="center"/>
        </m:oMathParaPr>
        <m:oMath>
          <m:sSub>
            <m:e>
              <m:r>
                <m:t>P</m:t>
              </m:r>
            </m:e>
            <m:sub>
              <m:r>
                <m:rPr>
                  <m:nor/>
                  <m:sty m:val="p"/>
                </m:rPr>
                <m:t>predicted</m:t>
              </m:r>
            </m:sub>
          </m:sSub>
          <m:r>
            <m:rPr>
              <m:sty m:val="p"/>
            </m:rPr>
            <m:t>(</m:t>
          </m:r>
          <m:r>
            <m:t>4</m:t>
          </m:r>
          <m:r>
            <m:t> </m:t>
          </m:r>
          <m:r>
            <m:rPr>
              <m:nor/>
              <m:sty m:val="p"/>
            </m:rPr>
            <m:t>idle</m:t>
          </m:r>
          <m:r>
            <m:rPr>
              <m:sty m:val="p"/>
            </m:rPr>
            <m:t>)</m:t>
          </m:r>
          <m:r>
            <m:rPr>
              <m:sty m:val="p"/>
            </m:rPr>
            <m:t>=</m:t>
          </m:r>
          <m:sSub>
            <m:e>
              <m:r>
                <m:t>π</m:t>
              </m:r>
            </m:e>
            <m:sub>
              <m:r>
                <m:rPr>
                  <m:nor/>
                  <m:sty m:val="p"/>
                </m:rPr>
                <m:t>idle</m:t>
              </m:r>
            </m:sub>
          </m:sSub>
          <m:sSubSup>
            <m:e>
              <m:r>
                <m:t>P</m:t>
              </m:r>
            </m:e>
            <m:sub>
              <m:r>
                <m:t>11</m:t>
              </m:r>
            </m:sub>
            <m:sup>
              <m:r>
                <m:t>3</m:t>
              </m:r>
            </m:sup>
          </m:sSubSup>
        </m:oMath>
      </m:oMathPara>
    </w:p>
    <w:p>
      <w:pPr>
        <w:pStyle w:val="FirstParagraph"/>
      </w:pPr>
      <w:r>
        <w:t xml:space="preserve">More generally, for a run of length</w:t>
      </w:r>
      <w:r>
        <w:t xml:space="preserve"> </w:t>
      </w:r>
      <m:oMath>
        <m:r>
          <m:t>k</m:t>
        </m:r>
      </m:oMath>
      <w:r>
        <w:t xml:space="preserve">,</w:t>
      </w:r>
    </w:p>
    <w:p>
      <w:pPr>
        <w:pStyle w:val="BodyText"/>
      </w:pPr>
      <m:oMathPara>
        <m:oMathParaPr>
          <m:jc m:val="center"/>
        </m:oMathParaPr>
        <m:oMath>
          <m:r>
            <m:t>P</m:t>
          </m:r>
          <m:r>
            <m:rPr>
              <m:sty m:val="p"/>
            </m:rPr>
            <m:t>(</m:t>
          </m:r>
          <m:r>
            <m:t>k</m:t>
          </m:r>
          <m:r>
            <m:t> </m:t>
          </m:r>
          <m:r>
            <m:rPr>
              <m:nor/>
              <m:sty m:val="p"/>
            </m:rPr>
            <m:t>idle</m:t>
          </m:r>
          <m:r>
            <m:rPr>
              <m:sty m:val="p"/>
            </m:rPr>
            <m:t>)</m:t>
          </m:r>
          <m:r>
            <m:rPr>
              <m:sty m:val="p"/>
            </m:rPr>
            <m:t>=</m:t>
          </m:r>
          <m:sSub>
            <m:e>
              <m:r>
                <m:t>π</m:t>
              </m:r>
            </m:e>
            <m:sub>
              <m:r>
                <m:rPr>
                  <m:nor/>
                  <m:sty m:val="p"/>
                </m:rPr>
                <m:t>idle</m:t>
              </m:r>
            </m:sub>
          </m:sSub>
          <m:sSubSup>
            <m:e>
              <m:r>
                <m:t>P</m:t>
              </m:r>
            </m:e>
            <m:sub>
              <m:r>
                <m:t>11</m:t>
              </m:r>
            </m:sub>
            <m:sup>
              <m:r>
                <m:t>k</m:t>
              </m:r>
              <m:r>
                <m:rPr>
                  <m:sty m:val="p"/>
                </m:rPr>
                <m:t>−</m:t>
              </m:r>
              <m:r>
                <m:t>1</m:t>
              </m:r>
            </m:sup>
          </m:sSubSup>
        </m:oMath>
      </m:oMathPara>
    </w:p>
    <w:p>
      <w:pPr>
        <w:pStyle w:val="FirstParagraph"/>
      </w:pPr>
      <w:r>
        <w:t xml:space="preserve">This is a nice shortcut because once the first slot is idle, every extra idle slot just adds another factor of</w:t>
      </w:r>
      <w:r>
        <w:t xml:space="preserve"> </w:t>
      </w:r>
      <m:oMath>
        <m:sSub>
          <m:e>
            <m:r>
              <m:t>P</m:t>
            </m:r>
          </m:e>
          <m:sub>
            <m:r>
              <m:t>11</m:t>
            </m:r>
          </m:sub>
        </m:sSub>
      </m:oMath>
      <w:r>
        <w:t xml:space="preserve">. That also explains why the Markov-model curve decays exponentially with</w:t>
      </w:r>
      <w:r>
        <w:t xml:space="preserve"> </w:t>
      </w:r>
      <m:oMath>
        <m:r>
          <m:t>k</m:t>
        </m:r>
      </m:oMath>
      <w:r>
        <w:t xml:space="preserve">.</w:t>
      </w:r>
    </w:p>
    <w:bookmarkStart w:id="44" w:name="example-channel-1"/>
    <w:p>
      <w:pPr>
        <w:pStyle w:val="Heading3"/>
      </w:pPr>
      <w:r>
        <w:t xml:space="preserve">Example Channel</w:t>
      </w:r>
    </w:p>
    <w:p>
      <w:pPr>
        <w:pStyle w:val="Compact"/>
        <w:numPr>
          <w:ilvl w:val="0"/>
          <w:numId w:val="1009"/>
        </w:numPr>
      </w:pPr>
      <w:r>
        <w:t xml:space="preserve">Observed probability of 4 idle slots:</w:t>
      </w:r>
      <w:r>
        <w:t xml:space="preserve"> </w:t>
      </w:r>
      <w:r>
        <w:rPr>
          <w:rStyle w:val="VerbatimChar"/>
        </w:rPr>
        <w:t xml:space="preserve">0.22796149</w:t>
      </w:r>
    </w:p>
    <w:p>
      <w:pPr>
        <w:pStyle w:val="Compact"/>
        <w:numPr>
          <w:ilvl w:val="0"/>
          <w:numId w:val="1009"/>
        </w:numPr>
      </w:pPr>
      <w:r>
        <w:t xml:space="preserve">Predicted Markov-model probability:</w:t>
      </w:r>
      <w:r>
        <w:t xml:space="preserve"> </w:t>
      </w:r>
      <w:r>
        <w:rPr>
          <w:rStyle w:val="VerbatimChar"/>
        </w:rPr>
        <w:t xml:space="preserve">0.28137685</w:t>
      </w:r>
    </w:p>
    <w:p>
      <w:pPr>
        <w:pStyle w:val="Compact"/>
        <w:numPr>
          <w:ilvl w:val="0"/>
          <w:numId w:val="1009"/>
        </w:numPr>
      </w:pPr>
      <w:r>
        <w:t xml:space="preserve">Difference (observed - predicted):</w:t>
      </w:r>
      <w:r>
        <w:t xml:space="preserve"> </w:t>
      </w:r>
      <w:r>
        <w:rPr>
          <w:rStyle w:val="VerbatimChar"/>
        </w:rPr>
        <w:t xml:space="preserve">-0.05341537</w:t>
      </w:r>
    </w:p>
    <w:bookmarkEnd w:id="44"/>
    <w:bookmarkStart w:id="51" w:name="observed-vs-markov-curve"/>
    <w:p>
      <w:pPr>
        <w:pStyle w:val="Heading3"/>
      </w:pPr>
      <w:r>
        <w:t xml:space="preserve">Observed vs Markov Curve</w:t>
      </w:r>
    </w:p>
    <w:p>
      <w:pPr>
        <w:pStyle w:val="FirstParagraph"/>
      </w:pPr>
      <w:r>
        <w:t xml:space="preserve">Looking at the full run-length curve gives a broader picture than just the single</w:t>
      </w:r>
      <w:r>
        <w:t xml:space="preserve"> </w:t>
      </w:r>
      <m:oMath>
        <m:r>
          <m:t>k</m:t>
        </m:r>
        <m:r>
          <m:rPr>
            <m:sty m:val="p"/>
          </m:rPr>
          <m:t>=</m:t>
        </m:r>
        <m:r>
          <m:t>4</m:t>
        </m:r>
      </m:oMath>
      <w:r>
        <w:t xml:space="preserve"> </w:t>
      </w:r>
      <w:r>
        <w:t xml:space="preserve">point.</w:t>
      </w:r>
    </w:p>
    <w:p>
      <w:pPr>
        <w:pStyle w:val="CaptionedFigure"/>
      </w:pPr>
      <w:r>
        <w:drawing>
          <wp:inline>
            <wp:extent cx="5334000" cy="3490743"/>
            <wp:effectExtent b="0" l="0" r="0" t="0"/>
            <wp:docPr descr="Example Channel Idle-Run Probability: Observed vs Markov Prediction" title="" id="46" name="Picture"/>
            <a:graphic>
              <a:graphicData uri="http://schemas.openxmlformats.org/drawingml/2006/picture">
                <pic:pic>
                  <pic:nvPicPr>
                    <pic:cNvPr descr="Problem_2_7_LongWhitespace/example_idle_run_probability_curve.png" id="47" name="Picture"/>
                    <pic:cNvPicPr>
                      <a:picLocks noChangeArrowheads="1" noChangeAspect="1"/>
                    </pic:cNvPicPr>
                  </pic:nvPicPr>
                  <pic:blipFill>
                    <a:blip r:embed="rId45"/>
                    <a:stretch>
                      <a:fillRect/>
                    </a:stretch>
                  </pic:blipFill>
                  <pic:spPr bwMode="auto">
                    <a:xfrm>
                      <a:off x="0" y="0"/>
                      <a:ext cx="5334000" cy="3490743"/>
                    </a:xfrm>
                    <a:prstGeom prst="rect">
                      <a:avLst/>
                    </a:prstGeom>
                    <a:noFill/>
                    <a:ln w="9525">
                      <a:noFill/>
                      <a:headEnd/>
                      <a:tailEnd/>
                    </a:ln>
                  </pic:spPr>
                </pic:pic>
              </a:graphicData>
            </a:graphic>
          </wp:inline>
        </w:drawing>
      </w:r>
    </w:p>
    <w:p>
      <w:pPr>
        <w:pStyle w:val="ImageCaption"/>
      </w:pPr>
      <w:r>
        <w:t xml:space="preserve">Example Channel Idle-Run Probability: Observed vs Markov Prediction</w:t>
      </w:r>
    </w:p>
    <w:p>
      <w:pPr>
        <w:pStyle w:val="CaptionedFigure"/>
      </w:pPr>
      <w:r>
        <w:drawing>
          <wp:inline>
            <wp:extent cx="5334000" cy="3490743"/>
            <wp:effectExtent b="0" l="0" r="0" t="0"/>
            <wp:docPr descr="Predicted Idle-Run Probability by Channel" title="" id="49" name="Picture"/>
            <a:graphic>
              <a:graphicData uri="http://schemas.openxmlformats.org/drawingml/2006/picture">
                <pic:pic>
                  <pic:nvPicPr>
                    <pic:cNvPr descr="Problem_2_7_LongWhitespace/predicted_idle_run_probability_by_channel.png" id="50" name="Picture"/>
                    <pic:cNvPicPr>
                      <a:picLocks noChangeArrowheads="1" noChangeAspect="1"/>
                    </pic:cNvPicPr>
                  </pic:nvPicPr>
                  <pic:blipFill>
                    <a:blip r:embed="rId48"/>
                    <a:stretch>
                      <a:fillRect/>
                    </a:stretch>
                  </pic:blipFill>
                  <pic:spPr bwMode="auto">
                    <a:xfrm>
                      <a:off x="0" y="0"/>
                      <a:ext cx="5334000" cy="3490743"/>
                    </a:xfrm>
                    <a:prstGeom prst="rect">
                      <a:avLst/>
                    </a:prstGeom>
                    <a:noFill/>
                    <a:ln w="9525">
                      <a:noFill/>
                      <a:headEnd/>
                      <a:tailEnd/>
                    </a:ln>
                  </pic:spPr>
                </pic:pic>
              </a:graphicData>
            </a:graphic>
          </wp:inline>
        </w:drawing>
      </w:r>
    </w:p>
    <w:p>
      <w:pPr>
        <w:pStyle w:val="ImageCaption"/>
      </w:pPr>
      <w:r>
        <w:t xml:space="preserve">Predicted Idle-Run Probability by Channel</w:t>
      </w:r>
    </w:p>
    <w:bookmarkEnd w:id="51"/>
    <w:bookmarkStart w:id="52" w:name="all-channels"/>
    <w:p>
      <w:pPr>
        <w:pStyle w:val="Heading3"/>
      </w:pPr>
      <w:r>
        <w:t xml:space="preserve">All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jc w:val="right"/>
            </w:pPr>
            <w:r>
              <w:t xml:space="preserve">Observed P(4 idle)</w:t>
            </w:r>
          </w:p>
        </w:tc>
        <w:tc>
          <w:tcPr/>
          <w:p>
            <w:pPr>
              <w:pStyle w:val="Compact"/>
              <w:jc w:val="right"/>
            </w:pPr>
            <w:r>
              <w:t xml:space="preserve">Predicted P(4 idle)</w:t>
            </w:r>
          </w:p>
        </w:tc>
        <w:tc>
          <w:tcPr/>
          <w:p>
            <w:pPr>
              <w:pStyle w:val="Compact"/>
              <w:jc w:val="right"/>
            </w:pPr>
            <w:r>
              <w:t xml:space="preserve">Difference</w:t>
            </w:r>
          </w:p>
        </w:tc>
      </w:tr>
      <w:tr>
        <w:tc>
          <w:tcPr/>
          <w:p>
            <w:pPr>
              <w:pStyle w:val="Compact"/>
            </w:pPr>
            <w:r>
              <w:t xml:space="preserve">1</w:t>
            </w:r>
          </w:p>
        </w:tc>
        <w:tc>
          <w:tcPr/>
          <w:p>
            <w:pPr>
              <w:pStyle w:val="Compact"/>
              <w:jc w:val="right"/>
            </w:pPr>
            <w:r>
              <w:t xml:space="preserve">0.00282301</w:t>
            </w:r>
          </w:p>
        </w:tc>
        <w:tc>
          <w:tcPr/>
          <w:p>
            <w:pPr>
              <w:pStyle w:val="Compact"/>
              <w:jc w:val="right"/>
            </w:pPr>
            <w:r>
              <w:t xml:space="preserve">0.00538902</w:t>
            </w:r>
          </w:p>
        </w:tc>
        <w:tc>
          <w:tcPr/>
          <w:p>
            <w:pPr>
              <w:pStyle w:val="Compact"/>
              <w:jc w:val="right"/>
            </w:pPr>
            <w:r>
              <w:t xml:space="preserve">-0.00256602</w:t>
            </w:r>
          </w:p>
        </w:tc>
      </w:tr>
      <w:tr>
        <w:tc>
          <w:tcPr/>
          <w:p>
            <w:pPr>
              <w:pStyle w:val="Compact"/>
            </w:pPr>
            <w:r>
              <w:t xml:space="preserve">2</w:t>
            </w:r>
          </w:p>
        </w:tc>
        <w:tc>
          <w:tcPr/>
          <w:p>
            <w:pPr>
              <w:pStyle w:val="Compact"/>
              <w:jc w:val="right"/>
            </w:pPr>
            <w:r>
              <w:t xml:space="preserve">0.00128180</w:t>
            </w:r>
          </w:p>
        </w:tc>
        <w:tc>
          <w:tcPr/>
          <w:p>
            <w:pPr>
              <w:pStyle w:val="Compact"/>
              <w:jc w:val="right"/>
            </w:pPr>
            <w:r>
              <w:t xml:space="preserve">0.00176761</w:t>
            </w:r>
          </w:p>
        </w:tc>
        <w:tc>
          <w:tcPr/>
          <w:p>
            <w:pPr>
              <w:pStyle w:val="Compact"/>
              <w:jc w:val="right"/>
            </w:pPr>
            <w:r>
              <w:t xml:space="preserve">-0.00048581</w:t>
            </w:r>
          </w:p>
        </w:tc>
      </w:tr>
      <w:tr>
        <w:tc>
          <w:tcPr/>
          <w:p>
            <w:pPr>
              <w:pStyle w:val="Compact"/>
            </w:pPr>
            <w:r>
              <w:t xml:space="preserve">3</w:t>
            </w:r>
          </w:p>
        </w:tc>
        <w:tc>
          <w:tcPr/>
          <w:p>
            <w:pPr>
              <w:pStyle w:val="Compact"/>
              <w:jc w:val="right"/>
            </w:pPr>
            <w:r>
              <w:t xml:space="preserve">0.53280027</w:t>
            </w:r>
          </w:p>
        </w:tc>
        <w:tc>
          <w:tcPr/>
          <w:p>
            <w:pPr>
              <w:pStyle w:val="Compact"/>
              <w:jc w:val="right"/>
            </w:pPr>
            <w:r>
              <w:t xml:space="preserve">0.45043588</w:t>
            </w:r>
          </w:p>
        </w:tc>
        <w:tc>
          <w:tcPr/>
          <w:p>
            <w:pPr>
              <w:pStyle w:val="Compact"/>
              <w:jc w:val="right"/>
            </w:pPr>
            <w:r>
              <w:t xml:space="preserve">0.08236439</w:t>
            </w:r>
          </w:p>
        </w:tc>
      </w:tr>
      <w:tr>
        <w:tc>
          <w:tcPr/>
          <w:p>
            <w:pPr>
              <w:pStyle w:val="Compact"/>
            </w:pPr>
            <w:r>
              <w:t xml:space="preserve">4</w:t>
            </w:r>
          </w:p>
        </w:tc>
        <w:tc>
          <w:tcPr/>
          <w:p>
            <w:pPr>
              <w:pStyle w:val="Compact"/>
              <w:jc w:val="right"/>
            </w:pPr>
            <w:r>
              <w:t xml:space="preserve">0.01841820</w:t>
            </w:r>
          </w:p>
        </w:tc>
        <w:tc>
          <w:tcPr/>
          <w:p>
            <w:pPr>
              <w:pStyle w:val="Compact"/>
              <w:jc w:val="right"/>
            </w:pPr>
            <w:r>
              <w:t xml:space="preserve">0.02080124</w:t>
            </w:r>
          </w:p>
        </w:tc>
        <w:tc>
          <w:tcPr/>
          <w:p>
            <w:pPr>
              <w:pStyle w:val="Compact"/>
              <w:jc w:val="right"/>
            </w:pPr>
            <w:r>
              <w:t xml:space="preserve">-0.00238304</w:t>
            </w:r>
          </w:p>
        </w:tc>
      </w:tr>
      <w:tr>
        <w:tc>
          <w:tcPr/>
          <w:p>
            <w:pPr>
              <w:pStyle w:val="Compact"/>
            </w:pPr>
            <w:r>
              <w:t xml:space="preserve">5</w:t>
            </w:r>
          </w:p>
        </w:tc>
        <w:tc>
          <w:tcPr/>
          <w:p>
            <w:pPr>
              <w:pStyle w:val="Compact"/>
              <w:jc w:val="right"/>
            </w:pPr>
            <w:r>
              <w:t xml:space="preserve">0.00439473</w:t>
            </w:r>
          </w:p>
        </w:tc>
        <w:tc>
          <w:tcPr/>
          <w:p>
            <w:pPr>
              <w:pStyle w:val="Compact"/>
              <w:jc w:val="right"/>
            </w:pPr>
            <w:r>
              <w:t xml:space="preserve">0.00385654</w:t>
            </w:r>
          </w:p>
        </w:tc>
        <w:tc>
          <w:tcPr/>
          <w:p>
            <w:pPr>
              <w:pStyle w:val="Compact"/>
              <w:jc w:val="right"/>
            </w:pPr>
            <w:r>
              <w:t xml:space="preserve">0.00053819</w:t>
            </w:r>
          </w:p>
        </w:tc>
      </w:tr>
      <w:tr>
        <w:tc>
          <w:tcPr/>
          <w:p>
            <w:pPr>
              <w:pStyle w:val="Compact"/>
            </w:pPr>
            <w:r>
              <w:t xml:space="preserve">6</w:t>
            </w:r>
          </w:p>
        </w:tc>
        <w:tc>
          <w:tcPr/>
          <w:p>
            <w:pPr>
              <w:pStyle w:val="Compact"/>
              <w:jc w:val="right"/>
            </w:pPr>
            <w:r>
              <w:t xml:space="preserve">0.66958632</w:t>
            </w:r>
          </w:p>
        </w:tc>
        <w:tc>
          <w:tcPr/>
          <w:p>
            <w:pPr>
              <w:pStyle w:val="Compact"/>
              <w:jc w:val="right"/>
            </w:pPr>
            <w:r>
              <w:t xml:space="preserve">0.55904692</w:t>
            </w:r>
          </w:p>
        </w:tc>
        <w:tc>
          <w:tcPr/>
          <w:p>
            <w:pPr>
              <w:pStyle w:val="Compact"/>
              <w:jc w:val="right"/>
            </w:pPr>
            <w:r>
              <w:t xml:space="preserve">0.11053939</w:t>
            </w:r>
          </w:p>
        </w:tc>
      </w:tr>
    </w:tbl>
    <w:bookmarkEnd w:id="52"/>
    <w:bookmarkStart w:id="53" w:name="are-the-two-different"/>
    <w:p>
      <w:pPr>
        <w:pStyle w:val="Heading3"/>
      </w:pPr>
      <w:r>
        <w:t xml:space="preserve">Are the Two Different?</w:t>
      </w:r>
    </w:p>
    <w:p>
      <w:pPr>
        <w:pStyle w:val="FirstParagraph"/>
      </w:pPr>
      <w:r>
        <w:t xml:space="preserve">Yes, they are different for some channels.</w:t>
      </w:r>
    </w:p>
    <w:p>
      <w:pPr>
        <w:pStyle w:val="BodyText"/>
      </w:pPr>
      <w:r>
        <w:t xml:space="preserve">That makes sense here because the observation-based result comes from a finite detector output sequence, while the Markov-model result comes from a steady-state approximation built from an HMM that was itself estimated from detector observations rather than hidden truth states. Detector errors, finite sample length, model mismatch, and steady-state assumptions can all contribute to the difference.</w:t>
      </w:r>
    </w:p>
    <w:bookmarkEnd w:id="53"/>
    <w:bookmarkEnd w:id="54"/>
    <w:bookmarkStart w:id="74" w:name="X2db1ce5eb85446a0b5dee24eefb9586b03e40c8"/>
    <w:p>
      <w:pPr>
        <w:pStyle w:val="Heading2"/>
      </w:pPr>
      <w:r>
        <w:t xml:space="preserve">9. Problem 2.8 – Modulation Classifier Accuracy vs SNR</w:t>
      </w:r>
    </w:p>
    <w:p>
      <w:pPr>
        <w:pStyle w:val="FirstParagraph"/>
      </w:pPr>
      <w:r>
        <w:t xml:space="preserve">Problem 2.8 evaluated the pretrained modulation classifier on BPSK-only inputs over the SNR sweep from 10 dB down to 3 dB in 0.5 dB steps. The implementation reused the exact BPSK signal path from the live-lab script, including the same</w:t>
      </w:r>
      <w:r>
        <w:t xml:space="preserve"> </w:t>
      </w:r>
      <w:r>
        <w:rPr>
          <w:rStyle w:val="VerbatimChar"/>
        </w:rPr>
        <w:t xml:space="preserve">1 \times 1024 \times 2 \times 1000</w:t>
      </w:r>
      <w:r>
        <w:t xml:space="preserve"> </w:t>
      </w:r>
      <w:r>
        <w:t xml:space="preserve">input tensor format.</w:t>
      </w:r>
    </w:p>
    <w:p>
      <w:pPr>
        <w:pStyle w:val="BodyText"/>
      </w:pPr>
      <w:r>
        <w:t xml:space="preserve">This means:</w:t>
      </w:r>
    </w:p>
    <w:p>
      <w:pPr>
        <w:pStyle w:val="Compact"/>
        <w:numPr>
          <w:ilvl w:val="0"/>
          <w:numId w:val="1010"/>
        </w:numPr>
      </w:pPr>
      <w:r>
        <w:t xml:space="preserve">1000 vectors per SNR</w:t>
      </w:r>
    </w:p>
    <w:p>
      <w:pPr>
        <w:pStyle w:val="Compact"/>
        <w:numPr>
          <w:ilvl w:val="0"/>
          <w:numId w:val="1010"/>
        </w:numPr>
      </w:pPr>
      <w:r>
        <w:t xml:space="preserve">each vector length 1024</w:t>
      </w:r>
    </w:p>
    <w:p>
      <w:pPr>
        <w:pStyle w:val="Compact"/>
        <w:numPr>
          <w:ilvl w:val="0"/>
          <w:numId w:val="1010"/>
        </w:numPr>
      </w:pPr>
      <w:r>
        <w:t xml:space="preserve">BPSK only</w:t>
      </w:r>
    </w:p>
    <w:p>
      <w:pPr>
        <w:pStyle w:val="Compact"/>
        <w:numPr>
          <w:ilvl w:val="0"/>
          <w:numId w:val="1010"/>
        </w:numPr>
      </w:pPr>
      <w:r>
        <w:t xml:space="preserve">same clean BPSK data reused at every SNR</w:t>
      </w:r>
    </w:p>
    <w:p>
      <w:pPr>
        <w:pStyle w:val="Compact"/>
        <w:numPr>
          <w:ilvl w:val="0"/>
          <w:numId w:val="1010"/>
        </w:numPr>
      </w:pPr>
      <w:r>
        <w:t xml:space="preserve">only the AWGN level changed across the sweep</w:t>
      </w:r>
    </w:p>
    <w:p>
      <w:pPr>
        <w:pStyle w:val="FirstParagraph"/>
      </w:pPr>
      <w:r>
        <w:t xml:space="preserve">Accuracy at each SNR was just the fraction of the 1000 vectors classified correctly as BPSK.</w:t>
      </w:r>
    </w:p>
    <w:bookmarkStart w:id="58" w:name="snr-vs-accuracy"/>
    <w:p>
      <w:pPr>
        <w:pStyle w:val="Heading3"/>
      </w:pPr>
      <w:r>
        <w:t xml:space="preserve">SNR vs Accuracy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SNR (dB)</w:t>
            </w:r>
          </w:p>
        </w:tc>
        <w:tc>
          <w:tcPr/>
          <w:p>
            <w:pPr>
              <w:pStyle w:val="Compact"/>
              <w:jc w:val="right"/>
            </w:pPr>
            <w:r>
              <w:t xml:space="preserve">Correct Count</w:t>
            </w:r>
          </w:p>
        </w:tc>
        <w:tc>
          <w:tcPr/>
          <w:p>
            <w:pPr>
              <w:pStyle w:val="Compact"/>
              <w:jc w:val="right"/>
            </w:pPr>
            <w:r>
              <w:t xml:space="preserve">Accuracy</w:t>
            </w:r>
          </w:p>
        </w:tc>
      </w:tr>
      <w:tr>
        <w:tc>
          <w:tcPr/>
          <w:p>
            <w:pPr>
              <w:pStyle w:val="Compact"/>
            </w:pPr>
            <w:r>
              <w:t xml:space="preserve">10.0</w:t>
            </w:r>
          </w:p>
        </w:tc>
        <w:tc>
          <w:tcPr/>
          <w:p>
            <w:pPr>
              <w:pStyle w:val="Compact"/>
              <w:jc w:val="right"/>
            </w:pPr>
            <w:r>
              <w:t xml:space="preserve">1000</w:t>
            </w:r>
          </w:p>
        </w:tc>
        <w:tc>
          <w:tcPr/>
          <w:p>
            <w:pPr>
              <w:pStyle w:val="Compact"/>
              <w:jc w:val="right"/>
            </w:pPr>
            <w:r>
              <w:t xml:space="preserve">1.0000</w:t>
            </w:r>
          </w:p>
        </w:tc>
      </w:tr>
      <w:tr>
        <w:tc>
          <w:tcPr/>
          <w:p>
            <w:pPr>
              <w:pStyle w:val="Compact"/>
            </w:pPr>
            <w:r>
              <w:t xml:space="preserve">9.5</w:t>
            </w:r>
          </w:p>
        </w:tc>
        <w:tc>
          <w:tcPr/>
          <w:p>
            <w:pPr>
              <w:pStyle w:val="Compact"/>
              <w:jc w:val="right"/>
            </w:pPr>
            <w:r>
              <w:t xml:space="preserve">1000</w:t>
            </w:r>
          </w:p>
        </w:tc>
        <w:tc>
          <w:tcPr/>
          <w:p>
            <w:pPr>
              <w:pStyle w:val="Compact"/>
              <w:jc w:val="right"/>
            </w:pPr>
            <w:r>
              <w:t xml:space="preserve">1.0000</w:t>
            </w:r>
          </w:p>
        </w:tc>
      </w:tr>
      <w:tr>
        <w:tc>
          <w:tcPr/>
          <w:p>
            <w:pPr>
              <w:pStyle w:val="Compact"/>
            </w:pPr>
            <w:r>
              <w:t xml:space="preserve">9.0</w:t>
            </w:r>
          </w:p>
        </w:tc>
        <w:tc>
          <w:tcPr/>
          <w:p>
            <w:pPr>
              <w:pStyle w:val="Compact"/>
              <w:jc w:val="right"/>
            </w:pPr>
            <w:r>
              <w:t xml:space="preserve">1000</w:t>
            </w:r>
          </w:p>
        </w:tc>
        <w:tc>
          <w:tcPr/>
          <w:p>
            <w:pPr>
              <w:pStyle w:val="Compact"/>
              <w:jc w:val="right"/>
            </w:pPr>
            <w:r>
              <w:t xml:space="preserve">1.0000</w:t>
            </w:r>
          </w:p>
        </w:tc>
      </w:tr>
      <w:tr>
        <w:tc>
          <w:tcPr/>
          <w:p>
            <w:pPr>
              <w:pStyle w:val="Compact"/>
            </w:pPr>
            <w:r>
              <w:t xml:space="preserve">8.5</w:t>
            </w:r>
          </w:p>
        </w:tc>
        <w:tc>
          <w:tcPr/>
          <w:p>
            <w:pPr>
              <w:pStyle w:val="Compact"/>
              <w:jc w:val="right"/>
            </w:pPr>
            <w:r>
              <w:t xml:space="preserve">992</w:t>
            </w:r>
          </w:p>
        </w:tc>
        <w:tc>
          <w:tcPr/>
          <w:p>
            <w:pPr>
              <w:pStyle w:val="Compact"/>
              <w:jc w:val="right"/>
            </w:pPr>
            <w:r>
              <w:t xml:space="preserve">0.9920</w:t>
            </w:r>
          </w:p>
        </w:tc>
      </w:tr>
      <w:tr>
        <w:tc>
          <w:tcPr/>
          <w:p>
            <w:pPr>
              <w:pStyle w:val="Compact"/>
            </w:pPr>
            <w:r>
              <w:t xml:space="preserve">8.0</w:t>
            </w:r>
          </w:p>
        </w:tc>
        <w:tc>
          <w:tcPr/>
          <w:p>
            <w:pPr>
              <w:pStyle w:val="Compact"/>
              <w:jc w:val="right"/>
            </w:pPr>
            <w:r>
              <w:t xml:space="preserve">970</w:t>
            </w:r>
          </w:p>
        </w:tc>
        <w:tc>
          <w:tcPr/>
          <w:p>
            <w:pPr>
              <w:pStyle w:val="Compact"/>
              <w:jc w:val="right"/>
            </w:pPr>
            <w:r>
              <w:t xml:space="preserve">0.9700</w:t>
            </w:r>
          </w:p>
        </w:tc>
      </w:tr>
      <w:tr>
        <w:tc>
          <w:tcPr/>
          <w:p>
            <w:pPr>
              <w:pStyle w:val="Compact"/>
            </w:pPr>
            <w:r>
              <w:t xml:space="preserve">7.5</w:t>
            </w:r>
          </w:p>
        </w:tc>
        <w:tc>
          <w:tcPr/>
          <w:p>
            <w:pPr>
              <w:pStyle w:val="Compact"/>
              <w:jc w:val="right"/>
            </w:pPr>
            <w:r>
              <w:t xml:space="preserve">914</w:t>
            </w:r>
          </w:p>
        </w:tc>
        <w:tc>
          <w:tcPr/>
          <w:p>
            <w:pPr>
              <w:pStyle w:val="Compact"/>
              <w:jc w:val="right"/>
            </w:pPr>
            <w:r>
              <w:t xml:space="preserve">0.9140</w:t>
            </w:r>
          </w:p>
        </w:tc>
      </w:tr>
      <w:tr>
        <w:tc>
          <w:tcPr/>
          <w:p>
            <w:pPr>
              <w:pStyle w:val="Compact"/>
            </w:pPr>
            <w:r>
              <w:t xml:space="preserve">7.0</w:t>
            </w:r>
          </w:p>
        </w:tc>
        <w:tc>
          <w:tcPr/>
          <w:p>
            <w:pPr>
              <w:pStyle w:val="Compact"/>
              <w:jc w:val="right"/>
            </w:pPr>
            <w:r>
              <w:t xml:space="preserve">768</w:t>
            </w:r>
          </w:p>
        </w:tc>
        <w:tc>
          <w:tcPr/>
          <w:p>
            <w:pPr>
              <w:pStyle w:val="Compact"/>
              <w:jc w:val="right"/>
            </w:pPr>
            <w:r>
              <w:t xml:space="preserve">0.7680</w:t>
            </w:r>
          </w:p>
        </w:tc>
      </w:tr>
      <w:tr>
        <w:tc>
          <w:tcPr/>
          <w:p>
            <w:pPr>
              <w:pStyle w:val="Compact"/>
            </w:pPr>
            <w:r>
              <w:t xml:space="preserve">6.5</w:t>
            </w:r>
          </w:p>
        </w:tc>
        <w:tc>
          <w:tcPr/>
          <w:p>
            <w:pPr>
              <w:pStyle w:val="Compact"/>
              <w:jc w:val="right"/>
            </w:pPr>
            <w:r>
              <w:t xml:space="preserve">554</w:t>
            </w:r>
          </w:p>
        </w:tc>
        <w:tc>
          <w:tcPr/>
          <w:p>
            <w:pPr>
              <w:pStyle w:val="Compact"/>
              <w:jc w:val="right"/>
            </w:pPr>
            <w:r>
              <w:t xml:space="preserve">0.5540</w:t>
            </w:r>
          </w:p>
        </w:tc>
      </w:tr>
      <w:tr>
        <w:tc>
          <w:tcPr/>
          <w:p>
            <w:pPr>
              <w:pStyle w:val="Compact"/>
            </w:pPr>
            <w:r>
              <w:t xml:space="preserve">6.0</w:t>
            </w:r>
          </w:p>
        </w:tc>
        <w:tc>
          <w:tcPr/>
          <w:p>
            <w:pPr>
              <w:pStyle w:val="Compact"/>
              <w:jc w:val="right"/>
            </w:pPr>
            <w:r>
              <w:t xml:space="preserve">301</w:t>
            </w:r>
          </w:p>
        </w:tc>
        <w:tc>
          <w:tcPr/>
          <w:p>
            <w:pPr>
              <w:pStyle w:val="Compact"/>
              <w:jc w:val="right"/>
            </w:pPr>
            <w:r>
              <w:t xml:space="preserve">0.3010</w:t>
            </w:r>
          </w:p>
        </w:tc>
      </w:tr>
      <w:tr>
        <w:tc>
          <w:tcPr/>
          <w:p>
            <w:pPr>
              <w:pStyle w:val="Compact"/>
            </w:pPr>
            <w:r>
              <w:t xml:space="preserve">5.5</w:t>
            </w:r>
          </w:p>
        </w:tc>
        <w:tc>
          <w:tcPr/>
          <w:p>
            <w:pPr>
              <w:pStyle w:val="Compact"/>
              <w:jc w:val="right"/>
            </w:pPr>
            <w:r>
              <w:t xml:space="preserve">140</w:t>
            </w:r>
          </w:p>
        </w:tc>
        <w:tc>
          <w:tcPr/>
          <w:p>
            <w:pPr>
              <w:pStyle w:val="Compact"/>
              <w:jc w:val="right"/>
            </w:pPr>
            <w:r>
              <w:t xml:space="preserve">0.1400</w:t>
            </w:r>
          </w:p>
        </w:tc>
      </w:tr>
      <w:tr>
        <w:tc>
          <w:tcPr/>
          <w:p>
            <w:pPr>
              <w:pStyle w:val="Compact"/>
            </w:pPr>
            <w:r>
              <w:t xml:space="preserve">5.0</w:t>
            </w:r>
          </w:p>
        </w:tc>
        <w:tc>
          <w:tcPr/>
          <w:p>
            <w:pPr>
              <w:pStyle w:val="Compact"/>
              <w:jc w:val="right"/>
            </w:pPr>
            <w:r>
              <w:t xml:space="preserve">58</w:t>
            </w:r>
          </w:p>
        </w:tc>
        <w:tc>
          <w:tcPr/>
          <w:p>
            <w:pPr>
              <w:pStyle w:val="Compact"/>
              <w:jc w:val="right"/>
            </w:pPr>
            <w:r>
              <w:t xml:space="preserve">0.0580</w:t>
            </w:r>
          </w:p>
        </w:tc>
      </w:tr>
      <w:tr>
        <w:tc>
          <w:tcPr/>
          <w:p>
            <w:pPr>
              <w:pStyle w:val="Compact"/>
            </w:pPr>
            <w:r>
              <w:t xml:space="preserve">4.5</w:t>
            </w:r>
          </w:p>
        </w:tc>
        <w:tc>
          <w:tcPr/>
          <w:p>
            <w:pPr>
              <w:pStyle w:val="Compact"/>
              <w:jc w:val="right"/>
            </w:pPr>
            <w:r>
              <w:t xml:space="preserve">16</w:t>
            </w:r>
          </w:p>
        </w:tc>
        <w:tc>
          <w:tcPr/>
          <w:p>
            <w:pPr>
              <w:pStyle w:val="Compact"/>
              <w:jc w:val="right"/>
            </w:pPr>
            <w:r>
              <w:t xml:space="preserve">0.0160</w:t>
            </w:r>
          </w:p>
        </w:tc>
      </w:tr>
      <w:tr>
        <w:tc>
          <w:tcPr/>
          <w:p>
            <w:pPr>
              <w:pStyle w:val="Compact"/>
            </w:pPr>
            <w:r>
              <w:t xml:space="preserve">4.0</w:t>
            </w:r>
          </w:p>
        </w:tc>
        <w:tc>
          <w:tcPr/>
          <w:p>
            <w:pPr>
              <w:pStyle w:val="Compact"/>
              <w:jc w:val="right"/>
            </w:pPr>
            <w:r>
              <w:t xml:space="preserve">8</w:t>
            </w:r>
          </w:p>
        </w:tc>
        <w:tc>
          <w:tcPr/>
          <w:p>
            <w:pPr>
              <w:pStyle w:val="Compact"/>
              <w:jc w:val="right"/>
            </w:pPr>
            <w:r>
              <w:t xml:space="preserve">0.0080</w:t>
            </w:r>
          </w:p>
        </w:tc>
      </w:tr>
      <w:tr>
        <w:tc>
          <w:tcPr/>
          <w:p>
            <w:pPr>
              <w:pStyle w:val="Compact"/>
            </w:pPr>
            <w:r>
              <w:t xml:space="preserve">3.5</w:t>
            </w:r>
          </w:p>
        </w:tc>
        <w:tc>
          <w:tcPr/>
          <w:p>
            <w:pPr>
              <w:pStyle w:val="Compact"/>
              <w:jc w:val="right"/>
            </w:pPr>
            <w:r>
              <w:t xml:space="preserve">0</w:t>
            </w:r>
          </w:p>
        </w:tc>
        <w:tc>
          <w:tcPr/>
          <w:p>
            <w:pPr>
              <w:pStyle w:val="Compact"/>
              <w:jc w:val="right"/>
            </w:pPr>
            <w:r>
              <w:t xml:space="preserve">0.0000</w:t>
            </w:r>
          </w:p>
        </w:tc>
      </w:tr>
      <w:tr>
        <w:tc>
          <w:tcPr/>
          <w:p>
            <w:pPr>
              <w:pStyle w:val="Compact"/>
            </w:pPr>
            <w:r>
              <w:t xml:space="preserve">3.0</w:t>
            </w:r>
          </w:p>
        </w:tc>
        <w:tc>
          <w:tcPr/>
          <w:p>
            <w:pPr>
              <w:pStyle w:val="Compact"/>
              <w:jc w:val="right"/>
            </w:pPr>
            <w:r>
              <w:t xml:space="preserve">0</w:t>
            </w:r>
          </w:p>
        </w:tc>
        <w:tc>
          <w:tcPr/>
          <w:p>
            <w:pPr>
              <w:pStyle w:val="Compact"/>
              <w:jc w:val="right"/>
            </w:pPr>
            <w:r>
              <w:t xml:space="preserve">0.0000</w:t>
            </w:r>
          </w:p>
        </w:tc>
      </w:tr>
    </w:tbl>
    <w:p>
      <w:pPr>
        <w:pStyle w:val="CaptionedFigure"/>
      </w:pPr>
      <w:r>
        <w:drawing>
          <wp:inline>
            <wp:extent cx="5334000" cy="3523906"/>
            <wp:effectExtent b="0" l="0" r="0" t="0"/>
            <wp:docPr descr="Pre-trained Modulation Classifier Accuracy vs SNR (BPSK)" title="" id="56" name="Picture"/>
            <a:graphic>
              <a:graphicData uri="http://schemas.openxmlformats.org/drawingml/2006/picture">
                <pic:pic>
                  <pic:nvPicPr>
                    <pic:cNvPr descr="Problem_2_8_ModulationClassifier/accuracy_vs_snr.png" id="57" name="Picture"/>
                    <pic:cNvPicPr>
                      <a:picLocks noChangeArrowheads="1" noChangeAspect="1"/>
                    </pic:cNvPicPr>
                  </pic:nvPicPr>
                  <pic:blipFill>
                    <a:blip r:embed="rId55"/>
                    <a:stretch>
                      <a:fillRect/>
                    </a:stretch>
                  </pic:blipFill>
                  <pic:spPr bwMode="auto">
                    <a:xfrm>
                      <a:off x="0" y="0"/>
                      <a:ext cx="5334000" cy="3523906"/>
                    </a:xfrm>
                    <a:prstGeom prst="rect">
                      <a:avLst/>
                    </a:prstGeom>
                    <a:noFill/>
                    <a:ln w="9525">
                      <a:noFill/>
                      <a:headEnd/>
                      <a:tailEnd/>
                    </a:ln>
                  </pic:spPr>
                </pic:pic>
              </a:graphicData>
            </a:graphic>
          </wp:inline>
        </w:drawing>
      </w:r>
    </w:p>
    <w:p>
      <w:pPr>
        <w:pStyle w:val="ImageCaption"/>
      </w:pPr>
      <w:r>
        <w:t xml:space="preserve">Pre-trained Modulation Classifier Accuracy vs SNR (BPSK)</w:t>
      </w:r>
    </w:p>
    <w:bookmarkEnd w:id="58"/>
    <w:bookmarkStart w:id="71" w:name="constellation-density-plots"/>
    <w:p>
      <w:pPr>
        <w:pStyle w:val="Heading3"/>
      </w:pPr>
      <w:r>
        <w:t xml:space="preserve">Constellation Density Plots</w:t>
      </w:r>
    </w:p>
    <w:p>
      <w:pPr>
        <w:pStyle w:val="CaptionedFigure"/>
      </w:pPr>
      <w:r>
        <w:drawing>
          <wp:inline>
            <wp:extent cx="5334000" cy="3326661"/>
            <wp:effectExtent b="0" l="0" r="0" t="0"/>
            <wp:docPr descr="BPSK Constellation at SNR 10 dB" title="" id="60" name="Picture"/>
            <a:graphic>
              <a:graphicData uri="http://schemas.openxmlformats.org/drawingml/2006/picture">
                <pic:pic>
                  <pic:nvPicPr>
                    <pic:cNvPr descr="Problem_2_8_ModulationClassifier/bpsk_constellation_snr10.png" id="61" name="Picture"/>
                    <pic:cNvPicPr>
                      <a:picLocks noChangeArrowheads="1" noChangeAspect="1"/>
                    </pic:cNvPicPr>
                  </pic:nvPicPr>
                  <pic:blipFill>
                    <a:blip r:embed="rId59"/>
                    <a:stretch>
                      <a:fillRect/>
                    </a:stretch>
                  </pic:blipFill>
                  <pic:spPr bwMode="auto">
                    <a:xfrm>
                      <a:off x="0" y="0"/>
                      <a:ext cx="5334000" cy="3326661"/>
                    </a:xfrm>
                    <a:prstGeom prst="rect">
                      <a:avLst/>
                    </a:prstGeom>
                    <a:noFill/>
                    <a:ln w="9525">
                      <a:noFill/>
                      <a:headEnd/>
                      <a:tailEnd/>
                    </a:ln>
                  </pic:spPr>
                </pic:pic>
              </a:graphicData>
            </a:graphic>
          </wp:inline>
        </w:drawing>
      </w:r>
    </w:p>
    <w:p>
      <w:pPr>
        <w:pStyle w:val="ImageCaption"/>
      </w:pPr>
      <w:r>
        <w:t xml:space="preserve">BPSK Constellation at SNR 10 dB</w:t>
      </w:r>
    </w:p>
    <w:p>
      <w:pPr>
        <w:pStyle w:val="CaptionedFigure"/>
      </w:pPr>
      <w:r>
        <w:drawing>
          <wp:inline>
            <wp:extent cx="5334000" cy="3326661"/>
            <wp:effectExtent b="0" l="0" r="0" t="0"/>
            <wp:docPr descr="BPSK Constellation at SNR 7 dB" title="" id="63" name="Picture"/>
            <a:graphic>
              <a:graphicData uri="http://schemas.openxmlformats.org/drawingml/2006/picture">
                <pic:pic>
                  <pic:nvPicPr>
                    <pic:cNvPr descr="Problem_2_8_ModulationClassifier/bpsk_constellation_snr7.png" id="64" name="Picture"/>
                    <pic:cNvPicPr>
                      <a:picLocks noChangeArrowheads="1" noChangeAspect="1"/>
                    </pic:cNvPicPr>
                  </pic:nvPicPr>
                  <pic:blipFill>
                    <a:blip r:embed="rId62"/>
                    <a:stretch>
                      <a:fillRect/>
                    </a:stretch>
                  </pic:blipFill>
                  <pic:spPr bwMode="auto">
                    <a:xfrm>
                      <a:off x="0" y="0"/>
                      <a:ext cx="5334000" cy="3326661"/>
                    </a:xfrm>
                    <a:prstGeom prst="rect">
                      <a:avLst/>
                    </a:prstGeom>
                    <a:noFill/>
                    <a:ln w="9525">
                      <a:noFill/>
                      <a:headEnd/>
                      <a:tailEnd/>
                    </a:ln>
                  </pic:spPr>
                </pic:pic>
              </a:graphicData>
            </a:graphic>
          </wp:inline>
        </w:drawing>
      </w:r>
    </w:p>
    <w:p>
      <w:pPr>
        <w:pStyle w:val="ImageCaption"/>
      </w:pPr>
      <w:r>
        <w:t xml:space="preserve">BPSK Constellation at SNR 7 dB</w:t>
      </w:r>
    </w:p>
    <w:p>
      <w:pPr>
        <w:pStyle w:val="CaptionedFigure"/>
      </w:pPr>
      <w:r>
        <w:drawing>
          <wp:inline>
            <wp:extent cx="5334000" cy="3269585"/>
            <wp:effectExtent b="0" l="0" r="0" t="0"/>
            <wp:docPr descr="BPSK Constellation at SNR 5 dB" title="" id="66" name="Picture"/>
            <a:graphic>
              <a:graphicData uri="http://schemas.openxmlformats.org/drawingml/2006/picture">
                <pic:pic>
                  <pic:nvPicPr>
                    <pic:cNvPr descr="Problem_2_8_ModulationClassifier/bpsk_constellation_snr5.png" id="67" name="Picture"/>
                    <pic:cNvPicPr>
                      <a:picLocks noChangeArrowheads="1" noChangeAspect="1"/>
                    </pic:cNvPicPr>
                  </pic:nvPicPr>
                  <pic:blipFill>
                    <a:blip r:embed="rId65"/>
                    <a:stretch>
                      <a:fillRect/>
                    </a:stretch>
                  </pic:blipFill>
                  <pic:spPr bwMode="auto">
                    <a:xfrm>
                      <a:off x="0" y="0"/>
                      <a:ext cx="5334000" cy="3269585"/>
                    </a:xfrm>
                    <a:prstGeom prst="rect">
                      <a:avLst/>
                    </a:prstGeom>
                    <a:noFill/>
                    <a:ln w="9525">
                      <a:noFill/>
                      <a:headEnd/>
                      <a:tailEnd/>
                    </a:ln>
                  </pic:spPr>
                </pic:pic>
              </a:graphicData>
            </a:graphic>
          </wp:inline>
        </w:drawing>
      </w:r>
    </w:p>
    <w:p>
      <w:pPr>
        <w:pStyle w:val="ImageCaption"/>
      </w:pPr>
      <w:r>
        <w:t xml:space="preserve">BPSK Constellation at SNR 5 dB</w:t>
      </w:r>
    </w:p>
    <w:p>
      <w:pPr>
        <w:pStyle w:val="CaptionedFigure"/>
      </w:pPr>
      <w:r>
        <w:drawing>
          <wp:inline>
            <wp:extent cx="5334000" cy="3322881"/>
            <wp:effectExtent b="0" l="0" r="0" t="0"/>
            <wp:docPr descr="BPSK Constellation at SNR 3 dB" title="" id="69" name="Picture"/>
            <a:graphic>
              <a:graphicData uri="http://schemas.openxmlformats.org/drawingml/2006/picture">
                <pic:pic>
                  <pic:nvPicPr>
                    <pic:cNvPr descr="Problem_2_8_ModulationClassifier/bpsk_constellation_snr3.png" id="70" name="Picture"/>
                    <pic:cNvPicPr>
                      <a:picLocks noChangeArrowheads="1" noChangeAspect="1"/>
                    </pic:cNvPicPr>
                  </pic:nvPicPr>
                  <pic:blipFill>
                    <a:blip r:embed="rId68"/>
                    <a:stretch>
                      <a:fillRect/>
                    </a:stretch>
                  </pic:blipFill>
                  <pic:spPr bwMode="auto">
                    <a:xfrm>
                      <a:off x="0" y="0"/>
                      <a:ext cx="5334000" cy="3322881"/>
                    </a:xfrm>
                    <a:prstGeom prst="rect">
                      <a:avLst/>
                    </a:prstGeom>
                    <a:noFill/>
                    <a:ln w="9525">
                      <a:noFill/>
                      <a:headEnd/>
                      <a:tailEnd/>
                    </a:ln>
                  </pic:spPr>
                </pic:pic>
              </a:graphicData>
            </a:graphic>
          </wp:inline>
        </w:drawing>
      </w:r>
    </w:p>
    <w:p>
      <w:pPr>
        <w:pStyle w:val="ImageCaption"/>
      </w:pPr>
      <w:r>
        <w:t xml:space="preserve">BPSK Constellation at SNR 3 dB</w:t>
      </w:r>
    </w:p>
    <w:bookmarkEnd w:id="71"/>
    <w:bookmarkStart w:id="72" w:name="interpretation"/>
    <w:p>
      <w:pPr>
        <w:pStyle w:val="Heading3"/>
      </w:pPr>
      <w:r>
        <w:t xml:space="preserve">Interpretation</w:t>
      </w:r>
    </w:p>
    <w:p>
      <w:pPr>
        <w:pStyle w:val="FirstParagraph"/>
      </w:pPr>
      <w:r>
        <w:t xml:space="preserve">The accuracy drops as SNR decreases because noise spreads out the I/Q clusters and makes the BPSK structure harder for the CNN to recognize. At high SNR the classifier is almost perfect, but once the noise starts overlapping the constellation clusters more heavily, the classifier performance falls quickly.</w:t>
      </w:r>
    </w:p>
    <w:p>
      <w:pPr>
        <w:pStyle w:val="BodyText"/>
      </w:pPr>
      <w:r>
        <w:t xml:space="preserve">This matches the general idea that low SNR makes the modulation pattern less visually distinct in the complex plane.</w:t>
      </w:r>
      <w:r>
        <w:t xml:space="preserve"> </w:t>
      </w:r>
      <w:r>
        <w:t xml:space="preserve">Something that I learned is that the classifier is solving a harder problem than simple BPSK symbol detection because it must identify the modulation type rather than just detect the sign of the symbol.</w:t>
      </w:r>
    </w:p>
    <w:bookmarkEnd w:id="72"/>
    <w:bookmarkStart w:id="73" w:name="how-could-these-results-be-improved"/>
    <w:p>
      <w:pPr>
        <w:pStyle w:val="Heading3"/>
      </w:pPr>
      <w:r>
        <w:t xml:space="preserve">How Could These Results Be Improved?</w:t>
      </w:r>
    </w:p>
    <w:p>
      <w:pPr>
        <w:pStyle w:val="FirstParagraph"/>
      </w:pPr>
      <w:r>
        <w:t xml:space="preserve">The most practical improvements would be:</w:t>
      </w:r>
    </w:p>
    <w:p>
      <w:pPr>
        <w:pStyle w:val="Compact"/>
        <w:numPr>
          <w:ilvl w:val="0"/>
          <w:numId w:val="1011"/>
        </w:numPr>
      </w:pPr>
      <w:r>
        <w:t xml:space="preserve">train or fine-tune the classifier with more low-SNR BPSK examples</w:t>
      </w:r>
    </w:p>
    <w:p>
      <w:pPr>
        <w:pStyle w:val="Compact"/>
        <w:numPr>
          <w:ilvl w:val="0"/>
          <w:numId w:val="1011"/>
        </w:numPr>
      </w:pPr>
      <w:r>
        <w:t xml:space="preserve">use data augmentation over a wider SNR range</w:t>
      </w:r>
    </w:p>
    <w:p>
      <w:pPr>
        <w:pStyle w:val="Compact"/>
        <w:numPr>
          <w:ilvl w:val="0"/>
          <w:numId w:val="1011"/>
        </w:numPr>
      </w:pPr>
      <w:r>
        <w:t xml:space="preserve">use longer observation windows if the model allows it</w:t>
      </w:r>
    </w:p>
    <w:p>
      <w:pPr>
        <w:pStyle w:val="Compact"/>
        <w:numPr>
          <w:ilvl w:val="0"/>
          <w:numId w:val="1011"/>
        </w:numPr>
      </w:pPr>
      <w:r>
        <w:t xml:space="preserve">add preprocessing or denoising before classification</w:t>
      </w:r>
    </w:p>
    <w:p>
      <w:pPr>
        <w:pStyle w:val="Compact"/>
        <w:numPr>
          <w:ilvl w:val="0"/>
          <w:numId w:val="1011"/>
        </w:numPr>
      </w:pPr>
      <w:r>
        <w:t xml:space="preserve">use a larger or more robust CNN architecture</w:t>
      </w:r>
    </w:p>
    <w:bookmarkEnd w:id="73"/>
    <w:bookmarkEnd w:id="74"/>
    <w:bookmarkStart w:id="75" w:name="conclusion"/>
    <w:p>
      <w:pPr>
        <w:pStyle w:val="Heading2"/>
      </w:pPr>
      <w:r>
        <w:t xml:space="preserve">10. Conclusion</w:t>
      </w:r>
    </w:p>
    <w:p>
      <w:pPr>
        <w:pStyle w:val="FirstParagraph"/>
      </w:pPr>
      <w:r>
        <w:t xml:space="preserve">Module 12 tied together detector design, statistical modeling, and signal classification in a way that felt very connected from problem to problem. The MDL estimator produced the noise variance needed for threshold design, the energy detector turned that into occupancy decisions, the HMM turned the observed detector output into a simple state model, and the limiting-distribution and long-whitespace calculations turned that model into practical channel-availability predictions.</w:t>
      </w:r>
    </w:p>
    <w:p>
      <w:pPr>
        <w:pStyle w:val="BodyText"/>
      </w:pPr>
      <w:r>
        <w:t xml:space="preserve">The final classifier experiment added a different angle by showing how learned I/Q classification behaves when noise gets stronger. Overall, the module showed how raw samples can be turned into increasingly higher-level decisions: first noise estimates, then thresholds, then occupancy, then Markov predictions, then channel-access style metrics, and finally classifier accuracy versus SNR.</w:t>
      </w:r>
    </w:p>
    <w:bookmarkEnd w:id="75"/>
    <w:bookmarkStart w:id="76" w:name="references"/>
    <w:p>
      <w:pPr>
        <w:pStyle w:val="Heading2"/>
      </w:pPr>
      <w:r>
        <w:t xml:space="preserve">References</w:t>
      </w:r>
    </w:p>
    <w:p>
      <w:pPr>
        <w:pStyle w:val="Compact"/>
        <w:numPr>
          <w:ilvl w:val="0"/>
          <w:numId w:val="1012"/>
        </w:numPr>
      </w:pPr>
      <w:r>
        <w:rPr>
          <w:i/>
          <w:iCs/>
        </w:rPr>
        <w:t xml:space="preserve">Wireless Coexistence</w:t>
      </w:r>
      <w:r>
        <w:t xml:space="preserve"> </w:t>
      </w:r>
      <w:r>
        <w:t xml:space="preserve">textbook, especially the energy detector and probability expressions discussed around page 133.</w:t>
      </w:r>
    </w:p>
    <w:p>
      <w:pPr>
        <w:pStyle w:val="Compact"/>
        <w:numPr>
          <w:ilvl w:val="0"/>
          <w:numId w:val="1012"/>
        </w:numPr>
      </w:pPr>
      <w:r>
        <w:rPr>
          <w:rStyle w:val="VerbatimChar"/>
        </w:rPr>
        <w:t xml:space="preserve">Homework_12.pdf</w:t>
      </w:r>
    </w:p>
    <w:p>
      <w:pPr>
        <w:pStyle w:val="Compact"/>
        <w:numPr>
          <w:ilvl w:val="0"/>
          <w:numId w:val="1012"/>
        </w:numPr>
      </w:pPr>
      <w:r>
        <w:rPr>
          <w:rStyle w:val="VerbatimChar"/>
        </w:rPr>
        <w:t xml:space="preserve">Lab12_files/SDR Live Lab 12.pdf</w:t>
      </w:r>
    </w:p>
    <w:p>
      <w:pPr>
        <w:pStyle w:val="Compact"/>
        <w:numPr>
          <w:ilvl w:val="0"/>
          <w:numId w:val="1012"/>
        </w:numPr>
      </w:pPr>
      <w:r>
        <w:rPr>
          <w:rStyle w:val="VerbatimChar"/>
        </w:rPr>
        <w:t xml:space="preserve">Lab12_files/experiment_hmm_limiting_distribution.m</w:t>
      </w:r>
    </w:p>
    <w:p>
      <w:pPr>
        <w:pStyle w:val="Compact"/>
        <w:numPr>
          <w:ilvl w:val="0"/>
          <w:numId w:val="1012"/>
        </w:numPr>
      </w:pPr>
      <w:r>
        <w:rPr>
          <w:rStyle w:val="VerbatimChar"/>
        </w:rPr>
        <w:t xml:space="preserve">Lab12_files/experiment_training_a_hmm_model.m</w:t>
      </w:r>
    </w:p>
    <w:p>
      <w:pPr>
        <w:pStyle w:val="Compact"/>
        <w:numPr>
          <w:ilvl w:val="0"/>
          <w:numId w:val="1012"/>
        </w:numPr>
      </w:pPr>
      <w:r>
        <w:rPr>
          <w:rStyle w:val="VerbatimChar"/>
        </w:rPr>
        <w:t xml:space="preserve">Lab12_files/modulation_classification_in_noise.m</w:t>
      </w:r>
    </w:p>
    <w:p>
      <w:pPr>
        <w:pStyle w:val="Compact"/>
        <w:numPr>
          <w:ilvl w:val="0"/>
          <w:numId w:val="1012"/>
        </w:numPr>
      </w:pPr>
      <w:r>
        <w:rPr>
          <w:rStyle w:val="VerbatimChar"/>
        </w:rPr>
        <w:t xml:space="preserve">Lab12_files/modulation_classification_confusion_matrix_experiment.m</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2026-04-18T19:18:06Z</dcterms:created>
  <dcterms:modified xsi:type="dcterms:W3CDTF">2026-04-18T19:18:06Z</dcterms:modified>
</cp:coreProperties>
</file>

<file path=docProps/custom.xml><?xml version="1.0" encoding="utf-8"?>
<Properties xmlns="http://schemas.openxmlformats.org/officeDocument/2006/custom-properties" xmlns:vt="http://schemas.openxmlformats.org/officeDocument/2006/docPropsVTypes"/>
</file>