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62" w:rsidRDefault="007C3C2A" w:rsidP="009F0E40">
      <w:pPr>
        <w:pStyle w:val="Titre"/>
        <w:spacing w:line="480" w:lineRule="auto"/>
      </w:pPr>
      <w:r>
        <w:t>Single Nucleotide Polymorphisms Associated with Fasting Blood Glucose Trajectory and Type 2 Diabetes Incidence: A Joint Modelling Approach</w:t>
      </w:r>
    </w:p>
    <w:p w:rsidR="00A77962" w:rsidRDefault="007C3C2A" w:rsidP="009F0E40">
      <w:pPr>
        <w:spacing w:line="480" w:lineRule="auto"/>
      </w:pPr>
      <w:r>
        <w:t>Mickaël Canouil</w:t>
      </w:r>
      <w:r>
        <w:rPr>
          <w:vertAlign w:val="superscript"/>
        </w:rPr>
        <w:t>1,2,3</w:t>
      </w:r>
      <w:r>
        <w:t>, Beverley Balkau</w:t>
      </w:r>
      <w:r>
        <w:rPr>
          <w:vertAlign w:val="superscript"/>
        </w:rPr>
        <w:t>5</w:t>
      </w:r>
      <w:r>
        <w:t>, Ronan Roussel</w:t>
      </w:r>
      <w:r>
        <w:rPr>
          <w:vertAlign w:val="superscript"/>
        </w:rPr>
        <w:t>6,7,8</w:t>
      </w:r>
      <w:r>
        <w:t>, Philippe Froguel</w:t>
      </w:r>
      <w:r>
        <w:rPr>
          <w:vertAlign w:val="superscript"/>
        </w:rPr>
        <w:t>1,2,3,4</w:t>
      </w:r>
      <w:r>
        <w:t xml:space="preserve"> and Ghislain Rocheleau</w:t>
      </w:r>
      <w:r>
        <w:rPr>
          <w:vertAlign w:val="superscript"/>
        </w:rPr>
        <w:t>1,2,3</w:t>
      </w:r>
    </w:p>
    <w:p w:rsidR="00A77962" w:rsidRDefault="007C3C2A" w:rsidP="009F0E40">
      <w:pPr>
        <w:spacing w:line="480" w:lineRule="auto"/>
      </w:pPr>
      <w:r>
        <w:rPr>
          <w:vertAlign w:val="superscript"/>
        </w:rPr>
        <w:t>1</w:t>
      </w:r>
      <w:r>
        <w:t>University of Lille, UMR 8199 - EGID, F-59000 Lille, France.</w:t>
      </w:r>
      <w:r>
        <w:br/>
      </w:r>
      <w:r>
        <w:rPr>
          <w:vertAlign w:val="superscript"/>
        </w:rPr>
        <w:t>2</w:t>
      </w:r>
      <w:r>
        <w:t>CNRS, UMR 8199, F-59000 Lille, France.</w:t>
      </w:r>
      <w:r>
        <w:br/>
      </w:r>
      <w:r>
        <w:rPr>
          <w:vertAlign w:val="superscript"/>
        </w:rPr>
        <w:t>3</w:t>
      </w:r>
      <w:r>
        <w:t>Institut Pasteur de Lille, F-59000 Lille, France.</w:t>
      </w:r>
      <w:r>
        <w:br/>
      </w:r>
      <w:r>
        <w:rPr>
          <w:vertAlign w:val="superscript"/>
        </w:rPr>
        <w:t>4</w:t>
      </w:r>
      <w:r>
        <w:t xml:space="preserve">Department of Genomics of Common Disease, Imperial College </w:t>
      </w:r>
      <w:r w:rsidR="009F0E40">
        <w:t>London, London, United Kingdom.</w:t>
      </w:r>
      <w:r w:rsidR="009F0E40">
        <w:br/>
      </w:r>
      <w:r>
        <w:rPr>
          <w:vertAlign w:val="superscript"/>
        </w:rPr>
        <w:t>5</w:t>
      </w:r>
      <w:r>
        <w:t>INSERM U1018, CESP, Renal and Cardiovascular Epidemiolog</w:t>
      </w:r>
      <w:r w:rsidR="009F0E40">
        <w:t>y, UVSQ-UPS, Villejuif, France.</w:t>
      </w:r>
      <w:r w:rsidR="009F0E40">
        <w:br/>
      </w:r>
      <w:r>
        <w:rPr>
          <w:vertAlign w:val="superscript"/>
        </w:rPr>
        <w:t>6</w:t>
      </w:r>
      <w:r>
        <w:t xml:space="preserve">INSERM, U1138 (équipe 2: Pathophysiology and Therapeutics of Vascular and Renal Diseases Related to Diabetes, Centre de Recherches </w:t>
      </w:r>
      <w:r w:rsidR="009F0E40">
        <w:t>des Cordeliers), Paris, France.</w:t>
      </w:r>
      <w:r w:rsidR="009F0E40">
        <w:br/>
      </w:r>
      <w:r>
        <w:rPr>
          <w:vertAlign w:val="superscript"/>
        </w:rPr>
        <w:t>7</w:t>
      </w:r>
      <w:r>
        <w:t xml:space="preserve">University Paris 7 Denis Diderot, Sorbonne Paris Cité, France. </w:t>
      </w:r>
      <w:r>
        <w:rPr>
          <w:vertAlign w:val="superscript"/>
        </w:rPr>
        <w:t>8</w:t>
      </w:r>
      <w:r>
        <w:t>AP-HP, DHU FIRE, Department of Endocrinology, Diabetology, Nutrition, and Metabolic Diseases, Bichat Claude Bernard Hospital, Paris, France.</w:t>
      </w:r>
    </w:p>
    <w:p w:rsidR="00A77962" w:rsidRDefault="007C3C2A" w:rsidP="009F0E40">
      <w:pPr>
        <w:pStyle w:val="Titre6"/>
        <w:spacing w:line="480" w:lineRule="auto"/>
      </w:pPr>
      <w:bookmarkStart w:id="0" w:name="corresponding-authors"/>
      <w:bookmarkEnd w:id="0"/>
      <w:r>
        <w:t>Corresponding authors</w:t>
      </w:r>
    </w:p>
    <w:p w:rsidR="00A77962" w:rsidRDefault="007C3C2A" w:rsidP="009F0E40">
      <w:pPr>
        <w:spacing w:line="480" w:lineRule="auto"/>
      </w:pPr>
      <w:r>
        <w:t>Mickaël Canouil, EGID - UMR 8199, Pôle Recherche - 1er étage Aile Ouest, 1 place de Verdun, 59045 Lille CEDEX, France. E-mail: mickael.canouil@cnrs.fr</w:t>
      </w:r>
    </w:p>
    <w:p w:rsidR="009F0E40" w:rsidRDefault="007C3C2A" w:rsidP="009F0E40">
      <w:pPr>
        <w:pStyle w:val="Corpsdetexte"/>
        <w:spacing w:line="480" w:lineRule="auto"/>
      </w:pPr>
      <w:r>
        <w:t xml:space="preserve">Ghislain Rocheleau, Maelstrom Research - The Research Institute of the McGill University Health Centre (RI MUHC), 2155 Guy, 4th Floor, Office 458, Montreal, Quebec, H3H 2R9, Canada. E-mail: </w:t>
      </w:r>
      <w:hyperlink r:id="rId7" w:history="1">
        <w:r w:rsidR="009F0E40" w:rsidRPr="00CC4BDD">
          <w:rPr>
            <w:rStyle w:val="Lienhypertexte"/>
          </w:rPr>
          <w:t>grocheleau@maelstrom-research.org</w:t>
        </w:r>
      </w:hyperlink>
      <w:r w:rsidR="009F0E40">
        <w:br w:type="page"/>
      </w:r>
    </w:p>
    <w:p w:rsidR="00A77962" w:rsidRDefault="007C3C2A" w:rsidP="009F0E40">
      <w:pPr>
        <w:pStyle w:val="Titre1"/>
        <w:spacing w:line="480" w:lineRule="auto"/>
      </w:pPr>
      <w:bookmarkStart w:id="1" w:name="abstract"/>
      <w:bookmarkEnd w:id="1"/>
      <w:r>
        <w:lastRenderedPageBreak/>
        <w:t>Abstract</w:t>
      </w:r>
    </w:p>
    <w:p w:rsidR="00A77962" w:rsidRDefault="007C3C2A" w:rsidP="009F0E40">
      <w:pPr>
        <w:spacing w:line="480" w:lineRule="auto"/>
      </w:pPr>
      <w:r>
        <w:t>In observational cohorts, longitudinal data are collected with repeated measurements at predetermined time points for many biomarkers, along with other covariates measured at baseline. In these cohorts, time to a certain event of interest occurring is commonly reported and very often, a relationship will be observed between a biomarker repeatedly measured over time and that event. Joint models were designed to efficiently estimate statistical parameters by combining a mixed model for the longitudinal biomarker trajectory and a survival model for the event risk, using a set of random effects to account for the link between the two types of data.</w:t>
      </w:r>
      <w:r>
        <w:br/>
        <w:t>First, we checked model consistency based on different simulation scenarios, varying sample size, minor allele frequency, number of repeated measurements and missing data patterns.</w:t>
      </w:r>
      <w:r>
        <w:br/>
        <w:t>Second, using genotypes assayed with the Metabochip DNA arrays (Illumina) from close to 4,500 subjects recruited in the French cohort D.E.S.I.R. (Données Épidémiologiques sur le Syndrome d’Insulino-Résistance), we assessed the feasibility of implementing the joint modelling approach in a real high-throughput genomic dataset. In our study, the event of interest was onset of type 2 diabetes (T2D), and the longitudinal biomarker repeatedly measured over time was fasting plasma glucose level. To the best of our knowledge, joint models have never been applied into a genetic epidemiology context and could help identify novel loci sharing effects on both glycaemic traits and T2D.</w:t>
      </w:r>
    </w:p>
    <w:p w:rsidR="00A77962" w:rsidRDefault="007C3C2A" w:rsidP="009F0E40">
      <w:pPr>
        <w:pStyle w:val="Titre1"/>
        <w:spacing w:line="480" w:lineRule="auto"/>
      </w:pPr>
      <w:bookmarkStart w:id="2" w:name="key-words"/>
      <w:bookmarkEnd w:id="2"/>
      <w:r>
        <w:t>Key words</w:t>
      </w:r>
    </w:p>
    <w:p w:rsidR="00E268C4" w:rsidRDefault="007C3C2A" w:rsidP="009F0E40">
      <w:pPr>
        <w:spacing w:line="480" w:lineRule="auto"/>
      </w:pPr>
      <w:r>
        <w:t>genetic association; joint modelling; longitudinal studies</w:t>
      </w:r>
    </w:p>
    <w:p w:rsidR="00E268C4" w:rsidRDefault="00E268C4" w:rsidP="00E268C4">
      <w:r>
        <w:br w:type="page"/>
      </w:r>
    </w:p>
    <w:p w:rsidR="00A77962" w:rsidRDefault="007C3C2A" w:rsidP="009F0E40">
      <w:pPr>
        <w:pStyle w:val="Titre1"/>
        <w:spacing w:line="480" w:lineRule="auto"/>
      </w:pPr>
      <w:bookmarkStart w:id="3" w:name="introduction"/>
      <w:bookmarkEnd w:id="3"/>
      <w:r>
        <w:lastRenderedPageBreak/>
        <w:t>Introduction</w:t>
      </w:r>
    </w:p>
    <w:p w:rsidR="00A77962" w:rsidRDefault="007C3C2A" w:rsidP="009F0E40">
      <w:pPr>
        <w:spacing w:line="480" w:lineRule="auto"/>
      </w:pPr>
      <w:r>
        <w:t>With the increased availability of longitudinal and survival data within prospective cohorts, joint models have emerged to account for both types of data, particularly when dealing with the informative/non-informative dropouts which occur in such cohorts. Joint models have been studied and overviewed in the literature (Chen, Ibrahim, &amp; Chu, 2011; Elashoff, li, &amp; Li, 2016; Tsiatis &amp; Davidian, 2004; Wulfsohn &amp; Tsiatis, 1997) and software implementation has been proposed within different software and platforms (Diggle &amp; Kenward, 1994; Elashoff, Li, &amp; Li, 2008; Proust-Lima, Joly, Dartigues, &amp; Jacqmin-Gadda, 2009; Rizopoulos, 2010; Rizopoulos &amp; Ghosh, 2011; Sun, Sun, &amp; Liu, 2007). The main idea behind the joint modelling is: 1) to model efficiently the survival process with a time-varying covariate, accounting for missing data and measurements errors, and 2) to account for informative dropouts in the longitudinal data. To model the two components of a joint model, a linear mixed effects (LME) model and a Cox proportional hazards model (CoxPH), are classically used to, respectively, fit the longitudinal component, and the survival component. Unlike the CoxPH model, in which the time-varying covariate is assumed to be exogenous, i.e. not modified by the occurrence of a previous event (Kalbfleisch &amp; Prentice, 2002), the joint modelling framework allows to account for an endogenous time-varying covariate. An example of an endogenous covariate is given by the relationship between fasting glucose is irremediably modified due to medication.</w:t>
      </w:r>
    </w:p>
    <w:p w:rsidR="00A77962" w:rsidRDefault="007C3C2A" w:rsidP="009F0E40">
      <w:pPr>
        <w:pStyle w:val="Corpsdetexte"/>
        <w:spacing w:line="480" w:lineRule="auto"/>
      </w:pPr>
      <w:r>
        <w:t xml:space="preserve">Two approaches can be used for the estimation and inference of the model parameters: a "naive" Two-Step (TS) method or a joint likelihood method (JM). The first method consists in estimating the random effects of the trajectory, as provided by a LME model, and including them as a time-varying covariate into a CoxPH model, then using partial likelihood of the CoxPH model for the </w:t>
      </w:r>
      <w:r>
        <w:lastRenderedPageBreak/>
        <w:t>parameter estimation (Therneau &amp; Grambsch, 2000). The second method is based on a joint likelihood of the two components (longitudinal and survival) at the same time. Comparison of these two approaches showed that the latter offers more consistent and efficient estimators than the former (Albert &amp; Shih, 2010a, 2010b). But JM could be challenging to compute, especially achieving convergence at the Expectation-Maximisation (EM) step. Moreover, depending on the number of time points and/or the sample size, the overall computation time can substantially increase.</w:t>
      </w:r>
    </w:p>
    <w:p w:rsidR="00A77962" w:rsidRDefault="007C3C2A" w:rsidP="009F0E40">
      <w:pPr>
        <w:pStyle w:val="Corpsdetexte"/>
        <w:spacing w:line="480" w:lineRule="auto"/>
      </w:pPr>
      <w:r>
        <w:t>In this paper, we conducted a comprehensive simulation study to compare two joint model approaches, JM and TS, for joint modelling of the longitudinal and survival components.  Our main goal is to show that joint modelling approach, when compared to separate modelling, might improve statistical power to detect an effect on either, or both, longitudinal and survival processes, while resulting in a bias reduction in parameter estimation. We also compared JM with TS approach and show that in the context where highly demanding computation and convergence issues might arise in JM computation, the TS offers a good alternative to JM in a reasonable time span, especially when applied at the genome-scale level. We also investigated and decomposed the computational time required by the R package "JM" (Rizopoulos, 2010, 2016), on the one hand, and by the TS approach combining the R packages: "survival" (Therneau, 2017) and "nlme" (Pinheiro, Bates, &amp; R-core, 2017).</w:t>
      </w:r>
    </w:p>
    <w:p w:rsidR="00A77962" w:rsidRDefault="007C3C2A" w:rsidP="009F0E40">
      <w:pPr>
        <w:pStyle w:val="Corpsdetexte"/>
        <w:spacing w:line="480" w:lineRule="auto"/>
      </w:pPr>
      <w:r>
        <w:t>Finally, we applied these approaches to a real dataset, the prospective D.E.S.I.R. cohort (</w:t>
      </w:r>
      <w:r>
        <w:rPr>
          <w:i/>
        </w:rPr>
        <w:t>Données Épidémiologiques sur le Syndrome d’Insulino-Résistance</w:t>
      </w:r>
      <w:r>
        <w:t xml:space="preserve">), which includes 5,212 individuals with extensive phenotypic measures recorded at 4 different occasions spanning a 9-year follow up (data collected every 3 years). These individuals were genotyped using the Illumina Metabochip </w:t>
      </w:r>
      <w:r>
        <w:lastRenderedPageBreak/>
        <w:t>DNA array which interrogates nearly 200,000 SNPs) (Voight et al., 2012). Relying on cross-sectional genome-wide association study design, the D.E.S.I.R. cohort was instrumental in identifying novel loci associated to prevalent type 2 diabetes (T2D) and to blood fasting glucose (FG) level in normoglycemic subjects (Bouatia-Naji et al., 2008; Rung et al., 2009; Sladek et al., 2007). We specifically focused on prediabetes conditions, such as IFG (Impaired Fasting Glucose), which is part of the diagnostic definition of T2D (FG &gt; 7.0 mmol/L), and on time-to-onset of T2D, in order to possibly identify loci, novel or published, which simultaneously associate with the risk of developing T2D and with increasing blood FG. Our results were then compared to the genetic variants as reported in the literature (Vaxillaire et al., 2014; Welter et al., 2014), and to the meta-analyses results published by large consortia, such as, DIAGRAM (Morris et al., 2012) or the MAGIC (Dupuis et al., 2010) consortium.</w:t>
      </w:r>
    </w:p>
    <w:p w:rsidR="00A77962" w:rsidRDefault="007C3C2A" w:rsidP="009F0E40">
      <w:pPr>
        <w:pStyle w:val="Titre1"/>
        <w:spacing w:line="480" w:lineRule="auto"/>
      </w:pPr>
      <w:bookmarkStart w:id="4" w:name="methods"/>
      <w:bookmarkEnd w:id="4"/>
      <w:r>
        <w:t>Methods</w:t>
      </w:r>
    </w:p>
    <w:p w:rsidR="00A77962" w:rsidRDefault="007C3C2A" w:rsidP="009F0E40">
      <w:pPr>
        <w:pStyle w:val="Titre2"/>
        <w:spacing w:line="480" w:lineRule="auto"/>
      </w:pPr>
      <w:bookmarkStart w:id="5" w:name="models-formulation"/>
      <w:bookmarkEnd w:id="5"/>
      <w:r>
        <w:t>Models Formulation</w:t>
      </w:r>
    </w:p>
    <w:p w:rsidR="00A77962" w:rsidRDefault="007C3C2A" w:rsidP="009F0E40">
      <w:pPr>
        <w:pStyle w:val="Titre3"/>
        <w:spacing w:line="480" w:lineRule="auto"/>
      </w:pPr>
      <w:bookmarkStart w:id="6" w:name="joint-likelihood-model-jm"/>
      <w:bookmarkEnd w:id="6"/>
      <w:r>
        <w:t>Joint Likelihood Model (JM)</w:t>
      </w:r>
    </w:p>
    <w:p w:rsidR="00A77962" w:rsidRDefault="007C3C2A" w:rsidP="009F0E40">
      <w:pPr>
        <w:spacing w:line="480" w:lineRule="auto"/>
      </w:pPr>
      <w:r>
        <w:t xml:space="preserve">The standard formulation of the joint model involves two components: a longitudinal component and a time-to-event component. Let </w:t>
      </w:r>
      <m:oMath>
        <m:r>
          <w:rPr>
            <w:rFonts w:ascii="Cambria Math" w:hAnsi="Cambria Math"/>
          </w:rPr>
          <m:t>n</m:t>
        </m:r>
      </m:oMath>
      <w:r>
        <w:t xml:space="preserve"> denote the sample size, and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longitudinal measurements collected for each subject at time points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w:t>
      </w:r>
      <m:oMath>
        <m:r>
          <w:rPr>
            <w:rFonts w:ascii="Cambria Math" w:hAnsi="Cambria Math"/>
          </w:rPr>
          <m:t>i=1,⋯,n</m:t>
        </m:r>
      </m:oMath>
      <w:r>
        <w:t xml:space="preserve">, </w:t>
      </w:r>
      <m:oMath>
        <m:r>
          <w:rPr>
            <w:rFonts w:ascii="Cambria Math" w:hAnsi="Cambria Math"/>
          </w:rPr>
          <m:t>j=1,⋯,</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number of measurements of subject </w:t>
      </w:r>
      <m:oMath>
        <m:r>
          <w:rPr>
            <w:rFonts w:ascii="Cambria Math" w:hAnsi="Cambria Math"/>
          </w:rPr>
          <m:t>i</m:t>
        </m:r>
      </m:oMath>
      <w:r>
        <w:t xml:space="preserve">. The longitudinal component (measurements) typically consists of a (generalised) linear mixed effect (LME) model, whose within-subject correlation matrix is modelled using random-effect parameter vector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0i</m:t>
                      </m:r>
                    </m:sub>
                  </m:sSub>
                </m:e>
              </m:mr>
              <m:mr>
                <m:e>
                  <m:sSub>
                    <m:sSubPr>
                      <m:ctrlPr>
                        <w:rPr>
                          <w:rFonts w:ascii="Cambria Math" w:hAnsi="Cambria Math"/>
                        </w:rPr>
                      </m:ctrlPr>
                    </m:sSubPr>
                    <m:e>
                      <m:r>
                        <w:rPr>
                          <w:rFonts w:ascii="Cambria Math" w:hAnsi="Cambria Math"/>
                        </w:rPr>
                        <m:t>θ</m:t>
                      </m:r>
                    </m:e>
                    <m:sub>
                      <m:r>
                        <w:rPr>
                          <w:rFonts w:ascii="Cambria Math" w:hAnsi="Cambria Math"/>
                        </w:rPr>
                        <m:t>1i</m:t>
                      </m:r>
                    </m:sub>
                  </m:sSub>
                </m:e>
              </m:mr>
            </m:m>
          </m:e>
        </m:d>
      </m:oMath>
      <w:r>
        <w:t>.</w:t>
      </w:r>
    </w:p>
    <w:p w:rsidR="00A77962" w:rsidRDefault="007C3C2A" w:rsidP="009F0E40">
      <w:pPr>
        <w:pStyle w:val="Corpsdetexte"/>
        <w:spacing w:line="480" w:lineRule="auto"/>
      </w:pPr>
      <w:r>
        <w:lastRenderedPageBreak/>
        <w:t>Under the joint likelihood framework as implemented in "JM" (Rizopoulos, 2010, 2016), within the class of "shared parameter models" (Elashoff et al., 2016; Rizopoulos, 2012), we define</w:t>
      </w:r>
    </w:p>
    <w:p w:rsidR="00A77962" w:rsidRDefault="007C3C2A" w:rsidP="009F0E40">
      <w:pPr>
        <w:pStyle w:val="Corpsdetexte"/>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        (1)</m:t>
          </m:r>
        </m:oMath>
      </m:oMathPara>
    </w:p>
    <w:p w:rsidR="00A77962" w:rsidRDefault="007C3C2A" w:rsidP="009F0E40">
      <w:pPr>
        <w:spacing w:line="480" w:lineRule="auto"/>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is the observed value and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the true (unobserved) value of the longitudinal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The quantity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usually assumed to be normally distributed:</w:t>
      </w:r>
    </w:p>
    <w:p w:rsidR="00A77962" w:rsidRDefault="007C3C2A" w:rsidP="009F0E40">
      <w:pPr>
        <w:pStyle w:val="Corpsdetexte"/>
        <w:spacing w:line="480" w:lineRule="auto"/>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m:rPr>
              <m:scr m:val="script"/>
              <m:sty m:val="p"/>
            </m:rP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)        (2)</m:t>
          </m:r>
        </m:oMath>
      </m:oMathPara>
    </w:p>
    <w:p w:rsidR="00A77962" w:rsidRDefault="007C3C2A" w:rsidP="009F0E40">
      <w:pPr>
        <w:spacing w:line="480" w:lineRule="auto"/>
      </w:pPr>
      <w:r>
        <w:t xml:space="preserve">The quantity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typically called the trajectory function and is usually specified as a linear (or quadratic) function of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We also define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 variable denoting the genotype of subject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a set of adjusting covariates:</w:t>
      </w:r>
    </w:p>
    <w:p w:rsidR="00A77962" w:rsidRDefault="007C3C2A" w:rsidP="009F0E40">
      <w:pPr>
        <w:pStyle w:val="Corpsdetexte"/>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1i</m:t>
              </m:r>
            </m:sub>
          </m:sSub>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+γ</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        (3)</m:t>
          </m:r>
        </m:oMath>
      </m:oMathPara>
    </w:p>
    <w:p w:rsidR="00A77962" w:rsidRDefault="007C3C2A" w:rsidP="009F0E40">
      <w:pPr>
        <w:spacing w:line="480" w:lineRule="auto"/>
      </w:pPr>
      <w:r>
        <w:t xml:space="preserve">For representation purposes, the term </w:t>
      </w:r>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will be omitted henceforth. Random effects </w:t>
      </w:r>
      <m:oMath>
        <m:sSub>
          <m:sSubPr>
            <m:ctrlPr>
              <w:rPr>
                <w:rFonts w:ascii="Cambria Math" w:hAnsi="Cambria Math"/>
              </w:rPr>
            </m:ctrlPr>
          </m:sSubPr>
          <m:e>
            <m:r>
              <w:rPr>
                <w:rFonts w:ascii="Cambria Math" w:hAnsi="Cambria Math"/>
              </w:rPr>
              <m:t>θ</m:t>
            </m:r>
          </m:e>
          <m:sub>
            <m:r>
              <w:rPr>
                <w:rFonts w:ascii="Cambria Math" w:hAnsi="Cambria Math"/>
              </w:rPr>
              <m:t>0i</m:t>
            </m:r>
          </m:sub>
        </m:sSub>
      </m:oMath>
      <w:r>
        <w:t xml:space="preserve"> (intercept) and </w:t>
      </w:r>
      <m:oMath>
        <m:sSub>
          <m:sSubPr>
            <m:ctrlPr>
              <w:rPr>
                <w:rFonts w:ascii="Cambria Math" w:hAnsi="Cambria Math"/>
              </w:rPr>
            </m:ctrlPr>
          </m:sSubPr>
          <m:e>
            <m:r>
              <w:rPr>
                <w:rFonts w:ascii="Cambria Math" w:hAnsi="Cambria Math"/>
              </w:rPr>
              <m:t>θ</m:t>
            </m:r>
          </m:e>
          <m:sub>
            <m:r>
              <w:rPr>
                <w:rFonts w:ascii="Cambria Math" w:hAnsi="Cambria Math"/>
              </w:rPr>
              <m:t>1i</m:t>
            </m:r>
          </m:sub>
        </m:sSub>
      </m:oMath>
      <w:r>
        <w:t xml:space="preserve"> (slope) are assumed bivariate Normal: </w:t>
      </w:r>
      <m:oMath>
        <m:r>
          <w:rPr>
            <w:rFonts w:ascii="Cambria Math" w:hAnsi="Cambria Math"/>
          </w:rPr>
          <m:t>θ∼</m:t>
        </m:r>
        <m:sSub>
          <m:sSubPr>
            <m:ctrlPr>
              <w:rPr>
                <w:rFonts w:ascii="Cambria Math" w:hAnsi="Cambria Math"/>
              </w:rPr>
            </m:ctrlPr>
          </m:sSubPr>
          <m:e>
            <m:r>
              <m:rPr>
                <m:scr m:val="script"/>
                <m:sty m:val="p"/>
              </m:rPr>
              <w:rPr>
                <w:rFonts w:ascii="Cambria Math" w:hAnsi="Cambria Math"/>
              </w:rPr>
              <m:t>N</m:t>
            </m:r>
          </m:e>
          <m:sub>
            <m:r>
              <w:rPr>
                <w:rFonts w:ascii="Cambria Math" w:hAnsi="Cambria Math"/>
              </w:rPr>
              <m:t>2</m:t>
            </m:r>
          </m:sub>
        </m:sSub>
        <m:r>
          <w:rPr>
            <w:rFonts w:ascii="Cambria Math" w:hAnsi="Cambria Math"/>
          </w:rPr>
          <m:t>(μ,Σ)</m:t>
        </m:r>
      </m:oMath>
      <w:r>
        <w:t xml:space="preserve">, and supposed independently distributed from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The coefficient </w:t>
      </w:r>
      <m:oMath>
        <m:r>
          <w:rPr>
            <w:rFonts w:ascii="Cambria Math" w:hAnsi="Cambria Math"/>
          </w:rPr>
          <m:t>γ</m:t>
        </m:r>
      </m:oMath>
      <w:r>
        <w:t xml:space="preserve"> assesses the genotypic (additive) effect of variable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 the trajectory function. To account for possible varying slopes, an interaction term between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and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could be added into the trajectory function. The interaction term was not considered in our study.</w:t>
      </w:r>
    </w:p>
    <w:p w:rsidR="00A77962" w:rsidRDefault="007C3C2A" w:rsidP="009F0E40">
      <w:pPr>
        <w:pStyle w:val="Corpsdetexte"/>
        <w:spacing w:line="480" w:lineRule="auto"/>
      </w:pPr>
      <w:r>
        <w:t xml:space="preserve">The time-to-event (survival) component usually consists of a parametric (e.g. exponential or Weibull distribution) or semi-parametric (e.g. Cox proportional hazards) model.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denotes the event time for subject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the right censoring time (e.g. end of the follow-up). Let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be the </w:t>
      </w:r>
      <w:r>
        <w:lastRenderedPageBreak/>
        <w:t xml:space="preserve">event indicator: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w:r>
        <w:t xml:space="preserve">, if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Under the Cox proportional hazards model, variable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specified using the following equation:</w:t>
      </w:r>
    </w:p>
    <w:p w:rsidR="00A77962" w:rsidRDefault="007C3C2A" w:rsidP="009F0E40">
      <w:pPr>
        <w:pStyle w:val="Corpsdetexte"/>
        <w:spacing w:line="480" w:lineRule="auto"/>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m:t>
          </m:r>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)        (4)</m:t>
          </m:r>
        </m:oMath>
      </m:oMathPara>
    </w:p>
    <w:p w:rsidR="00A77962" w:rsidRDefault="007C3C2A" w:rsidP="009F0E40">
      <w:pPr>
        <w:spacing w:line="480" w:lineRule="auto"/>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is the hazard function at time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m:t>
        </m:r>
      </m:oMath>
      <w:r>
        <w:t xml:space="preserve"> is the unspecified baseline hazard function, which we assume piecewise constant with two knots placed at intermediate time points in the follow-up. The coefficient </w:t>
      </w:r>
      <m:oMath>
        <m:r>
          <w:rPr>
            <w:rFonts w:ascii="Cambria Math" w:hAnsi="Cambria Math"/>
          </w:rPr>
          <m:t>α</m:t>
        </m:r>
      </m:oMath>
      <w:r>
        <w:t xml:space="preserve"> measures the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on the hazard function, while </w:t>
      </w:r>
      <m:oMath>
        <m:r>
          <w:rPr>
            <w:rFonts w:ascii="Cambria Math" w:hAnsi="Cambria Math"/>
          </w:rPr>
          <m:t>β</m:t>
        </m:r>
      </m:oMath>
      <w:r>
        <w:t xml:space="preserve"> measures the association between the trajectory function and the hazard function. In this formulation, we suppose that the subject-specific parameters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0i</m:t>
                      </m:r>
                    </m:sub>
                  </m:sSub>
                </m:e>
              </m:mr>
              <m:mr>
                <m:e>
                  <m:sSub>
                    <m:sSubPr>
                      <m:ctrlPr>
                        <w:rPr>
                          <w:rFonts w:ascii="Cambria Math" w:hAnsi="Cambria Math"/>
                        </w:rPr>
                      </m:ctrlPr>
                    </m:sSubPr>
                    <m:e>
                      <m:r>
                        <w:rPr>
                          <w:rFonts w:ascii="Cambria Math" w:hAnsi="Cambria Math"/>
                        </w:rPr>
                        <m:t>θ</m:t>
                      </m:r>
                    </m:e>
                    <m:sub>
                      <m:r>
                        <w:rPr>
                          <w:rFonts w:ascii="Cambria Math" w:hAnsi="Cambria Math"/>
                        </w:rPr>
                        <m:t>1i</m:t>
                      </m:r>
                    </m:sub>
                  </m:sSub>
                </m:e>
              </m:mr>
            </m:m>
          </m:e>
        </m:d>
      </m:oMath>
      <w:r>
        <w:t xml:space="preserve"> included in the trajectory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t xml:space="preserve"> could modify the hazard function, which implies that </w:t>
      </w:r>
      <m:oMath>
        <m:r>
          <w:rPr>
            <w:rFonts w:ascii="Cambria Math" w:hAnsi="Cambria Math"/>
          </w:rPr>
          <m:t>β</m:t>
        </m:r>
      </m:oMath>
      <w:r>
        <w:t xml:space="preserve"> is the parameter linking the longitudinal and survival components.</w:t>
      </w:r>
    </w:p>
    <w:p w:rsidR="00A77962" w:rsidRDefault="007C3C2A" w:rsidP="009F0E40">
      <w:pPr>
        <w:pStyle w:val="Titre3"/>
        <w:spacing w:line="480" w:lineRule="auto"/>
      </w:pPr>
      <w:bookmarkStart w:id="7" w:name="two-step-model-ts"/>
      <w:bookmarkEnd w:id="7"/>
      <w:r>
        <w:t>Two-Step Model (TS)</w:t>
      </w:r>
    </w:p>
    <w:p w:rsidR="00A77962" w:rsidRDefault="007C3C2A" w:rsidP="009F0E40">
      <w:pPr>
        <w:spacing w:line="480" w:lineRule="auto"/>
      </w:pPr>
      <w:r>
        <w:t xml:space="preserve">As an alternative to JM, and based on the work of Tsiatis, DeGruttola, &amp; Wulfsohn (1995), the two-step model estimates parameters of the joint model by first, estimating parameters of the trajectory function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t xml:space="preserve"> in Equation (3), and second, by substituting this estimated trajectory, say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(t)</m:t>
        </m:r>
      </m:oMath>
      <w:r>
        <w:t>, into (4) before fitting the Cox survival model.</w:t>
      </w:r>
    </w:p>
    <w:p w:rsidR="00A77962" w:rsidRDefault="007C3C2A" w:rsidP="009F0E40">
      <w:pPr>
        <w:pStyle w:val="Titre2"/>
        <w:spacing w:line="480" w:lineRule="auto"/>
      </w:pPr>
      <w:bookmarkStart w:id="8" w:name="simulation-study"/>
      <w:bookmarkEnd w:id="8"/>
      <w:r>
        <w:t>Simulation Study</w:t>
      </w:r>
    </w:p>
    <w:p w:rsidR="00A77962" w:rsidRDefault="007C3C2A" w:rsidP="009F0E40">
      <w:pPr>
        <w:spacing w:line="480" w:lineRule="auto"/>
      </w:pPr>
      <w:r>
        <w:t xml:space="preserve">Simulation studies were carried out to further examine the sensitivity of the JM estimations under several scenarios. Parameters were set based on values estimated from the strongest SNPS associated with T2D, that is rs17747324 in gene </w:t>
      </w:r>
      <w:r>
        <w:rPr>
          <w:i/>
        </w:rPr>
        <w:t>TCF7L2</w:t>
      </w:r>
      <w:r>
        <w:t xml:space="preserve"> (</w:t>
      </w:r>
      <w:r w:rsidR="00B2336B">
        <w:t>Table I</w:t>
      </w:r>
      <w:r>
        <w:t xml:space="preserve">) (C; </w:t>
      </w:r>
      <m:oMath>
        <m:r>
          <w:rPr>
            <w:rFonts w:ascii="Cambria Math" w:hAnsi="Cambria Math"/>
          </w:rPr>
          <m:t>OR=1.43</m:t>
        </m:r>
      </m:oMath>
      <w:r>
        <w:t xml:space="preserve">; </w:t>
      </w:r>
      <m:oMath>
        <m:r>
          <w:rPr>
            <w:rFonts w:ascii="Cambria Math" w:hAnsi="Cambria Math"/>
          </w:rPr>
          <m:t>p=8.5×</m:t>
        </m:r>
        <m:sSup>
          <m:sSupPr>
            <m:ctrlPr>
              <w:rPr>
                <w:rFonts w:ascii="Cambria Math" w:hAnsi="Cambria Math"/>
              </w:rPr>
            </m:ctrlPr>
          </m:sSupPr>
          <m:e>
            <m:r>
              <w:rPr>
                <w:rFonts w:ascii="Cambria Math" w:hAnsi="Cambria Math"/>
              </w:rPr>
              <m:t>10</m:t>
            </m:r>
          </m:e>
          <m:sup>
            <m:r>
              <w:rPr>
                <w:rFonts w:ascii="Cambria Math" w:hAnsi="Cambria Math"/>
              </w:rPr>
              <m:t>-55</m:t>
            </m:r>
          </m:sup>
        </m:sSup>
      </m:oMath>
      <w:r>
        <w:t xml:space="preserve"> (Morris et al., 2012); FG C; </w:t>
      </w:r>
      <m:oMath>
        <m:r>
          <w:rPr>
            <w:rFonts w:ascii="Cambria Math" w:hAnsi="Cambria Math"/>
          </w:rPr>
          <m:t>β=0.025</m:t>
        </m:r>
      </m:oMath>
      <w:r>
        <w:t xml:space="preserve">; </w:t>
      </w:r>
      <m:oMath>
        <m:r>
          <w:rPr>
            <w:rFonts w:ascii="Cambria Math" w:hAnsi="Cambria Math"/>
          </w:rPr>
          <m:t>p=6.47×</m:t>
        </m:r>
        <m:sSup>
          <m:sSupPr>
            <m:ctrlPr>
              <w:rPr>
                <w:rFonts w:ascii="Cambria Math" w:hAnsi="Cambria Math"/>
              </w:rPr>
            </m:ctrlPr>
          </m:sSupPr>
          <m:e>
            <m:r>
              <w:rPr>
                <w:rFonts w:ascii="Cambria Math" w:hAnsi="Cambria Math"/>
              </w:rPr>
              <m:t>10</m:t>
            </m:r>
          </m:e>
          <m:sup>
            <m:r>
              <w:rPr>
                <w:rFonts w:ascii="Cambria Math" w:hAnsi="Cambria Math"/>
              </w:rPr>
              <m:t>-08</m:t>
            </m:r>
          </m:sup>
        </m:sSup>
      </m:oMath>
      <w:r>
        <w:t xml:space="preserve"> (Dupuis et al., 2010)).</w:t>
      </w:r>
    </w:p>
    <w:p w:rsidR="00A77962" w:rsidRDefault="007C3C2A" w:rsidP="009F0E40">
      <w:pPr>
        <w:pStyle w:val="Corpsdetexte"/>
        <w:spacing w:line="480" w:lineRule="auto"/>
      </w:pPr>
      <w:r>
        <w:lastRenderedPageBreak/>
        <w:t>Longitudinal data were simulated according to Equation (3), while event times were generated from an exponential distribution for the CoxPH model (Austin, 2012)</w:t>
      </w:r>
    </w:p>
    <w:p w:rsidR="00A77962" w:rsidRDefault="007C3C2A" w:rsidP="009F0E40">
      <w:pPr>
        <w:pStyle w:val="Corpsdetexte"/>
        <w:spacing w:line="480" w:lineRule="auto"/>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(t)=λ        (5)</m:t>
          </m:r>
        </m:oMath>
      </m:oMathPara>
    </w:p>
    <w:p w:rsidR="00A77962" w:rsidRDefault="007C3C2A" w:rsidP="009F0E40">
      <w:pPr>
        <w:spacing w:line="480"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i</m:t>
                  </m:r>
                </m:sub>
              </m:sSub>
            </m:sup>
            <m:e>
              <m:r>
                <w:rPr>
                  <w:rFonts w:ascii="Cambria Math" w:hAnsi="Cambria Math"/>
                </w:rPr>
                <m:t>λ</m:t>
              </m:r>
            </m:e>
          </m:nary>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)dt        (6)</m:t>
          </m:r>
        </m:oMath>
      </m:oMathPara>
    </w:p>
    <w:p w:rsidR="00A77962" w:rsidRDefault="007C3C2A" w:rsidP="009F0E40">
      <w:pPr>
        <w:spacing w:line="48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1i</m:t>
                  </m:r>
                </m:sub>
              </m:sSub>
            </m:den>
          </m:f>
          <m:r>
            <m:rPr>
              <m:sty m:val="p"/>
            </m:rPr>
            <w:rPr>
              <w:rFonts w:ascii="Cambria Math" w:hAnsi="Cambria Math"/>
            </w:rPr>
            <m:t>log</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1i</m:t>
                      </m:r>
                    </m:sub>
                  </m:sSub>
                  <m:r>
                    <w:rPr>
                      <w:rFonts w:ascii="Cambria Math" w:hAnsi="Cambria Math"/>
                    </w:rPr>
                    <m:t>×</m:t>
                  </m:r>
                  <m:r>
                    <m:rPr>
                      <m:sty m:val="p"/>
                    </m:rPr>
                    <w:rPr>
                      <w:rFonts w:ascii="Cambria Math" w:hAnsi="Cambria Math"/>
                    </w:rPr>
                    <m:t>log</m:t>
                  </m:r>
                  <m:r>
                    <w:rPr>
                      <w:rFonts w:ascii="Cambria Math" w:hAnsi="Cambria Math"/>
                    </w:rPr>
                    <m:t>(1-u)</m:t>
                  </m:r>
                </m:num>
                <m:den>
                  <m:r>
                    <w:rPr>
                      <w:rFonts w:ascii="Cambria Math" w:hAnsi="Cambria Math"/>
                    </w:rPr>
                    <m:t>λ</m:t>
                  </m:r>
                  <m:r>
                    <m:rPr>
                      <m:sty m:val="p"/>
                    </m:rPr>
                    <w:rPr>
                      <w:rFonts w:ascii="Cambria Math" w:hAnsi="Cambria Math"/>
                    </w:rPr>
                    <m:t>exp</m:t>
                  </m:r>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0i</m:t>
                      </m:r>
                    </m:sub>
                  </m:sSub>
                  <m:r>
                    <w:rPr>
                      <w:rFonts w:ascii="Cambria Math" w:hAnsi="Cambria Math"/>
                    </w:rPr>
                    <m:t>+(βγ+α)</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en>
              </m:f>
            </m:e>
          </m:d>
          <m:r>
            <w:rPr>
              <w:rFonts w:ascii="Cambria Math" w:hAnsi="Cambria Math"/>
            </w:rPr>
            <m:t>        (7)</m:t>
          </m:r>
        </m:oMath>
      </m:oMathPara>
    </w:p>
    <w:p w:rsidR="00A77962" w:rsidRDefault="007C3C2A" w:rsidP="009F0E40">
      <w:pPr>
        <w:spacing w:line="480" w:lineRule="auto"/>
      </w:pPr>
      <w:r>
        <w:t xml:space="preserve">where </w:t>
      </w:r>
      <m:oMath>
        <m:r>
          <w:rPr>
            <w:rFonts w:ascii="Cambria Math" w:hAnsi="Cambria Math"/>
          </w:rPr>
          <m:t>λ</m:t>
        </m:r>
      </m:oMath>
      <w:r>
        <w:t xml:space="preserve"> was set to achieve the targeted incidence rate in the simulated dataset.</w:t>
      </w:r>
      <w:r>
        <w:br/>
        <w:t xml:space="preserve">Datasets were simulated by varying the number of longitudinal measurements </w:t>
      </w:r>
      <m:oMath>
        <m:r>
          <w:rPr>
            <w:rFonts w:ascii="Cambria Math" w:hAnsi="Cambria Math"/>
          </w:rPr>
          <m:t>m∈{2;3;4;5}</m:t>
        </m:r>
      </m:oMath>
      <w:r>
        <w:t xml:space="preserve">, the number of subjects </w:t>
      </w:r>
      <m:oMath>
        <m:r>
          <w:rPr>
            <w:rFonts w:ascii="Cambria Math" w:hAnsi="Cambria Math"/>
          </w:rPr>
          <m:t>n∈{500;1,000;2,500;5,000;10,000}</m:t>
        </m:r>
      </m:oMath>
      <w:r>
        <w:t xml:space="preserve">, the allele frequency </w:t>
      </w:r>
      <m:oMath>
        <m:r>
          <w:rPr>
            <w:rFonts w:ascii="Cambria Math" w:hAnsi="Cambria Math"/>
          </w:rPr>
          <m:t>f∈{0.05;0.1;0.25;0.5}</m:t>
        </m:r>
      </m:oMath>
      <w:r>
        <w:t xml:space="preserve"> and the incidence rate </w:t>
      </w:r>
      <m:oMath>
        <m:r>
          <w:rPr>
            <w:rFonts w:ascii="Cambria Math" w:hAnsi="Cambria Math"/>
          </w:rPr>
          <m:t>d∈{0.025;0.05;0.1}</m:t>
        </m:r>
      </m:oMath>
      <w:r>
        <w:t>, thereby leading to 240 different scenarios. Each scenario was simulated 500 times.</w:t>
      </w:r>
    </w:p>
    <w:p w:rsidR="00A77962" w:rsidRDefault="007C3C2A" w:rsidP="009F0E40">
      <w:pPr>
        <w:pStyle w:val="Corpsdetexte"/>
        <w:spacing w:line="480" w:lineRule="auto"/>
      </w:pPr>
      <w:r>
        <w:t>The Root-Mean Square Error (RMSE)</w:t>
      </w:r>
    </w:p>
    <w:p w:rsidR="00A77962" w:rsidRDefault="007C3C2A" w:rsidP="009F0E40">
      <w:pPr>
        <w:pStyle w:val="Corpsdetexte"/>
        <w:spacing w:line="480" w:lineRule="auto"/>
      </w:pPr>
      <m:oMathPara>
        <m:oMathParaPr>
          <m:jc m:val="center"/>
        </m:oMathParaPr>
        <m:oMath>
          <m:r>
            <m:rPr>
              <m:sty m:val="p"/>
            </m:rPr>
            <w:rPr>
              <w:rFonts w:ascii="Cambria Math" w:hAnsi="Cambria Math"/>
            </w:rPr>
            <m:t>RMSE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rad>
            <m:radPr>
              <m:degHide m:val="1"/>
              <m:ctrlPr>
                <w:rPr>
                  <w:rFonts w:ascii="Cambria Math" w:hAnsi="Cambria Math"/>
                </w:rPr>
              </m:ctrlPr>
            </m:radPr>
            <m:deg/>
            <m:e>
              <m:r>
                <w:rPr>
                  <w:rFonts w:ascii="Cambria Math" w:hAnsi="Cambria Math"/>
                </w:rPr>
                <m:t>E((</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rad>
          <m:r>
            <w:rPr>
              <w:rFonts w:ascii="Cambria Math" w:hAnsi="Cambria Math"/>
            </w:rPr>
            <m:t>        (8)</m:t>
          </m:r>
        </m:oMath>
      </m:oMathPara>
    </w:p>
    <w:p w:rsidR="00A77962" w:rsidRDefault="007C3C2A" w:rsidP="009F0E40">
      <w:pPr>
        <w:spacing w:line="480" w:lineRule="auto"/>
      </w:pPr>
      <w:r>
        <w:t xml:space="preserve">was used to assess precision for estimation of </w:t>
      </w:r>
      <m:oMath>
        <m:r>
          <w:rPr>
            <w:rFonts w:ascii="Cambria Math" w:hAnsi="Cambria Math"/>
          </w:rPr>
          <m:t>β</m:t>
        </m:r>
      </m:oMath>
      <w:r>
        <w:t xml:space="preserve">, </w:t>
      </w:r>
      <m:oMath>
        <m:r>
          <w:rPr>
            <w:rFonts w:ascii="Cambria Math" w:hAnsi="Cambria Math"/>
          </w:rPr>
          <m:t>γ</m:t>
        </m:r>
      </m:oMath>
      <w:r>
        <w:t xml:space="preserve"> and </w:t>
      </w:r>
      <m:oMath>
        <m:r>
          <w:rPr>
            <w:rFonts w:ascii="Cambria Math" w:hAnsi="Cambria Math"/>
          </w:rPr>
          <m:t>α</m:t>
        </m:r>
      </m:oMath>
      <w:r>
        <w:t xml:space="preserve">, when testing association between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effect on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effect on </w:t>
      </w:r>
      <m:oMath>
        <m:sSub>
          <m:sSubPr>
            <m:ctrlPr>
              <w:rPr>
                <w:rFonts w:ascii="Cambria Math" w:hAnsi="Cambria Math"/>
              </w:rPr>
            </m:ctrlPr>
          </m:sSubPr>
          <m:e>
            <m:r>
              <w:rPr>
                <w:rFonts w:ascii="Cambria Math" w:hAnsi="Cambria Math"/>
              </w:rPr>
              <m:t>T</m:t>
            </m:r>
          </m:e>
          <m:sub>
            <m:r>
              <w:rPr>
                <w:rFonts w:ascii="Cambria Math" w:hAnsi="Cambria Math"/>
              </w:rPr>
              <m:t>i</m:t>
            </m:r>
          </m:sub>
        </m:sSub>
      </m:oMath>
      <w:r>
        <w:t>, respectively. We compared JM and TS approaches with the linear mixed effect model and the Cox regression model with time-varying covariate. Power and Type I error were computed for each model. The computational burden of each approach was also investigated as our goal is to implement all of these at a genome-wide scale.</w:t>
      </w:r>
    </w:p>
    <w:p w:rsidR="00A77962" w:rsidRDefault="007C3C2A" w:rsidP="009F0E40">
      <w:pPr>
        <w:pStyle w:val="Titre2"/>
        <w:spacing w:line="480" w:lineRule="auto"/>
      </w:pPr>
      <w:bookmarkStart w:id="9" w:name="computational-times"/>
      <w:bookmarkEnd w:id="9"/>
      <w:r>
        <w:lastRenderedPageBreak/>
        <w:t>Computational times</w:t>
      </w:r>
    </w:p>
    <w:p w:rsidR="00A77962" w:rsidRDefault="007C3C2A" w:rsidP="009F0E40">
      <w:pPr>
        <w:spacing w:line="480" w:lineRule="auto"/>
      </w:pPr>
      <w:r>
        <w:t xml:space="preserve">Based on our simulations, we provide approximate computational times for four sample sizes with parameters as listed in </w:t>
      </w:r>
      <w:r w:rsidR="00B2336B">
        <w:t>Table I</w:t>
      </w:r>
      <w:r>
        <w:t xml:space="preserve">, when using an UNIX system with Intel® Xeon® CPU E7- 4870 @ 2.40GHz (80 such CPUs available computing in parallel). </w:t>
      </w:r>
      <w:r w:rsidR="00B2336B">
        <w:t>Table III</w:t>
      </w:r>
      <w:r>
        <w:t xml:space="preserve"> shows computational time for one model, and when extrapolating the total computational time for 100,000 SNPs, which is the approximate number of SNPs on the Metabochip, after we applied data cleaning and the quality-control over common SNPs (minor allele frequency &gt; 0.05).</w:t>
      </w:r>
    </w:p>
    <w:p w:rsidR="00A77962" w:rsidRDefault="007C3C2A" w:rsidP="009F0E40">
      <w:pPr>
        <w:pStyle w:val="Titre2"/>
        <w:spacing w:line="480" w:lineRule="auto"/>
      </w:pPr>
      <w:bookmarkStart w:id="10" w:name="real-data"/>
      <w:bookmarkEnd w:id="10"/>
      <w:r>
        <w:t>Real Data</w:t>
      </w:r>
    </w:p>
    <w:p w:rsidR="00A77962" w:rsidRDefault="007C3C2A" w:rsidP="009F0E40">
      <w:pPr>
        <w:spacing w:line="480" w:lineRule="auto"/>
      </w:pPr>
      <w:r>
        <w:t xml:space="preserve">SNP genotyping was performed with Metabochip DNA arrays (Voight et al., 2012) using Illumina HiScan technology and GenomeStudio software (Illumina, San Diego, USA) in 5,212 subjects from the French cohort D.E.S.I.R. (Balkau, 1996). These subjects have been followed up for 9 years, and extensive phenotypic data has been recorded at 4 different times during that follow-up. Quality control was performed using PLINK 1.90 beta version (Chang et al., 2015; Purcell &amp; Chang, 2015). SNPs with call rate greater or equal to 95%, with no significant deviation from Hardy-Weinberg equilibrium at </w:t>
      </w:r>
      <m:oMath>
        <m:r>
          <w:rPr>
            <w:rFonts w:ascii="Cambria Math" w:hAnsi="Cambria Math"/>
          </w:rPr>
          <m:t>p&gt;1×</m:t>
        </m:r>
        <m:sSup>
          <m:sSupPr>
            <m:ctrlPr>
              <w:rPr>
                <w:rFonts w:ascii="Cambria Math" w:hAnsi="Cambria Math"/>
              </w:rPr>
            </m:ctrlPr>
          </m:sSupPr>
          <m:e>
            <m:r>
              <w:rPr>
                <w:rFonts w:ascii="Cambria Math" w:hAnsi="Cambria Math"/>
              </w:rPr>
              <m:t>10</m:t>
            </m:r>
          </m:e>
          <m:sup>
            <m:r>
              <w:rPr>
                <w:rFonts w:ascii="Cambria Math" w:hAnsi="Cambria Math"/>
              </w:rPr>
              <m:t>-5</m:t>
            </m:r>
          </m:sup>
        </m:sSup>
      </m:oMath>
      <w:r>
        <w:t>, and with minor allele frequency (MAF) over 5% were kept for analysis, resulting in 101,305 SNPs. Due to missing phenotypes which did not allow to confirm T2D status, 232 subjects were removed. An additional 554 subjects were excluded due to individual call rate lower than 95%, leaving 4,426 subjects for analysis after these quality control steps (Figure 1).</w:t>
      </w:r>
    </w:p>
    <w:p w:rsidR="00A77962" w:rsidRDefault="007C3C2A" w:rsidP="009F0E40">
      <w:pPr>
        <w:pStyle w:val="Corpsdetexte"/>
        <w:spacing w:line="480" w:lineRule="auto"/>
      </w:pPr>
      <w:r>
        <w:t xml:space="preserve">Principal component analysis was performed in a combined dataset comprised of the 4,426 subjects, and of the subjects from the publicly available 1,000 Genomes database (The 1000 </w:t>
      </w:r>
      <w:r>
        <w:lastRenderedPageBreak/>
        <w:t>Genomes Project Consortium, 2015). SNPS retained for analysis were restricted to those common in both samples. The first two components were sufficient to discriminate ethnic origin. Non-Caucasian subjects (62) were excluded from the analysis. A further 12 prevalent T2D cases at baseline were also removed.</w:t>
      </w:r>
      <w:r>
        <w:br/>
        <w:t>The final dataset included 4,352 subjects, of which 167 were diagnosed as T2D incident cases.</w:t>
      </w:r>
    </w:p>
    <w:p w:rsidR="00A77962" w:rsidRDefault="007C3C2A" w:rsidP="009F0E40">
      <w:pPr>
        <w:pStyle w:val="Corpsdetexte"/>
        <w:spacing w:line="480" w:lineRule="auto"/>
      </w:pPr>
      <w:r>
        <w:t xml:space="preserve">Using the joint modelling approach implemented in the package JM (Rizopoulos, 2010, 2016) within R software version 3.3.3 (R Core Team, 2015), all 101,305 SNPs were tested for joint association with blood fasting glucose and T2D. Based on the joint modelling formulation (see in Equations (3) and (4)), let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denote the observed values of blood fasting glucose (FG), and let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represent the genotype of individual </w:t>
      </w:r>
      <m:oMath>
        <m:r>
          <w:rPr>
            <w:rFonts w:ascii="Cambria Math" w:hAnsi="Cambria Math"/>
          </w:rPr>
          <m:t>i</m:t>
        </m:r>
      </m:oMath>
      <w:r>
        <w:t xml:space="preserve"> at each SNP, along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covariates such as age, sex and BMI. Finally, 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the time at which a subject is diagnosed with T2D.</w:t>
      </w:r>
      <w:r>
        <w:br/>
        <w:t>As illustrated in Figure 2, the association between each SNP and the FG longitudinal values is captured through the parameter (</w:t>
      </w:r>
      <m:oMath>
        <m:r>
          <w:rPr>
            <w:rFonts w:ascii="Cambria Math" w:hAnsi="Cambria Math"/>
          </w:rPr>
          <m:t>γ</m:t>
        </m:r>
      </m:oMath>
      <w:r>
        <w:t xml:space="preserve">); association between each SNP and the time at onset of T2D is captured through the parameter </w:t>
      </w:r>
      <m:oMath>
        <m:r>
          <w:rPr>
            <w:rFonts w:ascii="Cambria Math" w:hAnsi="Cambria Math"/>
          </w:rPr>
          <m:t>α</m:t>
        </m:r>
      </m:oMath>
      <w:r>
        <w:t xml:space="preserve">; the association between the longitudinal values of FG and the onset of T2D is assessed using the parameter </w:t>
      </w:r>
      <m:oMath>
        <m:r>
          <w:rPr>
            <w:rFonts w:ascii="Cambria Math" w:hAnsi="Cambria Math"/>
          </w:rPr>
          <m:t>β</m:t>
        </m:r>
      </m:oMath>
      <w:r>
        <w:t>. By convention, a subject is diagnosed diabetic if his/her measured value of FG is above 7.0 mmol/L and/or is under lowering glycaemia treatment. In the joint modelling framework, the trajectory of FG is viewed as a dropout process, since all FG values become missing after T2D diagnosis, as a result of diabetic subjects being placed under treatment to lower and regulate the glucose level in their blood. In this case, FG is considered as an endogenous covariate, because the dropout process is not independent from the measured glucose values prior to T2D diagnosis.</w:t>
      </w:r>
    </w:p>
    <w:p w:rsidR="00A77962" w:rsidRDefault="007C3C2A" w:rsidP="009F0E40">
      <w:pPr>
        <w:pStyle w:val="Titre1"/>
        <w:spacing w:line="480" w:lineRule="auto"/>
      </w:pPr>
      <w:bookmarkStart w:id="11" w:name="results"/>
      <w:bookmarkEnd w:id="11"/>
      <w:r>
        <w:lastRenderedPageBreak/>
        <w:t>Results</w:t>
      </w:r>
    </w:p>
    <w:p w:rsidR="00A77962" w:rsidRDefault="007C3C2A" w:rsidP="009F0E40">
      <w:pPr>
        <w:pStyle w:val="Titre2"/>
        <w:spacing w:line="480" w:lineRule="auto"/>
      </w:pPr>
      <w:bookmarkStart w:id="12" w:name="comparison-of-estimation-accuracy"/>
      <w:bookmarkEnd w:id="12"/>
      <w:r>
        <w:t>Comparison of estimation accuracy</w:t>
      </w:r>
    </w:p>
    <w:p w:rsidR="00A77962" w:rsidRDefault="007C3C2A" w:rsidP="009F0E40">
      <w:pPr>
        <w:spacing w:line="480" w:lineRule="auto"/>
      </w:pPr>
      <w:r>
        <w:t xml:space="preserve">We explored the influence of several factors on the estimator accuracy when using a linear mixed effect model (LME) to estimate </w:t>
      </w:r>
      <m:oMath>
        <m:r>
          <w:rPr>
            <w:rFonts w:ascii="Cambria Math" w:hAnsi="Cambria Math"/>
          </w:rPr>
          <m:t>γ</m:t>
        </m:r>
      </m:oMath>
      <w:r>
        <w:t xml:space="preserve">, and when using a Cox regression model with time-varying covariate (CoxPH) to estimate </w:t>
      </w:r>
      <m:oMath>
        <m:r>
          <w:rPr>
            <w:rFonts w:ascii="Cambria Math" w:hAnsi="Cambria Math"/>
          </w:rPr>
          <m:t>β</m:t>
        </m:r>
      </m:oMath>
      <w:r>
        <w:t xml:space="preserve"> and </w:t>
      </w:r>
      <m:oMath>
        <m:r>
          <w:rPr>
            <w:rFonts w:ascii="Cambria Math" w:hAnsi="Cambria Math"/>
          </w:rPr>
          <m:t>α</m:t>
        </m:r>
      </m:oMath>
      <w:r>
        <w:t>, and compared it with the accuracy as obtained under the joint modelling approach (JM) and its Two-Step approximation (TS). For each simulated scenario, we measured the root-mean-square error (RMSE) for all three parameters of interest (</w:t>
      </w:r>
      <m:oMath>
        <m:r>
          <w:rPr>
            <w:rFonts w:ascii="Cambria Math" w:hAnsi="Cambria Math"/>
          </w:rPr>
          <m:t>γ</m:t>
        </m:r>
      </m:oMath>
      <w:r>
        <w:t xml:space="preserve">, </w:t>
      </w:r>
      <m:oMath>
        <m:r>
          <w:rPr>
            <w:rFonts w:ascii="Cambria Math" w:hAnsi="Cambria Math"/>
          </w:rPr>
          <m:t>β</m:t>
        </m:r>
      </m:oMath>
      <w:r>
        <w:t xml:space="preserve"> and </w:t>
      </w:r>
      <m:oMath>
        <m:r>
          <w:rPr>
            <w:rFonts w:ascii="Cambria Math" w:hAnsi="Cambria Math"/>
          </w:rPr>
          <m:t>α</m:t>
        </m:r>
      </m:oMath>
      <w:r>
        <w:t>).</w:t>
      </w:r>
    </w:p>
    <w:p w:rsidR="00A77962" w:rsidRDefault="007C3C2A" w:rsidP="009F0E40">
      <w:pPr>
        <w:pStyle w:val="Corpsdetexte"/>
        <w:spacing w:line="480" w:lineRule="auto"/>
      </w:pPr>
      <w:r>
        <w:t>Due to the complexity of the estimating algorithm within JM, convergence could not be obtained (</w:t>
      </w:r>
      <m:oMath>
        <m:r>
          <w:rPr>
            <w:rFonts w:ascii="Cambria Math" w:hAnsi="Cambria Math"/>
          </w:rPr>
          <m:t>4.53±5.81</m:t>
        </m:r>
      </m:oMath>
      <w:r>
        <w:t>% of convergence issues in average per scenario) for the whole set of 500 simulations (i.e. algorithm “piecewise-PH-aGH” for a time-dependent relative risk model with a piecewise constant baseline risk function, using the adaptive Gauss-Hermite quadrature rule to approximate integrals within the Expectation-Maximisation (EM) step).</w:t>
      </w:r>
    </w:p>
    <w:p w:rsidR="00A77962" w:rsidRDefault="007C3C2A" w:rsidP="009F0E40">
      <w:pPr>
        <w:pStyle w:val="Corpsdetexte"/>
        <w:spacing w:line="480" w:lineRule="auto"/>
      </w:pPr>
      <w:r>
        <w:t xml:space="preserve">RMSE for parameter </w:t>
      </w:r>
      <m:oMath>
        <m:r>
          <w:rPr>
            <w:rFonts w:ascii="Cambria Math" w:hAnsi="Cambria Math"/>
          </w:rPr>
          <m:t>γ</m:t>
        </m:r>
      </m:oMath>
      <w:r>
        <w:t xml:space="preserve"> (Figure 3) showed performance quite similar between JM and TS, which was expected given the formulation of the joint model within the "Shared Parameter Models" framework, in which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(mean of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modelled within LME according to Equation (3)) links the longitudinal data to the time of event.</w:t>
      </w:r>
    </w:p>
    <w:p w:rsidR="00A77962" w:rsidRDefault="007C3C2A" w:rsidP="009F0E40">
      <w:pPr>
        <w:pStyle w:val="Corpsdetexte"/>
        <w:spacing w:line="480" w:lineRule="auto"/>
      </w:pPr>
      <w:r>
        <w:t xml:space="preserve">RMSE for parameter </w:t>
      </w:r>
      <m:oMath>
        <m:r>
          <w:rPr>
            <w:rFonts w:ascii="Cambria Math" w:hAnsi="Cambria Math"/>
          </w:rPr>
          <m:t>β</m:t>
        </m:r>
      </m:oMath>
      <w:r>
        <w:t xml:space="preserve"> (Figure 4) and for parameter </w:t>
      </w:r>
      <m:oMath>
        <m:r>
          <w:rPr>
            <w:rFonts w:ascii="Cambria Math" w:hAnsi="Cambria Math"/>
          </w:rPr>
          <m:t>α</m:t>
        </m:r>
      </m:oMath>
      <w:r>
        <w:t xml:space="preserve"> (Figure 5) was smaller within the joint modelling framework (either JM or TS) than within the more classical CoxPH model. While RMSE for </w:t>
      </w:r>
      <m:oMath>
        <m:r>
          <w:rPr>
            <w:rFonts w:ascii="Cambria Math" w:hAnsi="Cambria Math"/>
          </w:rPr>
          <m:t>β</m:t>
        </m:r>
      </m:oMath>
      <w:r>
        <w:t xml:space="preserve"> was uniformly the same in the CoxPH model across all scenarios, under JM or TS it decreased whenever any of the sample size, incidence rate or allele frequency increases.</w:t>
      </w:r>
    </w:p>
    <w:p w:rsidR="00A77962" w:rsidRDefault="007C3C2A" w:rsidP="009F0E40">
      <w:pPr>
        <w:pStyle w:val="Corpsdetexte"/>
        <w:spacing w:line="480" w:lineRule="auto"/>
      </w:pPr>
      <w:r>
        <w:lastRenderedPageBreak/>
        <w:t xml:space="preserve">Differences in RMSE for parameter </w:t>
      </w:r>
      <m:oMath>
        <m:r>
          <w:rPr>
            <w:rFonts w:ascii="Cambria Math" w:hAnsi="Cambria Math"/>
          </w:rPr>
          <m:t>α</m:t>
        </m:r>
      </m:oMath>
      <w:r>
        <w:t xml:space="preserve"> were less important than for parameter </w:t>
      </w:r>
      <m:oMath>
        <m:r>
          <w:rPr>
            <w:rFonts w:ascii="Cambria Math" w:hAnsi="Cambria Math"/>
          </w:rPr>
          <m:t>β</m:t>
        </m:r>
      </m:oMath>
      <w:r>
        <w:t>, where TS performed as equally well as CoxPH with time-dependent covariate, probably because partial likelihood inferences were used in both approaches. JM estimations were less biased in almost all scenarios when the sample size was greater than 2,500.</w:t>
      </w:r>
    </w:p>
    <w:p w:rsidR="00A77962" w:rsidRDefault="007C3C2A" w:rsidP="009F0E40">
      <w:pPr>
        <w:pStyle w:val="Corpsdetexte"/>
        <w:spacing w:line="480" w:lineRule="auto"/>
      </w:pPr>
      <w:r>
        <w:t xml:space="preserve">Overall, our simulations revealed that JM is less biased than when separate approaches are used to model the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on the longitudinal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and on the time-to-event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While separate approaches performed well for parameters </w:t>
      </w:r>
      <m:oMath>
        <m:r>
          <w:rPr>
            <w:rFonts w:ascii="Cambria Math" w:hAnsi="Cambria Math"/>
          </w:rPr>
          <m:t>γ</m:t>
        </m:r>
      </m:oMath>
      <w:r>
        <w:t xml:space="preserve"> and </w:t>
      </w:r>
      <m:oMath>
        <m:r>
          <w:rPr>
            <w:rFonts w:ascii="Cambria Math" w:hAnsi="Cambria Math"/>
          </w:rPr>
          <m:t>α</m:t>
        </m:r>
      </m:oMath>
      <w:r>
        <w:t xml:space="preserve">, the bias for </w:t>
      </w:r>
      <m:oMath>
        <m:r>
          <w:rPr>
            <w:rFonts w:ascii="Cambria Math" w:hAnsi="Cambria Math"/>
          </w:rPr>
          <m:t>β</m:t>
        </m:r>
      </m:oMath>
      <w:r>
        <w:t xml:space="preserve"> was the greatest observed across all scenarios.</w:t>
      </w:r>
    </w:p>
    <w:p w:rsidR="00A77962" w:rsidRDefault="007C3C2A" w:rsidP="009F0E40">
      <w:pPr>
        <w:pStyle w:val="Corpsdetexte"/>
        <w:spacing w:line="480" w:lineRule="auto"/>
      </w:pPr>
      <w:r>
        <w:t>In addition, statistical power and type I error were also studied (</w:t>
      </w:r>
      <w:r w:rsidR="00B2336B">
        <w:t>Table II</w:t>
      </w:r>
      <w:r>
        <w:t>), for the default simulation settings (</w:t>
      </w:r>
      <w:r w:rsidR="00B2336B">
        <w:t>Table I</w:t>
      </w:r>
      <w:r>
        <w:t>), and showed similar results between JM and TS. Nevertheless, the latter simulations highlighted convergence issues that might occur within the joint likelihood approach (19.4% of the power simulation study).</w:t>
      </w:r>
    </w:p>
    <w:p w:rsidR="00A77962" w:rsidRDefault="007C3C2A" w:rsidP="009F0E40">
      <w:pPr>
        <w:pStyle w:val="Titre2"/>
        <w:spacing w:line="480" w:lineRule="auto"/>
      </w:pPr>
      <w:bookmarkStart w:id="13" w:name="computational-time"/>
      <w:bookmarkEnd w:id="13"/>
      <w:r>
        <w:t>Computational time</w:t>
      </w:r>
    </w:p>
    <w:p w:rsidR="00A77962" w:rsidRDefault="007C3C2A" w:rsidP="009F0E40">
      <w:pPr>
        <w:spacing w:line="480" w:lineRule="auto"/>
      </w:pPr>
      <w:r>
        <w:t xml:space="preserve">Computational times are reported in </w:t>
      </w:r>
      <w:r w:rsidR="00B2336B">
        <w:t>Table III</w:t>
      </w:r>
      <w:r>
        <w:t>. We observed that the time required to complete JM or TS algorithms increases linearly with respect to sample size in our simulations. However, these figures are very optimistic since our simulations did not include any covariate or more complex random parameter.</w:t>
      </w:r>
    </w:p>
    <w:p w:rsidR="00A77962" w:rsidRDefault="007C3C2A" w:rsidP="009F0E40">
      <w:pPr>
        <w:pStyle w:val="Corpsdetexte"/>
        <w:spacing w:line="480" w:lineRule="auto"/>
      </w:pPr>
      <w:r>
        <w:t>To investigate further computational time issues, we profiled the execution of the main function "</w:t>
      </w:r>
      <w:r>
        <w:rPr>
          <w:i/>
        </w:rPr>
        <w:t>jointmodel</w:t>
      </w:r>
      <w:r>
        <w:t>" from the R package "JM", which implements the joint likelihood modelling approach as described in this paper. In the "JM" package, the linear mixed effect sub-model is handled by the function "</w:t>
      </w:r>
      <w:r>
        <w:rPr>
          <w:i/>
        </w:rPr>
        <w:t>lme</w:t>
      </w:r>
      <w:r>
        <w:t xml:space="preserve">" from the "nlme" package. One may argue that using a faster approach, e.g. as </w:t>
      </w:r>
      <w:r>
        <w:lastRenderedPageBreak/>
        <w:t>implemented in the R package "lme4", the computational time might be decreased. As shown in Figure 6, the main issue is within the "</w:t>
      </w:r>
      <w:r>
        <w:rPr>
          <w:i/>
        </w:rPr>
        <w:t>jointmodel</w:t>
      </w:r>
      <w:r>
        <w:t>" function which took over 95 % of the global computation time. After examination of the call tree diagram, we can see that the more time-consuming task within the "</w:t>
      </w:r>
      <w:r>
        <w:rPr>
          <w:i/>
        </w:rPr>
        <w:t>jointmodel</w:t>
      </w:r>
      <w:r>
        <w:t>" function is the optimisation of the EM algorithm (described in Rizopoulos (2012), Appendix B), despite the use of a calculation tricks (i.e. adaptive Gauss-Hermite quadrature for numerical integration).</w:t>
      </w:r>
    </w:p>
    <w:p w:rsidR="00A77962" w:rsidRDefault="007C3C2A" w:rsidP="009F0E40">
      <w:pPr>
        <w:pStyle w:val="Titre2"/>
        <w:spacing w:line="480" w:lineRule="auto"/>
      </w:pPr>
      <w:bookmarkStart w:id="14" w:name="application-in-real-data"/>
      <w:bookmarkEnd w:id="14"/>
      <w:r>
        <w:t>Application in real data</w:t>
      </w:r>
    </w:p>
    <w:p w:rsidR="00A77962" w:rsidRDefault="007C3C2A" w:rsidP="009F0E40">
      <w:pPr>
        <w:spacing w:line="480" w:lineRule="auto"/>
      </w:pPr>
      <w:r>
        <w:t xml:space="preserve">Applying R package JM to our D.E.S.I.R. cleaned dataset lead to 265 SNPs (Figure 7) which were globally associated (with p-value&lt;0.05) with FG and T2D event through their respective parameters </w:t>
      </w:r>
      <m:oMath>
        <m:r>
          <w:rPr>
            <w:rFonts w:ascii="Cambria Math" w:hAnsi="Cambria Math"/>
          </w:rPr>
          <m:t>γ</m:t>
        </m:r>
      </m:oMath>
      <w:r>
        <w:t xml:space="preserve"> and </w:t>
      </w:r>
      <m:oMath>
        <m:r>
          <w:rPr>
            <w:rFonts w:ascii="Cambria Math" w:hAnsi="Cambria Math"/>
          </w:rPr>
          <m:t>α</m:t>
        </m:r>
      </m:oMath>
      <w:r>
        <w:t>.</w:t>
      </w:r>
      <w:r>
        <w:br/>
        <w:t>Amongst these 265 SNPs (163 unique genes), we identified 17 genes (</w:t>
      </w:r>
      <w:r w:rsidR="00B2336B">
        <w:t>Table IV</w:t>
      </w:r>
      <w:r>
        <w:t>) which were already reported to be associated with FG and/or T2D risk.</w:t>
      </w:r>
    </w:p>
    <w:p w:rsidR="00A77962" w:rsidRDefault="007C3C2A" w:rsidP="009F0E40">
      <w:pPr>
        <w:pStyle w:val="Corpsdetexte"/>
        <w:spacing w:line="480" w:lineRule="auto"/>
      </w:pPr>
      <w:r>
        <w:t xml:space="preserve">In Figure 8, we specifically focused on parameters </w:t>
      </w:r>
      <m:oMath>
        <m:r>
          <w:rPr>
            <w:rFonts w:ascii="Cambria Math" w:hAnsi="Cambria Math"/>
          </w:rPr>
          <m:t>γ</m:t>
        </m:r>
      </m:oMath>
      <w:r>
        <w:t xml:space="preserve"> and </w:t>
      </w:r>
      <m:oMath>
        <m:r>
          <w:rPr>
            <w:rFonts w:ascii="Cambria Math" w:hAnsi="Cambria Math"/>
          </w:rPr>
          <m:t>α</m:t>
        </m:r>
      </m:oMath>
      <w:r>
        <w:t xml:space="preserve">. After Bonferroni correction (nominal p-value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no genetic variants showed a highly significant association with both parameters </w:t>
      </w:r>
      <m:oMath>
        <m:r>
          <w:rPr>
            <w:rFonts w:ascii="Cambria Math" w:hAnsi="Cambria Math"/>
          </w:rPr>
          <m:t>γ</m:t>
        </m:r>
      </m:oMath>
      <w:r>
        <w:t xml:space="preserve"> and </w:t>
      </w:r>
      <m:oMath>
        <m:r>
          <w:rPr>
            <w:rFonts w:ascii="Cambria Math" w:hAnsi="Cambria Math"/>
          </w:rPr>
          <m:t>α</m:t>
        </m:r>
      </m:oMath>
      <w:r>
        <w:t xml:space="preserve"> simultaneously; only SNPs in the following genes (or within a 100 kb window) remained significant when testing for </w:t>
      </w:r>
      <m:oMath>
        <m:r>
          <w:rPr>
            <w:rFonts w:ascii="Cambria Math" w:hAnsi="Cambria Math"/>
          </w:rPr>
          <m:t>γ</m:t>
        </m:r>
      </m:oMath>
      <w:r>
        <w:t xml:space="preserve">: </w:t>
      </w:r>
      <w:r>
        <w:rPr>
          <w:i/>
        </w:rPr>
        <w:t>G6PC2</w:t>
      </w:r>
      <w:r>
        <w:t>/</w:t>
      </w:r>
      <w:r>
        <w:rPr>
          <w:i/>
        </w:rPr>
        <w:t>ABCB11</w:t>
      </w:r>
      <w:r>
        <w:t xml:space="preserve">, </w:t>
      </w:r>
      <w:r>
        <w:rPr>
          <w:i/>
        </w:rPr>
        <w:t>GCK</w:t>
      </w:r>
      <w:r>
        <w:t>/</w:t>
      </w:r>
      <w:r>
        <w:rPr>
          <w:i/>
        </w:rPr>
        <w:t>YKT6</w:t>
      </w:r>
      <w:r>
        <w:t xml:space="preserve">, </w:t>
      </w:r>
      <w:r>
        <w:rPr>
          <w:i/>
        </w:rPr>
        <w:t>GCKR</w:t>
      </w:r>
      <w:r>
        <w:t xml:space="preserve"> and </w:t>
      </w:r>
      <w:r>
        <w:rPr>
          <w:i/>
        </w:rPr>
        <w:t>MTNR1B</w:t>
      </w:r>
      <w:r>
        <w:t xml:space="preserve">, with effect per risk allele of increasing FG from 0.10 mmol/L to 0.047 mmol/L. Zooming in on simultaneous associations with the longitudinal and survival processes revealed well known genes, such as </w:t>
      </w:r>
      <w:r>
        <w:rPr>
          <w:i/>
        </w:rPr>
        <w:t>TCF7L2</w:t>
      </w:r>
      <w:r>
        <w:t>, which was shown in many meta-analyses to be associated with elevated FG and increased risk of T2D (</w:t>
      </w:r>
      <w:r w:rsidR="00B2336B">
        <w:t>Table V</w:t>
      </w:r>
      <w:r>
        <w:t xml:space="preserve">). </w:t>
      </w:r>
      <w:r>
        <w:rPr>
          <w:i/>
        </w:rPr>
        <w:t>MTNR1B</w:t>
      </w:r>
      <w:r>
        <w:t xml:space="preserve"> was also found to be associated (34 SNPs within 30kb) with </w:t>
      </w:r>
      <m:oMath>
        <m:r>
          <w:rPr>
            <w:rFonts w:ascii="Cambria Math" w:hAnsi="Cambria Math"/>
          </w:rPr>
          <m:t>α=-0.44</m:t>
        </m:r>
      </m:oMath>
      <w:r>
        <w:t xml:space="preserve"> (</w:t>
      </w:r>
      <m:oMath>
        <m:r>
          <m:rPr>
            <m:sty m:val="p"/>
          </m:rPr>
          <w:rPr>
            <w:rFonts w:ascii="Cambria Math" w:hAnsi="Cambria Math"/>
          </w:rPr>
          <m:t>p-value</m:t>
        </m:r>
        <m:r>
          <w:rPr>
            <w:rFonts w:ascii="Cambria Math" w:hAnsi="Cambria Math"/>
          </w:rPr>
          <m:t>=9.37×</m:t>
        </m:r>
        <m:sSup>
          <m:sSupPr>
            <m:ctrlPr>
              <w:rPr>
                <w:rFonts w:ascii="Cambria Math" w:hAnsi="Cambria Math"/>
              </w:rPr>
            </m:ctrlPr>
          </m:sSupPr>
          <m:e>
            <m:r>
              <w:rPr>
                <w:rFonts w:ascii="Cambria Math" w:hAnsi="Cambria Math"/>
              </w:rPr>
              <m:t>10</m:t>
            </m:r>
          </m:e>
          <m:sup>
            <m:r>
              <w:rPr>
                <w:rFonts w:ascii="Cambria Math" w:hAnsi="Cambria Math"/>
              </w:rPr>
              <m:t>-04</m:t>
            </m:r>
          </m:sup>
        </m:sSup>
      </m:oMath>
      <w:r>
        <w:t xml:space="preserve">) and </w:t>
      </w:r>
      <m:oMath>
        <m:r>
          <w:rPr>
            <w:rFonts w:ascii="Cambria Math" w:hAnsi="Cambria Math"/>
          </w:rPr>
          <m:t>γ=0.099</m:t>
        </m:r>
      </m:oMath>
      <w:r>
        <w:t xml:space="preserve"> (</w:t>
      </w:r>
      <m:oMath>
        <m:r>
          <m:rPr>
            <m:sty m:val="p"/>
          </m:rPr>
          <w:rPr>
            <w:rFonts w:ascii="Cambria Math" w:hAnsi="Cambria Math"/>
          </w:rPr>
          <m:t>p-value</m:t>
        </m:r>
        <m:r>
          <w:rPr>
            <w:rFonts w:ascii="Cambria Math" w:hAnsi="Cambria Math"/>
          </w:rPr>
          <m:t>=1.33×</m:t>
        </m:r>
        <m:sSup>
          <m:sSupPr>
            <m:ctrlPr>
              <w:rPr>
                <w:rFonts w:ascii="Cambria Math" w:hAnsi="Cambria Math"/>
              </w:rPr>
            </m:ctrlPr>
          </m:sSupPr>
          <m:e>
            <m:r>
              <w:rPr>
                <w:rFonts w:ascii="Cambria Math" w:hAnsi="Cambria Math"/>
              </w:rPr>
              <m:t>10</m:t>
            </m:r>
          </m:e>
          <m:sup>
            <m:r>
              <w:rPr>
                <w:rFonts w:ascii="Cambria Math" w:hAnsi="Cambria Math"/>
              </w:rPr>
              <m:t>-23</m:t>
            </m:r>
          </m:sup>
        </m:sSup>
      </m:oMath>
      <w:r>
        <w:t>) for SNP rs10830963, the SNP usually reported.</w:t>
      </w:r>
      <w:r>
        <w:br/>
      </w:r>
      <w:r>
        <w:lastRenderedPageBreak/>
        <w:t xml:space="preserve">While rs17747324 showed consistent results, with the DIAGRAM meta-analysis for both </w:t>
      </w:r>
      <m:oMath>
        <m:r>
          <w:rPr>
            <w:rFonts w:ascii="Cambria Math" w:hAnsi="Cambria Math"/>
          </w:rPr>
          <m:t>α</m:t>
        </m:r>
      </m:oMath>
      <w:r>
        <w:t xml:space="preserve"> and </w:t>
      </w:r>
      <m:oMath>
        <m:r>
          <w:rPr>
            <w:rFonts w:ascii="Cambria Math" w:hAnsi="Cambria Math"/>
          </w:rPr>
          <m:t>γ</m:t>
        </m:r>
      </m:oMath>
      <w:r>
        <w:t xml:space="preserve"> (</w:t>
      </w:r>
      <w:r w:rsidR="00B2336B">
        <w:t>Table V</w:t>
      </w:r>
      <w:r>
        <w:t>), rs10830963 showed an opposite effect on T2D compared to the effect reported in MAGIC for FG (</w:t>
      </w:r>
      <m:oMath>
        <m:r>
          <w:rPr>
            <w:rFonts w:ascii="Cambria Math" w:hAnsi="Cambria Math"/>
          </w:rPr>
          <m:t>α=0.104</m:t>
        </m:r>
      </m:oMath>
      <w:r>
        <w:t xml:space="preserve">, </w:t>
      </w:r>
      <m:oMath>
        <m:r>
          <m:rPr>
            <m:sty m:val="p"/>
          </m:rPr>
          <w:rPr>
            <w:rFonts w:ascii="Cambria Math" w:hAnsi="Cambria Math"/>
          </w:rPr>
          <m:t>p-value</m:t>
        </m:r>
        <m:r>
          <w:rPr>
            <w:rFonts w:ascii="Cambria Math" w:hAnsi="Cambria Math"/>
          </w:rPr>
          <m:t>=7.3×</m:t>
        </m:r>
        <m:sSup>
          <m:sSupPr>
            <m:ctrlPr>
              <w:rPr>
                <w:rFonts w:ascii="Cambria Math" w:hAnsi="Cambria Math"/>
              </w:rPr>
            </m:ctrlPr>
          </m:sSupPr>
          <m:e>
            <m:r>
              <w:rPr>
                <w:rFonts w:ascii="Cambria Math" w:hAnsi="Cambria Math"/>
              </w:rPr>
              <m:t>10</m:t>
            </m:r>
          </m:e>
          <m:sup>
            <m:r>
              <w:rPr>
                <w:rFonts w:ascii="Cambria Math" w:hAnsi="Cambria Math"/>
              </w:rPr>
              <m:t>-07</m:t>
            </m:r>
          </m:sup>
        </m:sSup>
      </m:oMath>
      <w:r>
        <w:t>).</w:t>
      </w:r>
    </w:p>
    <w:p w:rsidR="00A77962" w:rsidRDefault="007C3C2A" w:rsidP="009F0E40">
      <w:pPr>
        <w:pStyle w:val="Corpsdetexte"/>
        <w:spacing w:line="480" w:lineRule="auto"/>
      </w:pPr>
      <w:r>
        <w:t xml:space="preserve">To better compare JM and TS, we repeated the analysis on the whole dataset using TS. As shown in Figure 9, approximation of p-values can be inaccurate, especially for parameter </w:t>
      </w:r>
      <m:oMath>
        <m:r>
          <w:rPr>
            <w:rFonts w:ascii="Cambria Math" w:hAnsi="Cambria Math"/>
          </w:rPr>
          <m:t>α</m:t>
        </m:r>
      </m:oMath>
      <w:r>
        <w:t xml:space="preserve">; for parameter </w:t>
      </w:r>
      <m:oMath>
        <m:r>
          <w:rPr>
            <w:rFonts w:ascii="Cambria Math" w:hAnsi="Cambria Math"/>
          </w:rPr>
          <m:t>γ</m:t>
        </m:r>
      </m:oMath>
      <w:r>
        <w:t>, approximations were quite close to the p-values provided via the joint likelihood framework. Moreover, type I error is controlled and statistical power is shown to be closer to the joint model than the cross-sectional model (Figure 10).</w:t>
      </w:r>
    </w:p>
    <w:p w:rsidR="00A77962" w:rsidRDefault="007C3C2A" w:rsidP="009F0E40">
      <w:pPr>
        <w:pStyle w:val="Titre1"/>
        <w:spacing w:line="480" w:lineRule="auto"/>
      </w:pPr>
      <w:bookmarkStart w:id="15" w:name="discussion"/>
      <w:bookmarkEnd w:id="15"/>
      <w:r>
        <w:t>Discussion</w:t>
      </w:r>
    </w:p>
    <w:p w:rsidR="00A77962" w:rsidRDefault="007C3C2A" w:rsidP="009F0E40">
      <w:pPr>
        <w:spacing w:line="480" w:lineRule="auto"/>
      </w:pPr>
      <w:r>
        <w:t>With the ever-increasing availability of genomic data generated by genotyping arrays and next generation sequencing, the need to develop and implement efficient models is important to ensure that statistical analysis will be achieved in a reasonable time frame. In this paper, we proposed a comparison of two approaches, namely the joint model (JM) and the two-step model (TS), to infer parameters accounting for a simultaneous SNP effect on longitudinal and survival processes without omitting information about value dropouts or status of the longitudinal variable of interest. In our real data application, FG is the longitudinal trait, whereas T2D diagnostic defines survival time of interest, both being linked together by the fact that an upper threshold on FG actually defines T2D onset (currently, FG &gt; 7 mmol/L). Through simulations over different scenarios, we showed that joint models are less biased than classical separate approaches, could provide more insight regarding the event of interest, and could assess the potential impact of a SNP on incident cases of T2D.</w:t>
      </w:r>
    </w:p>
    <w:p w:rsidR="00A77962" w:rsidRDefault="007C3C2A" w:rsidP="009F0E40">
      <w:pPr>
        <w:pStyle w:val="Corpsdetexte"/>
        <w:spacing w:line="480" w:lineRule="auto"/>
      </w:pPr>
      <w:r>
        <w:lastRenderedPageBreak/>
        <w:t xml:space="preserve">By looking at different statistical measures, such as RMSE for bias in the model estimators, and by estimating computational time using the available R implementation of joint models, our study revealed that the use of an approximate method, such as TS, at a genome-wide scale might represent a good trade-off between bias and computational time. TS could be used to overcome the computational burden of current joint likelihood methods by exploiting available softwares performing the two steps, LME and CoxPH, and could help filter out SNPs with low or undetectable association during a first preliminary scan. However, depending on the dataset parameters (sample size, incidence rate, number of measures), a joint likelihood method is highly preferred to obtain accurate estimation of parameters </w:t>
      </w:r>
      <m:oMath>
        <m:r>
          <w:rPr>
            <w:rFonts w:ascii="Cambria Math" w:hAnsi="Cambria Math"/>
          </w:rPr>
          <m:t>γ</m:t>
        </m:r>
      </m:oMath>
      <w:r>
        <w:t xml:space="preserve"> and </w:t>
      </w:r>
      <m:oMath>
        <m:r>
          <w:rPr>
            <w:rFonts w:ascii="Cambria Math" w:hAnsi="Cambria Math"/>
          </w:rPr>
          <m:t>α</m:t>
        </m:r>
      </m:oMath>
      <w:r>
        <w:t>, describing the SNP effect on the trajectory of FG and time-to-onset of T2D. Finally, using parallel and grid computing approaches will reduce the computational time to a more suitable time frame when applied at a genome-wide level (i.e. with millions of SNPs).</w:t>
      </w:r>
    </w:p>
    <w:p w:rsidR="00A77962" w:rsidRDefault="007C3C2A" w:rsidP="009F0E40">
      <w:pPr>
        <w:pStyle w:val="Corpsdetexte"/>
        <w:spacing w:line="480" w:lineRule="auto"/>
      </w:pPr>
      <w:r>
        <w:t xml:space="preserve">In our real data application, results observed for </w:t>
      </w:r>
      <w:r>
        <w:rPr>
          <w:i/>
        </w:rPr>
        <w:t>MTNR1B</w:t>
      </w:r>
      <w:r>
        <w:t xml:space="preserve"> in the French cohort D.E.S.I.R., even if they seemed inconsistent with previous studies, may uncover some interesting peculiarities pertaining to T2D incident cases in this population. In the literature, SNPs in </w:t>
      </w:r>
      <w:r>
        <w:rPr>
          <w:i/>
        </w:rPr>
        <w:t>MTNR1B</w:t>
      </w:r>
      <w:r>
        <w:t xml:space="preserve"> were reported for being associated with increased blood FG and elevated T2D risk, but meta-analyses were performed on populations with different genetic backgrounds, and the two traits were never co-analysed jointly. However, we recognize that </w:t>
      </w:r>
      <w:r>
        <w:rPr>
          <w:i/>
        </w:rPr>
        <w:t>MTNR1B</w:t>
      </w:r>
      <w:r>
        <w:t xml:space="preserve"> associations identified in our study need to be confirmed and replicated in other longitudinal cohorts, as they might represent cohort-specific associations. In addition, a major limitation of our study is the low number of incident T2D cases in the D.E.S.I.R. cohort (167 incident T2D cases over 5,212 subjects followed up over 9 years).</w:t>
      </w:r>
    </w:p>
    <w:p w:rsidR="00A77962" w:rsidRDefault="007C3C2A" w:rsidP="009F0E40">
      <w:pPr>
        <w:pStyle w:val="Titre1"/>
        <w:spacing w:line="480" w:lineRule="auto"/>
      </w:pPr>
      <w:bookmarkStart w:id="16" w:name="acknowledgments"/>
      <w:bookmarkEnd w:id="16"/>
      <w:r>
        <w:lastRenderedPageBreak/>
        <w:t>Acknowledgments</w:t>
      </w:r>
    </w:p>
    <w:p w:rsidR="00A77962" w:rsidRDefault="007C3C2A" w:rsidP="009F0E40">
      <w:pPr>
        <w:spacing w:line="480" w:lineRule="auto"/>
      </w:pPr>
      <w:r>
        <w:t>This study was supported by grants for funding of scientific research conducted in France and within the European Union: "Centre National de la Recherche Scientifique", "Université de Lille 2", "Institut Pasteur de Lille", "Société Francophone du Diabète", "Lilly", "Contrat de Plan Etat-Région", "Agence Nationale de la Recherche", ANR-10-LABX-46, ANR EQUIPEX Ligan MP: ANR-10-EQPX-07-01, European Research Council GEPIDIAB - 294785.</w:t>
      </w:r>
    </w:p>
    <w:p w:rsidR="00A77962" w:rsidRDefault="007C3C2A" w:rsidP="009F0E40">
      <w:pPr>
        <w:pStyle w:val="Titre6"/>
        <w:spacing w:line="480" w:lineRule="auto"/>
      </w:pPr>
      <w:bookmarkStart w:id="17" w:name="conflict-of-interest-disclosure"/>
      <w:bookmarkEnd w:id="17"/>
      <w:r>
        <w:t>Conflict of interest disclosure</w:t>
      </w:r>
    </w:p>
    <w:p w:rsidR="00A77962" w:rsidRDefault="007C3C2A" w:rsidP="009F0E40">
      <w:pPr>
        <w:spacing w:line="480" w:lineRule="auto"/>
      </w:pPr>
      <w:r>
        <w:t>The authors declare that they have no conflict of interest.</w:t>
      </w:r>
    </w:p>
    <w:p w:rsidR="00E268C4" w:rsidRDefault="00E268C4">
      <w:pPr>
        <w:spacing w:line="240" w:lineRule="auto"/>
        <w:jc w:val="left"/>
        <w:rPr>
          <w:rFonts w:asciiTheme="majorHAnsi" w:eastAsiaTheme="majorEastAsia" w:hAnsiTheme="majorHAnsi" w:cstheme="majorBidi"/>
          <w:b/>
          <w:bCs/>
          <w:kern w:val="32"/>
          <w:sz w:val="32"/>
          <w:szCs w:val="32"/>
        </w:rPr>
      </w:pPr>
      <w:bookmarkStart w:id="18" w:name="list-of-tables"/>
      <w:bookmarkEnd w:id="18"/>
      <w:r>
        <w:br w:type="page"/>
      </w:r>
    </w:p>
    <w:p w:rsidR="00A77962" w:rsidRDefault="00B2336B" w:rsidP="009F0E40">
      <w:pPr>
        <w:pStyle w:val="TableCaption"/>
        <w:spacing w:line="480" w:lineRule="auto"/>
      </w:pPr>
      <w:r>
        <w:lastRenderedPageBreak/>
        <w:t>Table I</w:t>
      </w:r>
      <w:r w:rsidR="007C3C2A">
        <w:t xml:space="preserve"> Parameters and numerical values used for sensitivity analysis and simulations (based on results from rs17747324 within gene </w:t>
      </w:r>
      <w:r w:rsidR="007C3C2A">
        <w:rPr>
          <w:i/>
        </w:rPr>
        <w:t>TCF7L2</w:t>
      </w:r>
      <w:r w:rsidR="007C3C2A">
        <w:t>.</w:t>
      </w:r>
    </w:p>
    <w:tbl>
      <w:tblPr>
        <w:tblW w:w="0" w:type="pct"/>
        <w:tblLook w:val="07E0" w:firstRow="1" w:lastRow="1" w:firstColumn="1" w:lastColumn="1" w:noHBand="1" w:noVBand="1"/>
        <w:tblCaption w:val="Table 1 Parameters and numerical values used for sensitivity analysis and simulations (based on results from rs17747324 within gene TCF7L2."/>
      </w:tblPr>
      <w:tblGrid>
        <w:gridCol w:w="3581"/>
        <w:gridCol w:w="4565"/>
      </w:tblGrid>
      <w:tr w:rsidR="00E268C4" w:rsidRPr="0050388B" w:rsidTr="00B2336B">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Parameters</w:t>
            </w:r>
          </w:p>
        </w:tc>
        <w:tc>
          <w:tcPr>
            <w:tcW w:w="0" w:type="auto"/>
            <w:tcBorders>
              <w:top w:val="single" w:sz="4" w:space="0" w:color="auto"/>
              <w:bottom w:val="single" w:sz="0" w:space="0" w:color="auto"/>
            </w:tcBorders>
            <w:vAlign w:val="center"/>
          </w:tcPr>
          <w:p w:rsidR="00E268C4" w:rsidRPr="0050388B" w:rsidRDefault="00E268C4" w:rsidP="0050388B">
            <w:pPr>
              <w:pStyle w:val="Compact"/>
              <w:rPr>
                <w:sz w:val="24"/>
              </w:rPr>
            </w:pPr>
            <w:r w:rsidRPr="0050388B">
              <w:rPr>
                <w:sz w:val="24"/>
              </w:rPr>
              <w:t>Values</w:t>
            </w:r>
          </w:p>
        </w:tc>
      </w:tr>
      <w:tr w:rsidR="00E268C4" w:rsidRPr="0050388B" w:rsidTr="00B2336B">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Number of subjects (</w:t>
            </w:r>
            <m:oMath>
              <m:r>
                <w:rPr>
                  <w:rFonts w:ascii="Cambria Math" w:hAnsi="Cambria Math"/>
                  <w:sz w:val="24"/>
                </w:rPr>
                <m:t>n</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4,352</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Number of measures (</w:t>
            </w:r>
            <m:oMath>
              <m:r>
                <w:rPr>
                  <w:rFonts w:ascii="Cambria Math" w:hAnsi="Cambria Math"/>
                  <w:sz w:val="24"/>
                </w:rPr>
                <m:t>m</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4</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Incidence rate (</w:t>
            </w:r>
            <m:oMath>
              <m:r>
                <w:rPr>
                  <w:rFonts w:ascii="Cambria Math" w:hAnsi="Cambria Math"/>
                  <w:sz w:val="24"/>
                </w:rPr>
                <m:t>d</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0.0384</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Minor allele frequency (</w:t>
            </w:r>
            <m:oMath>
              <m:r>
                <w:rPr>
                  <w:rFonts w:ascii="Cambria Math" w:hAnsi="Cambria Math"/>
                  <w:sz w:val="24"/>
                </w:rPr>
                <m:t>f</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0.244</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Random effects (</w:t>
            </w:r>
            <m:oMath>
              <m:r>
                <w:rPr>
                  <w:rFonts w:ascii="Cambria Math" w:hAnsi="Cambria Math"/>
                  <w:sz w:val="24"/>
                </w:rPr>
                <m:t>θ</m:t>
              </m:r>
            </m:oMath>
            <w:r w:rsidRPr="0050388B">
              <w:rPr>
                <w:sz w:val="24"/>
              </w:rPr>
              <w:t>)</w:t>
            </w:r>
          </w:p>
        </w:tc>
        <w:tc>
          <w:tcPr>
            <w:tcW w:w="0" w:type="auto"/>
            <w:vAlign w:val="center"/>
          </w:tcPr>
          <w:p w:rsidR="00E268C4" w:rsidRPr="0050388B" w:rsidRDefault="00E268C4" w:rsidP="0050388B">
            <w:pPr>
              <w:pStyle w:val="Compact"/>
              <w:rPr>
                <w:sz w:val="24"/>
              </w:rPr>
            </w:pPr>
            <m:oMathPara>
              <m:oMath>
                <m:r>
                  <m:rPr>
                    <m:sty m:val="p"/>
                  </m:rPr>
                  <w:rPr>
                    <w:rFonts w:ascii="Cambria Math" w:hAnsi="Cambria Math"/>
                    <w:sz w:val="24"/>
                  </w:rPr>
                  <m:t>∼</m:t>
                </m:r>
                <m:sSub>
                  <m:sSubPr>
                    <m:ctrlPr>
                      <w:rPr>
                        <w:rFonts w:ascii="Cambria Math" w:hAnsi="Cambria Math"/>
                        <w:sz w:val="24"/>
                      </w:rPr>
                    </m:ctrlPr>
                  </m:sSubPr>
                  <m:e>
                    <m:r>
                      <m:rPr>
                        <m:scr m:val="script"/>
                        <m:sty m:val="p"/>
                      </m:rPr>
                      <w:rPr>
                        <w:rFonts w:ascii="Cambria Math" w:hAnsi="Cambria Math"/>
                        <w:sz w:val="24"/>
                      </w:rPr>
                      <m:t>N</m:t>
                    </m:r>
                  </m:e>
                  <m:sub>
                    <m:r>
                      <m:rPr>
                        <m:sty m:val="p"/>
                      </m:rPr>
                      <w:rPr>
                        <w:rFonts w:ascii="Cambria Math" w:hAnsi="Cambria Math"/>
                        <w:sz w:val="24"/>
                      </w:rPr>
                      <m:t>2</m:t>
                    </m:r>
                  </m:sub>
                </m:sSub>
                <m:d>
                  <m:dPr>
                    <m:ctrlPr>
                      <w:rPr>
                        <w:rFonts w:ascii="Cambria Math" w:hAnsi="Cambria Math"/>
                        <w:sz w:val="24"/>
                      </w:rPr>
                    </m:ctrlPr>
                  </m:dPr>
                  <m:e>
                    <m:d>
                      <m:dPr>
                        <m:begChr m:val="["/>
                        <m:endChr m:val="]"/>
                        <m:ctrlPr>
                          <w:rPr>
                            <w:rFonts w:ascii="Cambria Math" w:hAnsi="Cambria Math"/>
                            <w:sz w:val="24"/>
                          </w:rPr>
                        </m:ctrlPr>
                      </m:dPr>
                      <m:e>
                        <m:m>
                          <m:mPr>
                            <m:plcHide m:val="1"/>
                            <m:mcs>
                              <m:mc>
                                <m:mcPr>
                                  <m:count m:val="1"/>
                                  <m:mcJc m:val="center"/>
                                </m:mcPr>
                              </m:mc>
                            </m:mcs>
                            <m:ctrlPr>
                              <w:rPr>
                                <w:rFonts w:ascii="Cambria Math" w:hAnsi="Cambria Math"/>
                                <w:sz w:val="24"/>
                              </w:rPr>
                            </m:ctrlPr>
                          </m:mPr>
                          <m:mr>
                            <m:e>
                              <m:r>
                                <m:rPr>
                                  <m:sty m:val="p"/>
                                </m:rPr>
                                <w:rPr>
                                  <w:rFonts w:ascii="Cambria Math" w:hAnsi="Cambria Math"/>
                                  <w:sz w:val="24"/>
                                </w:rPr>
                                <m:t>4.55</m:t>
                              </m:r>
                            </m:e>
                          </m:mr>
                          <m:mr>
                            <m:e>
                              <m:r>
                                <m:rPr>
                                  <m:sty m:val="p"/>
                                </m:rPr>
                                <w:rPr>
                                  <w:rFonts w:ascii="Cambria Math" w:hAnsi="Cambria Math"/>
                                  <w:sz w:val="24"/>
                                </w:rPr>
                                <m:t>0.0108</m:t>
                              </m:r>
                            </m:e>
                          </m:mr>
                        </m:m>
                      </m:e>
                    </m:d>
                    <m:r>
                      <m:rPr>
                        <m:sty m:val="p"/>
                      </m:rPr>
                      <w:rPr>
                        <w:rFonts w:ascii="Cambria Math" w:hAnsi="Cambria Math"/>
                        <w:sz w:val="24"/>
                      </w:rPr>
                      <m:t>,</m:t>
                    </m:r>
                    <m:d>
                      <m:dPr>
                        <m:begChr m:val="["/>
                        <m:endChr m:val="]"/>
                        <m:ctrlPr>
                          <w:rPr>
                            <w:rFonts w:ascii="Cambria Math" w:hAnsi="Cambria Math"/>
                            <w:sz w:val="24"/>
                          </w:rPr>
                        </m:ctrlPr>
                      </m:dPr>
                      <m:e>
                        <m:m>
                          <m:mPr>
                            <m:plcHide m:val="1"/>
                            <m:mcs>
                              <m:mc>
                                <m:mcPr>
                                  <m:count m:val="2"/>
                                  <m:mcJc m:val="center"/>
                                </m:mcPr>
                              </m:mc>
                            </m:mcs>
                            <m:ctrlPr>
                              <w:rPr>
                                <w:rFonts w:ascii="Cambria Math" w:hAnsi="Cambria Math"/>
                                <w:sz w:val="24"/>
                              </w:rPr>
                            </m:ctrlPr>
                          </m:mPr>
                          <m:mr>
                            <m:e>
                              <m:r>
                                <m:rPr>
                                  <m:sty m:val="p"/>
                                </m:rPr>
                                <w:rPr>
                                  <w:rFonts w:ascii="Cambria Math" w:hAnsi="Cambria Math"/>
                                  <w:sz w:val="24"/>
                                </w:rPr>
                                <m:t>0.143</m:t>
                              </m:r>
                            </m:e>
                            <m:e>
                              <m:r>
                                <m:rPr>
                                  <m:sty m:val="p"/>
                                </m:rPr>
                                <w:rPr>
                                  <w:rFonts w:ascii="Cambria Math" w:hAnsi="Cambria Math"/>
                                  <w:sz w:val="24"/>
                                </w:rPr>
                                <m:t>-0.00109</m:t>
                              </m:r>
                            </m:e>
                          </m:mr>
                          <m:mr>
                            <m:e>
                              <m:r>
                                <m:rPr>
                                  <m:sty m:val="p"/>
                                </m:rPr>
                                <w:rPr>
                                  <w:rFonts w:ascii="Cambria Math" w:hAnsi="Cambria Math"/>
                                  <w:sz w:val="24"/>
                                </w:rPr>
                                <m:t>-0.00109</m:t>
                              </m:r>
                            </m:e>
                            <m:e>
                              <m:r>
                                <m:rPr>
                                  <m:sty m:val="p"/>
                                </m:rPr>
                                <w:rPr>
                                  <w:rFonts w:ascii="Cambria Math" w:hAnsi="Cambria Math"/>
                                  <w:sz w:val="24"/>
                                </w:rPr>
                                <m:t>6.8×</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-04</m:t>
                                  </m:r>
                                </m:sup>
                              </m:sSup>
                            </m:e>
                          </m:mr>
                        </m:m>
                      </m:e>
                    </m:d>
                  </m:e>
                </m:d>
              </m:oMath>
            </m:oMathPara>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 xml:space="preserve">SNP effect on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ij</m:t>
                  </m:r>
                </m:sub>
              </m:sSub>
            </m:oMath>
            <w:r w:rsidRPr="0050388B">
              <w:rPr>
                <w:sz w:val="24"/>
              </w:rPr>
              <w:t xml:space="preserve"> (</w:t>
            </w:r>
            <m:oMath>
              <m:r>
                <w:rPr>
                  <w:rFonts w:ascii="Cambria Math" w:hAnsi="Cambria Math"/>
                  <w:sz w:val="24"/>
                </w:rPr>
                <m:t>γ</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0.0229</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 xml:space="preserve">SNP effect on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50388B">
              <w:rPr>
                <w:sz w:val="24"/>
              </w:rPr>
              <w:t xml:space="preserve"> (</w:t>
            </w:r>
            <m:oMath>
              <m:r>
                <w:rPr>
                  <w:rFonts w:ascii="Cambria Math" w:hAnsi="Cambria Math"/>
                  <w:sz w:val="24"/>
                </w:rPr>
                <m:t>α</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0.265</w:t>
            </w:r>
          </w:p>
        </w:tc>
      </w:tr>
      <w:tr w:rsidR="00E268C4" w:rsidRPr="0050388B" w:rsidTr="00B2336B">
        <w:tc>
          <w:tcPr>
            <w:tcW w:w="0" w:type="auto"/>
            <w:vAlign w:val="center"/>
          </w:tcPr>
          <w:p w:rsidR="00E268C4" w:rsidRPr="0050388B" w:rsidRDefault="00E268C4" w:rsidP="0050388B">
            <w:pPr>
              <w:pStyle w:val="Compact"/>
              <w:rPr>
                <w:sz w:val="24"/>
              </w:rPr>
            </w:pPr>
            <w:r w:rsidRPr="0050388B">
              <w:rPr>
                <w:sz w:val="24"/>
              </w:rPr>
              <w:t xml:space="preserve">Association between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ij</m:t>
                  </m:r>
                </m:sub>
              </m:sSub>
            </m:oMath>
            <w:r w:rsidRPr="0050388B">
              <w:rPr>
                <w:sz w:val="24"/>
              </w:rPr>
              <w:t xml:space="preserve"> and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50388B">
              <w:rPr>
                <w:sz w:val="24"/>
              </w:rPr>
              <w:t xml:space="preserve"> (</w:t>
            </w:r>
            <m:oMath>
              <m:r>
                <w:rPr>
                  <w:rFonts w:ascii="Cambria Math" w:hAnsi="Cambria Math"/>
                  <w:sz w:val="24"/>
                </w:rPr>
                <m:t>β</m:t>
              </m:r>
            </m:oMath>
            <w:r w:rsidRPr="0050388B">
              <w:rPr>
                <w:sz w:val="24"/>
              </w:rPr>
              <w:t>)</w:t>
            </w:r>
          </w:p>
        </w:tc>
        <w:tc>
          <w:tcPr>
            <w:tcW w:w="0" w:type="auto"/>
            <w:vAlign w:val="center"/>
          </w:tcPr>
          <w:p w:rsidR="00E268C4" w:rsidRPr="0050388B" w:rsidRDefault="00E268C4" w:rsidP="0050388B">
            <w:pPr>
              <w:pStyle w:val="Compact"/>
              <w:rPr>
                <w:sz w:val="24"/>
              </w:rPr>
            </w:pPr>
            <w:r w:rsidRPr="0050388B">
              <w:rPr>
                <w:sz w:val="24"/>
              </w:rPr>
              <w:t>3.17</w:t>
            </w:r>
          </w:p>
        </w:tc>
      </w:tr>
      <w:tr w:rsidR="00E268C4" w:rsidRPr="0050388B" w:rsidTr="00B2336B">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Error term (</w:t>
            </w:r>
            <m:oMath>
              <m:r>
                <w:rPr>
                  <w:rFonts w:ascii="Cambria Math" w:hAnsi="Cambria Math"/>
                  <w:sz w:val="24"/>
                </w:rPr>
                <m:t>ϵ</m:t>
              </m:r>
            </m:oMath>
            <w:r w:rsidRPr="0050388B">
              <w:rPr>
                <w:sz w:val="24"/>
              </w:rPr>
              <w:t>)</w:t>
            </w:r>
          </w:p>
        </w:tc>
        <w:tc>
          <w:tcPr>
            <w:tcW w:w="0" w:type="auto"/>
            <w:tcBorders>
              <w:bottom w:val="single" w:sz="4" w:space="0" w:color="auto"/>
            </w:tcBorders>
            <w:vAlign w:val="center"/>
          </w:tcPr>
          <w:p w:rsidR="00E268C4" w:rsidRPr="0050388B" w:rsidRDefault="00E268C4" w:rsidP="0050388B">
            <w:pPr>
              <w:pStyle w:val="Compact"/>
              <w:rPr>
                <w:sz w:val="24"/>
              </w:rPr>
            </w:pPr>
            <m:oMathPara>
              <m:oMath>
                <m:r>
                  <m:rPr>
                    <m:scr m:val="script"/>
                    <m:sty m:val="p"/>
                  </m:rPr>
                  <w:rPr>
                    <w:rFonts w:ascii="Cambria Math" w:hAnsi="Cambria Math"/>
                    <w:sz w:val="24"/>
                  </w:rPr>
                  <m:t>∼N</m:t>
                </m:r>
                <m:r>
                  <m:rPr>
                    <m:sty m:val="p"/>
                  </m:rPr>
                  <w:rPr>
                    <w:rFonts w:ascii="Cambria Math" w:hAnsi="Cambria Math"/>
                    <w:sz w:val="24"/>
                  </w:rPr>
                  <m:t>(0,</m:t>
                </m:r>
                <m:sSup>
                  <m:sSupPr>
                    <m:ctrlPr>
                      <w:rPr>
                        <w:rFonts w:ascii="Cambria Math" w:hAnsi="Cambria Math"/>
                        <w:sz w:val="24"/>
                      </w:rPr>
                    </m:ctrlPr>
                  </m:sSupPr>
                  <m:e>
                    <m:r>
                      <m:rPr>
                        <m:sty m:val="p"/>
                      </m:rPr>
                      <w:rPr>
                        <w:rFonts w:ascii="Cambria Math" w:hAnsi="Cambria Math"/>
                        <w:sz w:val="24"/>
                      </w:rPr>
                      <m:t>0.305</m:t>
                    </m:r>
                  </m:e>
                  <m:sup>
                    <m:r>
                      <m:rPr>
                        <m:sty m:val="p"/>
                      </m:rPr>
                      <w:rPr>
                        <w:rFonts w:ascii="Cambria Math" w:hAnsi="Cambria Math"/>
                        <w:sz w:val="24"/>
                      </w:rPr>
                      <m:t>2</m:t>
                    </m:r>
                  </m:sup>
                </m:sSup>
                <m:r>
                  <m:rPr>
                    <m:sty m:val="p"/>
                  </m:rPr>
                  <w:rPr>
                    <w:rFonts w:ascii="Cambria Math" w:hAnsi="Cambria Math"/>
                    <w:sz w:val="24"/>
                  </w:rPr>
                  <m:t>)</m:t>
                </m:r>
              </m:oMath>
            </m:oMathPara>
          </w:p>
        </w:tc>
      </w:tr>
    </w:tbl>
    <w:p w:rsidR="00E268C4" w:rsidRDefault="00E268C4" w:rsidP="00E268C4">
      <w:pPr>
        <w:rPr>
          <w:sz w:val="18"/>
          <w:szCs w:val="18"/>
        </w:rPr>
      </w:pPr>
    </w:p>
    <w:p w:rsidR="00A77962" w:rsidRDefault="00B2336B" w:rsidP="009F0E40">
      <w:pPr>
        <w:pStyle w:val="TableCaption"/>
        <w:spacing w:line="480" w:lineRule="auto"/>
      </w:pPr>
      <w:r>
        <w:t>Table II</w:t>
      </w:r>
      <w:r w:rsidR="007C3C2A">
        <w:t xml:space="preserve"> RMSE, Type 1 Error and Power from default simulation settings rs17747324 (</w:t>
      </w:r>
      <w:r w:rsidR="007C3C2A">
        <w:rPr>
          <w:i/>
        </w:rPr>
        <w:t>TCF7L2</w:t>
      </w:r>
      <w:r w:rsidR="007C3C2A">
        <w:t>).</w:t>
      </w:r>
    </w:p>
    <w:tbl>
      <w:tblPr>
        <w:tblW w:w="3644" w:type="pct"/>
        <w:tblLook w:val="07E0" w:firstRow="1" w:lastRow="1" w:firstColumn="1" w:lastColumn="1" w:noHBand="1" w:noVBand="1"/>
        <w:tblCaption w:val="Table 2 RMSE, Type 1 Error and Power from default simulation settings rs17747324 (TCF7L2)."/>
      </w:tblPr>
      <w:tblGrid>
        <w:gridCol w:w="468"/>
        <w:gridCol w:w="993"/>
        <w:gridCol w:w="975"/>
        <w:gridCol w:w="1225"/>
        <w:gridCol w:w="994"/>
        <w:gridCol w:w="975"/>
        <w:gridCol w:w="1225"/>
      </w:tblGrid>
      <w:tr w:rsidR="00E268C4" w:rsidRPr="0050388B" w:rsidTr="00B2336B">
        <w:tc>
          <w:tcPr>
            <w:tcW w:w="0" w:type="auto"/>
            <w:vMerge w:val="restart"/>
            <w:vAlign w:val="center"/>
          </w:tcPr>
          <w:p w:rsidR="00E268C4" w:rsidRPr="0050388B" w:rsidRDefault="00E268C4" w:rsidP="0050388B">
            <w:pPr>
              <w:pStyle w:val="Compact"/>
              <w:rPr>
                <w:sz w:val="24"/>
              </w:rPr>
            </w:pPr>
          </w:p>
        </w:tc>
        <w:tc>
          <w:tcPr>
            <w:tcW w:w="0" w:type="auto"/>
            <w:gridSpan w:val="3"/>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Joint Model</w:t>
            </w:r>
          </w:p>
        </w:tc>
        <w:tc>
          <w:tcPr>
            <w:tcW w:w="0" w:type="auto"/>
            <w:gridSpan w:val="3"/>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Two-Step Model</w:t>
            </w:r>
          </w:p>
        </w:tc>
      </w:tr>
      <w:tr w:rsidR="00E268C4" w:rsidRPr="0050388B" w:rsidTr="00B2336B">
        <w:tc>
          <w:tcPr>
            <w:tcW w:w="0" w:type="auto"/>
            <w:vMerge/>
            <w:tcBorders>
              <w:bottom w:val="single" w:sz="4" w:space="0" w:color="auto"/>
            </w:tcBorders>
            <w:vAlign w:val="center"/>
          </w:tcPr>
          <w:p w:rsidR="00E268C4" w:rsidRPr="0050388B" w:rsidRDefault="00E268C4" w:rsidP="0050388B">
            <w:pPr>
              <w:pStyle w:val="Compact"/>
              <w:rPr>
                <w:sz w:val="24"/>
              </w:rPr>
            </w:pP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RMSE</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T1E</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POWER</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RMSE</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T1E</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POWER</w:t>
            </w:r>
          </w:p>
        </w:tc>
      </w:tr>
      <w:tr w:rsidR="00E268C4" w:rsidRPr="0050388B" w:rsidTr="00B2336B">
        <w:tc>
          <w:tcPr>
            <w:tcW w:w="0" w:type="auto"/>
            <w:tcBorders>
              <w:top w:val="single" w:sz="4" w:space="0" w:color="auto"/>
            </w:tcBorders>
            <w:vAlign w:val="center"/>
          </w:tcPr>
          <w:p w:rsidR="00E268C4" w:rsidRPr="0050388B" w:rsidRDefault="00E268C4" w:rsidP="0050388B">
            <w:pPr>
              <w:pStyle w:val="Compact"/>
              <w:rPr>
                <w:sz w:val="24"/>
              </w:rPr>
            </w:pPr>
            <m:oMathPara>
              <m:oMath>
                <m:r>
                  <w:rPr>
                    <w:rFonts w:ascii="Cambria Math" w:hAnsi="Cambria Math"/>
                    <w:sz w:val="24"/>
                  </w:rPr>
                  <m:t>α</m:t>
                </m:r>
              </m:oMath>
            </m:oMathPara>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0.137</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0.036</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45.4%</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0.139</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0.051</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48.5%</w:t>
            </w:r>
          </w:p>
        </w:tc>
      </w:tr>
      <w:tr w:rsidR="00E268C4" w:rsidRPr="0050388B" w:rsidTr="00B2336B">
        <w:tc>
          <w:tcPr>
            <w:tcW w:w="0" w:type="auto"/>
            <w:tcBorders>
              <w:bottom w:val="single" w:sz="4" w:space="0" w:color="auto"/>
            </w:tcBorders>
            <w:vAlign w:val="center"/>
          </w:tcPr>
          <w:p w:rsidR="00E268C4" w:rsidRPr="0050388B" w:rsidRDefault="00E268C4" w:rsidP="0050388B">
            <w:pPr>
              <w:pStyle w:val="Compact"/>
              <w:rPr>
                <w:sz w:val="24"/>
              </w:rPr>
            </w:pPr>
            <m:oMathPara>
              <m:oMath>
                <m:r>
                  <w:rPr>
                    <w:rFonts w:ascii="Cambria Math" w:hAnsi="Cambria Math"/>
                    <w:sz w:val="24"/>
                  </w:rPr>
                  <m:t>γ</m:t>
                </m:r>
              </m:oMath>
            </m:oMathPara>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0.01</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0.051</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61.8%</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0.01</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0.05</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58.8%</w:t>
            </w:r>
          </w:p>
        </w:tc>
      </w:tr>
    </w:tbl>
    <w:p w:rsidR="00E268C4" w:rsidRDefault="00E268C4" w:rsidP="00E268C4"/>
    <w:p w:rsidR="00E268C4" w:rsidRDefault="00E268C4" w:rsidP="00E268C4">
      <w:r>
        <w:br w:type="page"/>
      </w:r>
    </w:p>
    <w:p w:rsidR="00A77962" w:rsidRDefault="00B2336B" w:rsidP="009F0E40">
      <w:pPr>
        <w:pStyle w:val="TableCaption"/>
        <w:spacing w:line="480" w:lineRule="auto"/>
      </w:pPr>
      <w:r>
        <w:lastRenderedPageBreak/>
        <w:t>Table III</w:t>
      </w:r>
      <w:r w:rsidR="007C3C2A">
        <w:t xml:space="preserve"> Approximate computational times (in seconds) using function </w:t>
      </w:r>
      <w:proofErr w:type="gramStart"/>
      <w:r w:rsidR="007C3C2A">
        <w:rPr>
          <w:i/>
        </w:rPr>
        <w:t>system.time</w:t>
      </w:r>
      <w:proofErr w:type="gramEnd"/>
      <w:r w:rsidR="007C3C2A">
        <w:t xml:space="preserve"> of R software. System time is computed ten times per sample size (number of subjects). Extrapolation are displayed (in days) for 100,000 tests.</w:t>
      </w:r>
    </w:p>
    <w:tbl>
      <w:tblPr>
        <w:tblW w:w="0" w:type="auto"/>
        <w:tblLook w:val="07E0" w:firstRow="1" w:lastRow="1" w:firstColumn="1" w:lastColumn="1" w:noHBand="1" w:noVBand="1"/>
        <w:tblCaption w:val="Table 3 Approximate computational times (in seconds) using function system.time of R software. System time is computed ten times per sample size (number of subjects). Extrapolation are displayed (in days) for 100,000 tests."/>
      </w:tblPr>
      <w:tblGrid>
        <w:gridCol w:w="1368"/>
        <w:gridCol w:w="2000"/>
        <w:gridCol w:w="1134"/>
        <w:gridCol w:w="2000"/>
        <w:gridCol w:w="1134"/>
      </w:tblGrid>
      <w:tr w:rsidR="00E268C4" w:rsidRPr="0050388B" w:rsidTr="00064B4C">
        <w:tc>
          <w:tcPr>
            <w:tcW w:w="0" w:type="auto"/>
            <w:tcBorders>
              <w:bottom w:val="single" w:sz="0" w:space="0" w:color="auto"/>
            </w:tcBorders>
            <w:vAlign w:val="center"/>
          </w:tcPr>
          <w:p w:rsidR="00E268C4" w:rsidRPr="0050388B" w:rsidRDefault="00E268C4" w:rsidP="0050388B">
            <w:pPr>
              <w:pStyle w:val="Compact"/>
              <w:rPr>
                <w:sz w:val="24"/>
              </w:rPr>
            </w:pPr>
          </w:p>
        </w:tc>
        <w:tc>
          <w:tcPr>
            <w:tcW w:w="0" w:type="auto"/>
            <w:gridSpan w:val="2"/>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Joint Model</w:t>
            </w:r>
          </w:p>
        </w:tc>
        <w:tc>
          <w:tcPr>
            <w:tcW w:w="0" w:type="auto"/>
            <w:gridSpan w:val="2"/>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Two-Step Model</w:t>
            </w:r>
          </w:p>
        </w:tc>
      </w:tr>
      <w:tr w:rsidR="00E268C4" w:rsidRPr="0050388B" w:rsidTr="00064B4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Sample Size</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mean (</w:t>
            </w:r>
            <w:proofErr w:type="spellStart"/>
            <w:r w:rsidRPr="0050388B">
              <w:rPr>
                <w:sz w:val="24"/>
              </w:rPr>
              <w:t>sd</w:t>
            </w:r>
            <w:proofErr w:type="spellEnd"/>
            <w:r w:rsidRPr="0050388B">
              <w:rPr>
                <w:sz w:val="24"/>
              </w:rPr>
              <w:t>) per test</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100K test</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mean (</w:t>
            </w:r>
            <w:proofErr w:type="spellStart"/>
            <w:r w:rsidRPr="0050388B">
              <w:rPr>
                <w:sz w:val="24"/>
              </w:rPr>
              <w:t>sd</w:t>
            </w:r>
            <w:proofErr w:type="spellEnd"/>
            <w:r w:rsidRPr="0050388B">
              <w:rPr>
                <w:sz w:val="24"/>
              </w:rPr>
              <w:t>) per test</w:t>
            </w:r>
          </w:p>
        </w:tc>
        <w:tc>
          <w:tcPr>
            <w:tcW w:w="0" w:type="auto"/>
            <w:tcBorders>
              <w:top w:val="single" w:sz="4" w:space="0" w:color="auto"/>
              <w:bottom w:val="single" w:sz="4" w:space="0" w:color="auto"/>
            </w:tcBorders>
            <w:vAlign w:val="center"/>
          </w:tcPr>
          <w:p w:rsidR="00E268C4" w:rsidRPr="0050388B" w:rsidRDefault="00E268C4" w:rsidP="0050388B">
            <w:pPr>
              <w:pStyle w:val="Compact"/>
              <w:rPr>
                <w:sz w:val="24"/>
              </w:rPr>
            </w:pPr>
            <w:r w:rsidRPr="0050388B">
              <w:rPr>
                <w:sz w:val="24"/>
              </w:rPr>
              <w:t>100K test</w:t>
            </w:r>
          </w:p>
        </w:tc>
      </w:tr>
      <w:tr w:rsidR="00E268C4" w:rsidRPr="0050388B" w:rsidTr="00064B4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500</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51 s (3.4)</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59 d</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0.71 s (0.066)</w:t>
            </w:r>
          </w:p>
        </w:tc>
        <w:tc>
          <w:tcPr>
            <w:tcW w:w="0" w:type="auto"/>
            <w:tcBorders>
              <w:top w:val="single" w:sz="4" w:space="0" w:color="auto"/>
            </w:tcBorders>
            <w:vAlign w:val="center"/>
          </w:tcPr>
          <w:p w:rsidR="00E268C4" w:rsidRPr="0050388B" w:rsidRDefault="00E268C4" w:rsidP="0050388B">
            <w:pPr>
              <w:pStyle w:val="Compact"/>
              <w:rPr>
                <w:sz w:val="24"/>
              </w:rPr>
            </w:pPr>
            <w:r w:rsidRPr="0050388B">
              <w:rPr>
                <w:sz w:val="24"/>
              </w:rPr>
              <w:t>0.82 d</w:t>
            </w:r>
          </w:p>
        </w:tc>
      </w:tr>
      <w:tr w:rsidR="00E268C4" w:rsidRPr="0050388B" w:rsidTr="00064B4C">
        <w:tc>
          <w:tcPr>
            <w:tcW w:w="0" w:type="auto"/>
            <w:vAlign w:val="center"/>
          </w:tcPr>
          <w:p w:rsidR="00E268C4" w:rsidRPr="0050388B" w:rsidRDefault="00E268C4" w:rsidP="0050388B">
            <w:pPr>
              <w:pStyle w:val="Compact"/>
              <w:rPr>
                <w:sz w:val="24"/>
              </w:rPr>
            </w:pPr>
            <w:r w:rsidRPr="0050388B">
              <w:rPr>
                <w:sz w:val="24"/>
              </w:rPr>
              <w:t>2,500</w:t>
            </w:r>
          </w:p>
        </w:tc>
        <w:tc>
          <w:tcPr>
            <w:tcW w:w="0" w:type="auto"/>
            <w:vAlign w:val="center"/>
          </w:tcPr>
          <w:p w:rsidR="00E268C4" w:rsidRPr="0050388B" w:rsidRDefault="00E268C4" w:rsidP="0050388B">
            <w:pPr>
              <w:pStyle w:val="Compact"/>
              <w:rPr>
                <w:sz w:val="24"/>
              </w:rPr>
            </w:pPr>
            <w:r w:rsidRPr="0050388B">
              <w:rPr>
                <w:sz w:val="24"/>
              </w:rPr>
              <w:t>100 s (11)</w:t>
            </w:r>
          </w:p>
        </w:tc>
        <w:tc>
          <w:tcPr>
            <w:tcW w:w="0" w:type="auto"/>
            <w:vAlign w:val="center"/>
          </w:tcPr>
          <w:p w:rsidR="00E268C4" w:rsidRPr="0050388B" w:rsidRDefault="00E268C4" w:rsidP="0050388B">
            <w:pPr>
              <w:pStyle w:val="Compact"/>
              <w:rPr>
                <w:sz w:val="24"/>
              </w:rPr>
            </w:pPr>
            <w:r w:rsidRPr="0050388B">
              <w:rPr>
                <w:sz w:val="24"/>
              </w:rPr>
              <w:t>120 d</w:t>
            </w:r>
          </w:p>
        </w:tc>
        <w:tc>
          <w:tcPr>
            <w:tcW w:w="0" w:type="auto"/>
            <w:vAlign w:val="center"/>
          </w:tcPr>
          <w:p w:rsidR="00E268C4" w:rsidRPr="0050388B" w:rsidRDefault="00E268C4" w:rsidP="0050388B">
            <w:pPr>
              <w:pStyle w:val="Compact"/>
              <w:rPr>
                <w:sz w:val="24"/>
              </w:rPr>
            </w:pPr>
            <w:r w:rsidRPr="0050388B">
              <w:rPr>
                <w:sz w:val="24"/>
              </w:rPr>
              <w:t>3.1 s (0.092)</w:t>
            </w:r>
          </w:p>
        </w:tc>
        <w:tc>
          <w:tcPr>
            <w:tcW w:w="0" w:type="auto"/>
            <w:vAlign w:val="center"/>
          </w:tcPr>
          <w:p w:rsidR="00E268C4" w:rsidRPr="0050388B" w:rsidRDefault="00E268C4" w:rsidP="0050388B">
            <w:pPr>
              <w:pStyle w:val="Compact"/>
              <w:rPr>
                <w:sz w:val="24"/>
              </w:rPr>
            </w:pPr>
            <w:r w:rsidRPr="0050388B">
              <w:rPr>
                <w:sz w:val="24"/>
              </w:rPr>
              <w:t>3.6 d</w:t>
            </w:r>
          </w:p>
        </w:tc>
      </w:tr>
      <w:tr w:rsidR="00E268C4" w:rsidRPr="0050388B" w:rsidTr="00064B4C">
        <w:tc>
          <w:tcPr>
            <w:tcW w:w="0" w:type="auto"/>
            <w:vAlign w:val="center"/>
          </w:tcPr>
          <w:p w:rsidR="00E268C4" w:rsidRPr="0050388B" w:rsidRDefault="00E268C4" w:rsidP="0050388B">
            <w:pPr>
              <w:pStyle w:val="Compact"/>
              <w:rPr>
                <w:sz w:val="24"/>
              </w:rPr>
            </w:pPr>
            <w:r w:rsidRPr="0050388B">
              <w:rPr>
                <w:sz w:val="24"/>
              </w:rPr>
              <w:t>5,000</w:t>
            </w:r>
          </w:p>
        </w:tc>
        <w:tc>
          <w:tcPr>
            <w:tcW w:w="0" w:type="auto"/>
            <w:vAlign w:val="center"/>
          </w:tcPr>
          <w:p w:rsidR="00E268C4" w:rsidRPr="0050388B" w:rsidRDefault="00E268C4" w:rsidP="0050388B">
            <w:pPr>
              <w:pStyle w:val="Compact"/>
              <w:rPr>
                <w:sz w:val="24"/>
              </w:rPr>
            </w:pPr>
            <w:r w:rsidRPr="0050388B">
              <w:rPr>
                <w:sz w:val="24"/>
              </w:rPr>
              <w:t>180 s (25)</w:t>
            </w:r>
          </w:p>
        </w:tc>
        <w:tc>
          <w:tcPr>
            <w:tcW w:w="0" w:type="auto"/>
            <w:vAlign w:val="center"/>
          </w:tcPr>
          <w:p w:rsidR="00E268C4" w:rsidRPr="0050388B" w:rsidRDefault="00E268C4" w:rsidP="0050388B">
            <w:pPr>
              <w:pStyle w:val="Compact"/>
              <w:rPr>
                <w:sz w:val="24"/>
              </w:rPr>
            </w:pPr>
            <w:r w:rsidRPr="0050388B">
              <w:rPr>
                <w:sz w:val="24"/>
              </w:rPr>
              <w:t>210 d</w:t>
            </w:r>
          </w:p>
        </w:tc>
        <w:tc>
          <w:tcPr>
            <w:tcW w:w="0" w:type="auto"/>
            <w:vAlign w:val="center"/>
          </w:tcPr>
          <w:p w:rsidR="00E268C4" w:rsidRPr="0050388B" w:rsidRDefault="00E268C4" w:rsidP="0050388B">
            <w:pPr>
              <w:pStyle w:val="Compact"/>
              <w:rPr>
                <w:sz w:val="24"/>
              </w:rPr>
            </w:pPr>
            <w:r w:rsidRPr="0050388B">
              <w:rPr>
                <w:sz w:val="24"/>
              </w:rPr>
              <w:t>6.3 s (0.17)</w:t>
            </w:r>
          </w:p>
        </w:tc>
        <w:tc>
          <w:tcPr>
            <w:tcW w:w="0" w:type="auto"/>
            <w:vAlign w:val="center"/>
          </w:tcPr>
          <w:p w:rsidR="00E268C4" w:rsidRPr="0050388B" w:rsidRDefault="00E268C4" w:rsidP="0050388B">
            <w:pPr>
              <w:pStyle w:val="Compact"/>
              <w:rPr>
                <w:sz w:val="24"/>
              </w:rPr>
            </w:pPr>
            <w:r w:rsidRPr="0050388B">
              <w:rPr>
                <w:sz w:val="24"/>
              </w:rPr>
              <w:t>7.3 d</w:t>
            </w:r>
          </w:p>
        </w:tc>
      </w:tr>
      <w:tr w:rsidR="00E268C4" w:rsidRPr="0050388B" w:rsidTr="00064B4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10,000</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340 s (34)</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400 d</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9 s (0.22)</w:t>
            </w:r>
          </w:p>
        </w:tc>
        <w:tc>
          <w:tcPr>
            <w:tcW w:w="0" w:type="auto"/>
            <w:tcBorders>
              <w:bottom w:val="single" w:sz="4" w:space="0" w:color="auto"/>
            </w:tcBorders>
            <w:vAlign w:val="center"/>
          </w:tcPr>
          <w:p w:rsidR="00E268C4" w:rsidRPr="0050388B" w:rsidRDefault="00E268C4" w:rsidP="0050388B">
            <w:pPr>
              <w:pStyle w:val="Compact"/>
              <w:rPr>
                <w:sz w:val="24"/>
              </w:rPr>
            </w:pPr>
            <w:r w:rsidRPr="0050388B">
              <w:rPr>
                <w:sz w:val="24"/>
              </w:rPr>
              <w:t>10 d</w:t>
            </w:r>
          </w:p>
        </w:tc>
      </w:tr>
    </w:tbl>
    <w:p w:rsidR="00E268C4" w:rsidRDefault="00E268C4" w:rsidP="009F0E40">
      <w:pPr>
        <w:pStyle w:val="TableCaption"/>
        <w:spacing w:line="480" w:lineRule="auto"/>
      </w:pPr>
    </w:p>
    <w:p w:rsidR="00E268C4" w:rsidRDefault="00E268C4" w:rsidP="00E268C4">
      <w:pPr>
        <w:rPr>
          <w:sz w:val="20"/>
          <w:szCs w:val="18"/>
        </w:rPr>
      </w:pPr>
      <w:r>
        <w:br w:type="page"/>
      </w:r>
    </w:p>
    <w:p w:rsidR="00A77962" w:rsidRDefault="00B2336B" w:rsidP="009F0E40">
      <w:pPr>
        <w:pStyle w:val="TableCaption"/>
        <w:spacing w:line="480" w:lineRule="auto"/>
      </w:pPr>
      <w:r>
        <w:lastRenderedPageBreak/>
        <w:t>Table IV</w:t>
      </w:r>
      <w:r w:rsidR="007C3C2A">
        <w:t xml:space="preserve"> List of loci found to be associated within the joint modelling framework with both FG and T2D, previously shown as associated with FG and/or T2D in the NHGRI GWAS Catalogue (Welter et al., 2014).</w:t>
      </w:r>
    </w:p>
    <w:tbl>
      <w:tblPr>
        <w:tblW w:w="0" w:type="pct"/>
        <w:tblLook w:val="07E0" w:firstRow="1" w:lastRow="1" w:firstColumn="1" w:lastColumn="1" w:noHBand="1" w:noVBand="1"/>
        <w:tblCaption w:val="Table 4 List of loci found to be associated within the joint modelling framework with both FG and T2D, previously shown as associated with FG and/or T2D in the NHGRI GWAS Catalogue (Welter et al., 2014)."/>
      </w:tblPr>
      <w:tblGrid>
        <w:gridCol w:w="2284"/>
        <w:gridCol w:w="1799"/>
        <w:gridCol w:w="1839"/>
        <w:gridCol w:w="1637"/>
        <w:gridCol w:w="1500"/>
      </w:tblGrid>
      <w:tr w:rsidR="00E268C4" w:rsidRPr="00CF278E" w:rsidTr="0050388B">
        <w:tc>
          <w:tcPr>
            <w:tcW w:w="0" w:type="auto"/>
            <w:tcBorders>
              <w:top w:val="single" w:sz="4" w:space="0" w:color="auto"/>
              <w:bottom w:val="single" w:sz="4" w:space="0" w:color="auto"/>
            </w:tcBorders>
            <w:vAlign w:val="bottom"/>
          </w:tcPr>
          <w:p w:rsidR="00E268C4" w:rsidRPr="00CF278E" w:rsidRDefault="00E268C4" w:rsidP="0050388B">
            <w:pPr>
              <w:pStyle w:val="Compact"/>
            </w:pPr>
            <w:r w:rsidRPr="00CF278E">
              <w:t>SNP (gene)</w:t>
            </w:r>
          </w:p>
        </w:tc>
        <w:tc>
          <w:tcPr>
            <w:tcW w:w="0" w:type="auto"/>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α</m:t>
              </m:r>
            </m:oMath>
            <w:r w:rsidRPr="00CF278E">
              <w:t xml:space="preserve"> (p-value)</w:t>
            </w:r>
          </w:p>
        </w:tc>
        <w:tc>
          <w:tcPr>
            <w:tcW w:w="0" w:type="auto"/>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γ</m:t>
              </m:r>
            </m:oMath>
            <w:r w:rsidRPr="00CF278E">
              <w:t xml:space="preserve"> (p-value)</w:t>
            </w:r>
          </w:p>
        </w:tc>
        <w:tc>
          <w:tcPr>
            <w:tcW w:w="0" w:type="auto"/>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β</m:t>
              </m:r>
            </m:oMath>
            <w:r w:rsidRPr="00CF278E">
              <w:t xml:space="preserve"> (p-value)</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Power (</w:t>
            </w:r>
            <m:oMath>
              <m:r>
                <w:rPr>
                  <w:rFonts w:ascii="Cambria Math" w:hAnsi="Cambria Math"/>
                </w:rPr>
                <m:t>βγ+α</m:t>
              </m:r>
            </m:oMath>
            <w:r w:rsidRPr="00CF278E">
              <w:t>)</w:t>
            </w:r>
          </w:p>
        </w:tc>
      </w:tr>
      <w:tr w:rsidR="00E268C4" w:rsidRPr="00CF278E" w:rsidTr="0050388B">
        <w:tc>
          <w:tcPr>
            <w:tcW w:w="0" w:type="auto"/>
            <w:tcBorders>
              <w:top w:val="single" w:sz="4" w:space="0" w:color="auto"/>
            </w:tcBorders>
          </w:tcPr>
          <w:p w:rsidR="00E268C4" w:rsidRPr="00CF278E" w:rsidRDefault="00E268C4" w:rsidP="0050388B">
            <w:pPr>
              <w:pStyle w:val="Compact"/>
            </w:pPr>
            <w:r w:rsidRPr="00CF278E">
              <w:t>rs6945660_G (ETV1)</w:t>
            </w:r>
          </w:p>
        </w:tc>
        <w:tc>
          <w:tcPr>
            <w:tcW w:w="0" w:type="auto"/>
            <w:tcBorders>
              <w:top w:val="single" w:sz="4" w:space="0" w:color="auto"/>
            </w:tcBorders>
            <w:vAlign w:val="center"/>
          </w:tcPr>
          <w:p w:rsidR="00E268C4" w:rsidRPr="00CF278E" w:rsidRDefault="00E268C4" w:rsidP="0050388B">
            <w:pPr>
              <w:pStyle w:val="Compact"/>
            </w:pPr>
            <w:r w:rsidRPr="00CF278E">
              <w:t>0.55 (</w:t>
            </w:r>
            <m:oMath>
              <m:r>
                <w:rPr>
                  <w:rFonts w:ascii="Cambria Math" w:hAnsi="Cambria Math"/>
                </w:rPr>
                <m:t>3.7×</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0.0352 (</w:t>
            </w:r>
            <m:oMath>
              <m: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3.48 (</w:t>
            </w:r>
            <m:oMath>
              <m:r>
                <w:rPr>
                  <w:rFonts w:ascii="Cambria Math" w:hAnsi="Cambria Math"/>
                </w:rPr>
                <m:t>9.6×</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69.7%</w:t>
            </w:r>
          </w:p>
        </w:tc>
      </w:tr>
      <w:tr w:rsidR="00E268C4" w:rsidRPr="00CF278E" w:rsidTr="0050388B">
        <w:tc>
          <w:tcPr>
            <w:tcW w:w="0" w:type="auto"/>
          </w:tcPr>
          <w:p w:rsidR="00E268C4" w:rsidRPr="00CF278E" w:rsidRDefault="00E268C4" w:rsidP="0050388B">
            <w:pPr>
              <w:pStyle w:val="Compact"/>
            </w:pPr>
            <w:r w:rsidRPr="00CF278E">
              <w:t>rs1942873_C (MC4R)</w:t>
            </w:r>
          </w:p>
        </w:tc>
        <w:tc>
          <w:tcPr>
            <w:tcW w:w="0" w:type="auto"/>
            <w:vAlign w:val="center"/>
          </w:tcPr>
          <w:p w:rsidR="00E268C4" w:rsidRPr="00CF278E" w:rsidRDefault="00E268C4" w:rsidP="0050388B">
            <w:pPr>
              <w:pStyle w:val="Compact"/>
            </w:pPr>
            <w:r w:rsidRPr="00CF278E">
              <w:t>0.41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0.0234 (</w:t>
            </w:r>
            <m:oMath>
              <m:r>
                <w:rPr>
                  <w:rFonts w:ascii="Cambria Math" w:hAnsi="Cambria Math"/>
                </w:rPr>
                <m:t>3.7×</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3.14 (</w:t>
            </w:r>
            <m:oMath>
              <m:r>
                <w:rPr>
                  <w:rFonts w:ascii="Cambria Math" w:hAnsi="Cambria Math"/>
                </w:rPr>
                <m:t>1.9×</m:t>
              </m:r>
              <m:sSup>
                <m:sSupPr>
                  <m:ctrlPr>
                    <w:rPr>
                      <w:rFonts w:ascii="Cambria Math" w:hAnsi="Cambria Math"/>
                    </w:rPr>
                  </m:ctrlPr>
                </m:sSupPr>
                <m:e>
                  <m:r>
                    <w:rPr>
                      <w:rFonts w:ascii="Cambria Math" w:hAnsi="Cambria Math"/>
                    </w:rPr>
                    <m:t>10</m:t>
                  </m:r>
                </m:e>
                <m:sup>
                  <m:r>
                    <w:rPr>
                      <w:rFonts w:ascii="Cambria Math" w:hAnsi="Cambria Math"/>
                    </w:rPr>
                    <m:t>-41</m:t>
                  </m:r>
                </m:sup>
              </m:sSup>
            </m:oMath>
            <w:r w:rsidRPr="00CF278E">
              <w:t>)</w:t>
            </w:r>
          </w:p>
        </w:tc>
        <w:tc>
          <w:tcPr>
            <w:tcW w:w="0" w:type="auto"/>
            <w:vAlign w:val="center"/>
          </w:tcPr>
          <w:p w:rsidR="00E268C4" w:rsidRPr="00CF278E" w:rsidRDefault="00E268C4" w:rsidP="0050388B">
            <w:pPr>
              <w:pStyle w:val="Compact"/>
            </w:pPr>
            <w:r w:rsidRPr="00CF278E">
              <w:t>69.6%</w:t>
            </w:r>
          </w:p>
        </w:tc>
      </w:tr>
      <w:tr w:rsidR="00E268C4" w:rsidRPr="00CF278E" w:rsidTr="0050388B">
        <w:tc>
          <w:tcPr>
            <w:tcW w:w="0" w:type="auto"/>
          </w:tcPr>
          <w:p w:rsidR="00E268C4" w:rsidRPr="00CF278E" w:rsidRDefault="00E268C4" w:rsidP="0050388B">
            <w:pPr>
              <w:pStyle w:val="Compact"/>
            </w:pPr>
            <w:r w:rsidRPr="00CF278E">
              <w:t>rs55899248_G (TCF7L2)</w:t>
            </w:r>
          </w:p>
        </w:tc>
        <w:tc>
          <w:tcPr>
            <w:tcW w:w="0" w:type="auto"/>
            <w:vAlign w:val="center"/>
          </w:tcPr>
          <w:p w:rsidR="00E268C4" w:rsidRPr="00CF278E" w:rsidRDefault="00E268C4" w:rsidP="0050388B">
            <w:pPr>
              <w:pStyle w:val="Compact"/>
            </w:pPr>
            <w:r w:rsidRPr="00CF278E">
              <w:t>0.292 (</w:t>
            </w:r>
            <m:oMath>
              <m:r>
                <w:rPr>
                  <w:rFonts w:ascii="Cambria Math" w:hAnsi="Cambria Math"/>
                </w:rPr>
                <m:t>2.7×</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0.0253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3.49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-44</m:t>
                  </m:r>
                </m:sup>
              </m:sSup>
            </m:oMath>
            <w:r w:rsidRPr="00CF278E">
              <w:t>)</w:t>
            </w:r>
          </w:p>
        </w:tc>
        <w:tc>
          <w:tcPr>
            <w:tcW w:w="0" w:type="auto"/>
            <w:vAlign w:val="center"/>
          </w:tcPr>
          <w:p w:rsidR="00E268C4" w:rsidRPr="00CF278E" w:rsidRDefault="00E268C4" w:rsidP="0050388B">
            <w:pPr>
              <w:pStyle w:val="Compact"/>
            </w:pPr>
            <w:r w:rsidRPr="00CF278E">
              <w:t>55.3%</w:t>
            </w:r>
          </w:p>
        </w:tc>
      </w:tr>
      <w:tr w:rsidR="00E268C4" w:rsidRPr="00CF278E" w:rsidTr="0050388B">
        <w:tc>
          <w:tcPr>
            <w:tcW w:w="0" w:type="auto"/>
          </w:tcPr>
          <w:p w:rsidR="00E268C4" w:rsidRPr="00CF278E" w:rsidRDefault="00E268C4" w:rsidP="0050388B">
            <w:pPr>
              <w:pStyle w:val="Compact"/>
            </w:pPr>
            <w:r w:rsidRPr="00CF278E">
              <w:t>rs17301514_A (ST6GAL1)</w:t>
            </w:r>
          </w:p>
        </w:tc>
        <w:tc>
          <w:tcPr>
            <w:tcW w:w="0" w:type="auto"/>
            <w:vAlign w:val="center"/>
          </w:tcPr>
          <w:p w:rsidR="00E268C4" w:rsidRPr="00CF278E" w:rsidRDefault="00E268C4" w:rsidP="0050388B">
            <w:pPr>
              <w:pStyle w:val="Compact"/>
            </w:pPr>
            <w:r w:rsidRPr="00CF278E">
              <w:t>-0.657 (</w:t>
            </w:r>
            <m:oMath>
              <m:r>
                <w:rPr>
                  <w:rFonts w:ascii="Cambria Math" w:hAnsi="Cambria Math"/>
                </w:rPr>
                <m:t>4.4×</m:t>
              </m:r>
              <m:sSup>
                <m:sSupPr>
                  <m:ctrlPr>
                    <w:rPr>
                      <w:rFonts w:ascii="Cambria Math" w:hAnsi="Cambria Math"/>
                    </w:rPr>
                  </m:ctrlPr>
                </m:sSupPr>
                <m:e>
                  <m:r>
                    <w:rPr>
                      <w:rFonts w:ascii="Cambria Math" w:hAnsi="Cambria Math"/>
                    </w:rPr>
                    <m:t>10</m:t>
                  </m:r>
                </m:e>
                <m:sup>
                  <m:r>
                    <w:rPr>
                      <w:rFonts w:ascii="Cambria Math" w:hAnsi="Cambria Math"/>
                    </w:rPr>
                    <m:t>-03</m:t>
                  </m:r>
                </m:sup>
              </m:sSup>
            </m:oMath>
            <w:r w:rsidRPr="00CF278E">
              <w:t>)</w:t>
            </w:r>
          </w:p>
        </w:tc>
        <w:tc>
          <w:tcPr>
            <w:tcW w:w="0" w:type="auto"/>
            <w:vAlign w:val="center"/>
          </w:tcPr>
          <w:p w:rsidR="00E268C4" w:rsidRPr="00CF278E" w:rsidRDefault="00E268C4" w:rsidP="0050388B">
            <w:pPr>
              <w:pStyle w:val="Compact"/>
            </w:pPr>
            <w:r w:rsidRPr="00CF278E">
              <w:t>0.0451 (</w:t>
            </w:r>
            <m:oMath>
              <m:r>
                <w:rPr>
                  <w:rFonts w:ascii="Cambria Math" w:hAnsi="Cambria Math"/>
                </w:rPr>
                <m:t>3.4×</m:t>
              </m:r>
              <m:sSup>
                <m:sSupPr>
                  <m:ctrlPr>
                    <w:rPr>
                      <w:rFonts w:ascii="Cambria Math" w:hAnsi="Cambria Math"/>
                    </w:rPr>
                  </m:ctrlPr>
                </m:sSupPr>
                <m:e>
                  <m:r>
                    <w:rPr>
                      <w:rFonts w:ascii="Cambria Math" w:hAnsi="Cambria Math"/>
                    </w:rPr>
                    <m:t>10</m:t>
                  </m:r>
                </m:e>
                <m:sup>
                  <m:r>
                    <w:rPr>
                      <w:rFonts w:ascii="Cambria Math" w:hAnsi="Cambria Math"/>
                    </w:rPr>
                    <m:t>-03</m:t>
                  </m:r>
                </m:sup>
              </m:sSup>
            </m:oMath>
            <w:r w:rsidRPr="00CF278E">
              <w:t>)</w:t>
            </w:r>
          </w:p>
        </w:tc>
        <w:tc>
          <w:tcPr>
            <w:tcW w:w="0" w:type="auto"/>
            <w:vAlign w:val="center"/>
          </w:tcPr>
          <w:p w:rsidR="00E268C4" w:rsidRPr="00CF278E" w:rsidRDefault="00E268C4" w:rsidP="0050388B">
            <w:pPr>
              <w:pStyle w:val="Compact"/>
            </w:pPr>
            <w:r w:rsidRPr="00CF278E">
              <w:t>3.65 (</w:t>
            </w:r>
            <m:oMath>
              <m:r>
                <w:rPr>
                  <w:rFonts w:ascii="Cambria Math" w:hAnsi="Cambria Math"/>
                </w:rPr>
                <m:t>2.9×</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vAlign w:val="center"/>
          </w:tcPr>
          <w:p w:rsidR="00E268C4" w:rsidRPr="00CF278E" w:rsidRDefault="00E268C4" w:rsidP="0050388B">
            <w:pPr>
              <w:pStyle w:val="Compact"/>
            </w:pPr>
            <w:r w:rsidRPr="00CF278E">
              <w:t>45.8%</w:t>
            </w:r>
          </w:p>
        </w:tc>
      </w:tr>
      <w:tr w:rsidR="00E268C4" w:rsidRPr="00CF278E" w:rsidTr="0050388B">
        <w:tc>
          <w:tcPr>
            <w:tcW w:w="0" w:type="auto"/>
          </w:tcPr>
          <w:p w:rsidR="00E268C4" w:rsidRPr="00CF278E" w:rsidRDefault="00E268C4" w:rsidP="0050388B">
            <w:pPr>
              <w:pStyle w:val="Compact"/>
            </w:pPr>
            <w:r w:rsidRPr="00CF278E">
              <w:t>rs833425_C (PTPRD)</w:t>
            </w:r>
          </w:p>
        </w:tc>
        <w:tc>
          <w:tcPr>
            <w:tcW w:w="0" w:type="auto"/>
            <w:vAlign w:val="center"/>
          </w:tcPr>
          <w:p w:rsidR="00E268C4" w:rsidRPr="00CF278E" w:rsidRDefault="00E268C4" w:rsidP="0050388B">
            <w:pPr>
              <w:pStyle w:val="Compact"/>
            </w:pPr>
            <w:r w:rsidRPr="00CF278E">
              <w:t>0.321 (</w:t>
            </w:r>
            <m:oMath>
              <m:r>
                <w:rPr>
                  <w:rFonts w:ascii="Cambria Math" w:hAnsi="Cambria Math"/>
                </w:rPr>
                <m:t>5.0×</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0.0432 (</w:t>
            </w:r>
            <m:oMath>
              <m:r>
                <w:rPr>
                  <w:rFonts w:ascii="Cambria Math" w:hAnsi="Cambria Math"/>
                </w:rPr>
                <m:t>4.2×</m:t>
              </m:r>
              <m:sSup>
                <m:sSupPr>
                  <m:ctrlPr>
                    <w:rPr>
                      <w:rFonts w:ascii="Cambria Math" w:hAnsi="Cambria Math"/>
                    </w:rPr>
                  </m:ctrlPr>
                </m:sSupPr>
                <m:e>
                  <m:r>
                    <w:rPr>
                      <w:rFonts w:ascii="Cambria Math" w:hAnsi="Cambria Math"/>
                    </w:rPr>
                    <m:t>10</m:t>
                  </m:r>
                </m:e>
                <m:sup>
                  <m:r>
                    <w:rPr>
                      <w:rFonts w:ascii="Cambria Math" w:hAnsi="Cambria Math"/>
                    </w:rPr>
                    <m:t>-03</m:t>
                  </m:r>
                </m:sup>
              </m:sSup>
            </m:oMath>
            <w:r w:rsidRPr="00CF278E">
              <w:t>)</w:t>
            </w:r>
          </w:p>
        </w:tc>
        <w:tc>
          <w:tcPr>
            <w:tcW w:w="0" w:type="auto"/>
            <w:vAlign w:val="center"/>
          </w:tcPr>
          <w:p w:rsidR="00E268C4" w:rsidRPr="00CF278E" w:rsidRDefault="00E268C4" w:rsidP="0050388B">
            <w:pPr>
              <w:pStyle w:val="Compact"/>
            </w:pPr>
            <w:r w:rsidRPr="00CF278E">
              <w:t>3.51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-43</m:t>
                  </m:r>
                </m:sup>
              </m:sSup>
            </m:oMath>
            <w:r w:rsidRPr="00CF278E">
              <w:t>)</w:t>
            </w:r>
          </w:p>
        </w:tc>
        <w:tc>
          <w:tcPr>
            <w:tcW w:w="0" w:type="auto"/>
            <w:vAlign w:val="center"/>
          </w:tcPr>
          <w:p w:rsidR="00E268C4" w:rsidRPr="00CF278E" w:rsidRDefault="00E268C4" w:rsidP="0050388B">
            <w:pPr>
              <w:pStyle w:val="Compact"/>
            </w:pPr>
            <w:r w:rsidRPr="00CF278E">
              <w:t>44.2%</w:t>
            </w:r>
          </w:p>
        </w:tc>
      </w:tr>
      <w:tr w:rsidR="00E268C4" w:rsidRPr="00CF278E" w:rsidTr="0050388B">
        <w:tc>
          <w:tcPr>
            <w:tcW w:w="0" w:type="auto"/>
          </w:tcPr>
          <w:p w:rsidR="00E268C4" w:rsidRPr="00CF278E" w:rsidRDefault="00E268C4" w:rsidP="0050388B">
            <w:pPr>
              <w:pStyle w:val="Compact"/>
            </w:pPr>
            <w:r w:rsidRPr="00CF278E">
              <w:t>rs7072870_A (C10orf35)</w:t>
            </w:r>
          </w:p>
        </w:tc>
        <w:tc>
          <w:tcPr>
            <w:tcW w:w="0" w:type="auto"/>
            <w:vAlign w:val="center"/>
          </w:tcPr>
          <w:p w:rsidR="00E268C4" w:rsidRPr="00CF278E" w:rsidRDefault="00E268C4" w:rsidP="0050388B">
            <w:pPr>
              <w:pStyle w:val="Compact"/>
            </w:pPr>
            <w:r w:rsidRPr="00CF278E">
              <w:t>-0.404 (</w:t>
            </w:r>
            <m:oMath>
              <m:r>
                <w:rPr>
                  <w:rFonts w:ascii="Cambria Math" w:hAnsi="Cambria Math"/>
                </w:rPr>
                <m:t>7.5×</m:t>
              </m:r>
              <m:sSup>
                <m:sSupPr>
                  <m:ctrlPr>
                    <w:rPr>
                      <w:rFonts w:ascii="Cambria Math" w:hAnsi="Cambria Math"/>
                    </w:rPr>
                  </m:ctrlPr>
                </m:sSupPr>
                <m:e>
                  <m:r>
                    <w:rPr>
                      <w:rFonts w:ascii="Cambria Math" w:hAnsi="Cambria Math"/>
                    </w:rPr>
                    <m:t>10</m:t>
                  </m:r>
                </m:e>
                <m:sup>
                  <m:r>
                    <w:rPr>
                      <w:rFonts w:ascii="Cambria Math" w:hAnsi="Cambria Math"/>
                    </w:rPr>
                    <m:t>-03</m:t>
                  </m:r>
                </m:sup>
              </m:sSup>
            </m:oMath>
            <w:r w:rsidRPr="00CF278E">
              <w:t>)</w:t>
            </w:r>
          </w:p>
        </w:tc>
        <w:tc>
          <w:tcPr>
            <w:tcW w:w="0" w:type="auto"/>
            <w:vAlign w:val="center"/>
          </w:tcPr>
          <w:p w:rsidR="00E268C4" w:rsidRPr="00CF278E" w:rsidRDefault="00E268C4" w:rsidP="0050388B">
            <w:pPr>
              <w:pStyle w:val="Compact"/>
            </w:pPr>
            <w:r w:rsidRPr="00CF278E">
              <w:t>0.0248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3.58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vAlign w:val="center"/>
          </w:tcPr>
          <w:p w:rsidR="00E268C4" w:rsidRPr="00CF278E" w:rsidRDefault="00E268C4" w:rsidP="0050388B">
            <w:pPr>
              <w:pStyle w:val="Compact"/>
            </w:pPr>
            <w:r w:rsidRPr="00CF278E">
              <w:t>39.6%</w:t>
            </w:r>
          </w:p>
        </w:tc>
      </w:tr>
      <w:tr w:rsidR="00E268C4" w:rsidRPr="00CF278E" w:rsidTr="0050388B">
        <w:tc>
          <w:tcPr>
            <w:tcW w:w="0" w:type="auto"/>
          </w:tcPr>
          <w:p w:rsidR="00E268C4" w:rsidRPr="00CF278E" w:rsidRDefault="00E268C4" w:rsidP="0050388B">
            <w:pPr>
              <w:pStyle w:val="Compact"/>
            </w:pPr>
            <w:r w:rsidRPr="00CF278E">
              <w:t>rs61871514_A (KCNQ1)</w:t>
            </w:r>
          </w:p>
        </w:tc>
        <w:tc>
          <w:tcPr>
            <w:tcW w:w="0" w:type="auto"/>
            <w:vAlign w:val="center"/>
          </w:tcPr>
          <w:p w:rsidR="00E268C4" w:rsidRPr="00CF278E" w:rsidRDefault="00E268C4" w:rsidP="0050388B">
            <w:pPr>
              <w:pStyle w:val="Compact"/>
            </w:pPr>
            <w:r w:rsidRPr="00CF278E">
              <w:t>0.425 (</w:t>
            </w:r>
            <m:oMath>
              <m:r>
                <w:rPr>
                  <w:rFonts w:ascii="Cambria Math" w:hAnsi="Cambria Math"/>
                </w:rPr>
                <m:t>4.7×</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0.0457 (</w:t>
            </w:r>
            <m:oMath>
              <m:r>
                <w:rPr>
                  <w:rFonts w:ascii="Cambria Math" w:hAnsi="Cambria Math"/>
                </w:rPr>
                <m:t>2.0×</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3.18 (</w:t>
            </w:r>
            <m:oMath>
              <m:r>
                <w:rPr>
                  <w:rFonts w:ascii="Cambria Math" w:hAnsi="Cambria Math"/>
                </w:rPr>
                <m:t>8.5×</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39.4%</w:t>
            </w:r>
          </w:p>
        </w:tc>
      </w:tr>
      <w:tr w:rsidR="00E268C4" w:rsidRPr="00CF278E" w:rsidTr="0050388B">
        <w:tc>
          <w:tcPr>
            <w:tcW w:w="0" w:type="auto"/>
          </w:tcPr>
          <w:p w:rsidR="00E268C4" w:rsidRPr="00CF278E" w:rsidRDefault="00E268C4" w:rsidP="0050388B">
            <w:pPr>
              <w:pStyle w:val="Compact"/>
            </w:pPr>
            <w:r w:rsidRPr="00CF278E">
              <w:t>rs9883865_A (ADAMTS9)</w:t>
            </w:r>
          </w:p>
        </w:tc>
        <w:tc>
          <w:tcPr>
            <w:tcW w:w="0" w:type="auto"/>
            <w:vAlign w:val="center"/>
          </w:tcPr>
          <w:p w:rsidR="00E268C4" w:rsidRPr="00CF278E" w:rsidRDefault="00E268C4" w:rsidP="0050388B">
            <w:pPr>
              <w:pStyle w:val="Compact"/>
            </w:pPr>
            <w:r w:rsidRPr="00CF278E">
              <w:t>-0.598 (</w:t>
            </w:r>
            <m:oMath>
              <m:r>
                <w:rPr>
                  <w:rFonts w:ascii="Cambria Math" w:hAnsi="Cambria Math"/>
                </w:rPr>
                <m:t>7.5×</m:t>
              </m:r>
              <m:sSup>
                <m:sSupPr>
                  <m:ctrlPr>
                    <w:rPr>
                      <w:rFonts w:ascii="Cambria Math" w:hAnsi="Cambria Math"/>
                    </w:rPr>
                  </m:ctrlPr>
                </m:sSupPr>
                <m:e>
                  <m:r>
                    <w:rPr>
                      <w:rFonts w:ascii="Cambria Math" w:hAnsi="Cambria Math"/>
                    </w:rPr>
                    <m:t>10</m:t>
                  </m:r>
                </m:e>
                <m:sup>
                  <m:r>
                    <w:rPr>
                      <w:rFonts w:ascii="Cambria Math" w:hAnsi="Cambria Math"/>
                    </w:rPr>
                    <m:t>-04</m:t>
                  </m:r>
                </m:sup>
              </m:sSup>
            </m:oMath>
            <w:r w:rsidRPr="00CF278E">
              <w:t>)</w:t>
            </w:r>
          </w:p>
        </w:tc>
        <w:tc>
          <w:tcPr>
            <w:tcW w:w="0" w:type="auto"/>
            <w:vAlign w:val="center"/>
          </w:tcPr>
          <w:p w:rsidR="00E268C4" w:rsidRPr="00CF278E" w:rsidRDefault="00E268C4" w:rsidP="0050388B">
            <w:pPr>
              <w:pStyle w:val="Compact"/>
            </w:pPr>
            <w:r w:rsidRPr="00CF278E">
              <w:t>0.0426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3.2 (</w:t>
            </w:r>
            <m:oMath>
              <m:r>
                <w:rPr>
                  <w:rFonts w:ascii="Cambria Math" w:hAnsi="Cambria Math"/>
                </w:rPr>
                <m:t>5.9×</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34.9%</w:t>
            </w:r>
          </w:p>
        </w:tc>
      </w:tr>
      <w:tr w:rsidR="00E268C4" w:rsidRPr="00CF278E" w:rsidTr="0050388B">
        <w:tc>
          <w:tcPr>
            <w:tcW w:w="0" w:type="auto"/>
          </w:tcPr>
          <w:p w:rsidR="00E268C4" w:rsidRPr="00CF278E" w:rsidRDefault="00E268C4" w:rsidP="0050388B">
            <w:pPr>
              <w:pStyle w:val="Compact"/>
            </w:pPr>
            <w:r w:rsidRPr="00CF278E">
              <w:t>rs114508985_C (HLA)</w:t>
            </w:r>
          </w:p>
        </w:tc>
        <w:tc>
          <w:tcPr>
            <w:tcW w:w="0" w:type="auto"/>
            <w:vAlign w:val="center"/>
          </w:tcPr>
          <w:p w:rsidR="00E268C4" w:rsidRPr="00CF278E" w:rsidRDefault="00E268C4" w:rsidP="0050388B">
            <w:pPr>
              <w:pStyle w:val="Compact"/>
            </w:pPr>
            <w:r w:rsidRPr="00CF278E">
              <w:t>-0.294 (</w:t>
            </w:r>
            <m:oMath>
              <m:r>
                <w:rPr>
                  <w:rFonts w:ascii="Cambria Math" w:hAnsi="Cambria Math"/>
                </w:rPr>
                <m:t>2.1×</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0.0209 (</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3.22 (</w:t>
            </w:r>
            <m:oMath>
              <m:r>
                <w:rPr>
                  <w:rFonts w:ascii="Cambria Math" w:hAnsi="Cambria Math"/>
                </w:rPr>
                <m:t>8.2×</m:t>
              </m:r>
              <m:sSup>
                <m:sSupPr>
                  <m:ctrlPr>
                    <w:rPr>
                      <w:rFonts w:ascii="Cambria Math" w:hAnsi="Cambria Math"/>
                    </w:rPr>
                  </m:ctrlPr>
                </m:sSupPr>
                <m:e>
                  <m:r>
                    <w:rPr>
                      <w:rFonts w:ascii="Cambria Math" w:hAnsi="Cambria Math"/>
                    </w:rPr>
                    <m:t>10</m:t>
                  </m:r>
                </m:e>
                <m:sup>
                  <m:r>
                    <w:rPr>
                      <w:rFonts w:ascii="Cambria Math" w:hAnsi="Cambria Math"/>
                    </w:rPr>
                    <m:t>-43</m:t>
                  </m:r>
                </m:sup>
              </m:sSup>
            </m:oMath>
            <w:r w:rsidRPr="00CF278E">
              <w:t>)</w:t>
            </w:r>
          </w:p>
        </w:tc>
        <w:tc>
          <w:tcPr>
            <w:tcW w:w="0" w:type="auto"/>
            <w:vAlign w:val="center"/>
          </w:tcPr>
          <w:p w:rsidR="00E268C4" w:rsidRPr="00CF278E" w:rsidRDefault="00E268C4" w:rsidP="0050388B">
            <w:pPr>
              <w:pStyle w:val="Compact"/>
            </w:pPr>
            <w:r w:rsidRPr="00CF278E">
              <w:t>27.1%</w:t>
            </w:r>
          </w:p>
        </w:tc>
      </w:tr>
      <w:tr w:rsidR="00E268C4" w:rsidRPr="00CF278E" w:rsidTr="0050388B">
        <w:tc>
          <w:tcPr>
            <w:tcW w:w="0" w:type="auto"/>
          </w:tcPr>
          <w:p w:rsidR="00E268C4" w:rsidRPr="00CF278E" w:rsidRDefault="00E268C4" w:rsidP="0050388B">
            <w:pPr>
              <w:pStyle w:val="Compact"/>
            </w:pPr>
            <w:r w:rsidRPr="00CF278E">
              <w:t>rs10814856_T (GLIS3)</w:t>
            </w:r>
          </w:p>
        </w:tc>
        <w:tc>
          <w:tcPr>
            <w:tcW w:w="0" w:type="auto"/>
            <w:vAlign w:val="center"/>
          </w:tcPr>
          <w:p w:rsidR="00E268C4" w:rsidRPr="00CF278E" w:rsidRDefault="00E268C4" w:rsidP="0050388B">
            <w:pPr>
              <w:pStyle w:val="Compact"/>
            </w:pPr>
            <w:r w:rsidRPr="00CF278E">
              <w:t>-0.265 (</w:t>
            </w:r>
            <m:oMath>
              <m:r>
                <w:rPr>
                  <w:rFonts w:ascii="Cambria Math" w:hAnsi="Cambria Math"/>
                </w:rPr>
                <m:t>4.0×</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0.0248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3.2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18.5%</w:t>
            </w:r>
          </w:p>
        </w:tc>
      </w:tr>
      <w:tr w:rsidR="00E268C4" w:rsidRPr="00CF278E" w:rsidTr="0050388B">
        <w:tc>
          <w:tcPr>
            <w:tcW w:w="0" w:type="auto"/>
          </w:tcPr>
          <w:p w:rsidR="00E268C4" w:rsidRPr="00CF278E" w:rsidRDefault="00E268C4" w:rsidP="0050388B">
            <w:pPr>
              <w:pStyle w:val="Compact"/>
            </w:pPr>
            <w:r w:rsidRPr="00CF278E">
              <w:t>rs73025532_C (SLC22A1)</w:t>
            </w:r>
          </w:p>
        </w:tc>
        <w:tc>
          <w:tcPr>
            <w:tcW w:w="0" w:type="auto"/>
            <w:vAlign w:val="center"/>
          </w:tcPr>
          <w:p w:rsidR="00E268C4" w:rsidRPr="00CF278E" w:rsidRDefault="00E268C4" w:rsidP="0050388B">
            <w:pPr>
              <w:pStyle w:val="Compact"/>
            </w:pPr>
            <w:r w:rsidRPr="00CF278E">
              <w:t>-0.377 (</w:t>
            </w:r>
            <m:oMath>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0.0317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3.58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vAlign w:val="center"/>
          </w:tcPr>
          <w:p w:rsidR="00E268C4" w:rsidRPr="00CF278E" w:rsidRDefault="00E268C4" w:rsidP="0050388B">
            <w:pPr>
              <w:pStyle w:val="Compact"/>
            </w:pPr>
            <w:r w:rsidRPr="00CF278E">
              <w:t>17.3%</w:t>
            </w:r>
          </w:p>
        </w:tc>
      </w:tr>
      <w:tr w:rsidR="00E268C4" w:rsidRPr="00CF278E" w:rsidTr="0050388B">
        <w:tc>
          <w:tcPr>
            <w:tcW w:w="0" w:type="auto"/>
          </w:tcPr>
          <w:p w:rsidR="00E268C4" w:rsidRPr="00CF278E" w:rsidRDefault="00E268C4" w:rsidP="0050388B">
            <w:pPr>
              <w:pStyle w:val="Compact"/>
            </w:pPr>
            <w:r w:rsidRPr="00CF278E">
              <w:t>rs11769484_C (JAZF1)</w:t>
            </w:r>
          </w:p>
        </w:tc>
        <w:tc>
          <w:tcPr>
            <w:tcW w:w="0" w:type="auto"/>
            <w:vAlign w:val="center"/>
          </w:tcPr>
          <w:p w:rsidR="00E268C4" w:rsidRPr="00CF278E" w:rsidRDefault="00E268C4" w:rsidP="0050388B">
            <w:pPr>
              <w:pStyle w:val="Compact"/>
            </w:pPr>
            <w:r w:rsidRPr="00CF278E">
              <w:t>-0.254 (</w:t>
            </w:r>
            <m:oMath>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0.0221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3.21 (</w:t>
            </w:r>
            <m:oMath>
              <m:r>
                <w:rPr>
                  <w:rFonts w:ascii="Cambria Math" w:hAnsi="Cambria Math"/>
                </w:rPr>
                <m:t>2.1×</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16.9%</w:t>
            </w:r>
          </w:p>
        </w:tc>
      </w:tr>
      <w:tr w:rsidR="00E268C4" w:rsidRPr="00CF278E" w:rsidTr="0050388B">
        <w:tc>
          <w:tcPr>
            <w:tcW w:w="0" w:type="auto"/>
          </w:tcPr>
          <w:p w:rsidR="00E268C4" w:rsidRPr="00CF278E" w:rsidRDefault="00E268C4" w:rsidP="0050388B">
            <w:pPr>
              <w:pStyle w:val="Compact"/>
            </w:pPr>
            <w:r w:rsidRPr="00CF278E">
              <w:t>rs6450176_G (ARL15)</w:t>
            </w:r>
          </w:p>
        </w:tc>
        <w:tc>
          <w:tcPr>
            <w:tcW w:w="0" w:type="auto"/>
            <w:vAlign w:val="center"/>
          </w:tcPr>
          <w:p w:rsidR="00E268C4" w:rsidRPr="00CF278E" w:rsidRDefault="00E268C4" w:rsidP="0050388B">
            <w:pPr>
              <w:pStyle w:val="Compact"/>
            </w:pPr>
            <w:r w:rsidRPr="00CF278E">
              <w:t>-0.291 (</w:t>
            </w:r>
            <m:oMath>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0.0365 (</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-04</m:t>
                  </m:r>
                </m:sup>
              </m:sSup>
            </m:oMath>
            <w:r w:rsidRPr="00CF278E">
              <w:t>)</w:t>
            </w:r>
          </w:p>
        </w:tc>
        <w:tc>
          <w:tcPr>
            <w:tcW w:w="0" w:type="auto"/>
            <w:vAlign w:val="center"/>
          </w:tcPr>
          <w:p w:rsidR="00E268C4" w:rsidRPr="00CF278E" w:rsidRDefault="00E268C4" w:rsidP="0050388B">
            <w:pPr>
              <w:pStyle w:val="Compact"/>
            </w:pPr>
            <w:r w:rsidRPr="00CF278E">
              <w:t>3.54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vAlign w:val="center"/>
          </w:tcPr>
          <w:p w:rsidR="00E268C4" w:rsidRPr="00CF278E" w:rsidRDefault="00E268C4" w:rsidP="0050388B">
            <w:pPr>
              <w:pStyle w:val="Compact"/>
            </w:pPr>
            <w:r w:rsidRPr="00CF278E">
              <w:t>15.2%</w:t>
            </w:r>
          </w:p>
        </w:tc>
      </w:tr>
      <w:tr w:rsidR="00E268C4" w:rsidRPr="00CF278E" w:rsidTr="0050388B">
        <w:tc>
          <w:tcPr>
            <w:tcW w:w="0" w:type="auto"/>
          </w:tcPr>
          <w:p w:rsidR="00E268C4" w:rsidRPr="00CF278E" w:rsidRDefault="00E268C4" w:rsidP="0050388B">
            <w:pPr>
              <w:pStyle w:val="Compact"/>
            </w:pPr>
            <w:r w:rsidRPr="00CF278E">
              <w:t>rs4712580_C (CDKAL1)</w:t>
            </w:r>
          </w:p>
        </w:tc>
        <w:tc>
          <w:tcPr>
            <w:tcW w:w="0" w:type="auto"/>
            <w:vAlign w:val="center"/>
          </w:tcPr>
          <w:p w:rsidR="00E268C4" w:rsidRPr="00CF278E" w:rsidRDefault="00E268C4" w:rsidP="0050388B">
            <w:pPr>
              <w:pStyle w:val="Compact"/>
            </w:pPr>
            <w:r w:rsidRPr="00CF278E">
              <w:t>-0.289 (</w:t>
            </w:r>
            <m:oMath>
              <m:r>
                <w:rPr>
                  <w:rFonts w:ascii="Cambria Math" w:hAnsi="Cambria Math"/>
                </w:rPr>
                <m:t>4.2×</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0.0313 (</w:t>
            </w:r>
            <m:oMath>
              <m:r>
                <w:rPr>
                  <w:rFonts w:ascii="Cambria Math" w:hAnsi="Cambria Math"/>
                </w:rPr>
                <m:t>7.4×</m:t>
              </m:r>
              <m:sSup>
                <m:sSupPr>
                  <m:ctrlPr>
                    <w:rPr>
                      <w:rFonts w:ascii="Cambria Math" w:hAnsi="Cambria Math"/>
                    </w:rPr>
                  </m:ctrlPr>
                </m:sSupPr>
                <m:e>
                  <m:r>
                    <w:rPr>
                      <w:rFonts w:ascii="Cambria Math" w:hAnsi="Cambria Math"/>
                    </w:rPr>
                    <m:t>10</m:t>
                  </m:r>
                </m:e>
                <m:sup>
                  <m:r>
                    <w:rPr>
                      <w:rFonts w:ascii="Cambria Math" w:hAnsi="Cambria Math"/>
                    </w:rPr>
                    <m:t>-03</m:t>
                  </m:r>
                </m:sup>
              </m:sSup>
            </m:oMath>
            <w:r w:rsidRPr="00CF278E">
              <w:t>)</w:t>
            </w:r>
          </w:p>
        </w:tc>
        <w:tc>
          <w:tcPr>
            <w:tcW w:w="0" w:type="auto"/>
            <w:vAlign w:val="center"/>
          </w:tcPr>
          <w:p w:rsidR="00E268C4" w:rsidRPr="00CF278E" w:rsidRDefault="00E268C4" w:rsidP="0050388B">
            <w:pPr>
              <w:pStyle w:val="Compact"/>
            </w:pPr>
            <w:r w:rsidRPr="00CF278E">
              <w:t>3.57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-45</m:t>
                  </m:r>
                </m:sup>
              </m:sSup>
            </m:oMath>
            <w:r w:rsidRPr="00CF278E">
              <w:t>)</w:t>
            </w:r>
          </w:p>
        </w:tc>
        <w:tc>
          <w:tcPr>
            <w:tcW w:w="0" w:type="auto"/>
            <w:vAlign w:val="center"/>
          </w:tcPr>
          <w:p w:rsidR="00E268C4" w:rsidRPr="00CF278E" w:rsidRDefault="00E268C4" w:rsidP="0050388B">
            <w:pPr>
              <w:pStyle w:val="Compact"/>
            </w:pPr>
            <w:r w:rsidRPr="00CF278E">
              <w:t>14.0%</w:t>
            </w:r>
          </w:p>
        </w:tc>
      </w:tr>
      <w:tr w:rsidR="00E268C4" w:rsidRPr="00CF278E" w:rsidTr="0050388B">
        <w:tc>
          <w:tcPr>
            <w:tcW w:w="0" w:type="auto"/>
          </w:tcPr>
          <w:p w:rsidR="00E268C4" w:rsidRPr="00CF278E" w:rsidRDefault="00E268C4" w:rsidP="0050388B">
            <w:pPr>
              <w:pStyle w:val="Compact"/>
            </w:pPr>
            <w:r w:rsidRPr="00CF278E">
              <w:t>rs10830963_G (MTNR1B)</w:t>
            </w:r>
          </w:p>
        </w:tc>
        <w:tc>
          <w:tcPr>
            <w:tcW w:w="0" w:type="auto"/>
            <w:vAlign w:val="center"/>
          </w:tcPr>
          <w:p w:rsidR="00E268C4" w:rsidRPr="00CF278E" w:rsidRDefault="00E268C4" w:rsidP="0050388B">
            <w:pPr>
              <w:pStyle w:val="Compact"/>
            </w:pPr>
            <w:r w:rsidRPr="00CF278E">
              <w:t>-0.44 (</w:t>
            </w:r>
            <m:oMath>
              <m:r>
                <w:rPr>
                  <w:rFonts w:ascii="Cambria Math" w:hAnsi="Cambria Math"/>
                </w:rPr>
                <m:t>9.4×</m:t>
              </m:r>
              <m:sSup>
                <m:sSupPr>
                  <m:ctrlPr>
                    <w:rPr>
                      <w:rFonts w:ascii="Cambria Math" w:hAnsi="Cambria Math"/>
                    </w:rPr>
                  </m:ctrlPr>
                </m:sSupPr>
                <m:e>
                  <m:r>
                    <w:rPr>
                      <w:rFonts w:ascii="Cambria Math" w:hAnsi="Cambria Math"/>
                    </w:rPr>
                    <m:t>10</m:t>
                  </m:r>
                </m:e>
                <m:sup>
                  <m:r>
                    <w:rPr>
                      <w:rFonts w:ascii="Cambria Math" w:hAnsi="Cambria Math"/>
                    </w:rPr>
                    <m:t>-04</m:t>
                  </m:r>
                </m:sup>
              </m:sSup>
            </m:oMath>
            <w:r w:rsidRPr="00CF278E">
              <w:t>)</w:t>
            </w:r>
          </w:p>
        </w:tc>
        <w:tc>
          <w:tcPr>
            <w:tcW w:w="0" w:type="auto"/>
            <w:vAlign w:val="center"/>
          </w:tcPr>
          <w:p w:rsidR="00E268C4" w:rsidRPr="00CF278E" w:rsidRDefault="00E268C4" w:rsidP="0050388B">
            <w:pPr>
              <w:pStyle w:val="Compact"/>
            </w:pPr>
            <w:r w:rsidRPr="00CF278E">
              <w:t>0.0991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-23</m:t>
                  </m:r>
                </m:sup>
              </m:sSup>
            </m:oMath>
            <w:r w:rsidRPr="00CF278E">
              <w:t>)</w:t>
            </w:r>
          </w:p>
        </w:tc>
        <w:tc>
          <w:tcPr>
            <w:tcW w:w="0" w:type="auto"/>
            <w:vAlign w:val="center"/>
          </w:tcPr>
          <w:p w:rsidR="00E268C4" w:rsidRPr="00CF278E" w:rsidRDefault="00E268C4" w:rsidP="0050388B">
            <w:pPr>
              <w:pStyle w:val="Compact"/>
            </w:pPr>
            <w:r w:rsidRPr="00CF278E">
              <w:t>3.25 (</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10.2%</w:t>
            </w:r>
          </w:p>
        </w:tc>
      </w:tr>
      <w:tr w:rsidR="00E268C4" w:rsidRPr="00CF278E" w:rsidTr="0050388B">
        <w:tc>
          <w:tcPr>
            <w:tcW w:w="0" w:type="auto"/>
          </w:tcPr>
          <w:p w:rsidR="00E268C4" w:rsidRPr="00CF278E" w:rsidRDefault="00E268C4" w:rsidP="0050388B">
            <w:pPr>
              <w:pStyle w:val="Compact"/>
            </w:pPr>
            <w:r w:rsidRPr="00CF278E">
              <w:t>rs853787_T (ABCB11)</w:t>
            </w:r>
          </w:p>
        </w:tc>
        <w:tc>
          <w:tcPr>
            <w:tcW w:w="0" w:type="auto"/>
            <w:vAlign w:val="center"/>
          </w:tcPr>
          <w:p w:rsidR="00E268C4" w:rsidRPr="00CF278E" w:rsidRDefault="00E268C4" w:rsidP="0050388B">
            <w:pPr>
              <w:pStyle w:val="Compact"/>
            </w:pPr>
            <w:r w:rsidRPr="00CF278E">
              <w:t>-0.247 (</w:t>
            </w:r>
            <m:oMath>
              <m:r>
                <w:rPr>
                  <w:rFonts w:ascii="Cambria Math" w:hAnsi="Cambria Math"/>
                </w:rPr>
                <m:t>4.3×</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vAlign w:val="center"/>
          </w:tcPr>
          <w:p w:rsidR="00E268C4" w:rsidRPr="00CF278E" w:rsidRDefault="00E268C4" w:rsidP="0050388B">
            <w:pPr>
              <w:pStyle w:val="Compact"/>
            </w:pPr>
            <w:r w:rsidRPr="00CF278E">
              <w:t>0.0831 (</w:t>
            </w:r>
            <m:oMath>
              <m:r>
                <w:rPr>
                  <w:rFonts w:ascii="Cambria Math" w:hAnsi="Cambria Math"/>
                </w:rPr>
                <m:t>9.3×</m:t>
              </m:r>
              <m:sSup>
                <m:sSupPr>
                  <m:ctrlPr>
                    <w:rPr>
                      <w:rFonts w:ascii="Cambria Math" w:hAnsi="Cambria Math"/>
                    </w:rPr>
                  </m:ctrlPr>
                </m:sSupPr>
                <m:e>
                  <m:r>
                    <w:rPr>
                      <w:rFonts w:ascii="Cambria Math" w:hAnsi="Cambria Math"/>
                    </w:rPr>
                    <m:t>10</m:t>
                  </m:r>
                </m:e>
                <m:sup>
                  <m:r>
                    <w:rPr>
                      <w:rFonts w:ascii="Cambria Math" w:hAnsi="Cambria Math"/>
                    </w:rPr>
                    <m:t>-19</m:t>
                  </m:r>
                </m:sup>
              </m:sSup>
            </m:oMath>
            <w:r w:rsidRPr="00CF278E">
              <w:t>)</w:t>
            </w:r>
          </w:p>
        </w:tc>
        <w:tc>
          <w:tcPr>
            <w:tcW w:w="0" w:type="auto"/>
            <w:vAlign w:val="center"/>
          </w:tcPr>
          <w:p w:rsidR="00E268C4" w:rsidRPr="00CF278E" w:rsidRDefault="00E268C4" w:rsidP="0050388B">
            <w:pPr>
              <w:pStyle w:val="Compact"/>
            </w:pPr>
            <w:r w:rsidRPr="00CF278E">
              <w:t>3.21 (</w:t>
            </w:r>
            <m:oMath>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vAlign w:val="center"/>
          </w:tcPr>
          <w:p w:rsidR="00E268C4" w:rsidRPr="00CF278E" w:rsidRDefault="00E268C4" w:rsidP="0050388B">
            <w:pPr>
              <w:pStyle w:val="Compact"/>
            </w:pPr>
            <w:r w:rsidRPr="00CF278E">
              <w:t>3.3%</w:t>
            </w:r>
          </w:p>
        </w:tc>
      </w:tr>
      <w:tr w:rsidR="00E268C4" w:rsidRPr="00CF278E" w:rsidTr="0050388B">
        <w:tc>
          <w:tcPr>
            <w:tcW w:w="0" w:type="auto"/>
            <w:tcBorders>
              <w:bottom w:val="single" w:sz="4" w:space="0" w:color="auto"/>
            </w:tcBorders>
          </w:tcPr>
          <w:p w:rsidR="00E268C4" w:rsidRPr="00CF278E" w:rsidRDefault="00E268C4" w:rsidP="0050388B">
            <w:pPr>
              <w:pStyle w:val="Compact"/>
            </w:pPr>
            <w:r w:rsidRPr="00CF278E">
              <w:t>rs560887_C (G6PC2)</w:t>
            </w:r>
          </w:p>
        </w:tc>
        <w:tc>
          <w:tcPr>
            <w:tcW w:w="0" w:type="auto"/>
            <w:tcBorders>
              <w:bottom w:val="single" w:sz="4" w:space="0" w:color="auto"/>
            </w:tcBorders>
            <w:vAlign w:val="center"/>
          </w:tcPr>
          <w:p w:rsidR="00E268C4" w:rsidRPr="00CF278E" w:rsidRDefault="00E268C4" w:rsidP="0050388B">
            <w:pPr>
              <w:pStyle w:val="Compact"/>
            </w:pPr>
            <w:r w:rsidRPr="00CF278E">
              <w:t>-0.315 (</w:t>
            </w:r>
            <m:oMath>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0.0992 (</w:t>
            </w:r>
            <m:oMath>
              <m:r>
                <w:rPr>
                  <w:rFonts w:ascii="Cambria Math" w:hAnsi="Cambria Math"/>
                </w:rPr>
                <m:t>9.6×</m:t>
              </m:r>
              <m:sSup>
                <m:sSupPr>
                  <m:ctrlPr>
                    <w:rPr>
                      <w:rFonts w:ascii="Cambria Math" w:hAnsi="Cambria Math"/>
                    </w:rPr>
                  </m:ctrlPr>
                </m:sSupPr>
                <m:e>
                  <m:r>
                    <w:rPr>
                      <w:rFonts w:ascii="Cambria Math" w:hAnsi="Cambria Math"/>
                    </w:rPr>
                    <m:t>10</m:t>
                  </m:r>
                </m:e>
                <m:sup>
                  <m:r>
                    <w:rPr>
                      <w:rFonts w:ascii="Cambria Math" w:hAnsi="Cambria Math"/>
                    </w:rPr>
                    <m:t>-25</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3.21 (</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2.6%</w:t>
            </w:r>
          </w:p>
        </w:tc>
      </w:tr>
    </w:tbl>
    <w:p w:rsidR="00B2336B" w:rsidRDefault="00B2336B" w:rsidP="009F0E40">
      <w:pPr>
        <w:pStyle w:val="TableCaption"/>
        <w:spacing w:line="480" w:lineRule="auto"/>
      </w:pPr>
    </w:p>
    <w:p w:rsidR="00B2336B" w:rsidRDefault="00B2336B" w:rsidP="00B2336B">
      <w:pPr>
        <w:rPr>
          <w:sz w:val="20"/>
          <w:szCs w:val="18"/>
        </w:rPr>
      </w:pPr>
      <w:r>
        <w:br w:type="page"/>
      </w:r>
    </w:p>
    <w:p w:rsidR="00A77962" w:rsidRDefault="00B2336B" w:rsidP="009F0E40">
      <w:pPr>
        <w:pStyle w:val="TableCaption"/>
        <w:spacing w:line="480" w:lineRule="auto"/>
      </w:pPr>
      <w:r>
        <w:lastRenderedPageBreak/>
        <w:t>Table V</w:t>
      </w:r>
      <w:r w:rsidR="007C3C2A">
        <w:t xml:space="preserve"> Effect sizes on FG and T2D risk estimated using JM. Comparison is shown with effect sizes as reported by consortia meta-analyses in genes MTNR1B and TCF7L2.</w:t>
      </w:r>
    </w:p>
    <w:tbl>
      <w:tblPr>
        <w:tblW w:w="5000" w:type="pct"/>
        <w:tblLook w:val="07E0" w:firstRow="1" w:lastRow="1" w:firstColumn="1" w:lastColumn="1" w:noHBand="1" w:noVBand="1"/>
        <w:tblCaption w:val="Table 5 Effect sizes on FG and T2D risk estimated using JM. Comparison is shown with effect sizes as reported by consortia meta-analyses in genes MTNR1B and TCF7L2."/>
      </w:tblPr>
      <w:tblGrid>
        <w:gridCol w:w="1667"/>
        <w:gridCol w:w="1597"/>
        <w:gridCol w:w="1473"/>
        <w:gridCol w:w="1598"/>
        <w:gridCol w:w="1473"/>
        <w:gridCol w:w="1598"/>
      </w:tblGrid>
      <w:tr w:rsidR="00E268C4" w:rsidRPr="00CF278E" w:rsidTr="0050388B">
        <w:tc>
          <w:tcPr>
            <w:tcW w:w="0" w:type="auto"/>
            <w:tcBorders>
              <w:bottom w:val="single" w:sz="2" w:space="0" w:color="auto"/>
            </w:tcBorders>
            <w:vAlign w:val="center"/>
          </w:tcPr>
          <w:p w:rsidR="00E268C4" w:rsidRPr="00CF278E" w:rsidRDefault="00E268C4" w:rsidP="0050388B">
            <w:pPr>
              <w:pStyle w:val="Compact"/>
            </w:pPr>
          </w:p>
        </w:tc>
        <w:tc>
          <w:tcPr>
            <w:tcW w:w="0" w:type="auto"/>
            <w:gridSpan w:val="2"/>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α</m:t>
              </m:r>
            </m:oMath>
            <w:r w:rsidRPr="00CF278E">
              <w:t xml:space="preserve"> (p-value)</w:t>
            </w:r>
          </w:p>
        </w:tc>
        <w:tc>
          <w:tcPr>
            <w:tcW w:w="0" w:type="auto"/>
            <w:gridSpan w:val="2"/>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γ</m:t>
              </m:r>
            </m:oMath>
            <w:r w:rsidRPr="00CF278E">
              <w:t xml:space="preserve"> (p-value)</w:t>
            </w:r>
          </w:p>
        </w:tc>
        <w:tc>
          <w:tcPr>
            <w:tcW w:w="0" w:type="auto"/>
            <w:tcBorders>
              <w:top w:val="single" w:sz="4" w:space="0" w:color="auto"/>
              <w:bottom w:val="single" w:sz="4" w:space="0" w:color="auto"/>
            </w:tcBorders>
            <w:vAlign w:val="center"/>
          </w:tcPr>
          <w:p w:rsidR="00E268C4" w:rsidRPr="00CF278E" w:rsidRDefault="00E268C4" w:rsidP="0050388B">
            <w:pPr>
              <w:pStyle w:val="Compact"/>
            </w:pPr>
            <m:oMath>
              <m:r>
                <w:rPr>
                  <w:rFonts w:ascii="Cambria Math" w:hAnsi="Cambria Math"/>
                </w:rPr>
                <m:t>β</m:t>
              </m:r>
            </m:oMath>
            <w:r w:rsidRPr="00CF278E">
              <w:t xml:space="preserve"> (p-value)</w:t>
            </w:r>
          </w:p>
        </w:tc>
      </w:tr>
      <w:tr w:rsidR="00E268C4" w:rsidRPr="00CF278E" w:rsidTr="0050388B">
        <w:tc>
          <w:tcPr>
            <w:tcW w:w="0" w:type="auto"/>
            <w:tcBorders>
              <w:top w:val="single" w:sz="2" w:space="0" w:color="auto"/>
              <w:bottom w:val="single" w:sz="4" w:space="0" w:color="auto"/>
            </w:tcBorders>
            <w:vAlign w:val="center"/>
          </w:tcPr>
          <w:p w:rsidR="00E268C4" w:rsidRPr="00CF278E" w:rsidRDefault="00E268C4" w:rsidP="0050388B">
            <w:pPr>
              <w:pStyle w:val="Compact"/>
            </w:pPr>
            <w:r w:rsidRPr="00CF278E">
              <w:t>SNP (gene)</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JM (D.E.S.I.R.)</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DIAGRAM</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JM (D.E.S.I.R.)</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MAGIC</w:t>
            </w:r>
          </w:p>
        </w:tc>
        <w:tc>
          <w:tcPr>
            <w:tcW w:w="0" w:type="auto"/>
            <w:tcBorders>
              <w:top w:val="single" w:sz="4" w:space="0" w:color="auto"/>
              <w:bottom w:val="single" w:sz="4" w:space="0" w:color="auto"/>
            </w:tcBorders>
            <w:vAlign w:val="center"/>
          </w:tcPr>
          <w:p w:rsidR="00E268C4" w:rsidRPr="00CF278E" w:rsidRDefault="00E268C4" w:rsidP="0050388B">
            <w:pPr>
              <w:pStyle w:val="Compact"/>
            </w:pPr>
            <w:r w:rsidRPr="00CF278E">
              <w:t>JM (D.E.S.I.R.)</w:t>
            </w:r>
          </w:p>
        </w:tc>
      </w:tr>
      <w:tr w:rsidR="00E268C4" w:rsidRPr="00CF278E" w:rsidTr="0050388B">
        <w:tc>
          <w:tcPr>
            <w:tcW w:w="0" w:type="auto"/>
            <w:tcBorders>
              <w:top w:val="single" w:sz="4" w:space="0" w:color="auto"/>
            </w:tcBorders>
            <w:vAlign w:val="center"/>
          </w:tcPr>
          <w:p w:rsidR="00E268C4" w:rsidRPr="00CF278E" w:rsidRDefault="00E268C4" w:rsidP="0050388B">
            <w:pPr>
              <w:pStyle w:val="Compact"/>
            </w:pPr>
            <w:r w:rsidRPr="00CF278E">
              <w:t>rs10830963_G</w:t>
            </w:r>
            <w:r w:rsidRPr="00CF278E">
              <w:br/>
              <w:t>(MTNR1B)</w:t>
            </w:r>
          </w:p>
        </w:tc>
        <w:tc>
          <w:tcPr>
            <w:tcW w:w="0" w:type="auto"/>
            <w:tcBorders>
              <w:top w:val="single" w:sz="4" w:space="0" w:color="auto"/>
            </w:tcBorders>
            <w:vAlign w:val="center"/>
          </w:tcPr>
          <w:p w:rsidR="00E268C4" w:rsidRPr="00CF278E" w:rsidRDefault="00E268C4" w:rsidP="0050388B">
            <w:pPr>
              <w:pStyle w:val="Compact"/>
            </w:pPr>
            <w:r w:rsidRPr="00CF278E">
              <w:t>-0.44</w:t>
            </w:r>
            <w:r w:rsidRPr="00CF278E">
              <w:br/>
              <w:t>(</w:t>
            </w:r>
            <m:oMath>
              <m:r>
                <w:rPr>
                  <w:rFonts w:ascii="Cambria Math" w:hAnsi="Cambria Math"/>
                </w:rPr>
                <m:t>9.4×</m:t>
              </m:r>
              <m:sSup>
                <m:sSupPr>
                  <m:ctrlPr>
                    <w:rPr>
                      <w:rFonts w:ascii="Cambria Math" w:hAnsi="Cambria Math"/>
                    </w:rPr>
                  </m:ctrlPr>
                </m:sSupPr>
                <m:e>
                  <m:r>
                    <w:rPr>
                      <w:rFonts w:ascii="Cambria Math" w:hAnsi="Cambria Math"/>
                    </w:rPr>
                    <m:t>10</m:t>
                  </m:r>
                </m:e>
                <m:sup>
                  <m:r>
                    <w:rPr>
                      <w:rFonts w:ascii="Cambria Math" w:hAnsi="Cambria Math"/>
                    </w:rPr>
                    <m:t>-04</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0.104</w:t>
            </w:r>
            <w:r w:rsidRPr="00CF278E">
              <w:br/>
              <w:t>(</w:t>
            </w:r>
            <m:oMath>
              <m:r>
                <w:rPr>
                  <w:rFonts w:ascii="Cambria Math" w:hAnsi="Cambria Math"/>
                </w:rPr>
                <m:t>7.3×</m:t>
              </m:r>
              <m:sSup>
                <m:sSupPr>
                  <m:ctrlPr>
                    <w:rPr>
                      <w:rFonts w:ascii="Cambria Math" w:hAnsi="Cambria Math"/>
                    </w:rPr>
                  </m:ctrlPr>
                </m:sSupPr>
                <m:e>
                  <m:r>
                    <w:rPr>
                      <w:rFonts w:ascii="Cambria Math" w:hAnsi="Cambria Math"/>
                    </w:rPr>
                    <m:t>10</m:t>
                  </m:r>
                </m:e>
                <m:sup>
                  <m:r>
                    <w:rPr>
                      <w:rFonts w:ascii="Cambria Math" w:hAnsi="Cambria Math"/>
                    </w:rPr>
                    <m:t>-07</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0.0991</w:t>
            </w:r>
            <w:r w:rsidRPr="00CF278E">
              <w:br/>
              <w:t>(</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-23</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0.079</w:t>
            </w:r>
            <w:r w:rsidRPr="00CF278E">
              <w:br/>
              <w:t>(</w:t>
            </w:r>
            <m:oMath>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-68</m:t>
                  </m:r>
                </m:sup>
              </m:sSup>
            </m:oMath>
            <w:r w:rsidRPr="00CF278E">
              <w:t>)</w:t>
            </w:r>
          </w:p>
        </w:tc>
        <w:tc>
          <w:tcPr>
            <w:tcW w:w="0" w:type="auto"/>
            <w:tcBorders>
              <w:top w:val="single" w:sz="4" w:space="0" w:color="auto"/>
            </w:tcBorders>
            <w:vAlign w:val="center"/>
          </w:tcPr>
          <w:p w:rsidR="00E268C4" w:rsidRPr="00CF278E" w:rsidRDefault="00E268C4" w:rsidP="0050388B">
            <w:pPr>
              <w:pStyle w:val="Compact"/>
            </w:pPr>
            <w:r w:rsidRPr="00CF278E">
              <w:t>3.25</w:t>
            </w:r>
            <w:r w:rsidRPr="00CF278E">
              <w:br/>
              <w:t>(</w:t>
            </w:r>
            <m:oMath>
              <m:r>
                <w:rPr>
                  <w:rFonts w:ascii="Cambria Math" w:hAnsi="Cambria Math"/>
                </w:rPr>
                <m:t>3.6×</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r>
      <w:tr w:rsidR="00E268C4" w:rsidRPr="00CF278E" w:rsidTr="0050388B">
        <w:tc>
          <w:tcPr>
            <w:tcW w:w="0" w:type="auto"/>
            <w:tcBorders>
              <w:bottom w:val="single" w:sz="4" w:space="0" w:color="auto"/>
            </w:tcBorders>
            <w:vAlign w:val="center"/>
          </w:tcPr>
          <w:p w:rsidR="00E268C4" w:rsidRPr="00CF278E" w:rsidRDefault="00E268C4" w:rsidP="0050388B">
            <w:pPr>
              <w:pStyle w:val="Compact"/>
            </w:pPr>
            <w:r w:rsidRPr="00CF278E">
              <w:t>rs17747324_C</w:t>
            </w:r>
            <w:r w:rsidRPr="00CF278E">
              <w:br/>
              <w:t>(TCF7L2)</w:t>
            </w:r>
          </w:p>
        </w:tc>
        <w:tc>
          <w:tcPr>
            <w:tcW w:w="0" w:type="auto"/>
            <w:tcBorders>
              <w:bottom w:val="single" w:sz="4" w:space="0" w:color="auto"/>
            </w:tcBorders>
            <w:vAlign w:val="center"/>
          </w:tcPr>
          <w:p w:rsidR="00E268C4" w:rsidRPr="00CF278E" w:rsidRDefault="00E268C4" w:rsidP="0050388B">
            <w:pPr>
              <w:pStyle w:val="Compact"/>
            </w:pPr>
            <w:r w:rsidRPr="00CF278E">
              <w:t>0.265</w:t>
            </w:r>
            <w:r w:rsidRPr="00CF278E">
              <w:br/>
              <w:t>(</w:t>
            </w:r>
            <m:oMath>
              <m:r>
                <w:rPr>
                  <w:rFonts w:ascii="Cambria Math" w:hAnsi="Cambria Math"/>
                </w:rPr>
                <m:t>4.1×</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0.358</w:t>
            </w:r>
            <w:r w:rsidRPr="00CF278E">
              <w:br/>
              <w:t>(</w:t>
            </w:r>
            <m:oMath>
              <m:r>
                <w:rPr>
                  <w:rFonts w:ascii="Cambria Math" w:hAnsi="Cambria Math"/>
                </w:rPr>
                <m:t>8.5×</m:t>
              </m:r>
              <m:sSup>
                <m:sSupPr>
                  <m:ctrlPr>
                    <w:rPr>
                      <w:rFonts w:ascii="Cambria Math" w:hAnsi="Cambria Math"/>
                    </w:rPr>
                  </m:ctrlPr>
                </m:sSupPr>
                <m:e>
                  <m:r>
                    <w:rPr>
                      <w:rFonts w:ascii="Cambria Math" w:hAnsi="Cambria Math"/>
                    </w:rPr>
                    <m:t>10</m:t>
                  </m:r>
                </m:e>
                <m:sup>
                  <m:r>
                    <w:rPr>
                      <w:rFonts w:ascii="Cambria Math" w:hAnsi="Cambria Math"/>
                    </w:rPr>
                    <m:t>-55</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0.0229</w:t>
            </w:r>
            <w:r w:rsidRPr="00CF278E">
              <w:br/>
              <w:t>(</w:t>
            </w:r>
            <m:oMath>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-02</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0.025</w:t>
            </w:r>
            <w:r w:rsidRPr="00CF278E">
              <w:br/>
              <w:t>(</w:t>
            </w:r>
            <m:oMath>
              <m:r>
                <w:rPr>
                  <w:rFonts w:ascii="Cambria Math" w:hAnsi="Cambria Math"/>
                </w:rPr>
                <m:t>6.5×</m:t>
              </m:r>
              <m:sSup>
                <m:sSupPr>
                  <m:ctrlPr>
                    <w:rPr>
                      <w:rFonts w:ascii="Cambria Math" w:hAnsi="Cambria Math"/>
                    </w:rPr>
                  </m:ctrlPr>
                </m:sSupPr>
                <m:e>
                  <m:r>
                    <w:rPr>
                      <w:rFonts w:ascii="Cambria Math" w:hAnsi="Cambria Math"/>
                    </w:rPr>
                    <m:t>10</m:t>
                  </m:r>
                </m:e>
                <m:sup>
                  <m:r>
                    <w:rPr>
                      <w:rFonts w:ascii="Cambria Math" w:hAnsi="Cambria Math"/>
                    </w:rPr>
                    <m:t>-08</m:t>
                  </m:r>
                </m:sup>
              </m:sSup>
            </m:oMath>
            <w:r w:rsidRPr="00CF278E">
              <w:t>)</w:t>
            </w:r>
          </w:p>
        </w:tc>
        <w:tc>
          <w:tcPr>
            <w:tcW w:w="0" w:type="auto"/>
            <w:tcBorders>
              <w:bottom w:val="single" w:sz="4" w:space="0" w:color="auto"/>
            </w:tcBorders>
            <w:vAlign w:val="center"/>
          </w:tcPr>
          <w:p w:rsidR="00E268C4" w:rsidRPr="00CF278E" w:rsidRDefault="00E268C4" w:rsidP="0050388B">
            <w:pPr>
              <w:pStyle w:val="Compact"/>
            </w:pPr>
            <w:r w:rsidRPr="00CF278E">
              <w:t>3.17</w:t>
            </w:r>
            <w:r w:rsidRPr="00CF278E">
              <w:br/>
              <w:t>(</w:t>
            </w:r>
            <m:oMath>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-42</m:t>
                  </m:r>
                </m:sup>
              </m:sSup>
            </m:oMath>
            <w:r w:rsidRPr="00CF278E">
              <w:t>)</w:t>
            </w:r>
          </w:p>
        </w:tc>
      </w:tr>
    </w:tbl>
    <w:p w:rsidR="00E268C4" w:rsidRDefault="00E268C4" w:rsidP="009F0E40">
      <w:pPr>
        <w:pStyle w:val="TableCaption"/>
        <w:spacing w:line="480" w:lineRule="auto"/>
      </w:pPr>
      <w:bookmarkStart w:id="19" w:name="_GoBack"/>
      <w:bookmarkEnd w:id="19"/>
    </w:p>
    <w:p w:rsidR="00A77962" w:rsidRDefault="007C3C2A" w:rsidP="009F0E40">
      <w:pPr>
        <w:pStyle w:val="Titre1"/>
        <w:spacing w:line="480" w:lineRule="auto"/>
      </w:pPr>
      <w:bookmarkStart w:id="20" w:name="list-of-figures"/>
      <w:bookmarkStart w:id="21" w:name="references"/>
      <w:bookmarkEnd w:id="20"/>
      <w:bookmarkEnd w:id="21"/>
      <w:r>
        <w:t>References</w:t>
      </w:r>
    </w:p>
    <w:p w:rsidR="00A77962" w:rsidRDefault="007C3C2A" w:rsidP="009F0E40">
      <w:pPr>
        <w:pStyle w:val="Bibliographie"/>
        <w:spacing w:line="480" w:lineRule="auto"/>
      </w:pPr>
      <w:r>
        <w:t xml:space="preserve">Albert, P. S., &amp; Shih, J. H. (2010a). An approach for jointly modeling multivariate longitudinal measurements and discrete time-to-event data. </w:t>
      </w:r>
      <w:r>
        <w:rPr>
          <w:i/>
        </w:rPr>
        <w:t>The Annals of Applied Statistics</w:t>
      </w:r>
      <w:r>
        <w:t xml:space="preserve">, </w:t>
      </w:r>
      <w:r>
        <w:rPr>
          <w:i/>
        </w:rPr>
        <w:t>4</w:t>
      </w:r>
      <w:r w:rsidR="00B2336B">
        <w:t>(3), 1517–1532.</w:t>
      </w:r>
    </w:p>
    <w:p w:rsidR="00A77962" w:rsidRDefault="007C3C2A" w:rsidP="009F0E40">
      <w:pPr>
        <w:pStyle w:val="Bibliographie"/>
        <w:spacing w:line="480" w:lineRule="auto"/>
      </w:pPr>
      <w:r>
        <w:t xml:space="preserve">Albert, P. S., &amp; Shih, J. H. (2010b). On Estimating the Relationship between Longitudinal Measurements and Time-to-Event Data Using a Simple Two-Stage Procedure. </w:t>
      </w:r>
      <w:r>
        <w:rPr>
          <w:i/>
        </w:rPr>
        <w:t>Biometrics</w:t>
      </w:r>
      <w:r>
        <w:t xml:space="preserve">, </w:t>
      </w:r>
      <w:r>
        <w:rPr>
          <w:i/>
        </w:rPr>
        <w:t>66</w:t>
      </w:r>
      <w:r w:rsidR="00B2336B">
        <w:t>(3), 983–987.</w:t>
      </w:r>
    </w:p>
    <w:p w:rsidR="00A77962" w:rsidRDefault="007C3C2A" w:rsidP="009F0E40">
      <w:pPr>
        <w:pStyle w:val="Bibliographie"/>
        <w:spacing w:line="480" w:lineRule="auto"/>
      </w:pPr>
      <w:r>
        <w:t xml:space="preserve">Austin, P. C. (2012). Generating survival times to simulate Cox proportional hazards models with time-varying covariates. </w:t>
      </w:r>
      <w:r>
        <w:rPr>
          <w:i/>
        </w:rPr>
        <w:t>Statistics in Medicine</w:t>
      </w:r>
      <w:r>
        <w:t xml:space="preserve">, </w:t>
      </w:r>
      <w:r>
        <w:rPr>
          <w:i/>
        </w:rPr>
        <w:t>31</w:t>
      </w:r>
      <w:r>
        <w:t>(29), 3946–3958.</w:t>
      </w:r>
    </w:p>
    <w:p w:rsidR="00A77962" w:rsidRDefault="007C3C2A" w:rsidP="009F0E40">
      <w:pPr>
        <w:pStyle w:val="Bibliographie"/>
        <w:spacing w:line="480" w:lineRule="auto"/>
      </w:pPr>
      <w:r>
        <w:t xml:space="preserve">Balkau, B. (1996). An epidemiologic survey from a network of French Health Examination Centres, (D.E.S.I.R.): epidemiologic data on the insulin resistance syndrome. </w:t>
      </w:r>
      <w:r>
        <w:rPr>
          <w:i/>
        </w:rPr>
        <w:t>Revue D’épidémiologie et de Santé Publique</w:t>
      </w:r>
      <w:r>
        <w:t xml:space="preserve">, </w:t>
      </w:r>
      <w:r>
        <w:rPr>
          <w:i/>
        </w:rPr>
        <w:t>44</w:t>
      </w:r>
      <w:r>
        <w:t>(4), 373–375.</w:t>
      </w:r>
    </w:p>
    <w:p w:rsidR="00A77962" w:rsidRDefault="007C3C2A" w:rsidP="009F0E40">
      <w:pPr>
        <w:pStyle w:val="Bibliographie"/>
        <w:spacing w:line="480" w:lineRule="auto"/>
      </w:pPr>
      <w:r>
        <w:lastRenderedPageBreak/>
        <w:t xml:space="preserve">Bouatia-Naji, N., Rocheleau, G., Van Lommel, L., Lemaire, K., Schuit, F., Cavalcanti-Proença, C., … Froguel, P. (2008). A polymorphism within the G6PC2 gene is associated with fasting plasma glucose levels. </w:t>
      </w:r>
      <w:r>
        <w:rPr>
          <w:i/>
        </w:rPr>
        <w:t>Science (New York, N.Y.)</w:t>
      </w:r>
      <w:r>
        <w:t xml:space="preserve">, </w:t>
      </w:r>
      <w:r>
        <w:rPr>
          <w:i/>
        </w:rPr>
        <w:t>320</w:t>
      </w:r>
      <w:r>
        <w:t>(5879), 1085–1088.</w:t>
      </w:r>
    </w:p>
    <w:p w:rsidR="00A77962" w:rsidRDefault="007C3C2A" w:rsidP="009F0E40">
      <w:pPr>
        <w:pStyle w:val="Bibliographie"/>
        <w:spacing w:line="480" w:lineRule="auto"/>
      </w:pPr>
      <w:r>
        <w:t xml:space="preserve">Chang, C. C., Chow, C. C., Tellier, L. C., Vattikuti, S., Purcell, S. M., &amp; Lee, J. J. (2015). Second-generation PLINK: Rising to the challenge of larger and richer datasets. </w:t>
      </w:r>
      <w:proofErr w:type="spellStart"/>
      <w:r>
        <w:rPr>
          <w:i/>
        </w:rPr>
        <w:t>GigaScience</w:t>
      </w:r>
      <w:proofErr w:type="spellEnd"/>
      <w:r>
        <w:t xml:space="preserve">, </w:t>
      </w:r>
      <w:r>
        <w:rPr>
          <w:i/>
        </w:rPr>
        <w:t>4</w:t>
      </w:r>
      <w:r>
        <w:t>, 7.</w:t>
      </w:r>
    </w:p>
    <w:p w:rsidR="00A77962" w:rsidRDefault="007C3C2A" w:rsidP="009F0E40">
      <w:pPr>
        <w:pStyle w:val="Bibliographie"/>
        <w:spacing w:line="480" w:lineRule="auto"/>
      </w:pPr>
      <w:r>
        <w:t xml:space="preserve">Chen, L. M., Ibrahim, J. G., &amp; Chu, H. (2011). Sample size and power determination in joint modeling of longitudinal and survival data. </w:t>
      </w:r>
      <w:r>
        <w:rPr>
          <w:i/>
        </w:rPr>
        <w:t>Statistics in Medicine</w:t>
      </w:r>
      <w:r>
        <w:t xml:space="preserve">, </w:t>
      </w:r>
      <w:r>
        <w:rPr>
          <w:i/>
        </w:rPr>
        <w:t>30</w:t>
      </w:r>
      <w:r>
        <w:t>(18), 2295–2309.</w:t>
      </w:r>
    </w:p>
    <w:p w:rsidR="00A77962" w:rsidRDefault="007C3C2A" w:rsidP="009F0E40">
      <w:pPr>
        <w:pStyle w:val="Bibliographie"/>
        <w:spacing w:line="480" w:lineRule="auto"/>
      </w:pPr>
      <w:r>
        <w:t xml:space="preserve">Diggle, P., &amp; Kenward, M. G. (1994). Informative Drop-Out in Longitudinal Data Analysis. </w:t>
      </w:r>
      <w:r>
        <w:rPr>
          <w:i/>
        </w:rPr>
        <w:t>Journal of the Royal Statistical Society. Series C (Applied Statistics)</w:t>
      </w:r>
      <w:r>
        <w:t xml:space="preserve">, </w:t>
      </w:r>
      <w:r>
        <w:rPr>
          <w:i/>
        </w:rPr>
        <w:t>43</w:t>
      </w:r>
      <w:r>
        <w:t>(1), 49–93.</w:t>
      </w:r>
    </w:p>
    <w:p w:rsidR="00A77962" w:rsidRDefault="007C3C2A" w:rsidP="009F0E40">
      <w:pPr>
        <w:pStyle w:val="Bibliographie"/>
        <w:spacing w:line="480" w:lineRule="auto"/>
      </w:pPr>
      <w:r>
        <w:t xml:space="preserve">Dupuis, J., Langenberg, C., Prokopenko, I., Saxena, R., Soranzo, N., Jackson, A. U., … Barroso, I. (2010). New genetic loci implicated in fasting glucose homeostasis and their impact on type 2 diabetes risk. </w:t>
      </w:r>
      <w:r>
        <w:rPr>
          <w:i/>
        </w:rPr>
        <w:t>Nature Genetics</w:t>
      </w:r>
      <w:r>
        <w:t xml:space="preserve">, </w:t>
      </w:r>
      <w:r>
        <w:rPr>
          <w:i/>
        </w:rPr>
        <w:t>42</w:t>
      </w:r>
      <w:r w:rsidR="00B2336B">
        <w:t>(2), 105–116.</w:t>
      </w:r>
    </w:p>
    <w:p w:rsidR="00A77962" w:rsidRDefault="007C3C2A" w:rsidP="009F0E40">
      <w:pPr>
        <w:pStyle w:val="Bibliographie"/>
        <w:spacing w:line="480" w:lineRule="auto"/>
      </w:pPr>
      <w:r>
        <w:t xml:space="preserve">Elashoff, R. M., Li, G., &amp; Li, N. (2008). A Joint Model for Longitudinal Measurements and Survival Data in the Presence of Multiple Failure Types. </w:t>
      </w:r>
      <w:r>
        <w:rPr>
          <w:i/>
        </w:rPr>
        <w:t>Biometrics</w:t>
      </w:r>
      <w:r>
        <w:t xml:space="preserve">, </w:t>
      </w:r>
      <w:r>
        <w:rPr>
          <w:i/>
        </w:rPr>
        <w:t>64</w:t>
      </w:r>
      <w:r w:rsidR="00B2336B">
        <w:t>(3), 762–771.</w:t>
      </w:r>
    </w:p>
    <w:p w:rsidR="00A77962" w:rsidRDefault="007C3C2A" w:rsidP="009F0E40">
      <w:pPr>
        <w:pStyle w:val="Bibliographie"/>
        <w:spacing w:line="480" w:lineRule="auto"/>
      </w:pPr>
      <w:r>
        <w:t xml:space="preserve">Elashoff, R., li, G., &amp; Li, N. (2016). </w:t>
      </w:r>
      <w:r>
        <w:rPr>
          <w:i/>
        </w:rPr>
        <w:t>Joint Modeling of Longitudinal and Time-to-Event Data</w:t>
      </w:r>
      <w:r>
        <w:t xml:space="preserve"> (1st ed.). Chapman and Hall/CRC.</w:t>
      </w:r>
    </w:p>
    <w:p w:rsidR="00A77962" w:rsidRDefault="007C3C2A" w:rsidP="009F0E40">
      <w:pPr>
        <w:pStyle w:val="Bibliographie"/>
        <w:spacing w:line="480" w:lineRule="auto"/>
      </w:pPr>
      <w:r>
        <w:t xml:space="preserve">Ibrahim, J. G., Chu, H., &amp; Chen, L. M. (2010). Basic Concepts and Methods for Joint Models of Longitudinal and Survival Data. </w:t>
      </w:r>
      <w:r>
        <w:rPr>
          <w:i/>
        </w:rPr>
        <w:t>Journal of Clinical Oncology</w:t>
      </w:r>
      <w:r>
        <w:t xml:space="preserve">, </w:t>
      </w:r>
      <w:r>
        <w:rPr>
          <w:i/>
        </w:rPr>
        <w:t>28</w:t>
      </w:r>
      <w:r w:rsidR="00B2336B">
        <w:t>(16), 2796.</w:t>
      </w:r>
    </w:p>
    <w:p w:rsidR="00A77962" w:rsidRDefault="007C3C2A" w:rsidP="009F0E40">
      <w:pPr>
        <w:pStyle w:val="Bibliographie"/>
        <w:spacing w:line="480" w:lineRule="auto"/>
      </w:pPr>
      <w:r>
        <w:t xml:space="preserve">Kalbfleisch, J. D., &amp; Prentice, R. L. (2002). </w:t>
      </w:r>
      <w:r>
        <w:rPr>
          <w:i/>
        </w:rPr>
        <w:t>The Statistical Analysis of Failure Time Data</w:t>
      </w:r>
      <w:r>
        <w:t>. Hoboken, NJ, USA: John Wiley &amp; S</w:t>
      </w:r>
      <w:r w:rsidR="00B2336B">
        <w:t>ons, Inc.</w:t>
      </w:r>
    </w:p>
    <w:p w:rsidR="00A77962" w:rsidRDefault="007C3C2A" w:rsidP="009F0E40">
      <w:pPr>
        <w:pStyle w:val="Bibliographie"/>
        <w:spacing w:line="480" w:lineRule="auto"/>
      </w:pPr>
      <w:r>
        <w:lastRenderedPageBreak/>
        <w:t xml:space="preserve">Morris, A. P., Voight, B. F., Teslovich, T. M., Ferreira, T., Segrè, A. V., Steinthorsdottir, V., … McCarthy, M. I. (2012). Large-scale association analysis provides insights into the genetic architecture and pathophysiology of type 2 diabetes. </w:t>
      </w:r>
      <w:r>
        <w:rPr>
          <w:i/>
        </w:rPr>
        <w:t>Nature Genetics</w:t>
      </w:r>
      <w:r>
        <w:t xml:space="preserve">, </w:t>
      </w:r>
      <w:r>
        <w:rPr>
          <w:i/>
        </w:rPr>
        <w:t>44</w:t>
      </w:r>
      <w:r w:rsidR="00B2336B">
        <w:t>(9), 981–990.</w:t>
      </w:r>
    </w:p>
    <w:p w:rsidR="00A77962" w:rsidRDefault="007C3C2A" w:rsidP="009F0E40">
      <w:pPr>
        <w:pStyle w:val="Bibliographie"/>
        <w:spacing w:line="480" w:lineRule="auto"/>
      </w:pPr>
      <w:r>
        <w:t xml:space="preserve">Pinheiro, J., Bates, D., &amp; R-core. (2017). </w:t>
      </w:r>
      <w:r>
        <w:rPr>
          <w:i/>
        </w:rPr>
        <w:t>Nlme: Linear and nonlinear mixed effects models</w:t>
      </w:r>
      <w:r>
        <w:t xml:space="preserve">. Retrieved from </w:t>
      </w:r>
      <w:hyperlink r:id="rId8">
        <w:r>
          <w:rPr>
            <w:rStyle w:val="Lienhypertexte"/>
          </w:rPr>
          <w:t>https://CRAN.R-project.org/package=nlme</w:t>
        </w:r>
      </w:hyperlink>
    </w:p>
    <w:p w:rsidR="00A77962" w:rsidRDefault="007C3C2A" w:rsidP="009F0E40">
      <w:pPr>
        <w:pStyle w:val="Bibliographie"/>
        <w:spacing w:line="480" w:lineRule="auto"/>
      </w:pPr>
      <w:r>
        <w:t xml:space="preserve">Proust-Lima, C., Joly, P., Dartigues, J.-F., &amp; Jacqmin-Gadda, H. (2009). Joint modelling of multivariate longitudinal outcomes and a time-to-event: A nonlinear latent class approach. </w:t>
      </w:r>
      <w:r>
        <w:rPr>
          <w:i/>
        </w:rPr>
        <w:t>Computational Statistics &amp; Data Analysis</w:t>
      </w:r>
      <w:r>
        <w:t xml:space="preserve">, </w:t>
      </w:r>
      <w:r>
        <w:rPr>
          <w:i/>
        </w:rPr>
        <w:t>53</w:t>
      </w:r>
      <w:r w:rsidR="00B2336B">
        <w:t>(4), 1142–1154.</w:t>
      </w:r>
    </w:p>
    <w:p w:rsidR="00A77962" w:rsidRDefault="007C3C2A" w:rsidP="009F0E40">
      <w:pPr>
        <w:pStyle w:val="Bibliographie"/>
        <w:spacing w:line="480" w:lineRule="auto"/>
      </w:pPr>
      <w:r>
        <w:t>Purcell, S., &amp; Chang, C. (2015). PLINK v1.90b3.36.</w:t>
      </w:r>
    </w:p>
    <w:p w:rsidR="00A77962" w:rsidRDefault="007C3C2A" w:rsidP="009F0E40">
      <w:pPr>
        <w:pStyle w:val="Bibliographie"/>
        <w:spacing w:line="480" w:lineRule="auto"/>
      </w:pPr>
      <w:r>
        <w:t xml:space="preserve">R Core Team. (2015). </w:t>
      </w:r>
      <w:r>
        <w:rPr>
          <w:i/>
        </w:rPr>
        <w:t>R: A Language and Environment for Statistical Computing</w:t>
      </w:r>
      <w:r>
        <w:t>. Vienna, Austria: R Foundation for Statistical Computing.</w:t>
      </w:r>
    </w:p>
    <w:p w:rsidR="00A77962" w:rsidRDefault="007C3C2A" w:rsidP="009F0E40">
      <w:pPr>
        <w:pStyle w:val="Bibliographie"/>
        <w:spacing w:line="480" w:lineRule="auto"/>
      </w:pPr>
      <w:r>
        <w:t xml:space="preserve">Rizopoulos, D. (2010). JM: An R package for the joint modelling of longitudinal and time-to-event data. </w:t>
      </w:r>
      <w:r>
        <w:rPr>
          <w:i/>
        </w:rPr>
        <w:t>Journal of Statistical Software</w:t>
      </w:r>
      <w:r>
        <w:t xml:space="preserve">, </w:t>
      </w:r>
      <w:r>
        <w:rPr>
          <w:i/>
        </w:rPr>
        <w:t>35</w:t>
      </w:r>
      <w:r>
        <w:t>(9), 1–33.</w:t>
      </w:r>
    </w:p>
    <w:p w:rsidR="00A77962" w:rsidRDefault="007C3C2A" w:rsidP="009F0E40">
      <w:pPr>
        <w:pStyle w:val="Bibliographie"/>
        <w:spacing w:line="480" w:lineRule="auto"/>
      </w:pPr>
      <w:r>
        <w:t xml:space="preserve">Rizopoulos, D. (2012). </w:t>
      </w:r>
      <w:r>
        <w:rPr>
          <w:i/>
        </w:rPr>
        <w:t>Joint models for longitudinal and time-to-event data: With applications in R</w:t>
      </w:r>
      <w:r>
        <w:t>. CRC Press.</w:t>
      </w:r>
    </w:p>
    <w:p w:rsidR="00A77962" w:rsidRDefault="007C3C2A" w:rsidP="009F0E40">
      <w:pPr>
        <w:pStyle w:val="Bibliographie"/>
        <w:spacing w:line="480" w:lineRule="auto"/>
      </w:pPr>
      <w:r>
        <w:t xml:space="preserve">Rizopoulos, D. (2016). </w:t>
      </w:r>
      <w:r>
        <w:rPr>
          <w:i/>
        </w:rPr>
        <w:t>JM: Joint modeling of longitudinal and survival data</w:t>
      </w:r>
      <w:r>
        <w:t xml:space="preserve">. Retrieved from </w:t>
      </w:r>
      <w:hyperlink r:id="rId9">
        <w:r>
          <w:rPr>
            <w:rStyle w:val="Lienhypertexte"/>
          </w:rPr>
          <w:t>https://CRAN.R-project.org/package=JM</w:t>
        </w:r>
      </w:hyperlink>
    </w:p>
    <w:p w:rsidR="00A77962" w:rsidRDefault="007C3C2A" w:rsidP="009F0E40">
      <w:pPr>
        <w:pStyle w:val="Bibliographie"/>
        <w:spacing w:line="480" w:lineRule="auto"/>
      </w:pPr>
      <w:r>
        <w:t xml:space="preserve">Rizopoulos, D., &amp; Ghosh, P. (2011). A Bayesian semiparametric multivariate joint model for multiple longitudinal outcomes and a time-to-event. </w:t>
      </w:r>
      <w:r>
        <w:rPr>
          <w:i/>
        </w:rPr>
        <w:t>Statistics in Medicine</w:t>
      </w:r>
      <w:r>
        <w:t xml:space="preserve">, </w:t>
      </w:r>
      <w:r>
        <w:rPr>
          <w:i/>
        </w:rPr>
        <w:t>30</w:t>
      </w:r>
      <w:r w:rsidR="00B2336B">
        <w:t>(12), 1366–1380.</w:t>
      </w:r>
    </w:p>
    <w:p w:rsidR="00A77962" w:rsidRDefault="007C3C2A" w:rsidP="009F0E40">
      <w:pPr>
        <w:pStyle w:val="Bibliographie"/>
        <w:spacing w:line="480" w:lineRule="auto"/>
      </w:pPr>
      <w:r>
        <w:lastRenderedPageBreak/>
        <w:t xml:space="preserve">Rung, J., Cauchi, S., Albrechtsen, A., Shen, L., Rocheleau, G., Cavalcanti-Proença, C., … Sladek, R. (2009). Genetic variant near IRS1 is associated with type 2 diabetes, insulin resistance and hyperinsulinemia. </w:t>
      </w:r>
      <w:r>
        <w:rPr>
          <w:i/>
        </w:rPr>
        <w:t>Nature Genetics</w:t>
      </w:r>
      <w:r>
        <w:t xml:space="preserve">, </w:t>
      </w:r>
      <w:r>
        <w:rPr>
          <w:i/>
        </w:rPr>
        <w:t>41</w:t>
      </w:r>
      <w:r w:rsidR="00B2336B">
        <w:t>(10), 1110–1115.</w:t>
      </w:r>
    </w:p>
    <w:p w:rsidR="00A77962" w:rsidRDefault="007C3C2A" w:rsidP="009F0E40">
      <w:pPr>
        <w:pStyle w:val="Bibliographie"/>
        <w:spacing w:line="480" w:lineRule="auto"/>
      </w:pPr>
      <w:r>
        <w:t xml:space="preserve">Sladek, R., Rocheleau, G., Rung, J., Dina, C., Shen, L., Serre, D., … Froguel, P. (2007). A genome-wide association study identifies novel risk loci for type 2 diabetes. </w:t>
      </w:r>
      <w:r>
        <w:rPr>
          <w:i/>
        </w:rPr>
        <w:t>Nature</w:t>
      </w:r>
      <w:r>
        <w:t xml:space="preserve">, </w:t>
      </w:r>
      <w:r>
        <w:rPr>
          <w:i/>
        </w:rPr>
        <w:t>445</w:t>
      </w:r>
      <w:r w:rsidR="00B2336B">
        <w:t>(7130), 881–885.</w:t>
      </w:r>
    </w:p>
    <w:p w:rsidR="00A77962" w:rsidRDefault="007C3C2A" w:rsidP="009F0E40">
      <w:pPr>
        <w:pStyle w:val="Bibliographie"/>
        <w:spacing w:line="480" w:lineRule="auto"/>
      </w:pPr>
      <w:r>
        <w:t xml:space="preserve">Sun, J., Sun, L., &amp; Liu, D. (2007). Regression Analysis of Longitudinal Data in the Presence of Informative Observation and Censoring Times. </w:t>
      </w:r>
      <w:r>
        <w:rPr>
          <w:i/>
        </w:rPr>
        <w:t>Journal of the American Statistical Association</w:t>
      </w:r>
      <w:r>
        <w:t xml:space="preserve">, </w:t>
      </w:r>
      <w:r>
        <w:rPr>
          <w:i/>
        </w:rPr>
        <w:t>102</w:t>
      </w:r>
      <w:r w:rsidR="00B2336B">
        <w:t>(480), 1397–1406.</w:t>
      </w:r>
    </w:p>
    <w:p w:rsidR="00A77962" w:rsidRDefault="007C3C2A" w:rsidP="009F0E40">
      <w:pPr>
        <w:pStyle w:val="Bibliographie"/>
        <w:spacing w:line="480" w:lineRule="auto"/>
      </w:pPr>
      <w:r>
        <w:t xml:space="preserve">The 1000 Genomes Project Consortium. (2015). A global reference for human genetic variation. </w:t>
      </w:r>
      <w:r>
        <w:rPr>
          <w:i/>
        </w:rPr>
        <w:t>Nature</w:t>
      </w:r>
      <w:r>
        <w:t xml:space="preserve">, </w:t>
      </w:r>
      <w:r>
        <w:rPr>
          <w:i/>
        </w:rPr>
        <w:t>526</w:t>
      </w:r>
      <w:r w:rsidR="00B2336B">
        <w:t>(7571), 68–74.</w:t>
      </w:r>
    </w:p>
    <w:p w:rsidR="00A77962" w:rsidRDefault="007C3C2A" w:rsidP="009F0E40">
      <w:pPr>
        <w:pStyle w:val="Bibliographie"/>
        <w:spacing w:line="480" w:lineRule="auto"/>
      </w:pPr>
      <w:r>
        <w:t xml:space="preserve">Therneau, T. M. (2017). </w:t>
      </w:r>
      <w:r>
        <w:rPr>
          <w:i/>
        </w:rPr>
        <w:t>Survival: Survival analysis</w:t>
      </w:r>
      <w:r>
        <w:t xml:space="preserve">. Retrieved from </w:t>
      </w:r>
      <w:hyperlink r:id="rId10">
        <w:r>
          <w:rPr>
            <w:rStyle w:val="Lienhypertexte"/>
          </w:rPr>
          <w:t>https://CRAN.R-project.org/package=survival</w:t>
        </w:r>
      </w:hyperlink>
    </w:p>
    <w:p w:rsidR="00A77962" w:rsidRDefault="007C3C2A" w:rsidP="009F0E40">
      <w:pPr>
        <w:pStyle w:val="Bibliographie"/>
        <w:spacing w:line="480" w:lineRule="auto"/>
      </w:pPr>
      <w:r>
        <w:t xml:space="preserve">Therneau, T. M., &amp; Grambsch, P. M. (2000). </w:t>
      </w:r>
      <w:r>
        <w:rPr>
          <w:i/>
        </w:rPr>
        <w:t>Modeling Survival Data: Extending the Cox Model</w:t>
      </w:r>
      <w:r>
        <w:t>. (K. Dietz, M. Gail, K. Krickeberg, J. Samet, &amp; A. Tsiatis, Eds.). New York, NY: Springer New York.</w:t>
      </w:r>
    </w:p>
    <w:p w:rsidR="00A77962" w:rsidRDefault="007C3C2A" w:rsidP="009F0E40">
      <w:pPr>
        <w:pStyle w:val="Bibliographie"/>
        <w:spacing w:line="480" w:lineRule="auto"/>
      </w:pPr>
      <w:r>
        <w:t xml:space="preserve">Tsiatis, A. A., &amp; Davidian, M. (2004). Joint modeling of longitudinal and time-to-event data: An overview. </w:t>
      </w:r>
      <w:r>
        <w:rPr>
          <w:i/>
        </w:rPr>
        <w:t>Statistica Sinica</w:t>
      </w:r>
      <w:r>
        <w:t xml:space="preserve">, </w:t>
      </w:r>
      <w:r>
        <w:rPr>
          <w:i/>
        </w:rPr>
        <w:t>14</w:t>
      </w:r>
      <w:r>
        <w:t>, 809–834.</w:t>
      </w:r>
    </w:p>
    <w:p w:rsidR="00A77962" w:rsidRDefault="007C3C2A" w:rsidP="009F0E40">
      <w:pPr>
        <w:pStyle w:val="Bibliographie"/>
        <w:spacing w:line="480" w:lineRule="auto"/>
      </w:pPr>
      <w:r>
        <w:t xml:space="preserve">Tsiatis, A. A., DeGruttola, V., &amp; Wulfsohn, M. S. (1995). Modeling the Relationship of Survival to Longitudinal Data Measured with Error. Applications to Survival and CD4 Counts in Patients with AIDS. </w:t>
      </w:r>
      <w:r>
        <w:rPr>
          <w:i/>
        </w:rPr>
        <w:t>Journal of the American Statistical Association</w:t>
      </w:r>
      <w:r>
        <w:t xml:space="preserve">, </w:t>
      </w:r>
      <w:r>
        <w:rPr>
          <w:i/>
        </w:rPr>
        <w:t>90</w:t>
      </w:r>
      <w:r>
        <w:t>(429), 27–37.</w:t>
      </w:r>
    </w:p>
    <w:p w:rsidR="00A77962" w:rsidRDefault="007C3C2A" w:rsidP="009F0E40">
      <w:pPr>
        <w:pStyle w:val="Bibliographie"/>
        <w:spacing w:line="480" w:lineRule="auto"/>
      </w:pPr>
      <w:r>
        <w:t xml:space="preserve">Vaxillaire, M., Yengo, L., Lobbens, S., Rocheleau, G., Eury, E., Lantieri, O., … Froguel, P. (2014). Type 2 diabetes-related genetic risk scores associated with variations in fasting plasma </w:t>
      </w:r>
      <w:r>
        <w:lastRenderedPageBreak/>
        <w:t xml:space="preserve">glucose and development of impaired glucose homeostasis in the prospective DESIR study. </w:t>
      </w:r>
      <w:proofErr w:type="spellStart"/>
      <w:r>
        <w:rPr>
          <w:i/>
        </w:rPr>
        <w:t>Diabetologia</w:t>
      </w:r>
      <w:proofErr w:type="spellEnd"/>
      <w:r>
        <w:t xml:space="preserve">, </w:t>
      </w:r>
      <w:r>
        <w:rPr>
          <w:i/>
        </w:rPr>
        <w:t>57</w:t>
      </w:r>
      <w:r>
        <w:t>(8), 1601–1610.</w:t>
      </w:r>
      <w:r w:rsidR="00B2336B">
        <w:t xml:space="preserve"> </w:t>
      </w:r>
    </w:p>
    <w:p w:rsidR="00A77962" w:rsidRDefault="007C3C2A" w:rsidP="009F0E40">
      <w:pPr>
        <w:pStyle w:val="Bibliographie"/>
        <w:spacing w:line="480" w:lineRule="auto"/>
      </w:pPr>
      <w:r>
        <w:t xml:space="preserve">Voight, B. F., Kang, H. M., Ding, J., Palmer, C. D., Sidore, C., Chines, P. S., … Boehnke, M. (2012). The Metabochip, a Custom Genotyping Array for Genetic Studies of Metabolic, Cardiovascular, and Anthropometric Traits. </w:t>
      </w:r>
      <w:proofErr w:type="spellStart"/>
      <w:r>
        <w:rPr>
          <w:i/>
        </w:rPr>
        <w:t>PLoS</w:t>
      </w:r>
      <w:proofErr w:type="spellEnd"/>
      <w:r>
        <w:rPr>
          <w:i/>
        </w:rPr>
        <w:t xml:space="preserve"> Genetics</w:t>
      </w:r>
      <w:r>
        <w:t xml:space="preserve">, </w:t>
      </w:r>
      <w:r>
        <w:rPr>
          <w:i/>
        </w:rPr>
        <w:t>8</w:t>
      </w:r>
      <w:r w:rsidR="00B2336B">
        <w:t>(8), e1002793.</w:t>
      </w:r>
    </w:p>
    <w:p w:rsidR="00A77962" w:rsidRDefault="007C3C2A" w:rsidP="009F0E40">
      <w:pPr>
        <w:pStyle w:val="Bibliographie"/>
        <w:spacing w:line="480" w:lineRule="auto"/>
      </w:pPr>
      <w:r>
        <w:t xml:space="preserve">Welter, D., MacArthur, J., Morales, J., Burdett, T., Hall, P., Junkins, H., … Parkinson, H. (2014). The NHGRI GWAS Catalog, a curated resource of SNP-trait associations. </w:t>
      </w:r>
      <w:r>
        <w:rPr>
          <w:i/>
        </w:rPr>
        <w:t>Nucleic Acids Research</w:t>
      </w:r>
      <w:r>
        <w:t xml:space="preserve">, </w:t>
      </w:r>
      <w:r>
        <w:rPr>
          <w:i/>
        </w:rPr>
        <w:t>42</w:t>
      </w:r>
      <w:r w:rsidR="00B2336B">
        <w:t>(D1), D1001–D1006.</w:t>
      </w:r>
    </w:p>
    <w:p w:rsidR="00E268C4" w:rsidRDefault="007C3C2A" w:rsidP="009F0E40">
      <w:pPr>
        <w:pStyle w:val="Bibliographie"/>
        <w:spacing w:line="480" w:lineRule="auto"/>
        <w:rPr>
          <w:rStyle w:val="Lienhypertexte"/>
        </w:rPr>
      </w:pPr>
      <w:r>
        <w:t xml:space="preserve">Wulfsohn, M. S., &amp; Tsiatis, A. A. (1997). A Joint Model for Survival and Longitudinal Data Measured with Error. </w:t>
      </w:r>
      <w:r>
        <w:rPr>
          <w:i/>
        </w:rPr>
        <w:t>Biometrics</w:t>
      </w:r>
      <w:r>
        <w:t xml:space="preserve">, </w:t>
      </w:r>
      <w:r>
        <w:rPr>
          <w:i/>
        </w:rPr>
        <w:t>53</w:t>
      </w:r>
      <w:r>
        <w:t>(1), 330.</w:t>
      </w:r>
    </w:p>
    <w:p w:rsidR="00E268C4" w:rsidRDefault="00E268C4" w:rsidP="00E268C4">
      <w:pPr>
        <w:rPr>
          <w:rStyle w:val="Lienhypertexte"/>
        </w:rPr>
      </w:pPr>
      <w:r>
        <w:rPr>
          <w:rStyle w:val="Lienhypertexte"/>
        </w:rPr>
        <w:br w:type="page"/>
      </w:r>
    </w:p>
    <w:p w:rsidR="00E268C4" w:rsidRDefault="00E268C4" w:rsidP="00E268C4">
      <w:pPr>
        <w:pStyle w:val="ImageCaption"/>
        <w:spacing w:line="480" w:lineRule="auto"/>
      </w:pPr>
      <w:r>
        <w:lastRenderedPageBreak/>
        <w:t>Figure 1 Flowchart quality control on subjects from the French cohort D.E.S.I.R.</w:t>
      </w:r>
    </w:p>
    <w:p w:rsidR="00E268C4" w:rsidRDefault="00E268C4" w:rsidP="00E268C4">
      <w:pPr>
        <w:pStyle w:val="ImageCaption"/>
        <w:spacing w:line="480" w:lineRule="auto"/>
      </w:pPr>
      <w:r>
        <w:t>Figure 2 Causal diagram for joint modelling applied to fasting glucose (FG) and type 2 diabetes (T2D) (adapted from Ibrahim, Chu, &amp; Chen (2010)). SNP: Single Nucleotide Polymorphism.</w:t>
      </w:r>
    </w:p>
    <w:p w:rsidR="00E268C4" w:rsidRDefault="00E268C4" w:rsidP="00E268C4">
      <w:pPr>
        <w:pStyle w:val="ImageCaption"/>
        <w:spacing w:line="480" w:lineRule="auto"/>
      </w:pPr>
      <w:r>
        <w:t xml:space="preserve">Figure 3 Simulation study for accuracy of estimator </w:t>
      </w:r>
      <m:oMath>
        <m:groupChr>
          <m:groupChrPr>
            <m:chr m:val="^"/>
            <m:pos m:val="top"/>
            <m:vertJc m:val="bot"/>
            <m:ctrlPr>
              <w:rPr>
                <w:rFonts w:ascii="Cambria Math" w:hAnsi="Cambria Math"/>
              </w:rPr>
            </m:ctrlPr>
          </m:groupChrPr>
          <m:e>
            <m:r>
              <m:rPr>
                <m:sty m:val="bi"/>
              </m:rPr>
              <w:rPr>
                <w:rFonts w:ascii="Cambria Math" w:hAnsi="Cambria Math"/>
              </w:rPr>
              <m:t>γ</m:t>
            </m:r>
          </m:e>
        </m:groupChr>
      </m:oMath>
      <w:r>
        <w:t xml:space="preserve"> provided by the joint model (JM package) and by the linear mixed effect model (nlme package). </w:t>
      </w:r>
      <m:oMath>
        <m:r>
          <m:rPr>
            <m:sty m:val="bi"/>
          </m:rPr>
          <w:rPr>
            <w:rFonts w:ascii="Cambria Math" w:hAnsi="Cambria Math"/>
          </w:rPr>
          <m:t>m</m:t>
        </m:r>
      </m:oMath>
      <w:r>
        <w:t xml:space="preserve">: number of measures; </w:t>
      </w:r>
      <m:oMath>
        <m:r>
          <m:rPr>
            <m:sty m:val="bi"/>
          </m:rPr>
          <w:rPr>
            <w:rFonts w:ascii="Cambria Math" w:hAnsi="Cambria Math"/>
          </w:rPr>
          <m:t>n</m:t>
        </m:r>
      </m:oMath>
      <w:r>
        <w:t xml:space="preserve">: number of subjects; </w:t>
      </w:r>
      <m:oMath>
        <m:r>
          <m:rPr>
            <m:sty m:val="bi"/>
          </m:rPr>
          <w:rPr>
            <w:rFonts w:ascii="Cambria Math" w:hAnsi="Cambria Math"/>
          </w:rPr>
          <m:t>d</m:t>
        </m:r>
      </m:oMath>
      <w:r>
        <w:t>: incid</w:t>
      </w:r>
      <w:proofErr w:type="spellStart"/>
      <w:r>
        <w:t>ence</w:t>
      </w:r>
      <w:proofErr w:type="spellEnd"/>
      <w:r>
        <w:t xml:space="preserve"> rate.</w:t>
      </w:r>
    </w:p>
    <w:p w:rsidR="00E268C4" w:rsidRDefault="00E268C4" w:rsidP="00E268C4">
      <w:pPr>
        <w:pStyle w:val="ImageCaption"/>
        <w:spacing w:line="480" w:lineRule="auto"/>
      </w:pPr>
      <w:r>
        <w:t xml:space="preserve">Figure 4 Simulation study for accuracy of estimator </w:t>
      </w:r>
      <m:oMath>
        <m:groupChr>
          <m:groupChrPr>
            <m:chr m:val="^"/>
            <m:pos m:val="top"/>
            <m:vertJc m:val="bot"/>
            <m:ctrlPr>
              <w:rPr>
                <w:rFonts w:ascii="Cambria Math" w:hAnsi="Cambria Math"/>
              </w:rPr>
            </m:ctrlPr>
          </m:groupChrPr>
          <m:e>
            <m:r>
              <m:rPr>
                <m:sty m:val="bi"/>
              </m:rPr>
              <w:rPr>
                <w:rFonts w:ascii="Cambria Math" w:hAnsi="Cambria Math"/>
              </w:rPr>
              <m:t>β</m:t>
            </m:r>
          </m:e>
        </m:groupChr>
      </m:oMath>
      <w:r>
        <w:t xml:space="preserve"> provided by the joint model (JM package) and by the linear mixed effect model (nlme package). </w:t>
      </w:r>
      <m:oMath>
        <m:r>
          <m:rPr>
            <m:sty m:val="bi"/>
          </m:rPr>
          <w:rPr>
            <w:rFonts w:ascii="Cambria Math" w:hAnsi="Cambria Math"/>
          </w:rPr>
          <m:t>m</m:t>
        </m:r>
      </m:oMath>
      <w:r>
        <w:t xml:space="preserve">: number of measures; </w:t>
      </w:r>
      <m:oMath>
        <m:r>
          <m:rPr>
            <m:sty m:val="bi"/>
          </m:rPr>
          <w:rPr>
            <w:rFonts w:ascii="Cambria Math" w:hAnsi="Cambria Math"/>
          </w:rPr>
          <m:t>n</m:t>
        </m:r>
      </m:oMath>
      <w:r>
        <w:t xml:space="preserve">: number of subjects; </w:t>
      </w:r>
      <m:oMath>
        <m:r>
          <m:rPr>
            <m:sty m:val="bi"/>
          </m:rPr>
          <w:rPr>
            <w:rFonts w:ascii="Cambria Math" w:hAnsi="Cambria Math"/>
          </w:rPr>
          <m:t>d</m:t>
        </m:r>
      </m:oMath>
      <w:r>
        <w:t>: incidence rate.</w:t>
      </w:r>
    </w:p>
    <w:p w:rsidR="00E268C4" w:rsidRDefault="00E268C4" w:rsidP="00E268C4">
      <w:pPr>
        <w:pStyle w:val="ImageCaption"/>
        <w:spacing w:line="480" w:lineRule="auto"/>
      </w:pPr>
      <w:r>
        <w:t xml:space="preserve">Figure 5 Simulation study for accuracy of estimator </w:t>
      </w:r>
      <m:oMath>
        <m:groupChr>
          <m:groupChrPr>
            <m:chr m:val="^"/>
            <m:pos m:val="top"/>
            <m:vertJc m:val="bot"/>
            <m:ctrlPr>
              <w:rPr>
                <w:rFonts w:ascii="Cambria Math" w:hAnsi="Cambria Math"/>
              </w:rPr>
            </m:ctrlPr>
          </m:groupChrPr>
          <m:e>
            <m:r>
              <m:rPr>
                <m:sty m:val="bi"/>
              </m:rPr>
              <w:rPr>
                <w:rFonts w:ascii="Cambria Math" w:hAnsi="Cambria Math"/>
              </w:rPr>
              <m:t>α</m:t>
            </m:r>
          </m:e>
        </m:groupChr>
      </m:oMath>
      <w:r>
        <w:t xml:space="preserve"> provided by the joint model (JM package) and by the linear mixed effect model (nlme package). </w:t>
      </w:r>
      <m:oMath>
        <m:r>
          <m:rPr>
            <m:sty m:val="bi"/>
          </m:rPr>
          <w:rPr>
            <w:rFonts w:ascii="Cambria Math" w:hAnsi="Cambria Math"/>
          </w:rPr>
          <m:t>m</m:t>
        </m:r>
      </m:oMath>
      <w:r>
        <w:t xml:space="preserve">: number of measures; </w:t>
      </w:r>
      <m:oMath>
        <m:r>
          <m:rPr>
            <m:sty m:val="bi"/>
          </m:rPr>
          <w:rPr>
            <w:rFonts w:ascii="Cambria Math" w:hAnsi="Cambria Math"/>
          </w:rPr>
          <m:t>n</m:t>
        </m:r>
      </m:oMath>
      <w:r>
        <w:t xml:space="preserve">: number of subjects; </w:t>
      </w:r>
      <m:oMath>
        <m:r>
          <m:rPr>
            <m:sty m:val="bi"/>
          </m:rPr>
          <w:rPr>
            <w:rFonts w:ascii="Cambria Math" w:hAnsi="Cambria Math"/>
          </w:rPr>
          <m:t>d</m:t>
        </m:r>
      </m:oMath>
      <w:r>
        <w:t>: incidence rate.</w:t>
      </w:r>
    </w:p>
    <w:p w:rsidR="00E268C4" w:rsidRDefault="00E268C4" w:rsidP="00E268C4">
      <w:pPr>
        <w:pStyle w:val="ImageCaption"/>
        <w:spacing w:line="480" w:lineRule="auto"/>
      </w:pPr>
      <w:r>
        <w:t xml:space="preserve">Figure 6 Call tree diagram of the main function </w:t>
      </w:r>
      <w:proofErr w:type="spellStart"/>
      <w:r>
        <w:t>jointmodel</w:t>
      </w:r>
      <w:proofErr w:type="spellEnd"/>
      <w:r>
        <w:t xml:space="preserve"> in the R package JM. Call based on a simulated dataset with three longitudinal measures and 5,000 subjects (other parameter values set as in </w:t>
      </w:r>
      <w:r w:rsidR="00B2336B">
        <w:t>Table I</w:t>
      </w:r>
      <w:r>
        <w:t>).</w:t>
      </w:r>
    </w:p>
    <w:p w:rsidR="00E268C4" w:rsidRDefault="00E268C4" w:rsidP="00E268C4">
      <w:pPr>
        <w:pStyle w:val="ImageCaption"/>
        <w:spacing w:line="480" w:lineRule="auto"/>
      </w:pPr>
      <w:r>
        <w:t>Figure 7 Results from statistical analysis using JM (</w:t>
      </w:r>
      <w:proofErr w:type="spellStart"/>
      <w:r>
        <w:t>Rizopoulos</w:t>
      </w:r>
      <w:proofErr w:type="spellEnd"/>
      <w:r>
        <w:t xml:space="preserve">, 2010, 2016). Estimated effects of </w:t>
      </w:r>
      <m:oMath>
        <m:r>
          <m:rPr>
            <m:sty m:val="bi"/>
          </m:rPr>
          <w:rPr>
            <w:rFonts w:ascii="Cambria Math" w:hAnsi="Cambria Math"/>
          </w:rPr>
          <m:t>γ</m:t>
        </m:r>
      </m:oMath>
      <w:r>
        <w:t xml:space="preserve"> are displayed on the x-axis, with corresponding estimated odds ratio </w:t>
      </w:r>
      <m:oMath>
        <m:r>
          <m:rPr>
            <m:sty m:val="b"/>
          </m:rPr>
          <w:rPr>
            <w:rFonts w:ascii="Cambria Math" w:hAnsi="Cambria Math"/>
          </w:rPr>
          <m:t>exp</m:t>
        </m:r>
        <m:r>
          <m:rPr>
            <m:sty m:val="bi"/>
          </m:rPr>
          <w:rPr>
            <w:rFonts w:ascii="Cambria Math" w:hAnsi="Cambria Math"/>
          </w:rPr>
          <m:t>(α)</m:t>
        </m:r>
      </m:oMath>
      <w:r>
        <w:t xml:space="preserve"> on the y-axis. Statistical power reported is the theoretical (retrospective) power to detect a joint effect </w:t>
      </w:r>
      <m:oMath>
        <m:r>
          <m:rPr>
            <m:sty m:val="bi"/>
          </m:rPr>
          <w:rPr>
            <w:rFonts w:ascii="Cambria Math" w:hAnsi="Cambria Math"/>
          </w:rPr>
          <m:t>βγ+α</m:t>
        </m:r>
      </m:oMath>
      <w:r>
        <w:t xml:space="preserve"> based on estimated model parameters (Chen et al., 2011).</w:t>
      </w:r>
    </w:p>
    <w:p w:rsidR="00E268C4" w:rsidRDefault="00E268C4" w:rsidP="00E268C4">
      <w:pPr>
        <w:pStyle w:val="ImageCaption"/>
        <w:spacing w:line="480" w:lineRule="auto"/>
      </w:pPr>
      <w:r>
        <w:t xml:space="preserve">Figure 8 Manhattan plot for estimated effects of </w:t>
      </w:r>
      <m:oMath>
        <m:r>
          <m:rPr>
            <m:sty m:val="bi"/>
          </m:rPr>
          <w:rPr>
            <w:rFonts w:ascii="Cambria Math" w:hAnsi="Cambria Math"/>
          </w:rPr>
          <m:t>γ</m:t>
        </m:r>
      </m:oMath>
      <w:r>
        <w:t xml:space="preserve"> and </w:t>
      </w:r>
      <m:oMath>
        <m:r>
          <m:rPr>
            <m:sty m:val="bi"/>
          </m:rPr>
          <w:rPr>
            <w:rFonts w:ascii="Cambria Math" w:hAnsi="Cambria Math"/>
          </w:rPr>
          <m:t>α</m:t>
        </m:r>
      </m:oMath>
      <w:r>
        <w:t xml:space="preserve"> using JM. Results are presented for the cleaned set of 101,305 SNPs.</w:t>
      </w:r>
    </w:p>
    <w:p w:rsidR="00E268C4" w:rsidRDefault="00E268C4" w:rsidP="00E268C4">
      <w:pPr>
        <w:pStyle w:val="ImageCaption"/>
        <w:spacing w:line="480" w:lineRule="auto"/>
      </w:pPr>
      <w:r>
        <w:lastRenderedPageBreak/>
        <w:t xml:space="preserve">Figure 9 Testing for </w:t>
      </w:r>
      <m:oMath>
        <m:r>
          <m:rPr>
            <m:sty m:val="bi"/>
          </m:rPr>
          <w:rPr>
            <w:rFonts w:ascii="Cambria Math" w:hAnsi="Cambria Math"/>
          </w:rPr>
          <m:t>α</m:t>
        </m:r>
      </m:oMath>
      <w:r>
        <w:t xml:space="preserve"> (SNP effect on onset of T2D) and </w:t>
      </w:r>
      <m:oMath>
        <m:r>
          <m:rPr>
            <m:sty m:val="bi"/>
          </m:rPr>
          <w:rPr>
            <w:rFonts w:ascii="Cambria Math" w:hAnsi="Cambria Math"/>
          </w:rPr>
          <m:t>γ</m:t>
        </m:r>
      </m:oMath>
      <w:r>
        <w:t xml:space="preserve"> (SNP effect on the trajectory of FG) using Two-Step approach compared to Joint Model approach. On the x-axis, </w:t>
      </w:r>
      <m:oMath>
        <m:r>
          <m:rPr>
            <m:sty m:val="bi"/>
          </m:rPr>
          <w:rPr>
            <w:rFonts w:ascii="Cambria Math" w:hAnsi="Cambria Math"/>
          </w:rPr>
          <m:t>-</m:t>
        </m:r>
        <m:sSub>
          <m:sSubPr>
            <m:ctrlPr>
              <w:rPr>
                <w:rFonts w:ascii="Cambria Math" w:hAnsi="Cambria Math"/>
              </w:rPr>
            </m:ctrlPr>
          </m:sSubPr>
          <m:e>
            <m:r>
              <m:rPr>
                <m:sty m:val="b"/>
              </m:rPr>
              <w:rPr>
                <w:rFonts w:ascii="Cambria Math" w:hAnsi="Cambria Math"/>
              </w:rPr>
              <m:t>log</m:t>
            </m:r>
          </m:e>
          <m:sub>
            <m:r>
              <m:rPr>
                <m:sty m:val="bi"/>
              </m:rPr>
              <w:rPr>
                <w:rFonts w:ascii="Cambria Math" w:hAnsi="Cambria Math"/>
              </w:rPr>
              <m:t>10</m:t>
            </m:r>
          </m:sub>
        </m:sSub>
        <m:r>
          <m:rPr>
            <m:sty m:val="bi"/>
          </m:rPr>
          <w:rPr>
            <w:rFonts w:ascii="Cambria Math" w:hAnsi="Cambria Math"/>
          </w:rPr>
          <m:t>(p)</m:t>
        </m:r>
      </m:oMath>
      <w:r>
        <w:t xml:space="preserve"> from the Joint Model and on the y-axis the corresponding </w:t>
      </w:r>
      <m:oMath>
        <m:r>
          <m:rPr>
            <m:sty m:val="bi"/>
          </m:rPr>
          <w:rPr>
            <w:rFonts w:ascii="Cambria Math" w:hAnsi="Cambria Math"/>
          </w:rPr>
          <m:t>-</m:t>
        </m:r>
        <m:sSub>
          <m:sSubPr>
            <m:ctrlPr>
              <w:rPr>
                <w:rFonts w:ascii="Cambria Math" w:hAnsi="Cambria Math"/>
              </w:rPr>
            </m:ctrlPr>
          </m:sSubPr>
          <m:e>
            <m:r>
              <m:rPr>
                <m:sty m:val="b"/>
              </m:rPr>
              <w:rPr>
                <w:rFonts w:ascii="Cambria Math" w:hAnsi="Cambria Math"/>
              </w:rPr>
              <m:t>log</m:t>
            </m:r>
          </m:e>
          <m:sub>
            <m:r>
              <m:rPr>
                <m:sty m:val="bi"/>
              </m:rPr>
              <w:rPr>
                <w:rFonts w:ascii="Cambria Math" w:hAnsi="Cambria Math"/>
              </w:rPr>
              <m:t>10</m:t>
            </m:r>
          </m:sub>
        </m:sSub>
        <m:r>
          <m:rPr>
            <m:sty m:val="bi"/>
          </m:rPr>
          <w:rPr>
            <w:rFonts w:ascii="Cambria Math" w:hAnsi="Cambria Math"/>
          </w:rPr>
          <m:t>(p)</m:t>
        </m:r>
      </m:oMath>
      <w:r>
        <w:t xml:space="preserve"> from the approximate Two-Step approach.</w:t>
      </w:r>
    </w:p>
    <w:p w:rsidR="00E268C4" w:rsidRDefault="00E268C4" w:rsidP="00E268C4">
      <w:pPr>
        <w:pStyle w:val="ImageCaption"/>
        <w:spacing w:line="480" w:lineRule="auto"/>
      </w:pPr>
      <w:r>
        <w:t xml:space="preserve">Figure 10 Power and Type I Error based on the 265 top associations found via a Joint Model approach for 265 SNPs with significant associations for </w:t>
      </w:r>
      <m:oMath>
        <m:r>
          <m:rPr>
            <m:sty m:val="bi"/>
          </m:rPr>
          <w:rPr>
            <w:rFonts w:ascii="Cambria Math" w:hAnsi="Cambria Math"/>
          </w:rPr>
          <m:t>α</m:t>
        </m:r>
      </m:oMath>
      <w:r>
        <w:t xml:space="preserve"> and </w:t>
      </w:r>
      <m:oMath>
        <m:r>
          <m:rPr>
            <m:sty m:val="bi"/>
          </m:rPr>
          <w:rPr>
            <w:rFonts w:ascii="Cambria Math" w:hAnsi="Cambria Math"/>
          </w:rPr>
          <m:t>γ</m:t>
        </m:r>
      </m:oMath>
      <w:r>
        <w:t xml:space="preserve">. Power and Type I Error are compared between Joint Model, Two-Step model and Cox or linear model regression, respectively for </w:t>
      </w:r>
      <m:oMath>
        <m:r>
          <m:rPr>
            <m:sty m:val="bi"/>
          </m:rPr>
          <w:rPr>
            <w:rFonts w:ascii="Cambria Math" w:hAnsi="Cambria Math"/>
          </w:rPr>
          <m:t>α</m:t>
        </m:r>
      </m:oMath>
      <w:r>
        <w:t xml:space="preserve"> and </w:t>
      </w:r>
      <m:oMath>
        <m:r>
          <m:rPr>
            <m:sty m:val="bi"/>
          </m:rPr>
          <w:rPr>
            <w:rFonts w:ascii="Cambria Math" w:hAnsi="Cambria Math"/>
          </w:rPr>
          <m:t>γ</m:t>
        </m:r>
      </m:oMath>
      <w:r>
        <w:t>.</w:t>
      </w:r>
    </w:p>
    <w:sectPr w:rsidR="00E268C4" w:rsidSect="0048252B">
      <w:footerReference w:type="default" r:id="rId11"/>
      <w:pgSz w:w="12240" w:h="15840" w:code="1"/>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E81" w:rsidRDefault="00372E81">
      <w:pPr>
        <w:spacing w:line="240" w:lineRule="auto"/>
      </w:pPr>
      <w:r>
        <w:separator/>
      </w:r>
    </w:p>
  </w:endnote>
  <w:endnote w:type="continuationSeparator" w:id="0">
    <w:p w:rsidR="00372E81" w:rsidRDefault="00372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30725"/>
      <w:docPartObj>
        <w:docPartGallery w:val="Page Numbers (Bottom of Page)"/>
        <w:docPartUnique/>
      </w:docPartObj>
    </w:sdtPr>
    <w:sdtContent>
      <w:p w:rsidR="007C3C2A" w:rsidRDefault="007C3C2A">
        <w:pPr>
          <w:pStyle w:val="Pieddepage"/>
          <w:jc w:val="center"/>
        </w:pPr>
        <w:r>
          <w:fldChar w:fldCharType="begin"/>
        </w:r>
        <w:r>
          <w:instrText>PAGE   \* MERGEFORMAT</w:instrText>
        </w:r>
        <w:r>
          <w:fldChar w:fldCharType="separate"/>
        </w:r>
        <w:r w:rsidR="0050388B" w:rsidRPr="0050388B">
          <w:rPr>
            <w:noProof/>
            <w:lang w:val="fr-FR"/>
          </w:rPr>
          <w:t>4</w:t>
        </w:r>
        <w:r>
          <w:fldChar w:fldCharType="end"/>
        </w:r>
      </w:p>
    </w:sdtContent>
  </w:sdt>
  <w:p w:rsidR="007C3C2A" w:rsidRDefault="007C3C2A" w:rsidP="007C3C2A">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E81" w:rsidRDefault="00372E81">
      <w:r>
        <w:separator/>
      </w:r>
    </w:p>
  </w:footnote>
  <w:footnote w:type="continuationSeparator" w:id="0">
    <w:p w:rsidR="00372E81" w:rsidRDefault="00372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6D34F4"/>
    <w:multiLevelType w:val="multilevel"/>
    <w:tmpl w:val="62FA6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4B7D24"/>
    <w:multiLevelType w:val="multilevel"/>
    <w:tmpl w:val="4EAC7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B6929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24491F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F90F4A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82A6C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9BAF83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B5CED6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4F852A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59874B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3606D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D105CE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3D6089"/>
    <w:multiLevelType w:val="multilevel"/>
    <w:tmpl w:val="604EE806"/>
    <w:styleLink w:val="Equation"/>
    <w:lvl w:ilvl="0">
      <w:start w:val="1"/>
      <w:numFmt w:val="decimal"/>
      <w:suff w:val="nothing"/>
      <w:lvlText w:val="(%1)"/>
      <w:lvlJc w:val="center"/>
      <w:pPr>
        <w:ind w:left="0" w:firstLine="0"/>
      </w:pPr>
      <w:rPr>
        <w:rFonts w:hint="default"/>
      </w:rPr>
    </w:lvl>
    <w:lvl w:ilvl="1">
      <w:start w:val="1"/>
      <w:numFmt w:val="decimal"/>
      <w:suff w:val="nothing"/>
      <w:lvlText w:val="(%1.%2)"/>
      <w:lvlJc w:val="center"/>
      <w:pPr>
        <w:ind w:left="0" w:firstLine="0"/>
      </w:pPr>
      <w:rPr>
        <w:rFonts w:hint="default"/>
      </w:rPr>
    </w:lvl>
    <w:lvl w:ilvl="2">
      <w:start w:val="1"/>
      <w:numFmt w:val="decimal"/>
      <w:suff w:val="nothing"/>
      <w:lvlText w:val="(%1.%2.%3)"/>
      <w:lvlJc w:val="center"/>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1C231479"/>
    <w:multiLevelType w:val="multilevel"/>
    <w:tmpl w:val="604EE806"/>
    <w:numStyleLink w:val="Equation"/>
  </w:abstractNum>
  <w:abstractNum w:abstractNumId="14" w15:restartNumberingAfterBreak="0">
    <w:nsid w:val="1D26730C"/>
    <w:multiLevelType w:val="hybridMultilevel"/>
    <w:tmpl w:val="C15A3718"/>
    <w:lvl w:ilvl="0" w:tplc="9F7CF528">
      <w:start w:val="1"/>
      <w:numFmt w:val="decimal"/>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43156"/>
    <w:multiLevelType w:val="hybridMultilevel"/>
    <w:tmpl w:val="9F68CCC4"/>
    <w:lvl w:ilvl="0" w:tplc="7E4A7FB4">
      <w:start w:val="1"/>
      <w:numFmt w:val="upperRoman"/>
      <w:lvlText w:val="TABL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73028"/>
    <w:multiLevelType w:val="multilevel"/>
    <w:tmpl w:val="604EE806"/>
    <w:numStyleLink w:val="Equation"/>
  </w:abstractNum>
  <w:abstractNum w:abstractNumId="17" w15:restartNumberingAfterBreak="0">
    <w:nsid w:val="5EC679F4"/>
    <w:multiLevelType w:val="multilevel"/>
    <w:tmpl w:val="B48042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311E85D"/>
    <w:multiLevelType w:val="multilevel"/>
    <w:tmpl w:val="358CA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C3F042A"/>
    <w:multiLevelType w:val="multilevel"/>
    <w:tmpl w:val="BB80C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4"/>
  </w:num>
  <w:num w:numId="2">
    <w:abstractNumId w:val="15"/>
  </w:num>
  <w:num w:numId="3">
    <w:abstractNumId w:val="12"/>
  </w:num>
  <w:num w:numId="4">
    <w:abstractNumId w:val="16"/>
  </w:num>
  <w:num w:numId="5">
    <w:abstractNumId w:val="13"/>
    <w:lvlOverride w:ilvl="0">
      <w:lvl w:ilvl="0">
        <w:start w:val="1"/>
        <w:numFmt w:val="decimal"/>
        <w:suff w:val="nothing"/>
        <w:lvlText w:val="(%1)"/>
        <w:lvlJc w:val="center"/>
        <w:pPr>
          <w:ind w:left="0" w:firstLine="0"/>
        </w:pPr>
        <w:rPr>
          <w:rFonts w:hint="default"/>
        </w:rPr>
      </w:lvl>
    </w:lvlOverride>
  </w:num>
  <w:num w:numId="6">
    <w:abstractNumId w:val="1"/>
  </w:num>
  <w:num w:numId="7">
    <w:abstractNumId w:val="10"/>
  </w:num>
  <w:num w:numId="8">
    <w:abstractNumId w:val="5"/>
  </w:num>
  <w:num w:numId="9">
    <w:abstractNumId w:val="4"/>
  </w:num>
  <w:num w:numId="10">
    <w:abstractNumId w:val="3"/>
  </w:num>
  <w:num w:numId="11">
    <w:abstractNumId w:val="2"/>
  </w:num>
  <w:num w:numId="12">
    <w:abstractNumId w:val="11"/>
  </w:num>
  <w:num w:numId="13">
    <w:abstractNumId w:val="9"/>
  </w:num>
  <w:num w:numId="14">
    <w:abstractNumId w:val="8"/>
  </w:num>
  <w:num w:numId="15">
    <w:abstractNumId w:val="7"/>
  </w:num>
  <w:num w:numId="16">
    <w:abstractNumId w:val="6"/>
  </w:num>
  <w:num w:numId="17">
    <w:abstractNumId w:val="19"/>
  </w:num>
  <w:num w:numId="18">
    <w:abstractNumId w:val="0"/>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4B4C"/>
    <w:rsid w:val="00372E81"/>
    <w:rsid w:val="0048252B"/>
    <w:rsid w:val="004E29B3"/>
    <w:rsid w:val="0050388B"/>
    <w:rsid w:val="005471DD"/>
    <w:rsid w:val="00590D07"/>
    <w:rsid w:val="00784D58"/>
    <w:rsid w:val="007C3C2A"/>
    <w:rsid w:val="008D6863"/>
    <w:rsid w:val="009F0E40"/>
    <w:rsid w:val="00A77962"/>
    <w:rsid w:val="00B2336B"/>
    <w:rsid w:val="00B86B75"/>
    <w:rsid w:val="00BC48D5"/>
    <w:rsid w:val="00C36279"/>
    <w:rsid w:val="00E268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384D"/>
  <w15:docId w15:val="{45D27323-8538-4826-93DE-34C4D2AA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7DF"/>
    <w:pPr>
      <w:spacing w:line="360" w:lineRule="auto"/>
      <w:jc w:val="both"/>
    </w:pPr>
    <w:rPr>
      <w:sz w:val="24"/>
      <w:szCs w:val="24"/>
      <w:lang w:val="en-GB"/>
    </w:rPr>
  </w:style>
  <w:style w:type="paragraph" w:styleId="Titre1">
    <w:name w:val="heading 1"/>
    <w:basedOn w:val="Normal"/>
    <w:next w:val="Normal"/>
    <w:link w:val="Titre1Car"/>
    <w:uiPriority w:val="9"/>
    <w:qFormat/>
    <w:rsid w:val="008361A7"/>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8361A7"/>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unhideWhenUsed/>
    <w:qFormat/>
    <w:rsid w:val="008361A7"/>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unhideWhenUsed/>
    <w:qFormat/>
    <w:rsid w:val="008361A7"/>
    <w:pPr>
      <w:keepNext/>
      <w:spacing w:before="240" w:after="60"/>
      <w:outlineLvl w:val="3"/>
    </w:pPr>
    <w:rPr>
      <w:rFonts w:cstheme="majorBidi"/>
      <w:b/>
      <w:bCs/>
      <w:sz w:val="28"/>
      <w:szCs w:val="28"/>
    </w:rPr>
  </w:style>
  <w:style w:type="paragraph" w:styleId="Titre5">
    <w:name w:val="heading 5"/>
    <w:basedOn w:val="Normal"/>
    <w:next w:val="Normal"/>
    <w:link w:val="Titre5Car"/>
    <w:uiPriority w:val="9"/>
    <w:unhideWhenUsed/>
    <w:qFormat/>
    <w:rsid w:val="008361A7"/>
    <w:pPr>
      <w:spacing w:before="240" w:after="60"/>
      <w:outlineLvl w:val="4"/>
    </w:pPr>
    <w:rPr>
      <w:rFonts w:cstheme="majorBidi"/>
      <w:b/>
      <w:bCs/>
      <w:i/>
      <w:iCs/>
      <w:sz w:val="26"/>
      <w:szCs w:val="26"/>
    </w:rPr>
  </w:style>
  <w:style w:type="paragraph" w:styleId="Titre6">
    <w:name w:val="heading 6"/>
    <w:basedOn w:val="Normal"/>
    <w:next w:val="Normal"/>
    <w:link w:val="Titre6Car"/>
    <w:uiPriority w:val="9"/>
    <w:unhideWhenUsed/>
    <w:qFormat/>
    <w:rsid w:val="008361A7"/>
    <w:pPr>
      <w:spacing w:before="240" w:after="60"/>
      <w:outlineLvl w:val="5"/>
    </w:pPr>
    <w:rPr>
      <w:rFonts w:cstheme="majorBidi"/>
      <w:b/>
      <w:bCs/>
      <w:sz w:val="22"/>
      <w:szCs w:val="22"/>
    </w:rPr>
  </w:style>
  <w:style w:type="paragraph" w:styleId="Titre7">
    <w:name w:val="heading 7"/>
    <w:basedOn w:val="Normal"/>
    <w:next w:val="Normal"/>
    <w:link w:val="Titre7Car"/>
    <w:uiPriority w:val="9"/>
    <w:unhideWhenUsed/>
    <w:qFormat/>
    <w:rsid w:val="008361A7"/>
    <w:pPr>
      <w:spacing w:before="240" w:after="60"/>
      <w:outlineLvl w:val="6"/>
    </w:pPr>
  </w:style>
  <w:style w:type="paragraph" w:styleId="Titre8">
    <w:name w:val="heading 8"/>
    <w:basedOn w:val="Normal"/>
    <w:next w:val="Normal"/>
    <w:link w:val="Titre8Car"/>
    <w:uiPriority w:val="9"/>
    <w:unhideWhenUsed/>
    <w:qFormat/>
    <w:rsid w:val="008361A7"/>
    <w:pPr>
      <w:spacing w:before="240" w:after="60"/>
      <w:outlineLvl w:val="7"/>
    </w:pPr>
    <w:rPr>
      <w:i/>
      <w:iCs/>
    </w:rPr>
  </w:style>
  <w:style w:type="paragraph" w:styleId="Titre9">
    <w:name w:val="heading 9"/>
    <w:basedOn w:val="Normal"/>
    <w:next w:val="Normal"/>
    <w:link w:val="Titre9Car"/>
    <w:uiPriority w:val="9"/>
    <w:unhideWhenUsed/>
    <w:qFormat/>
    <w:rsid w:val="008361A7"/>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4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74A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674A6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Accentuation5">
    <w:name w:val="List Table 3 Accent 5"/>
    <w:basedOn w:val="TableauNormal"/>
    <w:uiPriority w:val="48"/>
    <w:rsid w:val="00674A6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StyleCustom">
    <w:name w:val="Table Style Custom"/>
    <w:basedOn w:val="TableauListe3-Accentuation1"/>
    <w:uiPriority w:val="99"/>
    <w:rsid w:val="00674A6E"/>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1">
    <w:name w:val="List Table 3 Accent 1"/>
    <w:basedOn w:val="TableauNormal"/>
    <w:uiPriority w:val="48"/>
    <w:rsid w:val="00C82803"/>
    <w:pPr>
      <w:spacing w:line="276"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uthors">
    <w:name w:val="Authors"/>
    <w:basedOn w:val="Sous-titre"/>
    <w:next w:val="Normal"/>
    <w:rsid w:val="00C82803"/>
    <w:pPr>
      <w:keepNext/>
      <w:keepLines/>
    </w:pPr>
  </w:style>
  <w:style w:type="paragraph" w:styleId="Sous-titre">
    <w:name w:val="Subtitle"/>
    <w:basedOn w:val="Normal"/>
    <w:next w:val="Normal"/>
    <w:link w:val="Sous-titreCar"/>
    <w:uiPriority w:val="11"/>
    <w:qFormat/>
    <w:rsid w:val="008361A7"/>
    <w:pPr>
      <w:spacing w:after="60"/>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361A7"/>
    <w:rPr>
      <w:rFonts w:asciiTheme="majorHAnsi" w:eastAsiaTheme="majorEastAsia" w:hAnsiTheme="majorHAnsi" w:cstheme="majorBidi"/>
      <w:sz w:val="24"/>
      <w:szCs w:val="24"/>
    </w:rPr>
  </w:style>
  <w:style w:type="character" w:styleId="Accentuation">
    <w:name w:val="Emphasis"/>
    <w:basedOn w:val="Policepardfaut"/>
    <w:uiPriority w:val="20"/>
    <w:qFormat/>
    <w:rsid w:val="008361A7"/>
    <w:rPr>
      <w:rFonts w:asciiTheme="minorHAnsi" w:hAnsiTheme="minorHAnsi"/>
      <w:b/>
      <w:i/>
      <w:iCs/>
    </w:rPr>
  </w:style>
  <w:style w:type="character" w:customStyle="1" w:styleId="AlertTok">
    <w:name w:val="AlertTok"/>
    <w:basedOn w:val="Policepardfaut"/>
    <w:rsid w:val="00C82803"/>
    <w:rPr>
      <w:rFonts w:ascii="Consolas" w:hAnsi="Consolas"/>
      <w:b/>
      <w:bCs/>
      <w:i/>
      <w:color w:val="EF2929"/>
      <w:sz w:val="22"/>
      <w:szCs w:val="18"/>
      <w:shd w:val="clear" w:color="auto" w:fill="F8F8F8"/>
    </w:rPr>
  </w:style>
  <w:style w:type="character" w:customStyle="1" w:styleId="BaseNTok">
    <w:name w:val="BaseNTok"/>
    <w:basedOn w:val="Policepardfaut"/>
    <w:rsid w:val="00C82803"/>
    <w:rPr>
      <w:rFonts w:ascii="Consolas" w:hAnsi="Consolas"/>
      <w:b/>
      <w:bCs/>
      <w:i/>
      <w:color w:val="0000CF"/>
      <w:sz w:val="22"/>
      <w:szCs w:val="18"/>
      <w:shd w:val="clear" w:color="auto" w:fill="F8F8F8"/>
    </w:rPr>
  </w:style>
  <w:style w:type="paragraph" w:customStyle="1" w:styleId="BlockQuote">
    <w:name w:val="Block Quote"/>
    <w:basedOn w:val="Normal"/>
    <w:next w:val="Normal"/>
    <w:uiPriority w:val="9"/>
    <w:unhideWhenUsed/>
    <w:rsid w:val="00C82803"/>
    <w:pPr>
      <w:spacing w:before="100" w:after="100"/>
    </w:pPr>
    <w:rPr>
      <w:rFonts w:asciiTheme="majorHAnsi" w:eastAsiaTheme="majorEastAsia" w:hAnsiTheme="majorHAnsi" w:cstheme="majorBidi"/>
      <w:bCs/>
      <w:sz w:val="20"/>
      <w:szCs w:val="20"/>
    </w:rPr>
  </w:style>
  <w:style w:type="character" w:customStyle="1" w:styleId="CharTok">
    <w:name w:val="CharTok"/>
    <w:basedOn w:val="Policepardfaut"/>
    <w:rsid w:val="00C82803"/>
    <w:rPr>
      <w:rFonts w:ascii="Consolas" w:hAnsi="Consolas"/>
      <w:b/>
      <w:bCs/>
      <w:i/>
      <w:color w:val="4E9A06"/>
      <w:sz w:val="22"/>
      <w:szCs w:val="18"/>
      <w:shd w:val="clear" w:color="auto" w:fill="F8F8F8"/>
    </w:rPr>
  </w:style>
  <w:style w:type="paragraph" w:styleId="Citation">
    <w:name w:val="Quote"/>
    <w:basedOn w:val="Normal"/>
    <w:next w:val="Normal"/>
    <w:link w:val="CitationCar"/>
    <w:uiPriority w:val="29"/>
    <w:qFormat/>
    <w:rsid w:val="008361A7"/>
    <w:rPr>
      <w:rFonts w:cstheme="majorBidi"/>
      <w:i/>
    </w:rPr>
  </w:style>
  <w:style w:type="character" w:customStyle="1" w:styleId="CitationCar">
    <w:name w:val="Citation Car"/>
    <w:basedOn w:val="Policepardfaut"/>
    <w:link w:val="Citation"/>
    <w:uiPriority w:val="29"/>
    <w:rsid w:val="008361A7"/>
    <w:rPr>
      <w:rFonts w:cstheme="majorBidi"/>
      <w:i/>
      <w:sz w:val="24"/>
      <w:szCs w:val="24"/>
    </w:rPr>
  </w:style>
  <w:style w:type="paragraph" w:styleId="Citationintense">
    <w:name w:val="Intense Quote"/>
    <w:basedOn w:val="Normal"/>
    <w:next w:val="Normal"/>
    <w:link w:val="CitationintenseCar"/>
    <w:uiPriority w:val="30"/>
    <w:qFormat/>
    <w:rsid w:val="008361A7"/>
    <w:pPr>
      <w:ind w:left="720" w:right="720"/>
    </w:pPr>
    <w:rPr>
      <w:rFonts w:cstheme="majorBidi"/>
      <w:b/>
      <w:i/>
      <w:szCs w:val="22"/>
    </w:rPr>
  </w:style>
  <w:style w:type="character" w:customStyle="1" w:styleId="CitationintenseCar">
    <w:name w:val="Citation intense Car"/>
    <w:basedOn w:val="Policepardfaut"/>
    <w:link w:val="Citationintense"/>
    <w:uiPriority w:val="30"/>
    <w:rsid w:val="008361A7"/>
    <w:rPr>
      <w:rFonts w:cstheme="majorBidi"/>
      <w:b/>
      <w:i/>
      <w:sz w:val="24"/>
    </w:rPr>
  </w:style>
  <w:style w:type="character" w:customStyle="1" w:styleId="CommentTok">
    <w:name w:val="CommentTok"/>
    <w:basedOn w:val="Policepardfaut"/>
    <w:rsid w:val="00C82803"/>
    <w:rPr>
      <w:rFonts w:ascii="Consolas" w:hAnsi="Consolas"/>
      <w:b/>
      <w:bCs/>
      <w:i w:val="0"/>
      <w:color w:val="8F5902"/>
      <w:sz w:val="22"/>
      <w:szCs w:val="18"/>
      <w:shd w:val="clear" w:color="auto" w:fill="F8F8F8"/>
    </w:rPr>
  </w:style>
  <w:style w:type="paragraph" w:customStyle="1" w:styleId="Compact">
    <w:name w:val="Compact"/>
    <w:basedOn w:val="Normal"/>
    <w:autoRedefine/>
    <w:rsid w:val="0050388B"/>
    <w:pPr>
      <w:spacing w:before="36" w:after="36"/>
      <w:jc w:val="center"/>
    </w:pPr>
    <w:rPr>
      <w:sz w:val="20"/>
    </w:rPr>
  </w:style>
  <w:style w:type="paragraph" w:styleId="Corpsdetexte">
    <w:name w:val="Body Text"/>
    <w:basedOn w:val="Normal"/>
    <w:link w:val="CorpsdetexteCar"/>
    <w:rsid w:val="00C82803"/>
    <w:pPr>
      <w:spacing w:after="120"/>
    </w:pPr>
  </w:style>
  <w:style w:type="character" w:customStyle="1" w:styleId="CorpsdetexteCar">
    <w:name w:val="Corps de texte Car"/>
    <w:basedOn w:val="Policepardfaut"/>
    <w:link w:val="Corpsdetexte"/>
    <w:rsid w:val="00C82803"/>
    <w:rPr>
      <w:rFonts w:eastAsiaTheme="minorEastAsia"/>
    </w:rPr>
  </w:style>
  <w:style w:type="character" w:customStyle="1" w:styleId="DataTypeTok">
    <w:name w:val="DataTypeTok"/>
    <w:basedOn w:val="Policepardfaut"/>
    <w:rsid w:val="00C82803"/>
    <w:rPr>
      <w:rFonts w:ascii="Consolas" w:hAnsi="Consolas"/>
      <w:b/>
      <w:bCs/>
      <w:i/>
      <w:color w:val="204A87"/>
      <w:sz w:val="22"/>
      <w:szCs w:val="18"/>
      <w:shd w:val="clear" w:color="auto" w:fill="F8F8F8"/>
    </w:rPr>
  </w:style>
  <w:style w:type="paragraph" w:styleId="Date">
    <w:name w:val="Date"/>
    <w:next w:val="Normal"/>
    <w:link w:val="DateCar"/>
    <w:rsid w:val="00C82803"/>
    <w:pPr>
      <w:keepNext/>
      <w:keepLines/>
      <w:spacing w:after="200" w:line="276" w:lineRule="auto"/>
      <w:jc w:val="center"/>
    </w:pPr>
  </w:style>
  <w:style w:type="character" w:customStyle="1" w:styleId="DateCar">
    <w:name w:val="Date Car"/>
    <w:basedOn w:val="Policepardfaut"/>
    <w:link w:val="Date"/>
    <w:rsid w:val="00C82803"/>
    <w:rPr>
      <w:rFonts w:eastAsiaTheme="minorEastAsia"/>
    </w:rPr>
  </w:style>
  <w:style w:type="character" w:customStyle="1" w:styleId="DecValTok">
    <w:name w:val="DecValTok"/>
    <w:basedOn w:val="Policepardfaut"/>
    <w:rsid w:val="00C82803"/>
    <w:rPr>
      <w:rFonts w:ascii="Consolas" w:hAnsi="Consolas"/>
      <w:b/>
      <w:bCs/>
      <w:i/>
      <w:color w:val="0000CF"/>
      <w:sz w:val="22"/>
      <w:szCs w:val="18"/>
      <w:shd w:val="clear" w:color="auto" w:fill="F8F8F8"/>
    </w:rPr>
  </w:style>
  <w:style w:type="paragraph" w:customStyle="1" w:styleId="Definition">
    <w:name w:val="Definition"/>
    <w:basedOn w:val="Normal"/>
    <w:rsid w:val="00C82803"/>
  </w:style>
  <w:style w:type="paragraph" w:customStyle="1" w:styleId="DefinitionTerm">
    <w:name w:val="Definition Term"/>
    <w:basedOn w:val="Normal"/>
    <w:next w:val="Definition"/>
    <w:rsid w:val="00C82803"/>
    <w:pPr>
      <w:keepNext/>
      <w:keepLines/>
    </w:pPr>
    <w:rPr>
      <w:b/>
    </w:rPr>
  </w:style>
  <w:style w:type="character" w:styleId="lev">
    <w:name w:val="Strong"/>
    <w:basedOn w:val="Policepardfaut"/>
    <w:uiPriority w:val="22"/>
    <w:qFormat/>
    <w:rsid w:val="008361A7"/>
    <w:rPr>
      <w:b/>
      <w:bCs/>
    </w:rPr>
  </w:style>
  <w:style w:type="character" w:styleId="Emphaseintense">
    <w:name w:val="Intense Emphasis"/>
    <w:basedOn w:val="Policepardfaut"/>
    <w:uiPriority w:val="21"/>
    <w:qFormat/>
    <w:rsid w:val="008361A7"/>
    <w:rPr>
      <w:b/>
      <w:i/>
      <w:sz w:val="24"/>
      <w:szCs w:val="24"/>
      <w:u w:val="single"/>
    </w:rPr>
  </w:style>
  <w:style w:type="character" w:styleId="Emphaseple">
    <w:name w:val="Subtle Emphasis"/>
    <w:uiPriority w:val="19"/>
    <w:qFormat/>
    <w:rsid w:val="008361A7"/>
    <w:rPr>
      <w:i/>
      <w:color w:val="5A5A5A" w:themeColor="text1" w:themeTint="A5"/>
    </w:rPr>
  </w:style>
  <w:style w:type="character" w:customStyle="1" w:styleId="Titre1Car">
    <w:name w:val="Titre 1 Car"/>
    <w:basedOn w:val="Policepardfaut"/>
    <w:link w:val="Titre1"/>
    <w:uiPriority w:val="9"/>
    <w:rsid w:val="008361A7"/>
    <w:rPr>
      <w:rFonts w:asciiTheme="majorHAnsi" w:eastAsiaTheme="majorEastAsia" w:hAnsiTheme="majorHAnsi" w:cstheme="majorBidi"/>
      <w:b/>
      <w:bCs/>
      <w:kern w:val="32"/>
      <w:sz w:val="32"/>
      <w:szCs w:val="32"/>
    </w:rPr>
  </w:style>
  <w:style w:type="paragraph" w:styleId="En-ttedetabledesmatires">
    <w:name w:val="TOC Heading"/>
    <w:basedOn w:val="Titre1"/>
    <w:next w:val="Normal"/>
    <w:uiPriority w:val="39"/>
    <w:semiHidden/>
    <w:unhideWhenUsed/>
    <w:qFormat/>
    <w:rsid w:val="008361A7"/>
    <w:pPr>
      <w:outlineLvl w:val="9"/>
    </w:pPr>
  </w:style>
  <w:style w:type="character" w:customStyle="1" w:styleId="ErrorTok">
    <w:name w:val="ErrorTok"/>
    <w:basedOn w:val="Policepardfaut"/>
    <w:rsid w:val="00C82803"/>
    <w:rPr>
      <w:rFonts w:ascii="Consolas" w:hAnsi="Consolas"/>
      <w:b w:val="0"/>
      <w:bCs/>
      <w:i/>
      <w:color w:val="5B9BD5" w:themeColor="accent1"/>
      <w:sz w:val="22"/>
      <w:szCs w:val="18"/>
      <w:shd w:val="clear" w:color="auto" w:fill="F8F8F8"/>
    </w:rPr>
  </w:style>
  <w:style w:type="character" w:customStyle="1" w:styleId="FloatTok">
    <w:name w:val="FloatTok"/>
    <w:basedOn w:val="Policepardfaut"/>
    <w:rsid w:val="00C82803"/>
    <w:rPr>
      <w:rFonts w:ascii="Consolas" w:hAnsi="Consolas"/>
      <w:b/>
      <w:bCs/>
      <w:i/>
      <w:color w:val="0000CF"/>
      <w:sz w:val="22"/>
      <w:szCs w:val="18"/>
      <w:shd w:val="clear" w:color="auto" w:fill="F8F8F8"/>
    </w:rPr>
  </w:style>
  <w:style w:type="character" w:customStyle="1" w:styleId="FootnoteRef">
    <w:name w:val="Footnote Ref"/>
    <w:basedOn w:val="Policepardfaut"/>
    <w:rsid w:val="00C82803"/>
    <w:rPr>
      <w:b/>
      <w:bCs/>
      <w:i/>
      <w:color w:val="5B9BD5" w:themeColor="accent1"/>
      <w:sz w:val="18"/>
      <w:szCs w:val="18"/>
      <w:vertAlign w:val="superscript"/>
    </w:rPr>
  </w:style>
  <w:style w:type="character" w:customStyle="1" w:styleId="FunctionTok">
    <w:name w:val="FunctionTok"/>
    <w:basedOn w:val="Policepardfaut"/>
    <w:rsid w:val="00C82803"/>
    <w:rPr>
      <w:rFonts w:ascii="Consolas" w:hAnsi="Consolas"/>
      <w:b/>
      <w:bCs/>
      <w:i/>
      <w:color w:val="000000"/>
      <w:sz w:val="22"/>
      <w:szCs w:val="18"/>
      <w:shd w:val="clear" w:color="auto" w:fill="F8F8F8"/>
    </w:rPr>
  </w:style>
  <w:style w:type="paragraph" w:styleId="Lgende">
    <w:name w:val="caption"/>
    <w:basedOn w:val="Normal"/>
    <w:next w:val="Normal"/>
    <w:uiPriority w:val="35"/>
    <w:unhideWhenUsed/>
    <w:qFormat/>
    <w:rsid w:val="008361A7"/>
    <w:rPr>
      <w:b/>
      <w:bCs/>
      <w:sz w:val="18"/>
      <w:szCs w:val="18"/>
    </w:rPr>
  </w:style>
  <w:style w:type="paragraph" w:customStyle="1" w:styleId="ImageCaption">
    <w:name w:val="Image Caption"/>
    <w:basedOn w:val="Lgende"/>
    <w:link w:val="ImageCaptionCar"/>
    <w:rsid w:val="00064B4C"/>
    <w:pPr>
      <w:spacing w:after="120"/>
    </w:pPr>
    <w:rPr>
      <w:sz w:val="24"/>
    </w:rPr>
  </w:style>
  <w:style w:type="character" w:customStyle="1" w:styleId="ImageCaptionCar">
    <w:name w:val="Image Caption Car"/>
    <w:basedOn w:val="Policepardfaut"/>
    <w:link w:val="ImageCaption"/>
    <w:rsid w:val="00064B4C"/>
    <w:rPr>
      <w:b/>
      <w:bCs/>
      <w:sz w:val="24"/>
      <w:szCs w:val="18"/>
      <w:lang w:val="en-GB"/>
    </w:rPr>
  </w:style>
  <w:style w:type="character" w:customStyle="1" w:styleId="KeywordTok">
    <w:name w:val="KeywordTok"/>
    <w:basedOn w:val="Policepardfaut"/>
    <w:rsid w:val="00C82803"/>
    <w:rPr>
      <w:rFonts w:ascii="Consolas" w:hAnsi="Consolas"/>
      <w:b w:val="0"/>
      <w:bCs/>
      <w:i/>
      <w:color w:val="204A87"/>
      <w:sz w:val="22"/>
      <w:szCs w:val="18"/>
      <w:shd w:val="clear" w:color="auto" w:fill="F8F8F8"/>
    </w:rPr>
  </w:style>
  <w:style w:type="character" w:customStyle="1" w:styleId="Link">
    <w:name w:val="Link"/>
    <w:basedOn w:val="ImageCaptionCar"/>
    <w:rsid w:val="00C82803"/>
    <w:rPr>
      <w:rFonts w:eastAsiaTheme="minorEastAsia"/>
      <w:b/>
      <w:bCs/>
      <w:i w:val="0"/>
      <w:color w:val="5B9BD5" w:themeColor="accent1"/>
      <w:sz w:val="18"/>
      <w:szCs w:val="18"/>
      <w:lang w:val="en-GB"/>
    </w:rPr>
  </w:style>
  <w:style w:type="character" w:customStyle="1" w:styleId="NormalTok">
    <w:name w:val="NormalTok"/>
    <w:basedOn w:val="Policepardfaut"/>
    <w:rsid w:val="00C82803"/>
    <w:rPr>
      <w:rFonts w:ascii="Consolas" w:hAnsi="Consolas"/>
      <w:b/>
      <w:bCs/>
      <w:i/>
      <w:color w:val="5B9BD5" w:themeColor="accent1"/>
      <w:sz w:val="22"/>
      <w:szCs w:val="18"/>
      <w:shd w:val="clear" w:color="auto" w:fill="F8F8F8"/>
    </w:rPr>
  </w:style>
  <w:style w:type="paragraph" w:styleId="Notedebasdepage">
    <w:name w:val="footnote text"/>
    <w:basedOn w:val="Normal"/>
    <w:link w:val="NotedebasdepageCar"/>
    <w:uiPriority w:val="9"/>
    <w:unhideWhenUsed/>
    <w:rsid w:val="00C82803"/>
  </w:style>
  <w:style w:type="character" w:customStyle="1" w:styleId="NotedebasdepageCar">
    <w:name w:val="Note de bas de page Car"/>
    <w:basedOn w:val="Policepardfaut"/>
    <w:link w:val="Notedebasdepage"/>
    <w:uiPriority w:val="9"/>
    <w:rsid w:val="00C82803"/>
    <w:rPr>
      <w:rFonts w:eastAsiaTheme="minorEastAsia"/>
    </w:rPr>
  </w:style>
  <w:style w:type="character" w:customStyle="1" w:styleId="OtherTok">
    <w:name w:val="OtherTok"/>
    <w:basedOn w:val="Policepardfaut"/>
    <w:rsid w:val="00C82803"/>
    <w:rPr>
      <w:rFonts w:ascii="Consolas" w:hAnsi="Consolas"/>
      <w:b/>
      <w:bCs/>
      <w:i/>
      <w:color w:val="8F5902"/>
      <w:sz w:val="22"/>
      <w:szCs w:val="18"/>
      <w:shd w:val="clear" w:color="auto" w:fill="F8F8F8"/>
    </w:rPr>
  </w:style>
  <w:style w:type="character" w:styleId="Rfrenceintense">
    <w:name w:val="Intense Reference"/>
    <w:basedOn w:val="Policepardfaut"/>
    <w:uiPriority w:val="32"/>
    <w:qFormat/>
    <w:rsid w:val="008361A7"/>
    <w:rPr>
      <w:b/>
      <w:sz w:val="24"/>
      <w:u w:val="single"/>
    </w:rPr>
  </w:style>
  <w:style w:type="character" w:styleId="Rfrenceple">
    <w:name w:val="Subtle Reference"/>
    <w:basedOn w:val="Policepardfaut"/>
    <w:uiPriority w:val="31"/>
    <w:qFormat/>
    <w:rsid w:val="008361A7"/>
    <w:rPr>
      <w:sz w:val="24"/>
      <w:szCs w:val="24"/>
      <w:u w:val="single"/>
    </w:rPr>
  </w:style>
  <w:style w:type="character" w:customStyle="1" w:styleId="RegionMarkerTok">
    <w:name w:val="RegionMarkerTok"/>
    <w:basedOn w:val="Policepardfaut"/>
    <w:rsid w:val="00C82803"/>
    <w:rPr>
      <w:rFonts w:ascii="Consolas" w:hAnsi="Consolas"/>
      <w:b/>
      <w:bCs/>
      <w:i/>
      <w:color w:val="5B9BD5" w:themeColor="accent1"/>
      <w:sz w:val="22"/>
      <w:szCs w:val="18"/>
      <w:shd w:val="clear" w:color="auto" w:fill="F8F8F8"/>
    </w:rPr>
  </w:style>
  <w:style w:type="paragraph" w:styleId="Sansinterligne">
    <w:name w:val="No Spacing"/>
    <w:basedOn w:val="Normal"/>
    <w:uiPriority w:val="1"/>
    <w:qFormat/>
    <w:rsid w:val="008361A7"/>
    <w:rPr>
      <w:szCs w:val="32"/>
    </w:rPr>
  </w:style>
  <w:style w:type="paragraph" w:customStyle="1" w:styleId="SourceCode">
    <w:name w:val="Source Code"/>
    <w:basedOn w:val="Normal"/>
    <w:link w:val="VerbatimChar"/>
    <w:rsid w:val="00C82803"/>
    <w:pPr>
      <w:shd w:val="clear" w:color="auto" w:fill="F8F8F8"/>
      <w:wordWrap w:val="0"/>
    </w:pPr>
    <w:rPr>
      <w:color w:val="5B9BD5" w:themeColor="accent1"/>
      <w:sz w:val="18"/>
      <w:szCs w:val="18"/>
    </w:rPr>
  </w:style>
  <w:style w:type="character" w:customStyle="1" w:styleId="VerbatimChar">
    <w:name w:val="Verbatim Char"/>
    <w:basedOn w:val="ImageCaptionCar"/>
    <w:link w:val="SourceCode"/>
    <w:rsid w:val="00C82803"/>
    <w:rPr>
      <w:rFonts w:eastAsiaTheme="minorEastAsia"/>
      <w:b w:val="0"/>
      <w:bCs w:val="0"/>
      <w:i/>
      <w:color w:val="5B9BD5" w:themeColor="accent1"/>
      <w:sz w:val="18"/>
      <w:szCs w:val="18"/>
      <w:shd w:val="clear" w:color="auto" w:fill="F8F8F8"/>
      <w:lang w:val="en-GB"/>
    </w:rPr>
  </w:style>
  <w:style w:type="character" w:customStyle="1" w:styleId="StringTok">
    <w:name w:val="StringTok"/>
    <w:basedOn w:val="VerbatimChar"/>
    <w:rsid w:val="00C82803"/>
    <w:rPr>
      <w:rFonts w:ascii="Consolas" w:eastAsiaTheme="minorEastAsia" w:hAnsi="Consolas"/>
      <w:b/>
      <w:bCs/>
      <w:i w:val="0"/>
      <w:color w:val="4E9A06"/>
      <w:sz w:val="22"/>
      <w:szCs w:val="18"/>
      <w:shd w:val="clear" w:color="auto" w:fill="F8F8F8"/>
      <w:lang w:val="en-GB"/>
    </w:rPr>
  </w:style>
  <w:style w:type="paragraph" w:customStyle="1" w:styleId="TableCaption">
    <w:name w:val="Table Caption"/>
    <w:basedOn w:val="Lgende"/>
    <w:autoRedefine/>
    <w:rsid w:val="00064B4C"/>
    <w:pPr>
      <w:spacing w:after="120"/>
    </w:pPr>
    <w:rPr>
      <w:sz w:val="24"/>
    </w:rPr>
  </w:style>
  <w:style w:type="paragraph" w:styleId="Titre">
    <w:name w:val="Title"/>
    <w:basedOn w:val="Normal"/>
    <w:next w:val="Normal"/>
    <w:link w:val="TitreCar"/>
    <w:uiPriority w:val="10"/>
    <w:qFormat/>
    <w:rsid w:val="008361A7"/>
    <w:pPr>
      <w:spacing w:before="240" w:after="60"/>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8361A7"/>
    <w:rPr>
      <w:rFonts w:asciiTheme="majorHAnsi" w:eastAsiaTheme="majorEastAsia" w:hAnsiTheme="majorHAnsi" w:cstheme="majorBidi"/>
      <w:b/>
      <w:bCs/>
      <w:kern w:val="28"/>
      <w:sz w:val="32"/>
      <w:szCs w:val="32"/>
    </w:rPr>
  </w:style>
  <w:style w:type="character" w:customStyle="1" w:styleId="Titre2Car">
    <w:name w:val="Titre 2 Car"/>
    <w:basedOn w:val="Policepardfaut"/>
    <w:link w:val="Titre2"/>
    <w:uiPriority w:val="9"/>
    <w:rsid w:val="008361A7"/>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rsid w:val="008361A7"/>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rsid w:val="008361A7"/>
    <w:rPr>
      <w:rFonts w:cstheme="majorBidi"/>
      <w:b/>
      <w:bCs/>
      <w:sz w:val="28"/>
      <w:szCs w:val="28"/>
    </w:rPr>
  </w:style>
  <w:style w:type="character" w:customStyle="1" w:styleId="Titre5Car">
    <w:name w:val="Titre 5 Car"/>
    <w:basedOn w:val="Policepardfaut"/>
    <w:link w:val="Titre5"/>
    <w:uiPriority w:val="9"/>
    <w:rsid w:val="008361A7"/>
    <w:rPr>
      <w:rFonts w:cstheme="majorBidi"/>
      <w:b/>
      <w:bCs/>
      <w:i/>
      <w:iCs/>
      <w:sz w:val="26"/>
      <w:szCs w:val="26"/>
    </w:rPr>
  </w:style>
  <w:style w:type="character" w:customStyle="1" w:styleId="Titre6Car">
    <w:name w:val="Titre 6 Car"/>
    <w:basedOn w:val="Policepardfaut"/>
    <w:link w:val="Titre6"/>
    <w:uiPriority w:val="9"/>
    <w:rsid w:val="008361A7"/>
    <w:rPr>
      <w:rFonts w:cstheme="majorBidi"/>
      <w:b/>
      <w:bCs/>
    </w:rPr>
  </w:style>
  <w:style w:type="character" w:customStyle="1" w:styleId="Titre7Car">
    <w:name w:val="Titre 7 Car"/>
    <w:basedOn w:val="Policepardfaut"/>
    <w:link w:val="Titre7"/>
    <w:uiPriority w:val="9"/>
    <w:rsid w:val="008361A7"/>
    <w:rPr>
      <w:sz w:val="24"/>
      <w:szCs w:val="24"/>
    </w:rPr>
  </w:style>
  <w:style w:type="character" w:customStyle="1" w:styleId="Titre8Car">
    <w:name w:val="Titre 8 Car"/>
    <w:basedOn w:val="Policepardfaut"/>
    <w:link w:val="Titre8"/>
    <w:uiPriority w:val="9"/>
    <w:rsid w:val="008361A7"/>
    <w:rPr>
      <w:i/>
      <w:iCs/>
      <w:sz w:val="24"/>
      <w:szCs w:val="24"/>
    </w:rPr>
  </w:style>
  <w:style w:type="character" w:customStyle="1" w:styleId="Titre9Car">
    <w:name w:val="Titre 9 Car"/>
    <w:basedOn w:val="Policepardfaut"/>
    <w:link w:val="Titre9"/>
    <w:uiPriority w:val="9"/>
    <w:rsid w:val="008361A7"/>
    <w:rPr>
      <w:rFonts w:asciiTheme="majorHAnsi" w:eastAsiaTheme="majorEastAsia" w:hAnsiTheme="majorHAnsi"/>
    </w:rPr>
  </w:style>
  <w:style w:type="character" w:styleId="Titredulivre">
    <w:name w:val="Book Title"/>
    <w:basedOn w:val="Policepardfaut"/>
    <w:uiPriority w:val="33"/>
    <w:qFormat/>
    <w:rsid w:val="008361A7"/>
    <w:rPr>
      <w:rFonts w:asciiTheme="majorHAnsi" w:eastAsiaTheme="majorEastAsia" w:hAnsiTheme="majorHAnsi"/>
      <w:b/>
      <w:i/>
      <w:sz w:val="24"/>
      <w:szCs w:val="24"/>
    </w:rPr>
  </w:style>
  <w:style w:type="character" w:styleId="Lienhypertexte">
    <w:name w:val="Hyperlink"/>
    <w:basedOn w:val="Policepardfaut"/>
    <w:uiPriority w:val="99"/>
    <w:unhideWhenUsed/>
    <w:rsid w:val="00582C35"/>
    <w:rPr>
      <w:color w:val="0563C1" w:themeColor="hyperlink"/>
      <w:u w:val="single"/>
    </w:rPr>
  </w:style>
  <w:style w:type="paragraph" w:styleId="Paragraphedeliste">
    <w:name w:val="List Paragraph"/>
    <w:basedOn w:val="Normal"/>
    <w:uiPriority w:val="34"/>
    <w:qFormat/>
    <w:rsid w:val="008361A7"/>
    <w:pPr>
      <w:ind w:left="720"/>
      <w:contextualSpacing/>
    </w:pPr>
  </w:style>
  <w:style w:type="paragraph" w:styleId="En-tte">
    <w:name w:val="header"/>
    <w:basedOn w:val="Normal"/>
    <w:link w:val="En-tteCar"/>
    <w:uiPriority w:val="99"/>
    <w:unhideWhenUsed/>
    <w:rsid w:val="00055B18"/>
    <w:pPr>
      <w:tabs>
        <w:tab w:val="center" w:pos="4536"/>
        <w:tab w:val="right" w:pos="9072"/>
      </w:tabs>
    </w:pPr>
  </w:style>
  <w:style w:type="character" w:customStyle="1" w:styleId="En-tteCar">
    <w:name w:val="En-tête Car"/>
    <w:basedOn w:val="Policepardfaut"/>
    <w:link w:val="En-tte"/>
    <w:uiPriority w:val="99"/>
    <w:rsid w:val="00055B18"/>
    <w:rPr>
      <w:sz w:val="24"/>
      <w:szCs w:val="24"/>
    </w:rPr>
  </w:style>
  <w:style w:type="paragraph" w:styleId="Pieddepage">
    <w:name w:val="footer"/>
    <w:basedOn w:val="Normal"/>
    <w:link w:val="PieddepageCar"/>
    <w:uiPriority w:val="99"/>
    <w:unhideWhenUsed/>
    <w:rsid w:val="00055B18"/>
    <w:pPr>
      <w:tabs>
        <w:tab w:val="center" w:pos="4536"/>
        <w:tab w:val="right" w:pos="9072"/>
      </w:tabs>
    </w:pPr>
  </w:style>
  <w:style w:type="character" w:customStyle="1" w:styleId="PieddepageCar">
    <w:name w:val="Pied de page Car"/>
    <w:basedOn w:val="Policepardfaut"/>
    <w:link w:val="Pieddepage"/>
    <w:uiPriority w:val="99"/>
    <w:rsid w:val="00055B18"/>
    <w:rPr>
      <w:sz w:val="24"/>
      <w:szCs w:val="24"/>
    </w:rPr>
  </w:style>
  <w:style w:type="paragraph" w:styleId="Bibliographie">
    <w:name w:val="Bibliography"/>
    <w:basedOn w:val="Normal"/>
    <w:next w:val="Normal"/>
    <w:uiPriority w:val="37"/>
    <w:unhideWhenUsed/>
    <w:rsid w:val="00063A4D"/>
    <w:pPr>
      <w:ind w:left="720" w:hanging="720"/>
    </w:pPr>
  </w:style>
  <w:style w:type="paragraph" w:customStyle="1" w:styleId="instructions">
    <w:name w:val="instructions"/>
    <w:basedOn w:val="Normal"/>
    <w:link w:val="instructionsCar"/>
    <w:qFormat/>
    <w:rsid w:val="006D2CFD"/>
    <w:pPr>
      <w:spacing w:before="120"/>
    </w:pPr>
    <w:rPr>
      <w:rFonts w:ascii="Times New Roman" w:eastAsia="Times New Roman" w:hAnsi="Times New Roman"/>
      <w:i/>
      <w:spacing w:val="-4"/>
      <w:sz w:val="22"/>
      <w:szCs w:val="22"/>
      <w:lang w:val="fr-FR" w:eastAsia="fr-FR"/>
    </w:rPr>
  </w:style>
  <w:style w:type="character" w:customStyle="1" w:styleId="instructionsCar">
    <w:name w:val="instructions Car"/>
    <w:link w:val="instructions"/>
    <w:rsid w:val="006D2CFD"/>
    <w:rPr>
      <w:rFonts w:ascii="Times New Roman" w:eastAsia="Times New Roman" w:hAnsi="Times New Roman"/>
      <w:i/>
      <w:spacing w:val="-4"/>
      <w:lang w:val="fr-FR" w:eastAsia="fr-FR"/>
    </w:rPr>
  </w:style>
  <w:style w:type="character" w:styleId="Textedelespacerserv">
    <w:name w:val="Placeholder Text"/>
    <w:basedOn w:val="Policepardfaut"/>
    <w:uiPriority w:val="99"/>
    <w:semiHidden/>
    <w:rsid w:val="002E335A"/>
    <w:rPr>
      <w:color w:val="808080"/>
    </w:rPr>
  </w:style>
  <w:style w:type="numbering" w:customStyle="1" w:styleId="Equation">
    <w:name w:val="Equation"/>
    <w:uiPriority w:val="99"/>
    <w:rsid w:val="004C6E7D"/>
    <w:pPr>
      <w:numPr>
        <w:numId w:val="3"/>
      </w:numPr>
    </w:pPr>
  </w:style>
  <w:style w:type="table" w:styleId="Tableausimple2">
    <w:name w:val="Plain Table 2"/>
    <w:basedOn w:val="TableauNormal"/>
    <w:uiPriority w:val="42"/>
    <w:rsid w:val="00E901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BF66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BF66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ecommentaire">
    <w:name w:val="annotation reference"/>
    <w:basedOn w:val="Policepardfaut"/>
    <w:uiPriority w:val="99"/>
    <w:semiHidden/>
    <w:unhideWhenUsed/>
    <w:rsid w:val="00887BB4"/>
    <w:rPr>
      <w:sz w:val="16"/>
      <w:szCs w:val="16"/>
    </w:rPr>
  </w:style>
  <w:style w:type="paragraph" w:styleId="Commentaire">
    <w:name w:val="annotation text"/>
    <w:basedOn w:val="Normal"/>
    <w:link w:val="CommentaireCar"/>
    <w:uiPriority w:val="99"/>
    <w:unhideWhenUsed/>
    <w:rsid w:val="00887BB4"/>
    <w:rPr>
      <w:sz w:val="20"/>
      <w:szCs w:val="20"/>
    </w:rPr>
  </w:style>
  <w:style w:type="character" w:customStyle="1" w:styleId="CommentaireCar">
    <w:name w:val="Commentaire Car"/>
    <w:basedOn w:val="Policepardfaut"/>
    <w:link w:val="Commentaire"/>
    <w:uiPriority w:val="99"/>
    <w:rsid w:val="00887BB4"/>
    <w:rPr>
      <w:sz w:val="20"/>
      <w:szCs w:val="20"/>
      <w:lang w:val="en-GB"/>
    </w:rPr>
  </w:style>
  <w:style w:type="paragraph" w:styleId="Objetducommentaire">
    <w:name w:val="annotation subject"/>
    <w:basedOn w:val="Commentaire"/>
    <w:next w:val="Commentaire"/>
    <w:link w:val="ObjetducommentaireCar"/>
    <w:uiPriority w:val="99"/>
    <w:semiHidden/>
    <w:unhideWhenUsed/>
    <w:rsid w:val="00887BB4"/>
    <w:rPr>
      <w:b/>
      <w:bCs/>
    </w:rPr>
  </w:style>
  <w:style w:type="character" w:customStyle="1" w:styleId="ObjetducommentaireCar">
    <w:name w:val="Objet du commentaire Car"/>
    <w:basedOn w:val="CommentaireCar"/>
    <w:link w:val="Objetducommentaire"/>
    <w:uiPriority w:val="99"/>
    <w:semiHidden/>
    <w:rsid w:val="00887BB4"/>
    <w:rPr>
      <w:b/>
      <w:bCs/>
      <w:sz w:val="20"/>
      <w:szCs w:val="20"/>
      <w:lang w:val="en-GB"/>
    </w:rPr>
  </w:style>
  <w:style w:type="paragraph" w:styleId="Textedebulles">
    <w:name w:val="Balloon Text"/>
    <w:basedOn w:val="Normal"/>
    <w:link w:val="TextedebullesCar"/>
    <w:uiPriority w:val="99"/>
    <w:semiHidden/>
    <w:unhideWhenUsed/>
    <w:rsid w:val="00887BB4"/>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BB4"/>
    <w:rPr>
      <w:rFonts w:ascii="Segoe UI" w:hAnsi="Segoe UI" w:cs="Segoe UI"/>
      <w:sz w:val="18"/>
      <w:szCs w:val="18"/>
      <w:lang w:val="en-GB"/>
    </w:rPr>
  </w:style>
  <w:style w:type="paragraph" w:styleId="Rvision">
    <w:name w:val="Revision"/>
    <w:hidden/>
    <w:uiPriority w:val="99"/>
    <w:semiHidden/>
    <w:rsid w:val="007608C0"/>
    <w:rPr>
      <w:sz w:val="24"/>
      <w:szCs w:val="24"/>
      <w:lang w:val="en-GB"/>
    </w:rPr>
  </w:style>
  <w:style w:type="character" w:styleId="Numrodeligne">
    <w:name w:val="line number"/>
    <w:basedOn w:val="Policepardfaut"/>
    <w:uiPriority w:val="99"/>
    <w:semiHidden/>
    <w:unhideWhenUsed/>
    <w:rsid w:val="002A6840"/>
  </w:style>
  <w:style w:type="character" w:customStyle="1" w:styleId="ConstantTok">
    <w:name w:val="ConstantTok"/>
    <w:basedOn w:val="VerbatimChar"/>
    <w:rPr>
      <w:rFonts w:eastAsiaTheme="minorEastAsia"/>
      <w:b w:val="0"/>
      <w:bCs w:val="0"/>
      <w:i/>
      <w:color w:val="000000"/>
      <w:sz w:val="18"/>
      <w:szCs w:val="18"/>
      <w:shd w:val="clear" w:color="auto" w:fill="F8F8F8"/>
      <w:lang w:val="en-GB"/>
    </w:rPr>
  </w:style>
  <w:style w:type="character" w:customStyle="1" w:styleId="SpecialCharTok">
    <w:name w:val="SpecialCharTok"/>
    <w:basedOn w:val="VerbatimChar"/>
    <w:rPr>
      <w:rFonts w:eastAsiaTheme="minorEastAsia"/>
      <w:b w:val="0"/>
      <w:bCs w:val="0"/>
      <w:i/>
      <w:color w:val="000000"/>
      <w:sz w:val="18"/>
      <w:szCs w:val="18"/>
      <w:shd w:val="clear" w:color="auto" w:fill="F8F8F8"/>
      <w:lang w:val="en-GB"/>
    </w:rPr>
  </w:style>
  <w:style w:type="character" w:customStyle="1" w:styleId="VerbatimStringTok">
    <w:name w:val="VerbatimStringTok"/>
    <w:basedOn w:val="VerbatimChar"/>
    <w:rPr>
      <w:rFonts w:eastAsiaTheme="minorEastAsia"/>
      <w:b w:val="0"/>
      <w:bCs w:val="0"/>
      <w:i/>
      <w:color w:val="4E9A06"/>
      <w:sz w:val="18"/>
      <w:szCs w:val="18"/>
      <w:shd w:val="clear" w:color="auto" w:fill="F8F8F8"/>
      <w:lang w:val="en-GB"/>
    </w:rPr>
  </w:style>
  <w:style w:type="character" w:customStyle="1" w:styleId="SpecialStringTok">
    <w:name w:val="SpecialStringTok"/>
    <w:basedOn w:val="VerbatimChar"/>
    <w:rPr>
      <w:rFonts w:eastAsiaTheme="minorEastAsia"/>
      <w:b w:val="0"/>
      <w:bCs w:val="0"/>
      <w:i/>
      <w:color w:val="4E9A06"/>
      <w:sz w:val="18"/>
      <w:szCs w:val="18"/>
      <w:shd w:val="clear" w:color="auto" w:fill="F8F8F8"/>
      <w:lang w:val="en-GB"/>
    </w:rPr>
  </w:style>
  <w:style w:type="character" w:customStyle="1" w:styleId="ImportTok">
    <w:name w:val="ImportTok"/>
    <w:basedOn w:val="VerbatimChar"/>
    <w:rPr>
      <w:rFonts w:eastAsiaTheme="minorEastAsia"/>
      <w:b w:val="0"/>
      <w:bCs w:val="0"/>
      <w:i/>
      <w:color w:val="5B9BD5" w:themeColor="accent1"/>
      <w:sz w:val="18"/>
      <w:szCs w:val="18"/>
      <w:shd w:val="clear" w:color="auto" w:fill="F8F8F8"/>
      <w:lang w:val="en-GB"/>
    </w:rPr>
  </w:style>
  <w:style w:type="character" w:customStyle="1" w:styleId="DocumentationTok">
    <w:name w:val="DocumentationTok"/>
    <w:basedOn w:val="VerbatimChar"/>
    <w:rPr>
      <w:rFonts w:eastAsiaTheme="minorEastAsia"/>
      <w:b/>
      <w:bCs w:val="0"/>
      <w:i w:val="0"/>
      <w:color w:val="8F5902"/>
      <w:sz w:val="18"/>
      <w:szCs w:val="18"/>
      <w:shd w:val="clear" w:color="auto" w:fill="F8F8F8"/>
      <w:lang w:val="en-GB"/>
    </w:rPr>
  </w:style>
  <w:style w:type="character" w:customStyle="1" w:styleId="AnnotationTok">
    <w:name w:val="AnnotationTok"/>
    <w:basedOn w:val="VerbatimChar"/>
    <w:rPr>
      <w:rFonts w:eastAsiaTheme="minorEastAsia"/>
      <w:b/>
      <w:bCs w:val="0"/>
      <w:i w:val="0"/>
      <w:color w:val="8F5902"/>
      <w:sz w:val="18"/>
      <w:szCs w:val="18"/>
      <w:shd w:val="clear" w:color="auto" w:fill="F8F8F8"/>
      <w:lang w:val="en-GB"/>
    </w:rPr>
  </w:style>
  <w:style w:type="character" w:customStyle="1" w:styleId="CommentVarTok">
    <w:name w:val="CommentVarTok"/>
    <w:basedOn w:val="VerbatimChar"/>
    <w:rPr>
      <w:rFonts w:eastAsiaTheme="minorEastAsia"/>
      <w:b/>
      <w:bCs w:val="0"/>
      <w:i w:val="0"/>
      <w:color w:val="8F5902"/>
      <w:sz w:val="18"/>
      <w:szCs w:val="18"/>
      <w:shd w:val="clear" w:color="auto" w:fill="F8F8F8"/>
      <w:lang w:val="en-GB"/>
    </w:rPr>
  </w:style>
  <w:style w:type="character" w:customStyle="1" w:styleId="VariableTok">
    <w:name w:val="VariableTok"/>
    <w:basedOn w:val="VerbatimChar"/>
    <w:rPr>
      <w:rFonts w:eastAsiaTheme="minorEastAsia"/>
      <w:b w:val="0"/>
      <w:bCs w:val="0"/>
      <w:i/>
      <w:color w:val="000000"/>
      <w:sz w:val="18"/>
      <w:szCs w:val="18"/>
      <w:shd w:val="clear" w:color="auto" w:fill="F8F8F8"/>
      <w:lang w:val="en-GB"/>
    </w:rPr>
  </w:style>
  <w:style w:type="character" w:customStyle="1" w:styleId="ControlFlowTok">
    <w:name w:val="ControlFlowTok"/>
    <w:basedOn w:val="VerbatimChar"/>
    <w:rPr>
      <w:rFonts w:eastAsiaTheme="minorEastAsia"/>
      <w:b/>
      <w:bCs w:val="0"/>
      <w:i/>
      <w:color w:val="204A87"/>
      <w:sz w:val="18"/>
      <w:szCs w:val="18"/>
      <w:shd w:val="clear" w:color="auto" w:fill="F8F8F8"/>
      <w:lang w:val="en-GB"/>
    </w:rPr>
  </w:style>
  <w:style w:type="character" w:customStyle="1" w:styleId="OperatorTok">
    <w:name w:val="OperatorTok"/>
    <w:basedOn w:val="VerbatimChar"/>
    <w:rPr>
      <w:rFonts w:eastAsiaTheme="minorEastAsia"/>
      <w:b/>
      <w:bCs w:val="0"/>
      <w:i/>
      <w:color w:val="CE5C00"/>
      <w:sz w:val="18"/>
      <w:szCs w:val="18"/>
      <w:shd w:val="clear" w:color="auto" w:fill="F8F8F8"/>
      <w:lang w:val="en-GB"/>
    </w:rPr>
  </w:style>
  <w:style w:type="character" w:customStyle="1" w:styleId="BuiltInTok">
    <w:name w:val="BuiltInTok"/>
    <w:basedOn w:val="VerbatimChar"/>
    <w:rPr>
      <w:rFonts w:eastAsiaTheme="minorEastAsia"/>
      <w:b w:val="0"/>
      <w:bCs w:val="0"/>
      <w:i/>
      <w:color w:val="5B9BD5" w:themeColor="accent1"/>
      <w:sz w:val="18"/>
      <w:szCs w:val="18"/>
      <w:shd w:val="clear" w:color="auto" w:fill="F8F8F8"/>
      <w:lang w:val="en-GB"/>
    </w:rPr>
  </w:style>
  <w:style w:type="character" w:customStyle="1" w:styleId="ExtensionTok">
    <w:name w:val="ExtensionTok"/>
    <w:basedOn w:val="VerbatimChar"/>
    <w:rPr>
      <w:rFonts w:eastAsiaTheme="minorEastAsia"/>
      <w:b w:val="0"/>
      <w:bCs w:val="0"/>
      <w:i/>
      <w:color w:val="5B9BD5" w:themeColor="accent1"/>
      <w:sz w:val="18"/>
      <w:szCs w:val="18"/>
      <w:shd w:val="clear" w:color="auto" w:fill="F8F8F8"/>
      <w:lang w:val="en-GB"/>
    </w:rPr>
  </w:style>
  <w:style w:type="character" w:customStyle="1" w:styleId="PreprocessorTok">
    <w:name w:val="PreprocessorTok"/>
    <w:basedOn w:val="VerbatimChar"/>
    <w:rPr>
      <w:rFonts w:eastAsiaTheme="minorEastAsia"/>
      <w:b w:val="0"/>
      <w:bCs w:val="0"/>
      <w:i w:val="0"/>
      <w:color w:val="8F5902"/>
      <w:sz w:val="18"/>
      <w:szCs w:val="18"/>
      <w:shd w:val="clear" w:color="auto" w:fill="F8F8F8"/>
      <w:lang w:val="en-GB"/>
    </w:rPr>
  </w:style>
  <w:style w:type="character" w:customStyle="1" w:styleId="AttributeTok">
    <w:name w:val="AttributeTok"/>
    <w:basedOn w:val="VerbatimChar"/>
    <w:rPr>
      <w:rFonts w:eastAsiaTheme="minorEastAsia"/>
      <w:b w:val="0"/>
      <w:bCs w:val="0"/>
      <w:i/>
      <w:color w:val="C4A000"/>
      <w:sz w:val="18"/>
      <w:szCs w:val="18"/>
      <w:shd w:val="clear" w:color="auto" w:fill="F8F8F8"/>
      <w:lang w:val="en-GB"/>
    </w:rPr>
  </w:style>
  <w:style w:type="character" w:customStyle="1" w:styleId="InformationTok">
    <w:name w:val="InformationTok"/>
    <w:basedOn w:val="VerbatimChar"/>
    <w:rPr>
      <w:rFonts w:eastAsiaTheme="minorEastAsia"/>
      <w:b/>
      <w:bCs w:val="0"/>
      <w:i w:val="0"/>
      <w:color w:val="8F5902"/>
      <w:sz w:val="18"/>
      <w:szCs w:val="18"/>
      <w:shd w:val="clear" w:color="auto" w:fill="F8F8F8"/>
      <w:lang w:val="en-GB"/>
    </w:rPr>
  </w:style>
  <w:style w:type="character" w:customStyle="1" w:styleId="WarningTok">
    <w:name w:val="WarningTok"/>
    <w:basedOn w:val="VerbatimChar"/>
    <w:rPr>
      <w:rFonts w:eastAsiaTheme="minorEastAsia"/>
      <w:b/>
      <w:bCs w:val="0"/>
      <w:i w:val="0"/>
      <w:color w:val="8F5902"/>
      <w:sz w:val="18"/>
      <w:szCs w:val="18"/>
      <w:shd w:val="clear" w:color="auto" w:fill="F8F8F8"/>
      <w:lang w:val="en-GB"/>
    </w:rPr>
  </w:style>
  <w:style w:type="character" w:styleId="Mentionnonrsolue">
    <w:name w:val="Unresolved Mention"/>
    <w:basedOn w:val="Policepardfaut"/>
    <w:uiPriority w:val="99"/>
    <w:semiHidden/>
    <w:unhideWhenUsed/>
    <w:rsid w:val="009F0E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16013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nl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ocheleau@maelstrom-research.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RAN.R-project.org/package=survival" TargetMode="External"/><Relationship Id="rId4" Type="http://schemas.openxmlformats.org/officeDocument/2006/relationships/webSettings" Target="webSettings.xml"/><Relationship Id="rId9" Type="http://schemas.openxmlformats.org/officeDocument/2006/relationships/hyperlink" Target="https://CRAN.R-project.org/package=J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5906</Words>
  <Characters>32488</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Single Nucleotide Polymorphisms Associated with Fasting Blood Glucose Trajectory and Type 2 Diabetes Incidence: A Joint Modelling Approach</vt:lpstr>
    </vt:vector>
  </TitlesOfParts>
  <Company/>
  <LinksUpToDate>false</LinksUpToDate>
  <CharactersWithSpaces>38318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Nucleotide Polymorphisms Associated with Fasting Blood Glucose Trajectory and Type 2 Diabetes Incidence: A Joint Modelling Approach</dc:title>
  <dc:creator>Mickaël Canouil1,2,3, Beverley Balkau5, Ronan Roussel6,7,8, Philippe Froguel1,2,3,4 and Ghislain Rocheleau1,2,3</dc:creator>
  <cp:lastModifiedBy>Mickaël Canouil</cp:lastModifiedBy>
  <cp:revision>8</cp:revision>
  <dcterms:created xsi:type="dcterms:W3CDTF">2017-07-19T14:41:00Z</dcterms:created>
  <dcterms:modified xsi:type="dcterms:W3CDTF">2017-07-19T15:10:00Z</dcterms:modified>
</cp:coreProperties>
</file>