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5D" w:rsidRPr="00BB305D" w:rsidRDefault="00BB305D" w:rsidP="00BB305D">
      <w:pPr>
        <w:autoSpaceDE w:val="0"/>
        <w:autoSpaceDN w:val="0"/>
        <w:adjustRightInd w:val="0"/>
        <w:spacing w:after="0" w:line="240" w:lineRule="auto"/>
        <w:rPr>
          <w:rFonts w:eastAsiaTheme="minorHAnsi" w:cs="SFRM1000"/>
          <w:sz w:val="28"/>
        </w:rPr>
      </w:pPr>
      <w:r>
        <w:rPr>
          <w:rFonts w:eastAsiaTheme="minorHAnsi" w:cs="SFRM1000"/>
          <w:sz w:val="28"/>
        </w:rPr>
        <w:t>Single Nucleotide Polymorphism</w:t>
      </w:r>
      <w:r w:rsidR="004E688E">
        <w:rPr>
          <w:rFonts w:eastAsiaTheme="minorHAnsi" w:cs="SFRM1000"/>
          <w:sz w:val="28"/>
        </w:rPr>
        <w:t>s</w:t>
      </w:r>
      <w:r>
        <w:rPr>
          <w:rFonts w:eastAsiaTheme="minorHAnsi" w:cs="SFRM1000"/>
          <w:sz w:val="28"/>
        </w:rPr>
        <w:t xml:space="preserve"> </w:t>
      </w:r>
      <w:r w:rsidR="004E688E">
        <w:rPr>
          <w:rFonts w:eastAsiaTheme="minorHAnsi" w:cs="SFRM1000"/>
          <w:sz w:val="28"/>
        </w:rPr>
        <w:t>A</w:t>
      </w:r>
      <w:r>
        <w:rPr>
          <w:rFonts w:eastAsiaTheme="minorHAnsi" w:cs="SFRM1000"/>
          <w:sz w:val="28"/>
        </w:rPr>
        <w:t xml:space="preserve">ssociated </w:t>
      </w:r>
      <w:r w:rsidR="004E688E">
        <w:rPr>
          <w:rFonts w:eastAsiaTheme="minorHAnsi" w:cs="SFRM1000"/>
          <w:sz w:val="28"/>
        </w:rPr>
        <w:t xml:space="preserve">With </w:t>
      </w:r>
      <w:r w:rsidR="004E688E" w:rsidRPr="00BB305D">
        <w:rPr>
          <w:rFonts w:eastAsiaTheme="minorHAnsi" w:cs="SFRM1000"/>
          <w:sz w:val="28"/>
        </w:rPr>
        <w:t xml:space="preserve">Fasting Blood Glucose Trajectory </w:t>
      </w:r>
      <w:proofErr w:type="gramStart"/>
      <w:r w:rsidR="004E688E" w:rsidRPr="00BB305D">
        <w:rPr>
          <w:rFonts w:eastAsiaTheme="minorHAnsi" w:cs="SFRM1000"/>
          <w:sz w:val="28"/>
        </w:rPr>
        <w:t>And</w:t>
      </w:r>
      <w:proofErr w:type="gramEnd"/>
      <w:r w:rsidR="004E688E" w:rsidRPr="00BB305D">
        <w:rPr>
          <w:rFonts w:eastAsiaTheme="minorHAnsi" w:cs="SFRM1000"/>
          <w:sz w:val="28"/>
        </w:rPr>
        <w:t xml:space="preserve"> </w:t>
      </w:r>
      <w:r w:rsidRPr="00BB305D">
        <w:rPr>
          <w:rFonts w:eastAsiaTheme="minorHAnsi" w:cs="SFRM1000"/>
          <w:sz w:val="28"/>
        </w:rPr>
        <w:t xml:space="preserve">Type </w:t>
      </w:r>
      <w:r w:rsidR="004E688E" w:rsidRPr="00BB305D">
        <w:rPr>
          <w:rFonts w:eastAsiaTheme="minorHAnsi" w:cs="SFRM1000"/>
          <w:sz w:val="28"/>
        </w:rPr>
        <w:t xml:space="preserve">2 </w:t>
      </w:r>
      <w:r w:rsidRPr="00BB305D">
        <w:rPr>
          <w:rFonts w:eastAsiaTheme="minorHAnsi" w:cs="SFRM1000"/>
          <w:sz w:val="28"/>
        </w:rPr>
        <w:t xml:space="preserve">Diabetes </w:t>
      </w:r>
      <w:r w:rsidR="004E688E" w:rsidRPr="00BB305D">
        <w:rPr>
          <w:rFonts w:eastAsiaTheme="minorHAnsi" w:cs="SFRM1000"/>
          <w:sz w:val="28"/>
        </w:rPr>
        <w:t>Inciden</w:t>
      </w:r>
      <w:r w:rsidR="004E688E">
        <w:rPr>
          <w:rFonts w:eastAsiaTheme="minorHAnsi" w:cs="SFRM1000"/>
          <w:sz w:val="28"/>
        </w:rPr>
        <w:t xml:space="preserve">ce: </w:t>
      </w:r>
      <w:r w:rsidRPr="00BB305D">
        <w:rPr>
          <w:rFonts w:eastAsiaTheme="minorHAnsi" w:cs="SFRM1000"/>
          <w:sz w:val="28"/>
        </w:rPr>
        <w:t>A Joint Modelling</w:t>
      </w:r>
      <w:r>
        <w:rPr>
          <w:rFonts w:eastAsiaTheme="minorHAnsi" w:cs="SFRM1000"/>
          <w:sz w:val="28"/>
        </w:rPr>
        <w:t xml:space="preserve"> Approach</w:t>
      </w:r>
    </w:p>
    <w:p w:rsidR="00BB305D" w:rsidRDefault="00BB305D" w:rsidP="00BB305D">
      <w:pPr>
        <w:autoSpaceDE w:val="0"/>
        <w:autoSpaceDN w:val="0"/>
        <w:adjustRightInd w:val="0"/>
        <w:spacing w:after="0" w:line="240" w:lineRule="auto"/>
        <w:rPr>
          <w:rFonts w:eastAsiaTheme="minorHAnsi" w:cs="SFRM1000"/>
        </w:rPr>
      </w:pPr>
    </w:p>
    <w:p w:rsidR="00BB305D" w:rsidRPr="00B92CCA" w:rsidRDefault="00BB305D" w:rsidP="00BB305D">
      <w:pPr>
        <w:autoSpaceDE w:val="0"/>
        <w:autoSpaceDN w:val="0"/>
        <w:adjustRightInd w:val="0"/>
        <w:spacing w:after="0" w:line="240" w:lineRule="auto"/>
        <w:rPr>
          <w:rFonts w:eastAsiaTheme="minorHAnsi" w:cs="CMR7"/>
          <w:lang w:val="fr-FR"/>
        </w:rPr>
      </w:pPr>
      <w:r w:rsidRPr="00B92CCA">
        <w:rPr>
          <w:rFonts w:eastAsiaTheme="minorHAnsi" w:cs="SFRM1000"/>
          <w:lang w:val="fr-FR"/>
        </w:rPr>
        <w:t>Mickaël Canouil</w:t>
      </w:r>
      <w:r w:rsidRPr="00B92CCA">
        <w:rPr>
          <w:rFonts w:eastAsiaTheme="minorHAnsi" w:cs="CMR7"/>
          <w:lang w:val="fr-FR"/>
        </w:rPr>
        <w:t>1</w:t>
      </w:r>
      <w:r w:rsidRPr="00B92CCA">
        <w:rPr>
          <w:rFonts w:eastAsiaTheme="minorHAnsi" w:cs="SFRM1000"/>
          <w:lang w:val="fr-FR"/>
        </w:rPr>
        <w:t>, Philippe Froguel</w:t>
      </w:r>
      <w:r w:rsidRPr="00B92CCA">
        <w:rPr>
          <w:rFonts w:eastAsiaTheme="minorHAnsi" w:cs="CMR7"/>
          <w:lang w:val="fr-FR"/>
        </w:rPr>
        <w:t>1</w:t>
      </w:r>
      <w:r w:rsidR="00F17A99">
        <w:rPr>
          <w:rFonts w:eastAsiaTheme="minorHAnsi" w:cs="CMMI7"/>
          <w:lang w:val="fr-FR"/>
        </w:rPr>
        <w:t>;</w:t>
      </w:r>
      <w:r w:rsidRPr="00B92CCA">
        <w:rPr>
          <w:rFonts w:eastAsiaTheme="minorHAnsi" w:cs="CMR7"/>
          <w:lang w:val="fr-FR"/>
        </w:rPr>
        <w:t>2</w:t>
      </w:r>
      <w:r w:rsidR="00F17A99">
        <w:rPr>
          <w:rFonts w:eastAsiaTheme="minorHAnsi" w:cs="CMR7"/>
          <w:lang w:val="fr-FR"/>
        </w:rPr>
        <w:t>,</w:t>
      </w:r>
      <w:r w:rsidR="00B92CCA" w:rsidRPr="00B92CCA">
        <w:rPr>
          <w:rFonts w:eastAsiaTheme="minorHAnsi" w:cs="SFRM1000"/>
          <w:lang w:val="fr-FR"/>
        </w:rPr>
        <w:t xml:space="preserve"> Ghislain Rocheleau</w:t>
      </w:r>
      <w:r w:rsidR="00B92CCA" w:rsidRPr="00B92CCA">
        <w:rPr>
          <w:rFonts w:eastAsiaTheme="minorHAnsi" w:cs="CMR7"/>
          <w:lang w:val="fr-FR"/>
        </w:rPr>
        <w:t>1</w:t>
      </w:r>
    </w:p>
    <w:p w:rsidR="00BB305D" w:rsidRPr="00B92CCA" w:rsidRDefault="00A475A5" w:rsidP="00BB305D">
      <w:pPr>
        <w:autoSpaceDE w:val="0"/>
        <w:autoSpaceDN w:val="0"/>
        <w:adjustRightInd w:val="0"/>
        <w:spacing w:after="0" w:line="240" w:lineRule="auto"/>
        <w:rPr>
          <w:rFonts w:eastAsiaTheme="minorHAnsi" w:cs="SFRM1000"/>
          <w:lang w:val="fr-FR"/>
        </w:rPr>
      </w:pPr>
      <w:r w:rsidRPr="00A475A5">
        <w:rPr>
          <w:rFonts w:eastAsiaTheme="minorHAnsi" w:cs="CMR7"/>
          <w:lang w:val="fr-FR"/>
        </w:rPr>
        <w:t>1</w:t>
      </w:r>
      <w:r w:rsidRPr="00A475A5">
        <w:rPr>
          <w:rFonts w:eastAsiaTheme="minorHAnsi" w:cs="SFRM1000"/>
          <w:lang w:val="fr-FR"/>
        </w:rPr>
        <w:t>Univ. Lille, CNRS, CHU Lille, Institut Pasteur de Lille, UMR 8199 - EGID, F-59000 Lille, France</w:t>
      </w:r>
    </w:p>
    <w:p w:rsidR="00BB305D" w:rsidRPr="00BB305D" w:rsidRDefault="00BB305D" w:rsidP="00BB305D">
      <w:pPr>
        <w:jc w:val="both"/>
      </w:pPr>
      <w:r w:rsidRPr="00BB305D">
        <w:rPr>
          <w:rFonts w:eastAsiaTheme="minorHAnsi" w:cs="CMR7"/>
        </w:rPr>
        <w:t>2</w:t>
      </w:r>
      <w:r w:rsidRPr="00BB305D">
        <w:rPr>
          <w:rFonts w:eastAsiaTheme="minorHAnsi" w:cs="SFRM1000"/>
        </w:rPr>
        <w:t>Department of Genomics of Common Disease, Imperial College London, London, United Kingdom</w:t>
      </w:r>
    </w:p>
    <w:p w:rsidR="00045CCD" w:rsidRDefault="002A3252" w:rsidP="00BB305D">
      <w:pPr>
        <w:jc w:val="both"/>
      </w:pPr>
      <w:r>
        <w:t xml:space="preserve">In observational cohorts, </w:t>
      </w:r>
      <w:r w:rsidRPr="002A3252">
        <w:t xml:space="preserve">longitudinal data </w:t>
      </w:r>
      <w:r>
        <w:t xml:space="preserve">are collected </w:t>
      </w:r>
      <w:r w:rsidRPr="002A3252">
        <w:t>with repeated measurements at predetermined time points</w:t>
      </w:r>
      <w:r w:rsidR="00EC09F7">
        <w:t xml:space="preserve"> for many biomarkers</w:t>
      </w:r>
      <w:r w:rsidRPr="002A3252">
        <w:t>, along with other covariates measured at baseline.</w:t>
      </w:r>
      <w:r>
        <w:t xml:space="preserve"> </w:t>
      </w:r>
      <w:r w:rsidR="00EC09F7">
        <w:t xml:space="preserve">In these cohorts, </w:t>
      </w:r>
      <w:r w:rsidR="003E6D1B">
        <w:t xml:space="preserve">time until a certain event </w:t>
      </w:r>
      <w:r w:rsidR="005330D9">
        <w:t xml:space="preserve">of interest </w:t>
      </w:r>
      <w:r w:rsidR="003E6D1B">
        <w:t>occurs is</w:t>
      </w:r>
      <w:r w:rsidR="005330D9">
        <w:t xml:space="preserve"> </w:t>
      </w:r>
      <w:r w:rsidR="003E6D1B">
        <w:t>common</w:t>
      </w:r>
      <w:r w:rsidR="00A04FB8">
        <w:t>ly report</w:t>
      </w:r>
      <w:r w:rsidR="005330D9">
        <w:t>ed</w:t>
      </w:r>
      <w:r w:rsidR="003E6D1B">
        <w:t xml:space="preserve"> and very often, a relationship </w:t>
      </w:r>
      <w:r w:rsidR="007525B5">
        <w:t>will be observed</w:t>
      </w:r>
      <w:r w:rsidR="003E6D1B">
        <w:t xml:space="preserve"> between</w:t>
      </w:r>
      <w:r w:rsidR="005330D9">
        <w:t xml:space="preserve"> a</w:t>
      </w:r>
      <w:r w:rsidR="003E6D1B">
        <w:t xml:space="preserve"> </w:t>
      </w:r>
      <w:r w:rsidR="005330D9">
        <w:t>biomarker</w:t>
      </w:r>
      <w:r w:rsidR="003E6D1B">
        <w:t xml:space="preserve"> repeated</w:t>
      </w:r>
      <w:r w:rsidR="005330D9">
        <w:t>ly</w:t>
      </w:r>
      <w:r w:rsidR="003E6D1B">
        <w:t xml:space="preserve"> measure</w:t>
      </w:r>
      <w:r w:rsidR="005330D9">
        <w:t>d over time</w:t>
      </w:r>
      <w:r w:rsidR="003E6D1B">
        <w:t xml:space="preserve"> and th</w:t>
      </w:r>
      <w:r w:rsidR="005330D9">
        <w:t>at</w:t>
      </w:r>
      <w:r w:rsidR="003E6D1B">
        <w:t xml:space="preserve"> event.</w:t>
      </w:r>
      <w:r w:rsidR="00A2524D">
        <w:t xml:space="preserve"> </w:t>
      </w:r>
      <w:r w:rsidR="003E6D1B">
        <w:t xml:space="preserve">Joint models </w:t>
      </w:r>
      <w:r w:rsidR="007525B5">
        <w:t>we</w:t>
      </w:r>
      <w:r w:rsidR="005330D9">
        <w:t>re</w:t>
      </w:r>
      <w:r w:rsidR="003E6D1B">
        <w:t xml:space="preserve"> designed to efficiently estimate </w:t>
      </w:r>
      <w:r w:rsidR="007525B5">
        <w:t xml:space="preserve">statistical </w:t>
      </w:r>
      <w:r w:rsidR="003E6D1B">
        <w:t xml:space="preserve">parameters involved </w:t>
      </w:r>
      <w:r w:rsidR="00BA20AF">
        <w:t xml:space="preserve">in these two types of data by </w:t>
      </w:r>
      <w:r w:rsidR="00045CCD" w:rsidRPr="00045CCD">
        <w:t>combin</w:t>
      </w:r>
      <w:r w:rsidR="00BA20AF">
        <w:t>ing</w:t>
      </w:r>
      <w:r w:rsidR="00045CCD" w:rsidRPr="00045CCD">
        <w:t xml:space="preserve"> </w:t>
      </w:r>
      <w:r w:rsidR="00BA20AF">
        <w:t xml:space="preserve">a </w:t>
      </w:r>
      <w:r w:rsidR="00045CCD" w:rsidRPr="00045CCD">
        <w:t xml:space="preserve">mixed model for </w:t>
      </w:r>
      <w:r w:rsidR="00BA20AF">
        <w:t xml:space="preserve">the </w:t>
      </w:r>
      <w:r w:rsidR="00045CCD" w:rsidRPr="00045CCD">
        <w:t xml:space="preserve">longitudinal biomarker trajectory and </w:t>
      </w:r>
      <w:r w:rsidR="00BA20AF">
        <w:t>a survival</w:t>
      </w:r>
      <w:r w:rsidR="00045CCD" w:rsidRPr="00045CCD">
        <w:t xml:space="preserve"> model</w:t>
      </w:r>
      <w:r w:rsidR="00BA20AF">
        <w:t xml:space="preserve"> for the event risk</w:t>
      </w:r>
      <w:r w:rsidR="00045CCD" w:rsidRPr="00045CCD">
        <w:t xml:space="preserve">. Two main approaches have been proposed to account for the link between the two </w:t>
      </w:r>
      <w:r w:rsidR="00BA20AF">
        <w:t>models</w:t>
      </w:r>
      <w:r w:rsidR="00045CCD" w:rsidRPr="00045CCD">
        <w:t xml:space="preserve"> </w:t>
      </w:r>
      <w:r w:rsidR="004532A6">
        <w:t>i</w:t>
      </w:r>
      <w:bookmarkStart w:id="0" w:name="_GoBack"/>
      <w:bookmarkEnd w:id="0"/>
      <w:r w:rsidR="00045CCD" w:rsidRPr="00045CCD">
        <w:t xml:space="preserve">n the shared random effect approach, a function of the random effects (typically the expected current value of the biomarker) is introduced as </w:t>
      </w:r>
      <w:r w:rsidR="00363D55">
        <w:t xml:space="preserve">an </w:t>
      </w:r>
      <w:r w:rsidR="00045CCD" w:rsidRPr="00045CCD">
        <w:t xml:space="preserve">explanatory variable in the </w:t>
      </w:r>
      <w:r w:rsidR="00BA20AF">
        <w:t>survival</w:t>
      </w:r>
      <w:r w:rsidR="00045CCD" w:rsidRPr="00045CCD">
        <w:t xml:space="preserve"> model.</w:t>
      </w:r>
      <w:r w:rsidR="00045CCD">
        <w:t xml:space="preserve"> </w:t>
      </w:r>
      <w:r w:rsidR="00045CCD" w:rsidRPr="00045CCD">
        <w:t>In the latent class approach, the population is assumed to be divided in several latent classes with class-specific trajectories for the biomarker associated with class-specific risk function for the event</w:t>
      </w:r>
      <w:r w:rsidR="00045CCD">
        <w:t>.</w:t>
      </w:r>
      <w:r>
        <w:t xml:space="preserve"> </w:t>
      </w:r>
    </w:p>
    <w:p w:rsidR="002A3252" w:rsidRDefault="00045CCD" w:rsidP="00BB305D">
      <w:pPr>
        <w:jc w:val="both"/>
      </w:pPr>
      <w:r>
        <w:t>U</w:t>
      </w:r>
      <w:r w:rsidRPr="00045CCD">
        <w:t>sing genotypes assayed with the Metabochip DNA arrays (Illumina) from 4,500 subjects recruited in the French cohort D.E.S.I.R. (</w:t>
      </w:r>
      <w:proofErr w:type="spellStart"/>
      <w:r w:rsidRPr="00045CCD">
        <w:t>Données</w:t>
      </w:r>
      <w:proofErr w:type="spellEnd"/>
      <w:r w:rsidRPr="00045CCD">
        <w:t xml:space="preserve"> </w:t>
      </w:r>
      <w:proofErr w:type="spellStart"/>
      <w:r w:rsidRPr="00045CCD">
        <w:t>Épidémiologiques</w:t>
      </w:r>
      <w:proofErr w:type="spellEnd"/>
      <w:r w:rsidRPr="00045CCD">
        <w:t xml:space="preserve"> sur le Syndrome </w:t>
      </w:r>
      <w:proofErr w:type="spellStart"/>
      <w:r w:rsidRPr="00045CCD">
        <w:t>d’Insulino</w:t>
      </w:r>
      <w:proofErr w:type="spellEnd"/>
      <w:r w:rsidRPr="00045CCD">
        <w:t>-Résistance)</w:t>
      </w:r>
      <w:r w:rsidR="002A3252">
        <w:t xml:space="preserve">, </w:t>
      </w:r>
      <w:r w:rsidR="007525B5">
        <w:t>w</w:t>
      </w:r>
      <w:r w:rsidR="003E6D1B">
        <w:t>e analysed a set of SNPs</w:t>
      </w:r>
      <w:r w:rsidR="007525B5">
        <w:t>, selected from published genome-wide association studies,</w:t>
      </w:r>
      <w:r w:rsidR="003E6D1B">
        <w:t xml:space="preserve"> </w:t>
      </w:r>
      <w:r w:rsidR="007525B5">
        <w:t xml:space="preserve">known to be </w:t>
      </w:r>
      <w:r w:rsidR="003E6D1B">
        <w:t>associated with fasting blood glucose (FPG) and/or type 2 diabetes (T2D)</w:t>
      </w:r>
      <w:r w:rsidR="007525B5">
        <w:t>.</w:t>
      </w:r>
      <w:r w:rsidR="003E6D1B">
        <w:t xml:space="preserve"> </w:t>
      </w:r>
      <w:r w:rsidR="00EC09F7">
        <w:t>In our study, we focused i</w:t>
      </w:r>
      <w:r w:rsidR="00EC09F7" w:rsidRPr="00045CCD">
        <w:t>n the shared random effect approach</w:t>
      </w:r>
      <w:r w:rsidR="00EC09F7">
        <w:t xml:space="preserve">, where the event of interest is T2D and the </w:t>
      </w:r>
      <w:r w:rsidR="00363D55">
        <w:t xml:space="preserve">longitudinal </w:t>
      </w:r>
      <w:r w:rsidR="00EC09F7">
        <w:t>biomarker is FPG.</w:t>
      </w:r>
      <w:r w:rsidR="00A2524D">
        <w:t xml:space="preserve"> </w:t>
      </w:r>
      <w:r w:rsidR="00520693">
        <w:t>As e</w:t>
      </w:r>
      <w:r w:rsidR="007525B5">
        <w:t>xpected</w:t>
      </w:r>
      <w:r w:rsidR="00520693">
        <w:t>,</w:t>
      </w:r>
      <w:r w:rsidR="007525B5">
        <w:t xml:space="preserve"> o</w:t>
      </w:r>
      <w:r w:rsidR="003E6D1B">
        <w:t xml:space="preserve">ur </w:t>
      </w:r>
      <w:r w:rsidR="00520693">
        <w:t xml:space="preserve">analysis </w:t>
      </w:r>
      <w:r w:rsidR="003E6D1B">
        <w:t>confirm</w:t>
      </w:r>
      <w:r w:rsidR="00520693">
        <w:t>s</w:t>
      </w:r>
      <w:r w:rsidR="003E6D1B">
        <w:t xml:space="preserve"> a robust association between FPG and incident T2D</w:t>
      </w:r>
      <w:r w:rsidR="005330D9">
        <w:t>. E</w:t>
      </w:r>
      <w:r w:rsidR="003E6D1B">
        <w:t xml:space="preserve">ffect sizes </w:t>
      </w:r>
      <w:r w:rsidR="009E775D">
        <w:t xml:space="preserve">for these SNPs </w:t>
      </w:r>
      <w:r w:rsidR="005330D9">
        <w:t xml:space="preserve">are </w:t>
      </w:r>
      <w:r w:rsidR="003E6D1B">
        <w:t>consistent with those reported in the literatur</w:t>
      </w:r>
      <w:r w:rsidR="005330D9">
        <w:t>e</w:t>
      </w:r>
      <w:r w:rsidR="003E6D1B">
        <w:t>.</w:t>
      </w:r>
      <w:r w:rsidR="00083544">
        <w:t xml:space="preserve"> </w:t>
      </w:r>
      <w:r w:rsidR="00520693">
        <w:t xml:space="preserve">Our results suggest that </w:t>
      </w:r>
      <w:r w:rsidR="003E6D1B">
        <w:t>SNP</w:t>
      </w:r>
      <w:r w:rsidR="00520693" w:rsidRPr="00520693">
        <w:t xml:space="preserve"> rs7903146</w:t>
      </w:r>
      <w:r w:rsidR="009E775D">
        <w:t xml:space="preserve"> </w:t>
      </w:r>
      <w:r w:rsidR="003E6D1B">
        <w:t xml:space="preserve">in TCF7L2 </w:t>
      </w:r>
      <w:r w:rsidR="00083544">
        <w:t>gene</w:t>
      </w:r>
      <w:r w:rsidR="003E6D1B">
        <w:t xml:space="preserve"> </w:t>
      </w:r>
      <w:r w:rsidR="00520693">
        <w:t>is associated with an</w:t>
      </w:r>
      <w:r w:rsidR="003E6D1B">
        <w:t xml:space="preserve"> increa</w:t>
      </w:r>
      <w:r w:rsidR="009E775D">
        <w:t>sed</w:t>
      </w:r>
      <w:r w:rsidR="003E6D1B">
        <w:t xml:space="preserve"> risk </w:t>
      </w:r>
      <w:r w:rsidR="009E775D">
        <w:t xml:space="preserve">of incident T2D </w:t>
      </w:r>
      <w:r w:rsidR="003E6D1B">
        <w:t xml:space="preserve">and </w:t>
      </w:r>
      <w:r w:rsidR="009E775D">
        <w:t xml:space="preserve">an </w:t>
      </w:r>
      <w:r w:rsidR="003E6D1B">
        <w:t>elevat</w:t>
      </w:r>
      <w:r w:rsidR="009E775D">
        <w:t>ed</w:t>
      </w:r>
      <w:r w:rsidR="003E6D1B">
        <w:t xml:space="preserve"> FPG </w:t>
      </w:r>
      <w:r w:rsidR="009E775D">
        <w:t xml:space="preserve">level </w:t>
      </w:r>
      <w:r w:rsidR="003E6D1B">
        <w:t>over time</w:t>
      </w:r>
      <w:r w:rsidR="00520693">
        <w:t xml:space="preserve">. </w:t>
      </w:r>
      <w:r w:rsidR="002A3252">
        <w:br/>
        <w:t xml:space="preserve">SNP </w:t>
      </w:r>
      <w:r w:rsidR="002A3252" w:rsidRPr="002A3252">
        <w:t>rs560887</w:t>
      </w:r>
      <w:r w:rsidR="002A3252">
        <w:t xml:space="preserve"> in G6PC2 (known to be associated with FPG) show</w:t>
      </w:r>
      <w:r w:rsidR="00363D55">
        <w:t>s</w:t>
      </w:r>
      <w:r w:rsidR="002A3252">
        <w:t xml:space="preserve"> </w:t>
      </w:r>
      <w:r w:rsidR="00363D55">
        <w:t xml:space="preserve">a </w:t>
      </w:r>
      <w:r w:rsidR="002A3252">
        <w:t xml:space="preserve">statistically significant effect on the FPG trajectory and an unexpected protective effect on incident T2D, which </w:t>
      </w:r>
      <w:r w:rsidR="00363D55">
        <w:t>could</w:t>
      </w:r>
      <w:r w:rsidR="002A3252">
        <w:t xml:space="preserve"> be</w:t>
      </w:r>
      <w:r w:rsidR="00363D55">
        <w:t xml:space="preserve"> attributed</w:t>
      </w:r>
      <w:r w:rsidR="002A3252">
        <w:t xml:space="preserve"> to </w:t>
      </w:r>
      <w:r w:rsidR="00363D55">
        <w:t>the</w:t>
      </w:r>
      <w:r w:rsidR="002A3252">
        <w:t xml:space="preserve"> limited number of incident T2D cases</w:t>
      </w:r>
      <w:r w:rsidR="00363D55">
        <w:t xml:space="preserve"> in our cohort</w:t>
      </w:r>
      <w:r w:rsidR="002A3252">
        <w:t>.</w:t>
      </w:r>
    </w:p>
    <w:p w:rsidR="00040468" w:rsidRPr="003E6D1B" w:rsidRDefault="00520693" w:rsidP="00BB305D">
      <w:pPr>
        <w:jc w:val="both"/>
      </w:pPr>
      <w:r>
        <w:t>These findings need to be replicated</w:t>
      </w:r>
      <w:r w:rsidR="002A3252">
        <w:t xml:space="preserve"> </w:t>
      </w:r>
      <w:r w:rsidR="00363D55">
        <w:t xml:space="preserve">in other cohorts </w:t>
      </w:r>
      <w:r w:rsidR="002A3252">
        <w:t xml:space="preserve">and further investigation </w:t>
      </w:r>
      <w:r w:rsidR="00363D55">
        <w:t xml:space="preserve">of these effects remains </w:t>
      </w:r>
      <w:r w:rsidR="002A3252">
        <w:t>to be done</w:t>
      </w:r>
      <w:r w:rsidR="003E6D1B">
        <w:t>.</w:t>
      </w:r>
      <w:r w:rsidR="009E775D">
        <w:t xml:space="preserve"> To the best of our knowledge, joint models have never been applied into a genetic epidemiology context</w:t>
      </w:r>
      <w:r w:rsidR="00EC09F7">
        <w:t xml:space="preserve"> and </w:t>
      </w:r>
      <w:r w:rsidR="00BB767B">
        <w:t>could</w:t>
      </w:r>
      <w:r w:rsidR="00EC09F7">
        <w:t xml:space="preserve"> </w:t>
      </w:r>
      <w:r w:rsidR="00BB767B">
        <w:t>help identify</w:t>
      </w:r>
      <w:r w:rsidR="00EC09F7">
        <w:t xml:space="preserve"> novel loci </w:t>
      </w:r>
      <w:r w:rsidR="00BB767B">
        <w:t>sharing effects on both glycaemic traits and T2D.</w:t>
      </w:r>
    </w:p>
    <w:sectPr w:rsidR="00040468" w:rsidRPr="003E6D1B" w:rsidSect="00D21B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6730C"/>
    <w:multiLevelType w:val="hybridMultilevel"/>
    <w:tmpl w:val="C15A3718"/>
    <w:lvl w:ilvl="0" w:tplc="9F7CF528">
      <w:start w:val="1"/>
      <w:numFmt w:val="decimal"/>
      <w:pStyle w:val="ImageCaption"/>
      <w:suff w:val="space"/>
      <w:lvlText w:val="Figur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3156"/>
    <w:multiLevelType w:val="hybridMultilevel"/>
    <w:tmpl w:val="53FC4F4A"/>
    <w:lvl w:ilvl="0" w:tplc="C778D2AA">
      <w:start w:val="1"/>
      <w:numFmt w:val="decimal"/>
      <w:pStyle w:val="TableCaption"/>
      <w:suff w:val="space"/>
      <w:lvlText w:val="Table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68"/>
    <w:rsid w:val="00040468"/>
    <w:rsid w:val="00045CCD"/>
    <w:rsid w:val="000738C4"/>
    <w:rsid w:val="00083544"/>
    <w:rsid w:val="002A3252"/>
    <w:rsid w:val="00363D55"/>
    <w:rsid w:val="003E6D1B"/>
    <w:rsid w:val="004532A6"/>
    <w:rsid w:val="004E688E"/>
    <w:rsid w:val="00520693"/>
    <w:rsid w:val="005330D9"/>
    <w:rsid w:val="00674A6E"/>
    <w:rsid w:val="006C72A6"/>
    <w:rsid w:val="007525B5"/>
    <w:rsid w:val="0079173A"/>
    <w:rsid w:val="009C29B5"/>
    <w:rsid w:val="009E775D"/>
    <w:rsid w:val="00A04FB8"/>
    <w:rsid w:val="00A2524D"/>
    <w:rsid w:val="00A475A5"/>
    <w:rsid w:val="00A653E9"/>
    <w:rsid w:val="00B92CCA"/>
    <w:rsid w:val="00BA20AF"/>
    <w:rsid w:val="00BB305D"/>
    <w:rsid w:val="00BB767B"/>
    <w:rsid w:val="00C434EC"/>
    <w:rsid w:val="00C547AD"/>
    <w:rsid w:val="00C82803"/>
    <w:rsid w:val="00D21B13"/>
    <w:rsid w:val="00EC09F7"/>
    <w:rsid w:val="00F1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D873FC-860A-4D52-BFED-8017103C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803"/>
    <w:pPr>
      <w:spacing w:after="200" w:line="276" w:lineRule="auto"/>
    </w:pPr>
    <w:rPr>
      <w:rFonts w:eastAsiaTheme="minorEastAs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C82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28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28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828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828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828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8280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8280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8280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74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51">
    <w:name w:val="Tableau Grille 4 - Accentuation 51"/>
    <w:basedOn w:val="TableauNormal"/>
    <w:uiPriority w:val="49"/>
    <w:rsid w:val="00674A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674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674A6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eStyleCustom">
    <w:name w:val="Table Style Custom"/>
    <w:basedOn w:val="TableauListe3-Accentuation11"/>
    <w:uiPriority w:val="99"/>
    <w:rsid w:val="00674A6E"/>
    <w:tblPr/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C82803"/>
    <w:pPr>
      <w:spacing w:after="0" w:line="276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Authors">
    <w:name w:val="Authors"/>
    <w:basedOn w:val="Sous-titre"/>
    <w:next w:val="Normal"/>
    <w:rsid w:val="00C82803"/>
    <w:pPr>
      <w:keepNext/>
      <w:keepLines/>
      <w:jc w:val="center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8280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8280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ccentuation">
    <w:name w:val="Emphasis"/>
    <w:basedOn w:val="Policepardfaut"/>
    <w:uiPriority w:val="20"/>
    <w:qFormat/>
    <w:rsid w:val="00C82803"/>
    <w:rPr>
      <w:i/>
      <w:iCs/>
    </w:rPr>
  </w:style>
  <w:style w:type="character" w:customStyle="1" w:styleId="AlertTok">
    <w:name w:val="AlertTok"/>
    <w:basedOn w:val="Policepardfaut"/>
    <w:rsid w:val="00C82803"/>
    <w:rPr>
      <w:rFonts w:ascii="Consolas" w:hAnsi="Consolas"/>
      <w:b/>
      <w:bCs/>
      <w:i/>
      <w:color w:val="EF2929"/>
      <w:sz w:val="22"/>
      <w:szCs w:val="18"/>
      <w:shd w:val="clear" w:color="auto" w:fill="F8F8F8"/>
    </w:rPr>
  </w:style>
  <w:style w:type="character" w:customStyle="1" w:styleId="BaseNTok">
    <w:name w:val="BaseNTok"/>
    <w:basedOn w:val="Policepardfaut"/>
    <w:rsid w:val="00C8280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paragraph" w:customStyle="1" w:styleId="BlockQuote">
    <w:name w:val="Block Quote"/>
    <w:basedOn w:val="Normal"/>
    <w:next w:val="Normal"/>
    <w:uiPriority w:val="9"/>
    <w:unhideWhenUsed/>
    <w:rsid w:val="00C8280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CharTok">
    <w:name w:val="CharTok"/>
    <w:basedOn w:val="Policepardfaut"/>
    <w:rsid w:val="00C82803"/>
    <w:rPr>
      <w:rFonts w:ascii="Consolas" w:hAnsi="Consolas"/>
      <w:b/>
      <w:bCs/>
      <w:i/>
      <w:color w:val="4E9A06"/>
      <w:sz w:val="22"/>
      <w:szCs w:val="18"/>
      <w:shd w:val="clear" w:color="auto" w:fill="F8F8F8"/>
    </w:rPr>
  </w:style>
  <w:style w:type="paragraph" w:styleId="Citation">
    <w:name w:val="Quote"/>
    <w:basedOn w:val="Normal"/>
    <w:next w:val="Normal"/>
    <w:link w:val="CitationCar"/>
    <w:uiPriority w:val="29"/>
    <w:qFormat/>
    <w:rsid w:val="00C8280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82803"/>
    <w:rPr>
      <w:rFonts w:eastAsiaTheme="minorEastAsia"/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280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2803"/>
    <w:rPr>
      <w:rFonts w:eastAsiaTheme="minorEastAsia"/>
      <w:b/>
      <w:bCs/>
      <w:i/>
      <w:iCs/>
      <w:color w:val="5B9BD5" w:themeColor="accent1"/>
    </w:rPr>
  </w:style>
  <w:style w:type="character" w:customStyle="1" w:styleId="CommentTok">
    <w:name w:val="CommentTok"/>
    <w:basedOn w:val="Policepardfaut"/>
    <w:rsid w:val="00C82803"/>
    <w:rPr>
      <w:rFonts w:ascii="Consolas" w:hAnsi="Consolas"/>
      <w:b/>
      <w:bCs/>
      <w:i w:val="0"/>
      <w:color w:val="8F5902"/>
      <w:sz w:val="22"/>
      <w:szCs w:val="18"/>
      <w:shd w:val="clear" w:color="auto" w:fill="F8F8F8"/>
    </w:rPr>
  </w:style>
  <w:style w:type="paragraph" w:customStyle="1" w:styleId="Compact">
    <w:name w:val="Compact"/>
    <w:basedOn w:val="Normal"/>
    <w:rsid w:val="00C82803"/>
    <w:pPr>
      <w:spacing w:before="36" w:after="36"/>
    </w:pPr>
  </w:style>
  <w:style w:type="paragraph" w:styleId="Corpsdetexte">
    <w:name w:val="Body Text"/>
    <w:basedOn w:val="Normal"/>
    <w:link w:val="CorpsdetexteCar"/>
    <w:rsid w:val="00C82803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C82803"/>
    <w:rPr>
      <w:rFonts w:eastAsiaTheme="minorEastAsia"/>
    </w:rPr>
  </w:style>
  <w:style w:type="character" w:customStyle="1" w:styleId="DataTypeTok">
    <w:name w:val="DataTypeTok"/>
    <w:basedOn w:val="Policepardfaut"/>
    <w:rsid w:val="00C82803"/>
    <w:rPr>
      <w:rFonts w:ascii="Consolas" w:hAnsi="Consolas"/>
      <w:b/>
      <w:bCs/>
      <w:i/>
      <w:color w:val="204A87"/>
      <w:sz w:val="22"/>
      <w:szCs w:val="18"/>
      <w:shd w:val="clear" w:color="auto" w:fill="F8F8F8"/>
    </w:rPr>
  </w:style>
  <w:style w:type="paragraph" w:styleId="Date">
    <w:name w:val="Date"/>
    <w:next w:val="Normal"/>
    <w:link w:val="DateCar"/>
    <w:rsid w:val="00C82803"/>
    <w:pPr>
      <w:keepNext/>
      <w:keepLines/>
      <w:spacing w:after="200" w:line="276" w:lineRule="auto"/>
      <w:jc w:val="center"/>
    </w:pPr>
    <w:rPr>
      <w:rFonts w:eastAsiaTheme="minorEastAsia"/>
    </w:rPr>
  </w:style>
  <w:style w:type="character" w:customStyle="1" w:styleId="DateCar">
    <w:name w:val="Date Car"/>
    <w:basedOn w:val="Policepardfaut"/>
    <w:link w:val="Date"/>
    <w:rsid w:val="00C82803"/>
    <w:rPr>
      <w:rFonts w:eastAsiaTheme="minorEastAsia"/>
    </w:rPr>
  </w:style>
  <w:style w:type="character" w:customStyle="1" w:styleId="DecValTok">
    <w:name w:val="DecValTok"/>
    <w:basedOn w:val="Policepardfaut"/>
    <w:rsid w:val="00C8280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paragraph" w:customStyle="1" w:styleId="Definition">
    <w:name w:val="Definition"/>
    <w:basedOn w:val="Normal"/>
    <w:rsid w:val="00C82803"/>
  </w:style>
  <w:style w:type="paragraph" w:customStyle="1" w:styleId="DefinitionTerm">
    <w:name w:val="Definition Term"/>
    <w:basedOn w:val="Normal"/>
    <w:next w:val="Definition"/>
    <w:rsid w:val="00C82803"/>
    <w:pPr>
      <w:keepNext/>
      <w:keepLines/>
      <w:spacing w:after="0"/>
    </w:pPr>
    <w:rPr>
      <w:b/>
    </w:rPr>
  </w:style>
  <w:style w:type="character" w:styleId="lev">
    <w:name w:val="Strong"/>
    <w:basedOn w:val="Policepardfaut"/>
    <w:uiPriority w:val="22"/>
    <w:qFormat/>
    <w:rsid w:val="00C82803"/>
    <w:rPr>
      <w:b/>
      <w:bCs/>
    </w:rPr>
  </w:style>
  <w:style w:type="character" w:styleId="Emphaseintense">
    <w:name w:val="Intense Emphasis"/>
    <w:basedOn w:val="Policepardfaut"/>
    <w:uiPriority w:val="21"/>
    <w:qFormat/>
    <w:rsid w:val="00C82803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C82803"/>
    <w:rPr>
      <w:i/>
      <w:iCs/>
      <w:color w:val="808080" w:themeColor="text1" w:themeTint="7F"/>
    </w:rPr>
  </w:style>
  <w:style w:type="character" w:customStyle="1" w:styleId="Titre1Car">
    <w:name w:val="Titre 1 Car"/>
    <w:basedOn w:val="Policepardfaut"/>
    <w:link w:val="Titre1"/>
    <w:uiPriority w:val="9"/>
    <w:rsid w:val="00C8280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82803"/>
    <w:pPr>
      <w:outlineLvl w:val="9"/>
    </w:pPr>
  </w:style>
  <w:style w:type="character" w:customStyle="1" w:styleId="ErrorTok">
    <w:name w:val="ErrorTok"/>
    <w:basedOn w:val="Policepardfaut"/>
    <w:rsid w:val="00C82803"/>
    <w:rPr>
      <w:rFonts w:ascii="Consolas" w:hAnsi="Consolas"/>
      <w:b w:val="0"/>
      <w:bCs/>
      <w:i/>
      <w:color w:val="5B9BD5" w:themeColor="accent1"/>
      <w:sz w:val="22"/>
      <w:szCs w:val="18"/>
      <w:shd w:val="clear" w:color="auto" w:fill="F8F8F8"/>
    </w:rPr>
  </w:style>
  <w:style w:type="character" w:customStyle="1" w:styleId="FloatTok">
    <w:name w:val="FloatTok"/>
    <w:basedOn w:val="Policepardfaut"/>
    <w:rsid w:val="00C82803"/>
    <w:rPr>
      <w:rFonts w:ascii="Consolas" w:hAnsi="Consolas"/>
      <w:b/>
      <w:bCs/>
      <w:i/>
      <w:color w:val="0000CF"/>
      <w:sz w:val="22"/>
      <w:szCs w:val="18"/>
      <w:shd w:val="clear" w:color="auto" w:fill="F8F8F8"/>
    </w:rPr>
  </w:style>
  <w:style w:type="character" w:customStyle="1" w:styleId="FootnoteRef">
    <w:name w:val="Footnote Ref"/>
    <w:basedOn w:val="Policepardfaut"/>
    <w:rsid w:val="00C82803"/>
    <w:rPr>
      <w:b/>
      <w:bCs/>
      <w:i/>
      <w:color w:val="5B9BD5" w:themeColor="accent1"/>
      <w:sz w:val="18"/>
      <w:szCs w:val="18"/>
      <w:vertAlign w:val="superscript"/>
    </w:rPr>
  </w:style>
  <w:style w:type="character" w:customStyle="1" w:styleId="FunctionTok">
    <w:name w:val="FunctionTok"/>
    <w:basedOn w:val="Policepardfaut"/>
    <w:rsid w:val="00C82803"/>
    <w:rPr>
      <w:rFonts w:ascii="Consolas" w:hAnsi="Consolas"/>
      <w:b/>
      <w:bCs/>
      <w:i/>
      <w:color w:val="000000"/>
      <w:sz w:val="22"/>
      <w:szCs w:val="18"/>
      <w:shd w:val="clear" w:color="auto" w:fill="F8F8F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8280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ImageCaption">
    <w:name w:val="Image Caption"/>
    <w:basedOn w:val="Lgende"/>
    <w:link w:val="ImageCaptionCar"/>
    <w:rsid w:val="00C82803"/>
    <w:pPr>
      <w:numPr>
        <w:numId w:val="1"/>
      </w:numPr>
      <w:spacing w:after="120"/>
      <w:jc w:val="center"/>
    </w:pPr>
    <w:rPr>
      <w:i/>
    </w:rPr>
  </w:style>
  <w:style w:type="character" w:customStyle="1" w:styleId="ImageCaptionCar">
    <w:name w:val="Image Caption Car"/>
    <w:basedOn w:val="Policepardfaut"/>
    <w:link w:val="ImageCaption"/>
    <w:rsid w:val="00C82803"/>
    <w:rPr>
      <w:rFonts w:eastAsiaTheme="minorEastAsia"/>
      <w:b/>
      <w:bCs/>
      <w:i/>
      <w:color w:val="5B9BD5" w:themeColor="accent1"/>
      <w:sz w:val="18"/>
      <w:szCs w:val="18"/>
    </w:rPr>
  </w:style>
  <w:style w:type="character" w:customStyle="1" w:styleId="KeywordTok">
    <w:name w:val="KeywordTok"/>
    <w:basedOn w:val="Policepardfaut"/>
    <w:rsid w:val="00C82803"/>
    <w:rPr>
      <w:rFonts w:ascii="Consolas" w:hAnsi="Consolas"/>
      <w:b w:val="0"/>
      <w:bCs/>
      <w:i/>
      <w:color w:val="204A87"/>
      <w:sz w:val="22"/>
      <w:szCs w:val="18"/>
      <w:shd w:val="clear" w:color="auto" w:fill="F8F8F8"/>
    </w:rPr>
  </w:style>
  <w:style w:type="character" w:customStyle="1" w:styleId="Link">
    <w:name w:val="Link"/>
    <w:basedOn w:val="ImageCaptionCar"/>
    <w:rsid w:val="00C82803"/>
    <w:rPr>
      <w:rFonts w:eastAsiaTheme="minorEastAsia"/>
      <w:b/>
      <w:bCs/>
      <w:i/>
      <w:color w:val="5B9BD5" w:themeColor="accent1"/>
      <w:sz w:val="18"/>
      <w:szCs w:val="18"/>
    </w:rPr>
  </w:style>
  <w:style w:type="character" w:customStyle="1" w:styleId="NormalTok">
    <w:name w:val="NormalTok"/>
    <w:basedOn w:val="Policepardfaut"/>
    <w:rsid w:val="00C82803"/>
    <w:rPr>
      <w:rFonts w:ascii="Consolas" w:hAnsi="Consolas"/>
      <w:b/>
      <w:bCs/>
      <w:i/>
      <w:color w:val="5B9BD5" w:themeColor="accent1"/>
      <w:sz w:val="22"/>
      <w:szCs w:val="18"/>
      <w:shd w:val="clear" w:color="auto" w:fill="F8F8F8"/>
    </w:rPr>
  </w:style>
  <w:style w:type="paragraph" w:styleId="Notedebasdepage">
    <w:name w:val="footnote text"/>
    <w:basedOn w:val="Normal"/>
    <w:link w:val="NotedebasdepageCar"/>
    <w:uiPriority w:val="9"/>
    <w:unhideWhenUsed/>
    <w:rsid w:val="00C82803"/>
  </w:style>
  <w:style w:type="character" w:customStyle="1" w:styleId="NotedebasdepageCar">
    <w:name w:val="Note de bas de page Car"/>
    <w:basedOn w:val="Policepardfaut"/>
    <w:link w:val="Notedebasdepage"/>
    <w:uiPriority w:val="9"/>
    <w:rsid w:val="00C82803"/>
    <w:rPr>
      <w:rFonts w:eastAsiaTheme="minorEastAsia"/>
    </w:rPr>
  </w:style>
  <w:style w:type="character" w:customStyle="1" w:styleId="OtherTok">
    <w:name w:val="OtherTok"/>
    <w:basedOn w:val="Policepardfaut"/>
    <w:rsid w:val="00C82803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styleId="Rfrenceintense">
    <w:name w:val="Intense Reference"/>
    <w:basedOn w:val="Policepardfaut"/>
    <w:uiPriority w:val="32"/>
    <w:qFormat/>
    <w:rsid w:val="00C82803"/>
    <w:rPr>
      <w:b/>
      <w:bCs/>
      <w:smallCaps/>
      <w:color w:val="ED7D31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C82803"/>
    <w:rPr>
      <w:smallCaps/>
      <w:color w:val="ED7D31" w:themeColor="accent2"/>
      <w:u w:val="single"/>
    </w:rPr>
  </w:style>
  <w:style w:type="character" w:customStyle="1" w:styleId="RegionMarkerTok">
    <w:name w:val="RegionMarkerTok"/>
    <w:basedOn w:val="Policepardfaut"/>
    <w:rsid w:val="00C82803"/>
    <w:rPr>
      <w:rFonts w:ascii="Consolas" w:hAnsi="Consolas"/>
      <w:b/>
      <w:bCs/>
      <w:i/>
      <w:color w:val="5B9BD5" w:themeColor="accent1"/>
      <w:sz w:val="22"/>
      <w:szCs w:val="18"/>
      <w:shd w:val="clear" w:color="auto" w:fill="F8F8F8"/>
    </w:rPr>
  </w:style>
  <w:style w:type="paragraph" w:styleId="Sansinterligne">
    <w:name w:val="No Spacing"/>
    <w:uiPriority w:val="1"/>
    <w:qFormat/>
    <w:rsid w:val="00C82803"/>
    <w:pPr>
      <w:spacing w:after="0" w:line="240" w:lineRule="auto"/>
    </w:pPr>
    <w:rPr>
      <w:rFonts w:eastAsiaTheme="minorEastAsia"/>
    </w:rPr>
  </w:style>
  <w:style w:type="paragraph" w:customStyle="1" w:styleId="SourceCode">
    <w:name w:val="Source Code"/>
    <w:basedOn w:val="Normal"/>
    <w:link w:val="VerbatimChar"/>
    <w:rsid w:val="00C82803"/>
    <w:pPr>
      <w:shd w:val="clear" w:color="auto" w:fill="F8F8F8"/>
      <w:wordWrap w:val="0"/>
    </w:pPr>
    <w:rPr>
      <w:color w:val="5B9BD5" w:themeColor="accent1"/>
      <w:sz w:val="18"/>
      <w:szCs w:val="18"/>
    </w:rPr>
  </w:style>
  <w:style w:type="character" w:customStyle="1" w:styleId="VerbatimChar">
    <w:name w:val="Verbatim Char"/>
    <w:basedOn w:val="ImageCaptionCar"/>
    <w:link w:val="SourceCode"/>
    <w:rsid w:val="00C82803"/>
    <w:rPr>
      <w:rFonts w:eastAsiaTheme="minorEastAsia"/>
      <w:b w:val="0"/>
      <w:bCs w:val="0"/>
      <w:i w:val="0"/>
      <w:color w:val="5B9BD5" w:themeColor="accent1"/>
      <w:sz w:val="18"/>
      <w:szCs w:val="18"/>
      <w:shd w:val="clear" w:color="auto" w:fill="F8F8F8"/>
    </w:rPr>
  </w:style>
  <w:style w:type="character" w:customStyle="1" w:styleId="StringTok">
    <w:name w:val="StringTok"/>
    <w:basedOn w:val="VerbatimChar"/>
    <w:rsid w:val="00C82803"/>
    <w:rPr>
      <w:rFonts w:ascii="Consolas" w:eastAsiaTheme="minorEastAsia" w:hAnsi="Consolas"/>
      <w:b/>
      <w:bCs/>
      <w:i/>
      <w:color w:val="4E9A06"/>
      <w:sz w:val="22"/>
      <w:szCs w:val="18"/>
      <w:shd w:val="clear" w:color="auto" w:fill="F8F8F8"/>
    </w:rPr>
  </w:style>
  <w:style w:type="paragraph" w:customStyle="1" w:styleId="TableCaption">
    <w:name w:val="Table Caption"/>
    <w:basedOn w:val="Lgende"/>
    <w:rsid w:val="00C82803"/>
    <w:pPr>
      <w:numPr>
        <w:numId w:val="2"/>
      </w:numPr>
      <w:spacing w:after="120"/>
      <w:jc w:val="center"/>
    </w:pPr>
    <w:rPr>
      <w:i/>
    </w:rPr>
  </w:style>
  <w:style w:type="paragraph" w:styleId="Titre">
    <w:name w:val="Title"/>
    <w:basedOn w:val="Normal"/>
    <w:next w:val="Normal"/>
    <w:link w:val="TitreCar"/>
    <w:uiPriority w:val="10"/>
    <w:qFormat/>
    <w:rsid w:val="00C8280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280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8280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8280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C8280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sid w:val="00C828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828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C828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C8280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C828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itredulivre">
    <w:name w:val="Book Title"/>
    <w:basedOn w:val="Policepardfaut"/>
    <w:uiPriority w:val="33"/>
    <w:qFormat/>
    <w:rsid w:val="00C82803"/>
    <w:rPr>
      <w:b/>
      <w:bCs/>
      <w:smallCap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30D9"/>
    <w:rPr>
      <w:rFonts w:ascii="Tahoma" w:eastAsiaTheme="minorEastAsia" w:hAnsi="Tahoma" w:cs="Tahoma"/>
      <w:sz w:val="16"/>
      <w:szCs w:val="16"/>
      <w:lang w:val="en-GB"/>
    </w:rPr>
  </w:style>
  <w:style w:type="paragraph" w:styleId="Rvision">
    <w:name w:val="Revision"/>
    <w:hidden/>
    <w:uiPriority w:val="99"/>
    <w:semiHidden/>
    <w:rsid w:val="00BB305D"/>
    <w:pPr>
      <w:spacing w:after="0" w:line="240" w:lineRule="auto"/>
    </w:pPr>
    <w:rPr>
      <w:rFonts w:eastAsiaTheme="minorEastAsia"/>
      <w:lang w:val="en-GB"/>
    </w:rPr>
  </w:style>
  <w:style w:type="character" w:styleId="Marquedecommentaire">
    <w:name w:val="annotation reference"/>
    <w:basedOn w:val="Policepardfaut"/>
    <w:uiPriority w:val="99"/>
    <w:semiHidden/>
    <w:unhideWhenUsed/>
    <w:rsid w:val="00B92C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2CC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2CCA"/>
    <w:rPr>
      <w:rFonts w:eastAsiaTheme="minorEastAsia"/>
      <w:sz w:val="20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92C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92CCA"/>
    <w:rPr>
      <w:rFonts w:eastAsiaTheme="minorEastAsia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0DD22-4752-460B-BD2B-94E93A0C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Mickaël Canouil</dc:creator>
  <cp:lastModifiedBy>Mickaël Canouil</cp:lastModifiedBy>
  <cp:revision>4</cp:revision>
  <dcterms:created xsi:type="dcterms:W3CDTF">2016-05-18T14:05:00Z</dcterms:created>
  <dcterms:modified xsi:type="dcterms:W3CDTF">2016-05-19T07:58:00Z</dcterms:modified>
</cp:coreProperties>
</file>