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5612" w:rsidRPr="009F5612" w:rsidRDefault="003C1CE8" w:rsidP="009F5612">
      <w:pPr>
        <w:pStyle w:val="Titre"/>
        <w:jc w:val="left"/>
        <w:rPr>
          <w:rFonts w:eastAsiaTheme="minorHAnsi"/>
          <w:b w:val="0"/>
          <w:lang w:val="fr-FR"/>
        </w:rPr>
      </w:pPr>
      <w:proofErr w:type="spellStart"/>
      <w:r>
        <w:rPr>
          <w:rFonts w:eastAsiaTheme="minorHAnsi"/>
          <w:lang w:val="fr-FR"/>
        </w:rPr>
        <w:t>Variants</w:t>
      </w:r>
      <w:proofErr w:type="spellEnd"/>
      <w:r>
        <w:rPr>
          <w:rFonts w:eastAsiaTheme="minorHAnsi"/>
          <w:lang w:val="fr-FR"/>
        </w:rPr>
        <w:t xml:space="preserve"> </w:t>
      </w:r>
      <w:r w:rsidR="00724C36">
        <w:rPr>
          <w:rFonts w:eastAsiaTheme="minorHAnsi"/>
          <w:lang w:val="fr-FR"/>
        </w:rPr>
        <w:t>g</w:t>
      </w:r>
      <w:r>
        <w:rPr>
          <w:rFonts w:eastAsiaTheme="minorHAnsi"/>
          <w:lang w:val="fr-FR"/>
        </w:rPr>
        <w:t xml:space="preserve">énétiques </w:t>
      </w:r>
      <w:r w:rsidR="00724C36">
        <w:rPr>
          <w:rFonts w:eastAsiaTheme="minorHAnsi"/>
          <w:lang w:val="fr-FR"/>
        </w:rPr>
        <w:t>a</w:t>
      </w:r>
      <w:r>
        <w:rPr>
          <w:rFonts w:eastAsiaTheme="minorHAnsi"/>
          <w:lang w:val="fr-FR"/>
        </w:rPr>
        <w:t xml:space="preserve">ssociés </w:t>
      </w:r>
      <w:r w:rsidR="00724C36">
        <w:rPr>
          <w:rFonts w:eastAsiaTheme="minorHAnsi"/>
          <w:lang w:val="fr-FR"/>
        </w:rPr>
        <w:t>à</w:t>
      </w:r>
      <w:r>
        <w:rPr>
          <w:rFonts w:eastAsiaTheme="minorHAnsi"/>
          <w:lang w:val="fr-FR"/>
        </w:rPr>
        <w:t xml:space="preserve"> </w:t>
      </w:r>
      <w:r w:rsidR="00724C36">
        <w:rPr>
          <w:rFonts w:eastAsiaTheme="minorHAnsi"/>
          <w:lang w:val="fr-FR"/>
        </w:rPr>
        <w:t>l</w:t>
      </w:r>
      <w:r>
        <w:rPr>
          <w:rFonts w:eastAsiaTheme="minorHAnsi"/>
          <w:lang w:val="fr-FR"/>
        </w:rPr>
        <w:t xml:space="preserve">a </w:t>
      </w:r>
      <w:r w:rsidR="00724C36">
        <w:rPr>
          <w:rFonts w:eastAsiaTheme="minorHAnsi"/>
          <w:lang w:val="fr-FR"/>
        </w:rPr>
        <w:t>t</w:t>
      </w:r>
      <w:r>
        <w:rPr>
          <w:rFonts w:eastAsiaTheme="minorHAnsi"/>
          <w:lang w:val="fr-FR"/>
        </w:rPr>
        <w:t xml:space="preserve">rajectoire </w:t>
      </w:r>
      <w:r w:rsidR="00724C36">
        <w:rPr>
          <w:rFonts w:eastAsiaTheme="minorHAnsi"/>
          <w:lang w:val="fr-FR"/>
        </w:rPr>
        <w:t>d</w:t>
      </w:r>
      <w:r>
        <w:rPr>
          <w:rFonts w:eastAsiaTheme="minorHAnsi"/>
          <w:lang w:val="fr-FR"/>
        </w:rPr>
        <w:t xml:space="preserve">e </w:t>
      </w:r>
      <w:r w:rsidR="00724C36">
        <w:rPr>
          <w:rFonts w:eastAsiaTheme="minorHAnsi"/>
          <w:lang w:val="fr-FR"/>
        </w:rPr>
        <w:t>l</w:t>
      </w:r>
      <w:r>
        <w:rPr>
          <w:rFonts w:eastAsiaTheme="minorHAnsi"/>
          <w:lang w:val="fr-FR"/>
        </w:rPr>
        <w:t xml:space="preserve">a </w:t>
      </w:r>
      <w:r w:rsidR="00724C36">
        <w:rPr>
          <w:rFonts w:eastAsiaTheme="minorHAnsi"/>
          <w:lang w:val="fr-FR"/>
        </w:rPr>
        <w:t>g</w:t>
      </w:r>
      <w:r>
        <w:rPr>
          <w:rFonts w:eastAsiaTheme="minorHAnsi"/>
          <w:lang w:val="fr-FR"/>
        </w:rPr>
        <w:t xml:space="preserve">lycémie </w:t>
      </w:r>
      <w:r w:rsidR="00724C36">
        <w:rPr>
          <w:rFonts w:eastAsiaTheme="minorHAnsi"/>
          <w:lang w:val="fr-FR"/>
        </w:rPr>
        <w:t>à</w:t>
      </w:r>
      <w:r>
        <w:rPr>
          <w:rFonts w:eastAsiaTheme="minorHAnsi"/>
          <w:lang w:val="fr-FR"/>
        </w:rPr>
        <w:t xml:space="preserve"> </w:t>
      </w:r>
      <w:r w:rsidR="00724C36">
        <w:rPr>
          <w:rFonts w:eastAsiaTheme="minorHAnsi"/>
          <w:lang w:val="fr-FR"/>
        </w:rPr>
        <w:t>j</w:t>
      </w:r>
      <w:r>
        <w:rPr>
          <w:rFonts w:eastAsiaTheme="minorHAnsi"/>
          <w:lang w:val="fr-FR"/>
        </w:rPr>
        <w:t xml:space="preserve">eun </w:t>
      </w:r>
      <w:r w:rsidR="00724C36">
        <w:rPr>
          <w:rFonts w:eastAsiaTheme="minorHAnsi"/>
          <w:lang w:val="fr-FR"/>
        </w:rPr>
        <w:t>e</w:t>
      </w:r>
      <w:r>
        <w:rPr>
          <w:rFonts w:eastAsiaTheme="minorHAnsi"/>
          <w:lang w:val="fr-FR"/>
        </w:rPr>
        <w:t xml:space="preserve">t </w:t>
      </w:r>
      <w:r w:rsidR="00724C36">
        <w:rPr>
          <w:rFonts w:eastAsiaTheme="minorHAnsi"/>
          <w:lang w:val="fr-FR"/>
        </w:rPr>
        <w:t>à</w:t>
      </w:r>
      <w:r>
        <w:rPr>
          <w:rFonts w:eastAsiaTheme="minorHAnsi"/>
          <w:lang w:val="fr-FR"/>
        </w:rPr>
        <w:t xml:space="preserve"> </w:t>
      </w:r>
      <w:r w:rsidR="00724C36">
        <w:rPr>
          <w:rFonts w:eastAsiaTheme="minorHAnsi"/>
          <w:lang w:val="fr-FR"/>
        </w:rPr>
        <w:t>l</w:t>
      </w:r>
      <w:r>
        <w:rPr>
          <w:rFonts w:eastAsiaTheme="minorHAnsi"/>
          <w:lang w:val="fr-FR"/>
        </w:rPr>
        <w:t xml:space="preserve">’incidence </w:t>
      </w:r>
      <w:r w:rsidR="00724C36">
        <w:rPr>
          <w:rFonts w:eastAsiaTheme="minorHAnsi"/>
          <w:lang w:val="fr-FR"/>
        </w:rPr>
        <w:t>d</w:t>
      </w:r>
      <w:r>
        <w:rPr>
          <w:rFonts w:eastAsiaTheme="minorHAnsi"/>
          <w:lang w:val="fr-FR"/>
        </w:rPr>
        <w:t xml:space="preserve">u </w:t>
      </w:r>
      <w:r w:rsidR="00724C36">
        <w:rPr>
          <w:rFonts w:eastAsiaTheme="minorHAnsi"/>
          <w:lang w:val="fr-FR"/>
        </w:rPr>
        <w:t>d</w:t>
      </w:r>
      <w:r>
        <w:rPr>
          <w:rFonts w:eastAsiaTheme="minorHAnsi"/>
          <w:lang w:val="fr-FR"/>
        </w:rPr>
        <w:t xml:space="preserve">iabète </w:t>
      </w:r>
      <w:r w:rsidR="00724C36">
        <w:rPr>
          <w:rFonts w:eastAsiaTheme="minorHAnsi"/>
          <w:lang w:val="fr-FR"/>
        </w:rPr>
        <w:t>d</w:t>
      </w:r>
      <w:r>
        <w:rPr>
          <w:rFonts w:eastAsiaTheme="minorHAnsi"/>
          <w:lang w:val="fr-FR"/>
        </w:rPr>
        <w:t xml:space="preserve">e </w:t>
      </w:r>
      <w:r w:rsidR="002B49E8">
        <w:rPr>
          <w:rFonts w:eastAsiaTheme="minorHAnsi"/>
          <w:lang w:val="fr-FR"/>
        </w:rPr>
        <w:t>t</w:t>
      </w:r>
      <w:r>
        <w:rPr>
          <w:rFonts w:eastAsiaTheme="minorHAnsi"/>
          <w:lang w:val="fr-FR"/>
        </w:rPr>
        <w:t xml:space="preserve">ype 2 : Une </w:t>
      </w:r>
      <w:r w:rsidR="00724C36">
        <w:rPr>
          <w:rFonts w:eastAsiaTheme="minorHAnsi"/>
          <w:lang w:val="fr-FR"/>
        </w:rPr>
        <w:t>a</w:t>
      </w:r>
      <w:r>
        <w:rPr>
          <w:rFonts w:eastAsiaTheme="minorHAnsi"/>
          <w:lang w:val="fr-FR"/>
        </w:rPr>
        <w:t xml:space="preserve">pproche </w:t>
      </w:r>
      <w:r w:rsidR="00724C36">
        <w:rPr>
          <w:rFonts w:eastAsiaTheme="minorHAnsi"/>
          <w:lang w:val="fr-FR"/>
        </w:rPr>
        <w:t>p</w:t>
      </w:r>
      <w:r>
        <w:rPr>
          <w:rFonts w:eastAsiaTheme="minorHAnsi"/>
          <w:lang w:val="fr-FR"/>
        </w:rPr>
        <w:t xml:space="preserve">ar </w:t>
      </w:r>
      <w:r w:rsidR="00724C36">
        <w:rPr>
          <w:rFonts w:eastAsiaTheme="minorHAnsi"/>
          <w:lang w:val="fr-FR"/>
        </w:rPr>
        <w:t>m</w:t>
      </w:r>
      <w:r>
        <w:rPr>
          <w:rFonts w:eastAsiaTheme="minorHAnsi"/>
          <w:lang w:val="fr-FR"/>
        </w:rPr>
        <w:t xml:space="preserve">odèle </w:t>
      </w:r>
      <w:r w:rsidR="00724C36">
        <w:rPr>
          <w:rFonts w:eastAsiaTheme="minorHAnsi"/>
          <w:lang w:val="fr-FR"/>
        </w:rPr>
        <w:t>j</w:t>
      </w:r>
      <w:r>
        <w:rPr>
          <w:rFonts w:eastAsiaTheme="minorHAnsi"/>
          <w:lang w:val="fr-FR"/>
        </w:rPr>
        <w:t>oint</w:t>
      </w:r>
    </w:p>
    <w:p w:rsidR="009F5612" w:rsidRPr="009F5612" w:rsidRDefault="009F5612" w:rsidP="009F5612">
      <w:pPr>
        <w:autoSpaceDE w:val="0"/>
        <w:autoSpaceDN w:val="0"/>
        <w:adjustRightInd w:val="0"/>
        <w:rPr>
          <w:rFonts w:eastAsiaTheme="minorHAnsi" w:cs="SFRM1000"/>
          <w:lang w:val="fr-FR"/>
        </w:rPr>
      </w:pPr>
    </w:p>
    <w:p w:rsidR="009F5612" w:rsidRPr="009F5612" w:rsidRDefault="009F5612" w:rsidP="009F5612">
      <w:pPr>
        <w:autoSpaceDE w:val="0"/>
        <w:autoSpaceDN w:val="0"/>
        <w:adjustRightInd w:val="0"/>
        <w:rPr>
          <w:rFonts w:eastAsiaTheme="minorHAnsi" w:cs="CMR7"/>
          <w:lang w:val="fr-FR"/>
        </w:rPr>
      </w:pPr>
      <w:r w:rsidRPr="009F5612">
        <w:rPr>
          <w:rFonts w:eastAsiaTheme="minorHAnsi" w:cs="SFRM1000"/>
          <w:lang w:val="fr-FR"/>
        </w:rPr>
        <w:t>Mickaël Canouil* (</w:t>
      </w:r>
      <w:r w:rsidRPr="009F5612">
        <w:rPr>
          <w:rFonts w:eastAsiaTheme="minorHAnsi" w:cs="CMR7"/>
          <w:lang w:val="fr-FR"/>
        </w:rPr>
        <w:t>1)</w:t>
      </w:r>
      <w:r w:rsidRPr="009F5612">
        <w:rPr>
          <w:rFonts w:eastAsiaTheme="minorHAnsi" w:cs="SFRM1000"/>
          <w:lang w:val="fr-FR"/>
        </w:rPr>
        <w:t>, Philippe Froguel (</w:t>
      </w:r>
      <w:r w:rsidRPr="009F5612">
        <w:rPr>
          <w:rFonts w:eastAsiaTheme="minorHAnsi" w:cs="CMR7"/>
          <w:lang w:val="fr-FR"/>
        </w:rPr>
        <w:t>1</w:t>
      </w:r>
      <w:r w:rsidRPr="009F5612">
        <w:rPr>
          <w:rFonts w:eastAsiaTheme="minorHAnsi" w:cs="CMMI7"/>
          <w:lang w:val="fr-FR"/>
        </w:rPr>
        <w:t>,</w:t>
      </w:r>
      <w:r w:rsidRPr="009F5612">
        <w:rPr>
          <w:rFonts w:eastAsiaTheme="minorHAnsi" w:cs="CMR7"/>
          <w:lang w:val="fr-FR"/>
        </w:rPr>
        <w:t>2),</w:t>
      </w:r>
      <w:r w:rsidRPr="009F5612">
        <w:rPr>
          <w:rFonts w:eastAsiaTheme="minorHAnsi" w:cs="SFRM1000"/>
          <w:lang w:val="fr-FR"/>
        </w:rPr>
        <w:t xml:space="preserve"> Ghislain Rocheleau (</w:t>
      </w:r>
      <w:r w:rsidRPr="009F5612">
        <w:rPr>
          <w:rFonts w:eastAsiaTheme="minorHAnsi" w:cs="CMR7"/>
          <w:lang w:val="fr-FR"/>
        </w:rPr>
        <w:t>1)</w:t>
      </w:r>
    </w:p>
    <w:p w:rsidR="009F5612" w:rsidRPr="009F5612" w:rsidRDefault="009F5612" w:rsidP="009F5612">
      <w:pPr>
        <w:autoSpaceDE w:val="0"/>
        <w:autoSpaceDN w:val="0"/>
        <w:adjustRightInd w:val="0"/>
        <w:rPr>
          <w:rFonts w:eastAsiaTheme="minorHAnsi" w:cs="SFRM1000"/>
          <w:lang w:val="fr-FR"/>
        </w:rPr>
      </w:pPr>
      <w:r w:rsidRPr="009F5612">
        <w:rPr>
          <w:rFonts w:eastAsiaTheme="minorHAnsi" w:cs="CMR7"/>
          <w:lang w:val="fr-FR"/>
        </w:rPr>
        <w:t xml:space="preserve">(1) </w:t>
      </w:r>
      <w:proofErr w:type="spellStart"/>
      <w:r w:rsidRPr="009F5612">
        <w:rPr>
          <w:rFonts w:eastAsiaTheme="minorHAnsi" w:cs="SFRM1000"/>
          <w:lang w:val="fr-FR"/>
        </w:rPr>
        <w:t>Univ</w:t>
      </w:r>
      <w:proofErr w:type="spellEnd"/>
      <w:r w:rsidRPr="009F5612">
        <w:rPr>
          <w:rFonts w:eastAsiaTheme="minorHAnsi" w:cs="SFRM1000"/>
          <w:lang w:val="fr-FR"/>
        </w:rPr>
        <w:t>. Lille, CNRS, CHU Lille, Institut Pasteur de Lille, UMR 8199 - EGID, F-59000 Lille, France</w:t>
      </w:r>
    </w:p>
    <w:p w:rsidR="009F5612" w:rsidRPr="00724C36" w:rsidRDefault="001834A6" w:rsidP="009F5612">
      <w:pPr>
        <w:jc w:val="both"/>
        <w:rPr>
          <w:lang w:val="en-CA"/>
        </w:rPr>
      </w:pPr>
      <w:r w:rsidRPr="001834A6">
        <w:rPr>
          <w:rFonts w:eastAsiaTheme="minorHAnsi" w:cs="CMR7"/>
          <w:lang w:val="en-CA"/>
        </w:rPr>
        <w:t xml:space="preserve">(2) </w:t>
      </w:r>
      <w:r w:rsidRPr="001834A6">
        <w:rPr>
          <w:rFonts w:eastAsiaTheme="minorHAnsi" w:cs="SFRM1000"/>
          <w:lang w:val="en-CA"/>
        </w:rPr>
        <w:t>Department of Genomics of Common Disease, Imperial College London, London, United Kingdom</w:t>
      </w:r>
    </w:p>
    <w:p w:rsidR="009F5612" w:rsidRPr="009F5612" w:rsidRDefault="009F5612" w:rsidP="009F5612">
      <w:pPr>
        <w:pStyle w:val="Titre1"/>
        <w:rPr>
          <w:lang w:val="fr-FR"/>
        </w:rPr>
      </w:pPr>
      <w:r w:rsidRPr="009F5612">
        <w:rPr>
          <w:lang w:val="fr-FR"/>
        </w:rPr>
        <w:t xml:space="preserve">Introduction </w:t>
      </w:r>
    </w:p>
    <w:p w:rsidR="009F5612" w:rsidRPr="009F5612" w:rsidRDefault="009F5612" w:rsidP="009F5612">
      <w:pPr>
        <w:rPr>
          <w:lang w:val="fr-FR"/>
        </w:rPr>
      </w:pPr>
      <w:r w:rsidRPr="009F5612">
        <w:rPr>
          <w:lang w:val="fr-FR"/>
        </w:rPr>
        <w:t xml:space="preserve">Dans le but d’optimiser l’utilisation des données phénotypiques existantes, nous proposons une approche statistique par modèle joint permettant l’identification de marqueurs génétiques simultanément associés à la trajectoire temporelle d’un trait </w:t>
      </w:r>
      <w:r w:rsidR="00724C36">
        <w:rPr>
          <w:lang w:val="fr-FR"/>
        </w:rPr>
        <w:t xml:space="preserve">phénotypique </w:t>
      </w:r>
      <w:r>
        <w:rPr>
          <w:lang w:val="fr-FR"/>
        </w:rPr>
        <w:t xml:space="preserve">et </w:t>
      </w:r>
      <w:r w:rsidR="007F4BE4">
        <w:rPr>
          <w:lang w:val="fr-FR"/>
        </w:rPr>
        <w:t xml:space="preserve">à </w:t>
      </w:r>
      <w:r>
        <w:rPr>
          <w:lang w:val="fr-FR"/>
        </w:rPr>
        <w:t>la survenue d’un événement</w:t>
      </w:r>
      <w:r w:rsidR="00724C36">
        <w:rPr>
          <w:lang w:val="fr-FR"/>
        </w:rPr>
        <w:t>.</w:t>
      </w:r>
      <w:r w:rsidR="002B49E8">
        <w:rPr>
          <w:lang w:val="fr-FR"/>
        </w:rPr>
        <w:t xml:space="preserve"> </w:t>
      </w:r>
      <w:r w:rsidRPr="009F5612">
        <w:rPr>
          <w:lang w:val="fr-FR"/>
        </w:rPr>
        <w:t>Nous illustrons l’application du modèle joint</w:t>
      </w:r>
      <w:r w:rsidR="00724C36">
        <w:rPr>
          <w:lang w:val="fr-FR"/>
        </w:rPr>
        <w:t xml:space="preserve"> dans un contexte génétique des maladies métaboliques</w:t>
      </w:r>
      <w:r w:rsidRPr="009F5612">
        <w:rPr>
          <w:lang w:val="fr-FR"/>
        </w:rPr>
        <w:t>, en exploitant la forte association entre la trajectoire temporelle de la glycémie à jeun et l’incidence du diabète de type 2 (DT2).</w:t>
      </w:r>
    </w:p>
    <w:p w:rsidR="009F5612" w:rsidRPr="009F5612" w:rsidRDefault="009F5612" w:rsidP="009F5612">
      <w:pPr>
        <w:pStyle w:val="Titre1"/>
        <w:rPr>
          <w:lang w:val="fr-FR"/>
        </w:rPr>
      </w:pPr>
      <w:r w:rsidRPr="009F5612">
        <w:rPr>
          <w:lang w:val="fr-FR"/>
        </w:rPr>
        <w:t xml:space="preserve">Matériels et méthodes </w:t>
      </w:r>
    </w:p>
    <w:p w:rsidR="009F5612" w:rsidRPr="009F5612" w:rsidRDefault="009F5612" w:rsidP="009F5612">
      <w:pPr>
        <w:rPr>
          <w:lang w:val="fr-FR"/>
        </w:rPr>
      </w:pPr>
      <w:r w:rsidRPr="009F5612">
        <w:rPr>
          <w:lang w:val="fr-FR"/>
        </w:rPr>
        <w:t xml:space="preserve">Le modèle proposé </w:t>
      </w:r>
      <w:r w:rsidR="0068593C">
        <w:rPr>
          <w:lang w:val="fr-FR"/>
        </w:rPr>
        <w:t>dans notre projet</w:t>
      </w:r>
      <w:r w:rsidRPr="009F5612">
        <w:rPr>
          <w:lang w:val="fr-FR"/>
        </w:rPr>
        <w:t xml:space="preserve"> consiste en un modèle </w:t>
      </w:r>
      <w:r w:rsidR="0068593C">
        <w:rPr>
          <w:lang w:val="fr-FR"/>
        </w:rPr>
        <w:t xml:space="preserve">de régression </w:t>
      </w:r>
      <w:r w:rsidRPr="009F5612">
        <w:rPr>
          <w:lang w:val="fr-FR"/>
        </w:rPr>
        <w:t xml:space="preserve">linéaire mixte combiné à un modèle </w:t>
      </w:r>
      <w:r w:rsidR="0068593C">
        <w:rPr>
          <w:lang w:val="fr-FR"/>
        </w:rPr>
        <w:t xml:space="preserve">de survie </w:t>
      </w:r>
      <w:r w:rsidRPr="009F5612">
        <w:rPr>
          <w:lang w:val="fr-FR"/>
        </w:rPr>
        <w:t>d</w:t>
      </w:r>
      <w:r w:rsidR="0068593C">
        <w:rPr>
          <w:lang w:val="fr-FR"/>
        </w:rPr>
        <w:t>it de</w:t>
      </w:r>
      <w:r w:rsidRPr="009F5612">
        <w:rPr>
          <w:lang w:val="fr-FR"/>
        </w:rPr>
        <w:t xml:space="preserve"> Cox à risque proportionnel. À partir des données de génotypage (</w:t>
      </w:r>
      <w:r w:rsidR="001834A6" w:rsidRPr="001834A6">
        <w:rPr>
          <w:i/>
          <w:lang w:val="fr-FR"/>
        </w:rPr>
        <w:t xml:space="preserve">Illumina </w:t>
      </w:r>
      <w:proofErr w:type="spellStart"/>
      <w:r w:rsidR="001834A6" w:rsidRPr="001834A6">
        <w:rPr>
          <w:i/>
          <w:lang w:val="fr-FR"/>
        </w:rPr>
        <w:t>Metabochip</w:t>
      </w:r>
      <w:proofErr w:type="spellEnd"/>
      <w:r w:rsidR="001834A6" w:rsidRPr="001834A6">
        <w:rPr>
          <w:i/>
          <w:lang w:val="fr-FR"/>
        </w:rPr>
        <w:t xml:space="preserve"> DNA </w:t>
      </w:r>
      <w:proofErr w:type="spellStart"/>
      <w:r w:rsidR="001834A6" w:rsidRPr="001834A6">
        <w:rPr>
          <w:i/>
          <w:lang w:val="fr-FR"/>
        </w:rPr>
        <w:t>arrays</w:t>
      </w:r>
      <w:proofErr w:type="spellEnd"/>
      <w:r w:rsidRPr="009F5612">
        <w:rPr>
          <w:lang w:val="fr-FR"/>
        </w:rPr>
        <w:t xml:space="preserve">) </w:t>
      </w:r>
      <w:r w:rsidR="0068593C">
        <w:rPr>
          <w:lang w:val="fr-FR"/>
        </w:rPr>
        <w:t xml:space="preserve">obtenues </w:t>
      </w:r>
      <w:r w:rsidRPr="009F5612">
        <w:rPr>
          <w:lang w:val="fr-FR"/>
        </w:rPr>
        <w:t xml:space="preserve">pour </w:t>
      </w:r>
      <w:r w:rsidR="0068593C">
        <w:rPr>
          <w:lang w:val="fr-FR"/>
        </w:rPr>
        <w:t xml:space="preserve">près de </w:t>
      </w:r>
      <w:r w:rsidRPr="009F5612">
        <w:rPr>
          <w:lang w:val="fr-FR"/>
        </w:rPr>
        <w:t>4 500 individus de la cohorte D.E.S.I.R. (Données Épidémiologiques sur le Syndrome d’</w:t>
      </w:r>
      <w:proofErr w:type="spellStart"/>
      <w:r w:rsidRPr="009F5612">
        <w:rPr>
          <w:lang w:val="fr-FR"/>
        </w:rPr>
        <w:t>Insulino</w:t>
      </w:r>
      <w:proofErr w:type="spellEnd"/>
      <w:r w:rsidRPr="009F5612">
        <w:rPr>
          <w:lang w:val="fr-FR"/>
        </w:rPr>
        <w:t>-Résistance), nous</w:t>
      </w:r>
      <w:r w:rsidR="0068593C">
        <w:rPr>
          <w:lang w:val="fr-FR"/>
        </w:rPr>
        <w:t xml:space="preserve"> avons</w:t>
      </w:r>
      <w:r w:rsidRPr="009F5612">
        <w:rPr>
          <w:lang w:val="fr-FR"/>
        </w:rPr>
        <w:t xml:space="preserve"> </w:t>
      </w:r>
      <w:r>
        <w:rPr>
          <w:lang w:val="fr-FR"/>
        </w:rPr>
        <w:t>analys</w:t>
      </w:r>
      <w:r w:rsidR="0068593C">
        <w:rPr>
          <w:lang w:val="fr-FR"/>
        </w:rPr>
        <w:t>é</w:t>
      </w:r>
      <w:r>
        <w:rPr>
          <w:lang w:val="fr-FR"/>
        </w:rPr>
        <w:t xml:space="preserve"> l’ensemble des </w:t>
      </w:r>
      <w:proofErr w:type="spellStart"/>
      <w:r>
        <w:rPr>
          <w:lang w:val="fr-FR"/>
        </w:rPr>
        <w:t>variants</w:t>
      </w:r>
      <w:proofErr w:type="spellEnd"/>
      <w:r>
        <w:rPr>
          <w:lang w:val="fr-FR"/>
        </w:rPr>
        <w:t xml:space="preserve"> génétiques disponibles</w:t>
      </w:r>
      <w:r w:rsidR="0068593C">
        <w:rPr>
          <w:lang w:val="fr-FR"/>
        </w:rPr>
        <w:t xml:space="preserve"> (</w:t>
      </w:r>
      <w:proofErr w:type="spellStart"/>
      <w:r w:rsidR="0068593C">
        <w:rPr>
          <w:lang w:val="fr-FR"/>
        </w:rPr>
        <w:t>SNPs</w:t>
      </w:r>
      <w:proofErr w:type="spellEnd"/>
      <w:r w:rsidR="0068593C">
        <w:rPr>
          <w:lang w:val="fr-FR"/>
        </w:rPr>
        <w:t>)</w:t>
      </w:r>
      <w:r>
        <w:rPr>
          <w:lang w:val="fr-FR"/>
        </w:rPr>
        <w:t>.</w:t>
      </w:r>
      <w:r>
        <w:rPr>
          <w:lang w:val="fr-FR"/>
        </w:rPr>
        <w:br/>
        <w:t>Une étude comparative de la puissance statistique</w:t>
      </w:r>
      <w:r w:rsidR="00F61AB7">
        <w:rPr>
          <w:lang w:val="fr-FR"/>
        </w:rPr>
        <w:t xml:space="preserve"> de l’approche par modèle joint par rapport aux approches classiques </w:t>
      </w:r>
      <w:r w:rsidR="0068593C">
        <w:rPr>
          <w:lang w:val="fr-FR"/>
        </w:rPr>
        <w:t>utilisées</w:t>
      </w:r>
      <w:r w:rsidR="00F61AB7">
        <w:rPr>
          <w:lang w:val="fr-FR"/>
        </w:rPr>
        <w:t xml:space="preserve"> </w:t>
      </w:r>
      <w:r w:rsidR="0068593C">
        <w:rPr>
          <w:lang w:val="fr-FR"/>
        </w:rPr>
        <w:t>dans les études d’associations pan-génomiques (</w:t>
      </w:r>
      <w:r w:rsidR="001834A6" w:rsidRPr="001834A6">
        <w:rPr>
          <w:i/>
          <w:lang w:val="fr-FR"/>
        </w:rPr>
        <w:t>GWAS</w:t>
      </w:r>
      <w:r w:rsidR="0068593C">
        <w:rPr>
          <w:lang w:val="fr-FR"/>
        </w:rPr>
        <w:t>)</w:t>
      </w:r>
      <w:r w:rsidR="00F61AB7">
        <w:rPr>
          <w:lang w:val="fr-FR"/>
        </w:rPr>
        <w:t xml:space="preserve"> </w:t>
      </w:r>
      <w:r w:rsidR="0068593C">
        <w:rPr>
          <w:lang w:val="fr-FR"/>
        </w:rPr>
        <w:t>a été</w:t>
      </w:r>
      <w:r w:rsidR="00F61AB7">
        <w:rPr>
          <w:lang w:val="fr-FR"/>
        </w:rPr>
        <w:t xml:space="preserve"> également réalisée.</w:t>
      </w:r>
    </w:p>
    <w:p w:rsidR="009F5612" w:rsidRPr="009F5612" w:rsidRDefault="009F5612" w:rsidP="009F5612">
      <w:pPr>
        <w:pStyle w:val="Titre1"/>
        <w:rPr>
          <w:lang w:val="fr-FR"/>
        </w:rPr>
      </w:pPr>
      <w:r w:rsidRPr="009F5612">
        <w:rPr>
          <w:lang w:val="fr-FR"/>
        </w:rPr>
        <w:t xml:space="preserve">Résultats </w:t>
      </w:r>
    </w:p>
    <w:p w:rsidR="009F5612" w:rsidRPr="009F5612" w:rsidRDefault="0068593C" w:rsidP="009F5612">
      <w:pPr>
        <w:rPr>
          <w:lang w:val="fr-FR"/>
        </w:rPr>
      </w:pPr>
      <w:r>
        <w:rPr>
          <w:lang w:val="fr-FR"/>
        </w:rPr>
        <w:t>Tel qu’attendu, n</w:t>
      </w:r>
      <w:r w:rsidR="009F5612" w:rsidRPr="009F5612">
        <w:rPr>
          <w:lang w:val="fr-FR"/>
        </w:rPr>
        <w:t>os résultats démontrent la forte association entre l</w:t>
      </w:r>
      <w:r w:rsidR="007F4BE4">
        <w:rPr>
          <w:lang w:val="fr-FR"/>
        </w:rPr>
        <w:t>a</w:t>
      </w:r>
      <w:r w:rsidR="009F5612" w:rsidRPr="009F5612">
        <w:rPr>
          <w:lang w:val="fr-FR"/>
        </w:rPr>
        <w:t xml:space="preserve"> g</w:t>
      </w:r>
      <w:r>
        <w:rPr>
          <w:lang w:val="fr-FR"/>
        </w:rPr>
        <w:t>lycémie à jeun</w:t>
      </w:r>
      <w:r w:rsidR="009F5612" w:rsidRPr="009F5612">
        <w:rPr>
          <w:lang w:val="fr-FR"/>
        </w:rPr>
        <w:t xml:space="preserve"> et l’incidence du DT2</w:t>
      </w:r>
      <w:r w:rsidR="002B49E8">
        <w:rPr>
          <w:lang w:val="fr-FR"/>
        </w:rPr>
        <w:t xml:space="preserve"> </w:t>
      </w:r>
      <w:r w:rsidR="009F5612" w:rsidRPr="009F5612">
        <w:rPr>
          <w:lang w:val="fr-FR"/>
        </w:rPr>
        <w:t xml:space="preserve">et confirment également l’association entre la glycémie et certains </w:t>
      </w:r>
      <w:proofErr w:type="spellStart"/>
      <w:r w:rsidR="009F5612" w:rsidRPr="009F5612">
        <w:rPr>
          <w:lang w:val="fr-FR"/>
        </w:rPr>
        <w:t>SNPs</w:t>
      </w:r>
      <w:proofErr w:type="spellEnd"/>
      <w:r w:rsidR="009F5612" w:rsidRPr="009F5612">
        <w:rPr>
          <w:lang w:val="fr-FR"/>
        </w:rPr>
        <w:t xml:space="preserve"> </w:t>
      </w:r>
      <w:r>
        <w:rPr>
          <w:lang w:val="fr-FR"/>
        </w:rPr>
        <w:t>rapportés dans les études</w:t>
      </w:r>
      <w:r w:rsidR="005C200B">
        <w:rPr>
          <w:lang w:val="fr-FR"/>
        </w:rPr>
        <w:t xml:space="preserve"> de type</w:t>
      </w:r>
      <w:r>
        <w:rPr>
          <w:lang w:val="fr-FR"/>
        </w:rPr>
        <w:t xml:space="preserve"> </w:t>
      </w:r>
      <w:r w:rsidR="001834A6" w:rsidRPr="001834A6">
        <w:rPr>
          <w:i/>
          <w:lang w:val="fr-FR"/>
        </w:rPr>
        <w:t>GWA</w:t>
      </w:r>
      <w:r>
        <w:rPr>
          <w:lang w:val="fr-FR"/>
        </w:rPr>
        <w:t>S</w:t>
      </w:r>
      <w:r w:rsidR="00F61AB7">
        <w:rPr>
          <w:lang w:val="fr-FR"/>
        </w:rPr>
        <w:t>, tels que</w:t>
      </w:r>
      <w:r w:rsidR="005C200B">
        <w:rPr>
          <w:lang w:val="fr-FR"/>
        </w:rPr>
        <w:t xml:space="preserve"> les </w:t>
      </w:r>
      <w:proofErr w:type="spellStart"/>
      <w:r w:rsidR="005C200B">
        <w:rPr>
          <w:lang w:val="fr-FR"/>
        </w:rPr>
        <w:t>SNPs</w:t>
      </w:r>
      <w:proofErr w:type="spellEnd"/>
      <w:r w:rsidR="005C200B">
        <w:rPr>
          <w:lang w:val="fr-FR"/>
        </w:rPr>
        <w:t xml:space="preserve"> situés dans les gènes</w:t>
      </w:r>
      <w:r w:rsidR="00F61AB7">
        <w:rPr>
          <w:lang w:val="fr-FR"/>
        </w:rPr>
        <w:t xml:space="preserve"> </w:t>
      </w:r>
      <w:r w:rsidR="001834A6" w:rsidRPr="001834A6">
        <w:rPr>
          <w:i/>
          <w:lang w:val="fr-FR"/>
        </w:rPr>
        <w:t>G6PC2</w:t>
      </w:r>
      <w:r w:rsidR="00F61AB7">
        <w:rPr>
          <w:lang w:val="fr-FR"/>
        </w:rPr>
        <w:t xml:space="preserve"> ou encore </w:t>
      </w:r>
      <w:r w:rsidR="001834A6" w:rsidRPr="001834A6">
        <w:rPr>
          <w:i/>
          <w:lang w:val="fr-FR"/>
        </w:rPr>
        <w:t>TCF7L2</w:t>
      </w:r>
      <w:r w:rsidR="009F5612" w:rsidRPr="009F5612">
        <w:rPr>
          <w:lang w:val="fr-FR"/>
        </w:rPr>
        <w:t xml:space="preserve">. </w:t>
      </w:r>
      <w:r w:rsidR="00F61AB7">
        <w:rPr>
          <w:lang w:val="fr-FR"/>
        </w:rPr>
        <w:t xml:space="preserve">Les associations relevées ici sont pour la plupart nominales </w:t>
      </w:r>
      <w:r w:rsidR="00F61AB7" w:rsidRPr="009F5612">
        <w:rPr>
          <w:lang w:val="fr-FR"/>
        </w:rPr>
        <w:t xml:space="preserve">(p-valeur &lt; </w:t>
      </w:r>
      <w:r w:rsidR="00F61AB7">
        <w:rPr>
          <w:lang w:val="fr-FR"/>
        </w:rPr>
        <w:t>0,05</w:t>
      </w:r>
      <w:r w:rsidR="00F61AB7" w:rsidRPr="009F5612">
        <w:rPr>
          <w:lang w:val="fr-FR"/>
        </w:rPr>
        <w:t>)</w:t>
      </w:r>
      <w:r w:rsidR="009F5612" w:rsidRPr="009F5612">
        <w:rPr>
          <w:lang w:val="fr-FR"/>
        </w:rPr>
        <w:t>, principalement en raison de la faible taille de notre cohorte en comparaison aux tailles d’effec</w:t>
      </w:r>
      <w:r w:rsidR="009F5612">
        <w:rPr>
          <w:lang w:val="fr-FR"/>
        </w:rPr>
        <w:t>tifs utilisées en méta-analyse</w:t>
      </w:r>
      <w:r w:rsidR="00F61AB7">
        <w:rPr>
          <w:lang w:val="fr-FR"/>
        </w:rPr>
        <w:t xml:space="preserve">, et notamment </w:t>
      </w:r>
      <w:r w:rsidR="005C200B">
        <w:rPr>
          <w:lang w:val="fr-FR"/>
        </w:rPr>
        <w:t>en raison du</w:t>
      </w:r>
      <w:r w:rsidR="00F61AB7">
        <w:rPr>
          <w:lang w:val="fr-FR"/>
        </w:rPr>
        <w:t xml:space="preserve"> nombre </w:t>
      </w:r>
      <w:r w:rsidR="005C200B">
        <w:rPr>
          <w:lang w:val="fr-FR"/>
        </w:rPr>
        <w:t xml:space="preserve">peu élevé </w:t>
      </w:r>
      <w:r w:rsidR="00F61AB7">
        <w:rPr>
          <w:lang w:val="fr-FR"/>
        </w:rPr>
        <w:t>de cas de DT2 incident (environ 5%</w:t>
      </w:r>
      <w:r w:rsidR="005C200B">
        <w:rPr>
          <w:lang w:val="fr-FR"/>
        </w:rPr>
        <w:t xml:space="preserve"> dans la cohorte D.E.S.I.R.</w:t>
      </w:r>
      <w:r w:rsidR="00F61AB7">
        <w:rPr>
          <w:lang w:val="fr-FR"/>
        </w:rPr>
        <w:t>)</w:t>
      </w:r>
      <w:r w:rsidR="009F5612">
        <w:rPr>
          <w:lang w:val="fr-FR"/>
        </w:rPr>
        <w:t>.</w:t>
      </w:r>
      <w:r w:rsidR="00F61AB7">
        <w:rPr>
          <w:lang w:val="fr-FR"/>
        </w:rPr>
        <w:br/>
        <w:t>Notre analyse par modèle joint a révélé que les</w:t>
      </w:r>
      <w:r w:rsidR="005C200B">
        <w:rPr>
          <w:lang w:val="fr-FR"/>
        </w:rPr>
        <w:t xml:space="preserve"> </w:t>
      </w:r>
      <w:proofErr w:type="spellStart"/>
      <w:r w:rsidR="005C200B">
        <w:rPr>
          <w:lang w:val="fr-FR"/>
        </w:rPr>
        <w:t>SNPs</w:t>
      </w:r>
      <w:proofErr w:type="spellEnd"/>
      <w:r w:rsidR="00F61AB7">
        <w:rPr>
          <w:lang w:val="fr-FR"/>
        </w:rPr>
        <w:t xml:space="preserve"> </w:t>
      </w:r>
      <w:r w:rsidR="005C200B">
        <w:rPr>
          <w:lang w:val="fr-FR"/>
        </w:rPr>
        <w:t>se situant près ou dans le</w:t>
      </w:r>
      <w:r w:rsidR="00F61AB7">
        <w:rPr>
          <w:lang w:val="fr-FR"/>
        </w:rPr>
        <w:t xml:space="preserve"> gène </w:t>
      </w:r>
      <w:r w:rsidR="001834A6" w:rsidRPr="001834A6">
        <w:rPr>
          <w:i/>
          <w:lang w:val="fr-FR"/>
        </w:rPr>
        <w:t>MTNR1B</w:t>
      </w:r>
      <w:r w:rsidR="00F61AB7">
        <w:rPr>
          <w:lang w:val="fr-FR"/>
        </w:rPr>
        <w:t xml:space="preserve"> pourraient ne pas avoir d’effet joint sur l’élévation de la glycémie à jeun et du risque de survenue du DT2.</w:t>
      </w:r>
    </w:p>
    <w:p w:rsidR="009F5612" w:rsidRPr="009F5612" w:rsidRDefault="009F5612" w:rsidP="009F5612">
      <w:pPr>
        <w:pStyle w:val="Titre1"/>
        <w:rPr>
          <w:lang w:val="fr-FR"/>
        </w:rPr>
      </w:pPr>
      <w:r w:rsidRPr="009F5612">
        <w:rPr>
          <w:lang w:val="fr-FR"/>
        </w:rPr>
        <w:t xml:space="preserve">Discussion </w:t>
      </w:r>
    </w:p>
    <w:p w:rsidR="00040468" w:rsidRDefault="00F61AB7" w:rsidP="009F5612">
      <w:pPr>
        <w:rPr>
          <w:lang w:val="fr-FR"/>
        </w:rPr>
      </w:pPr>
      <w:bookmarkStart w:id="0" w:name="_GoBack"/>
      <w:r>
        <w:rPr>
          <w:lang w:val="fr-FR"/>
        </w:rPr>
        <w:t xml:space="preserve">L’analyse par modèle joint a montré, d’une part, une grande cohérence avec les résultats des </w:t>
      </w:r>
      <w:r w:rsidR="005C200B">
        <w:rPr>
          <w:lang w:val="fr-FR"/>
        </w:rPr>
        <w:t xml:space="preserve">études de type </w:t>
      </w:r>
      <w:r w:rsidR="001834A6" w:rsidRPr="001834A6">
        <w:rPr>
          <w:i/>
          <w:lang w:val="fr-FR"/>
        </w:rPr>
        <w:t>GWAS</w:t>
      </w:r>
      <w:r>
        <w:rPr>
          <w:lang w:val="fr-FR"/>
        </w:rPr>
        <w:t>, et d’autre part,</w:t>
      </w:r>
      <w:r w:rsidR="005C200B">
        <w:rPr>
          <w:lang w:val="fr-FR"/>
        </w:rPr>
        <w:t xml:space="preserve"> semble indiquer</w:t>
      </w:r>
      <w:r w:rsidR="002B49E8">
        <w:rPr>
          <w:lang w:val="fr-FR"/>
        </w:rPr>
        <w:t xml:space="preserve"> </w:t>
      </w:r>
      <w:r>
        <w:rPr>
          <w:lang w:val="fr-FR"/>
        </w:rPr>
        <w:t xml:space="preserve">un gain de puissance statistique pour </w:t>
      </w:r>
      <w:r>
        <w:rPr>
          <w:lang w:val="fr-FR"/>
        </w:rPr>
        <w:lastRenderedPageBreak/>
        <w:t xml:space="preserve">détecter </w:t>
      </w:r>
      <w:r w:rsidR="005C200B">
        <w:rPr>
          <w:lang w:val="fr-FR"/>
        </w:rPr>
        <w:t>l’</w:t>
      </w:r>
      <w:r>
        <w:rPr>
          <w:lang w:val="fr-FR"/>
        </w:rPr>
        <w:t>effet d</w:t>
      </w:r>
      <w:r w:rsidR="005C200B">
        <w:rPr>
          <w:lang w:val="fr-FR"/>
        </w:rPr>
        <w:t>’un SNP</w:t>
      </w:r>
      <w:r>
        <w:rPr>
          <w:lang w:val="fr-FR"/>
        </w:rPr>
        <w:t xml:space="preserve"> sur l’évolution de la glycémie à jeun et/ou sur la survenue du DT2.</w:t>
      </w:r>
      <w:r w:rsidR="002B49E8">
        <w:rPr>
          <w:lang w:val="fr-FR"/>
        </w:rPr>
        <w:t xml:space="preserve"> </w:t>
      </w:r>
      <w:r>
        <w:rPr>
          <w:lang w:val="fr-FR"/>
        </w:rPr>
        <w:t xml:space="preserve">De plus, le résultat obtenu pour le gène </w:t>
      </w:r>
      <w:r w:rsidR="001834A6" w:rsidRPr="001834A6">
        <w:rPr>
          <w:i/>
          <w:lang w:val="fr-FR"/>
        </w:rPr>
        <w:t>MTNR1</w:t>
      </w:r>
      <w:r>
        <w:rPr>
          <w:lang w:val="fr-FR"/>
        </w:rPr>
        <w:t xml:space="preserve">B, </w:t>
      </w:r>
      <w:r w:rsidR="00A82A02">
        <w:rPr>
          <w:lang w:val="fr-FR"/>
        </w:rPr>
        <w:t xml:space="preserve">tend à </w:t>
      </w:r>
      <w:r>
        <w:rPr>
          <w:lang w:val="fr-FR"/>
        </w:rPr>
        <w:t>montre</w:t>
      </w:r>
      <w:r w:rsidR="00A82A02">
        <w:rPr>
          <w:lang w:val="fr-FR"/>
        </w:rPr>
        <w:t>r</w:t>
      </w:r>
      <w:r>
        <w:rPr>
          <w:lang w:val="fr-FR"/>
        </w:rPr>
        <w:t xml:space="preserve"> qu</w:t>
      </w:r>
      <w:r w:rsidR="00A82A02">
        <w:rPr>
          <w:lang w:val="fr-FR"/>
        </w:rPr>
        <w:t xml:space="preserve">’une </w:t>
      </w:r>
      <w:r>
        <w:rPr>
          <w:lang w:val="fr-FR"/>
        </w:rPr>
        <w:t>modélisation</w:t>
      </w:r>
      <w:r w:rsidR="00A82A02">
        <w:rPr>
          <w:lang w:val="fr-FR"/>
        </w:rPr>
        <w:t xml:space="preserve"> statistique</w:t>
      </w:r>
      <w:r>
        <w:rPr>
          <w:lang w:val="fr-FR"/>
        </w:rPr>
        <w:t xml:space="preserve"> </w:t>
      </w:r>
      <w:r w:rsidR="00A82A02">
        <w:rPr>
          <w:lang w:val="fr-FR"/>
        </w:rPr>
        <w:t>simultanée</w:t>
      </w:r>
      <w:r>
        <w:rPr>
          <w:lang w:val="fr-FR"/>
        </w:rPr>
        <w:t xml:space="preserve"> des deux processus</w:t>
      </w:r>
      <w:r w:rsidR="00A82A02">
        <w:rPr>
          <w:lang w:val="fr-FR"/>
        </w:rPr>
        <w:t>, à savoir l’</w:t>
      </w:r>
      <w:r>
        <w:rPr>
          <w:lang w:val="fr-FR"/>
        </w:rPr>
        <w:t xml:space="preserve">évolution de la glycémie et </w:t>
      </w:r>
      <w:r w:rsidR="00A82A02">
        <w:rPr>
          <w:lang w:val="fr-FR"/>
        </w:rPr>
        <w:t xml:space="preserve">du </w:t>
      </w:r>
      <w:r>
        <w:rPr>
          <w:lang w:val="fr-FR"/>
        </w:rPr>
        <w:t>risque de DT2 au cours du temps</w:t>
      </w:r>
      <w:r w:rsidR="00A82A02">
        <w:rPr>
          <w:lang w:val="fr-FR"/>
        </w:rPr>
        <w:t>,</w:t>
      </w:r>
      <w:r>
        <w:rPr>
          <w:lang w:val="fr-FR"/>
        </w:rPr>
        <w:t xml:space="preserve"> pourrait </w:t>
      </w:r>
      <w:r w:rsidR="00A82A02">
        <w:rPr>
          <w:lang w:val="fr-FR"/>
        </w:rPr>
        <w:t xml:space="preserve">mener à une identification plus fine des </w:t>
      </w:r>
      <w:proofErr w:type="spellStart"/>
      <w:r w:rsidR="00A82A02">
        <w:rPr>
          <w:lang w:val="fr-FR"/>
        </w:rPr>
        <w:t>variants</w:t>
      </w:r>
      <w:proofErr w:type="spellEnd"/>
      <w:r w:rsidR="00A82A02">
        <w:rPr>
          <w:lang w:val="fr-FR"/>
        </w:rPr>
        <w:t xml:space="preserve"> génétiques ass</w:t>
      </w:r>
      <w:r w:rsidR="007F4BE4">
        <w:rPr>
          <w:lang w:val="fr-FR"/>
        </w:rPr>
        <w:t>ociés à l’homéostasie du glucose sanguin ou à la physiopathologie du diabète</w:t>
      </w:r>
      <w:r w:rsidR="00A82A02">
        <w:rPr>
          <w:lang w:val="fr-FR"/>
        </w:rPr>
        <w:t>.</w:t>
      </w:r>
    </w:p>
    <w:bookmarkEnd w:id="0"/>
    <w:p w:rsidR="002B49E8" w:rsidRPr="009F5612" w:rsidRDefault="002B49E8" w:rsidP="009F5612">
      <w:pPr>
        <w:rPr>
          <w:lang w:val="fr-FR"/>
        </w:rPr>
      </w:pPr>
    </w:p>
    <w:sectPr w:rsidR="002B49E8" w:rsidRPr="009F5612" w:rsidSect="00A22E88">
      <w:pgSz w:w="12240" w:h="15840" w:code="119"/>
      <w:pgMar w:top="1418" w:right="1418" w:bottom="1418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FRM10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7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7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26730C"/>
    <w:multiLevelType w:val="hybridMultilevel"/>
    <w:tmpl w:val="C15A3718"/>
    <w:lvl w:ilvl="0" w:tplc="9F7CF528">
      <w:start w:val="1"/>
      <w:numFmt w:val="decimal"/>
      <w:pStyle w:val="ImageCaption"/>
      <w:suff w:val="space"/>
      <w:lvlText w:val="Figure 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C43156"/>
    <w:multiLevelType w:val="hybridMultilevel"/>
    <w:tmpl w:val="53FC4F4A"/>
    <w:lvl w:ilvl="0" w:tplc="C778D2AA">
      <w:start w:val="1"/>
      <w:numFmt w:val="decimal"/>
      <w:pStyle w:val="TableCaption"/>
      <w:suff w:val="space"/>
      <w:lvlText w:val="Table 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20"/>
  <w:hyphenationZone w:val="425"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0468"/>
    <w:rsid w:val="00040468"/>
    <w:rsid w:val="00045CCD"/>
    <w:rsid w:val="000738C4"/>
    <w:rsid w:val="00083544"/>
    <w:rsid w:val="001112F3"/>
    <w:rsid w:val="001834A6"/>
    <w:rsid w:val="0021122C"/>
    <w:rsid w:val="002A3252"/>
    <w:rsid w:val="002B49E8"/>
    <w:rsid w:val="003432D3"/>
    <w:rsid w:val="00363D55"/>
    <w:rsid w:val="003C1CE8"/>
    <w:rsid w:val="003E6D1B"/>
    <w:rsid w:val="003E7AD7"/>
    <w:rsid w:val="004532A6"/>
    <w:rsid w:val="004E688E"/>
    <w:rsid w:val="00520693"/>
    <w:rsid w:val="005330D9"/>
    <w:rsid w:val="005C200B"/>
    <w:rsid w:val="00674A6E"/>
    <w:rsid w:val="0068593C"/>
    <w:rsid w:val="006C72A6"/>
    <w:rsid w:val="00724C36"/>
    <w:rsid w:val="007525B5"/>
    <w:rsid w:val="0079173A"/>
    <w:rsid w:val="007E6F55"/>
    <w:rsid w:val="007F4BE4"/>
    <w:rsid w:val="00805A40"/>
    <w:rsid w:val="00855369"/>
    <w:rsid w:val="00962036"/>
    <w:rsid w:val="009C29B5"/>
    <w:rsid w:val="009E775D"/>
    <w:rsid w:val="009F5612"/>
    <w:rsid w:val="00A04FB8"/>
    <w:rsid w:val="00A22E88"/>
    <w:rsid w:val="00A2524D"/>
    <w:rsid w:val="00A475A5"/>
    <w:rsid w:val="00A653E9"/>
    <w:rsid w:val="00A82A02"/>
    <w:rsid w:val="00B16F85"/>
    <w:rsid w:val="00B42351"/>
    <w:rsid w:val="00B92CCA"/>
    <w:rsid w:val="00BA20AF"/>
    <w:rsid w:val="00BB305D"/>
    <w:rsid w:val="00BB767B"/>
    <w:rsid w:val="00C434EC"/>
    <w:rsid w:val="00C547AD"/>
    <w:rsid w:val="00C82803"/>
    <w:rsid w:val="00CE4D38"/>
    <w:rsid w:val="00D03300"/>
    <w:rsid w:val="00D21B13"/>
    <w:rsid w:val="00DB3C67"/>
    <w:rsid w:val="00DC239C"/>
    <w:rsid w:val="00EC09F7"/>
    <w:rsid w:val="00F17A99"/>
    <w:rsid w:val="00F61AB7"/>
    <w:rsid w:val="00FA6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AF1DE3F-F9A7-458E-A579-37CC4218F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5612"/>
    <w:rPr>
      <w:sz w:val="24"/>
      <w:szCs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9F5612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F5612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9F5612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9F5612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9F5612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9F5612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9F5612"/>
    <w:pPr>
      <w:spacing w:before="240" w:after="60"/>
      <w:outlineLvl w:val="6"/>
    </w:pPr>
    <w:rPr>
      <w:rFonts w:cstheme="majorBidi"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rsid w:val="009F5612"/>
    <w:pPr>
      <w:spacing w:before="240" w:after="60"/>
      <w:outlineLvl w:val="7"/>
    </w:pPr>
    <w:rPr>
      <w:rFonts w:cstheme="majorBidi"/>
      <w:i/>
      <w:iCs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rsid w:val="009F5612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674A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auGrille4-Accentuation51">
    <w:name w:val="Tableau Grille 4 - Accentuation 51"/>
    <w:basedOn w:val="TableauNormal"/>
    <w:uiPriority w:val="49"/>
    <w:rsid w:val="00674A6E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TableauGrille4-Accentuation61">
    <w:name w:val="Tableau Grille 4 - Accentuation 61"/>
    <w:basedOn w:val="TableauNormal"/>
    <w:uiPriority w:val="49"/>
    <w:rsid w:val="00674A6E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TableauListe3-Accentuation51">
    <w:name w:val="Tableau Liste 3 - Accentuation 51"/>
    <w:basedOn w:val="TableauNormal"/>
    <w:uiPriority w:val="48"/>
    <w:rsid w:val="00674A6E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customStyle="1" w:styleId="TableStyleCustom">
    <w:name w:val="Table Style Custom"/>
    <w:basedOn w:val="TableauListe3-Accentuation11"/>
    <w:uiPriority w:val="99"/>
    <w:rsid w:val="00674A6E"/>
    <w:tblPr/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 w:val="0"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customStyle="1" w:styleId="TableauListe3-Accentuation11">
    <w:name w:val="Tableau Liste 3 - Accentuation 11"/>
    <w:basedOn w:val="TableauNormal"/>
    <w:uiPriority w:val="48"/>
    <w:rsid w:val="00C82803"/>
    <w:pPr>
      <w:spacing w:line="276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Authors">
    <w:name w:val="Authors"/>
    <w:basedOn w:val="Sous-titre"/>
    <w:next w:val="Normal"/>
    <w:rsid w:val="00C82803"/>
    <w:pPr>
      <w:keepNext/>
      <w:keepLines/>
    </w:pPr>
  </w:style>
  <w:style w:type="paragraph" w:styleId="Sous-titre">
    <w:name w:val="Subtitle"/>
    <w:basedOn w:val="Normal"/>
    <w:next w:val="Normal"/>
    <w:link w:val="Sous-titreCar"/>
    <w:uiPriority w:val="11"/>
    <w:qFormat/>
    <w:rsid w:val="009F5612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Sous-titreCar">
    <w:name w:val="Sous-titre Car"/>
    <w:basedOn w:val="Policepardfaut"/>
    <w:link w:val="Sous-titre"/>
    <w:uiPriority w:val="11"/>
    <w:rsid w:val="009F5612"/>
    <w:rPr>
      <w:rFonts w:asciiTheme="majorHAnsi" w:eastAsiaTheme="majorEastAsia" w:hAnsiTheme="majorHAnsi" w:cstheme="majorBidi"/>
      <w:sz w:val="24"/>
      <w:szCs w:val="24"/>
    </w:rPr>
  </w:style>
  <w:style w:type="character" w:styleId="Accentuation">
    <w:name w:val="Emphasis"/>
    <w:basedOn w:val="Policepardfaut"/>
    <w:uiPriority w:val="20"/>
    <w:qFormat/>
    <w:rsid w:val="009F5612"/>
    <w:rPr>
      <w:rFonts w:asciiTheme="minorHAnsi" w:hAnsiTheme="minorHAnsi"/>
      <w:b/>
      <w:i/>
      <w:iCs/>
    </w:rPr>
  </w:style>
  <w:style w:type="character" w:customStyle="1" w:styleId="AlertTok">
    <w:name w:val="AlertTok"/>
    <w:basedOn w:val="Policepardfaut"/>
    <w:rsid w:val="00C82803"/>
    <w:rPr>
      <w:rFonts w:ascii="Consolas" w:hAnsi="Consolas"/>
      <w:b/>
      <w:bCs/>
      <w:i/>
      <w:color w:val="EF2929"/>
      <w:sz w:val="22"/>
      <w:szCs w:val="18"/>
      <w:shd w:val="clear" w:color="auto" w:fill="F8F8F8"/>
    </w:rPr>
  </w:style>
  <w:style w:type="character" w:customStyle="1" w:styleId="BaseNTok">
    <w:name w:val="BaseNTok"/>
    <w:basedOn w:val="Policepardfaut"/>
    <w:rsid w:val="00C82803"/>
    <w:rPr>
      <w:rFonts w:ascii="Consolas" w:hAnsi="Consolas"/>
      <w:b/>
      <w:bCs/>
      <w:i/>
      <w:color w:val="0000CF"/>
      <w:sz w:val="22"/>
      <w:szCs w:val="18"/>
      <w:shd w:val="clear" w:color="auto" w:fill="F8F8F8"/>
    </w:rPr>
  </w:style>
  <w:style w:type="paragraph" w:customStyle="1" w:styleId="BlockQuote">
    <w:name w:val="Block Quote"/>
    <w:basedOn w:val="Normal"/>
    <w:next w:val="Normal"/>
    <w:uiPriority w:val="9"/>
    <w:unhideWhenUsed/>
    <w:rsid w:val="00C82803"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customStyle="1" w:styleId="CharTok">
    <w:name w:val="CharTok"/>
    <w:basedOn w:val="Policepardfaut"/>
    <w:rsid w:val="00C82803"/>
    <w:rPr>
      <w:rFonts w:ascii="Consolas" w:hAnsi="Consolas"/>
      <w:b/>
      <w:bCs/>
      <w:i/>
      <w:color w:val="4E9A06"/>
      <w:sz w:val="22"/>
      <w:szCs w:val="18"/>
      <w:shd w:val="clear" w:color="auto" w:fill="F8F8F8"/>
    </w:rPr>
  </w:style>
  <w:style w:type="paragraph" w:styleId="Citation">
    <w:name w:val="Quote"/>
    <w:basedOn w:val="Normal"/>
    <w:next w:val="Normal"/>
    <w:link w:val="CitationCar"/>
    <w:uiPriority w:val="29"/>
    <w:qFormat/>
    <w:rsid w:val="009F5612"/>
    <w:rPr>
      <w:i/>
    </w:rPr>
  </w:style>
  <w:style w:type="character" w:customStyle="1" w:styleId="CitationCar">
    <w:name w:val="Citation Car"/>
    <w:basedOn w:val="Policepardfaut"/>
    <w:link w:val="Citation"/>
    <w:uiPriority w:val="29"/>
    <w:rsid w:val="009F5612"/>
    <w:rPr>
      <w:i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F5612"/>
    <w:pPr>
      <w:ind w:left="720" w:right="720"/>
    </w:pPr>
    <w:rPr>
      <w:b/>
      <w:i/>
      <w:szCs w:val="22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F5612"/>
    <w:rPr>
      <w:b/>
      <w:i/>
      <w:sz w:val="24"/>
    </w:rPr>
  </w:style>
  <w:style w:type="character" w:customStyle="1" w:styleId="CommentTok">
    <w:name w:val="CommentTok"/>
    <w:basedOn w:val="Policepardfaut"/>
    <w:rsid w:val="00C82803"/>
    <w:rPr>
      <w:rFonts w:ascii="Consolas" w:hAnsi="Consolas"/>
      <w:b/>
      <w:bCs/>
      <w:i w:val="0"/>
      <w:color w:val="8F5902"/>
      <w:sz w:val="22"/>
      <w:szCs w:val="18"/>
      <w:shd w:val="clear" w:color="auto" w:fill="F8F8F8"/>
    </w:rPr>
  </w:style>
  <w:style w:type="paragraph" w:customStyle="1" w:styleId="Compact">
    <w:name w:val="Compact"/>
    <w:basedOn w:val="Normal"/>
    <w:rsid w:val="00C82803"/>
    <w:pPr>
      <w:spacing w:before="36" w:after="36"/>
    </w:pPr>
  </w:style>
  <w:style w:type="paragraph" w:styleId="Corpsdetexte">
    <w:name w:val="Body Text"/>
    <w:basedOn w:val="Normal"/>
    <w:link w:val="CorpsdetexteCar"/>
    <w:rsid w:val="00C82803"/>
    <w:pPr>
      <w:spacing w:after="120"/>
    </w:pPr>
  </w:style>
  <w:style w:type="character" w:customStyle="1" w:styleId="CorpsdetexteCar">
    <w:name w:val="Corps de texte Car"/>
    <w:basedOn w:val="Policepardfaut"/>
    <w:link w:val="Corpsdetexte"/>
    <w:rsid w:val="00C82803"/>
    <w:rPr>
      <w:rFonts w:eastAsiaTheme="minorEastAsia"/>
    </w:rPr>
  </w:style>
  <w:style w:type="character" w:customStyle="1" w:styleId="DataTypeTok">
    <w:name w:val="DataTypeTok"/>
    <w:basedOn w:val="Policepardfaut"/>
    <w:rsid w:val="00C82803"/>
    <w:rPr>
      <w:rFonts w:ascii="Consolas" w:hAnsi="Consolas"/>
      <w:b/>
      <w:bCs/>
      <w:i/>
      <w:color w:val="204A87"/>
      <w:sz w:val="22"/>
      <w:szCs w:val="18"/>
      <w:shd w:val="clear" w:color="auto" w:fill="F8F8F8"/>
    </w:rPr>
  </w:style>
  <w:style w:type="paragraph" w:styleId="Date">
    <w:name w:val="Date"/>
    <w:next w:val="Normal"/>
    <w:link w:val="DateCar"/>
    <w:rsid w:val="00C82803"/>
    <w:pPr>
      <w:keepNext/>
      <w:keepLines/>
      <w:spacing w:after="200" w:line="276" w:lineRule="auto"/>
      <w:jc w:val="center"/>
    </w:pPr>
  </w:style>
  <w:style w:type="character" w:customStyle="1" w:styleId="DateCar">
    <w:name w:val="Date Car"/>
    <w:basedOn w:val="Policepardfaut"/>
    <w:link w:val="Date"/>
    <w:rsid w:val="00C82803"/>
    <w:rPr>
      <w:rFonts w:eastAsiaTheme="minorEastAsia"/>
    </w:rPr>
  </w:style>
  <w:style w:type="character" w:customStyle="1" w:styleId="DecValTok">
    <w:name w:val="DecValTok"/>
    <w:basedOn w:val="Policepardfaut"/>
    <w:rsid w:val="00C82803"/>
    <w:rPr>
      <w:rFonts w:ascii="Consolas" w:hAnsi="Consolas"/>
      <w:b/>
      <w:bCs/>
      <w:i/>
      <w:color w:val="0000CF"/>
      <w:sz w:val="22"/>
      <w:szCs w:val="18"/>
      <w:shd w:val="clear" w:color="auto" w:fill="F8F8F8"/>
    </w:rPr>
  </w:style>
  <w:style w:type="paragraph" w:customStyle="1" w:styleId="Definition">
    <w:name w:val="Definition"/>
    <w:basedOn w:val="Normal"/>
    <w:rsid w:val="00C82803"/>
  </w:style>
  <w:style w:type="paragraph" w:customStyle="1" w:styleId="DefinitionTerm">
    <w:name w:val="Definition Term"/>
    <w:basedOn w:val="Normal"/>
    <w:next w:val="Definition"/>
    <w:rsid w:val="00C82803"/>
    <w:pPr>
      <w:keepNext/>
      <w:keepLines/>
    </w:pPr>
    <w:rPr>
      <w:b/>
    </w:rPr>
  </w:style>
  <w:style w:type="character" w:styleId="lev">
    <w:name w:val="Strong"/>
    <w:basedOn w:val="Policepardfaut"/>
    <w:uiPriority w:val="22"/>
    <w:qFormat/>
    <w:rsid w:val="009F5612"/>
    <w:rPr>
      <w:b/>
      <w:bCs/>
    </w:rPr>
  </w:style>
  <w:style w:type="character" w:styleId="Emphaseintense">
    <w:name w:val="Intense Emphasis"/>
    <w:basedOn w:val="Policepardfaut"/>
    <w:uiPriority w:val="21"/>
    <w:qFormat/>
    <w:rsid w:val="009F5612"/>
    <w:rPr>
      <w:b/>
      <w:i/>
      <w:sz w:val="24"/>
      <w:szCs w:val="24"/>
      <w:u w:val="single"/>
    </w:rPr>
  </w:style>
  <w:style w:type="character" w:styleId="Emphaseple">
    <w:name w:val="Subtle Emphasis"/>
    <w:uiPriority w:val="19"/>
    <w:qFormat/>
    <w:rsid w:val="009F5612"/>
    <w:rPr>
      <w:i/>
      <w:color w:val="5A5A5A" w:themeColor="text1" w:themeTint="A5"/>
    </w:rPr>
  </w:style>
  <w:style w:type="character" w:customStyle="1" w:styleId="Titre1Car">
    <w:name w:val="Titre 1 Car"/>
    <w:basedOn w:val="Policepardfaut"/>
    <w:link w:val="Titre1"/>
    <w:uiPriority w:val="9"/>
    <w:rsid w:val="009F5612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9F5612"/>
    <w:pPr>
      <w:outlineLvl w:val="9"/>
    </w:pPr>
  </w:style>
  <w:style w:type="character" w:customStyle="1" w:styleId="ErrorTok">
    <w:name w:val="ErrorTok"/>
    <w:basedOn w:val="Policepardfaut"/>
    <w:rsid w:val="00C82803"/>
    <w:rPr>
      <w:rFonts w:ascii="Consolas" w:hAnsi="Consolas"/>
      <w:b w:val="0"/>
      <w:bCs/>
      <w:i/>
      <w:color w:val="5B9BD5" w:themeColor="accent1"/>
      <w:sz w:val="22"/>
      <w:szCs w:val="18"/>
      <w:shd w:val="clear" w:color="auto" w:fill="F8F8F8"/>
    </w:rPr>
  </w:style>
  <w:style w:type="character" w:customStyle="1" w:styleId="FloatTok">
    <w:name w:val="FloatTok"/>
    <w:basedOn w:val="Policepardfaut"/>
    <w:rsid w:val="00C82803"/>
    <w:rPr>
      <w:rFonts w:ascii="Consolas" w:hAnsi="Consolas"/>
      <w:b/>
      <w:bCs/>
      <w:i/>
      <w:color w:val="0000CF"/>
      <w:sz w:val="22"/>
      <w:szCs w:val="18"/>
      <w:shd w:val="clear" w:color="auto" w:fill="F8F8F8"/>
    </w:rPr>
  </w:style>
  <w:style w:type="character" w:customStyle="1" w:styleId="FootnoteRef">
    <w:name w:val="Footnote Ref"/>
    <w:basedOn w:val="Policepardfaut"/>
    <w:rsid w:val="00C82803"/>
    <w:rPr>
      <w:b/>
      <w:bCs/>
      <w:i/>
      <w:color w:val="5B9BD5" w:themeColor="accent1"/>
      <w:sz w:val="18"/>
      <w:szCs w:val="18"/>
      <w:vertAlign w:val="superscript"/>
    </w:rPr>
  </w:style>
  <w:style w:type="character" w:customStyle="1" w:styleId="FunctionTok">
    <w:name w:val="FunctionTok"/>
    <w:basedOn w:val="Policepardfaut"/>
    <w:rsid w:val="00C82803"/>
    <w:rPr>
      <w:rFonts w:ascii="Consolas" w:hAnsi="Consolas"/>
      <w:b/>
      <w:bCs/>
      <w:i/>
      <w:color w:val="000000"/>
      <w:sz w:val="22"/>
      <w:szCs w:val="18"/>
      <w:shd w:val="clear" w:color="auto" w:fill="F8F8F8"/>
    </w:rPr>
  </w:style>
  <w:style w:type="paragraph" w:styleId="Lgende">
    <w:name w:val="caption"/>
    <w:basedOn w:val="Normal"/>
    <w:next w:val="Normal"/>
    <w:uiPriority w:val="35"/>
    <w:semiHidden/>
    <w:unhideWhenUsed/>
    <w:rsid w:val="00C82803"/>
    <w:rPr>
      <w:b/>
      <w:bCs/>
      <w:color w:val="5B9BD5" w:themeColor="accent1"/>
      <w:sz w:val="18"/>
      <w:szCs w:val="18"/>
    </w:rPr>
  </w:style>
  <w:style w:type="paragraph" w:customStyle="1" w:styleId="ImageCaption">
    <w:name w:val="Image Caption"/>
    <w:basedOn w:val="Lgende"/>
    <w:link w:val="ImageCaptionCar"/>
    <w:rsid w:val="00C82803"/>
    <w:pPr>
      <w:numPr>
        <w:numId w:val="1"/>
      </w:numPr>
      <w:spacing w:after="120"/>
      <w:jc w:val="center"/>
    </w:pPr>
    <w:rPr>
      <w:i/>
    </w:rPr>
  </w:style>
  <w:style w:type="character" w:customStyle="1" w:styleId="ImageCaptionCar">
    <w:name w:val="Image Caption Car"/>
    <w:basedOn w:val="Policepardfaut"/>
    <w:link w:val="ImageCaption"/>
    <w:rsid w:val="00C82803"/>
    <w:rPr>
      <w:rFonts w:eastAsiaTheme="minorEastAsia"/>
      <w:b/>
      <w:bCs/>
      <w:i/>
      <w:color w:val="5B9BD5" w:themeColor="accent1"/>
      <w:sz w:val="18"/>
      <w:szCs w:val="18"/>
    </w:rPr>
  </w:style>
  <w:style w:type="character" w:customStyle="1" w:styleId="KeywordTok">
    <w:name w:val="KeywordTok"/>
    <w:basedOn w:val="Policepardfaut"/>
    <w:rsid w:val="00C82803"/>
    <w:rPr>
      <w:rFonts w:ascii="Consolas" w:hAnsi="Consolas"/>
      <w:b w:val="0"/>
      <w:bCs/>
      <w:i/>
      <w:color w:val="204A87"/>
      <w:sz w:val="22"/>
      <w:szCs w:val="18"/>
      <w:shd w:val="clear" w:color="auto" w:fill="F8F8F8"/>
    </w:rPr>
  </w:style>
  <w:style w:type="character" w:customStyle="1" w:styleId="Link">
    <w:name w:val="Link"/>
    <w:basedOn w:val="ImageCaptionCar"/>
    <w:rsid w:val="00C82803"/>
    <w:rPr>
      <w:rFonts w:eastAsiaTheme="minorEastAsia"/>
      <w:b/>
      <w:bCs/>
      <w:i/>
      <w:color w:val="5B9BD5" w:themeColor="accent1"/>
      <w:sz w:val="18"/>
      <w:szCs w:val="18"/>
    </w:rPr>
  </w:style>
  <w:style w:type="character" w:customStyle="1" w:styleId="NormalTok">
    <w:name w:val="NormalTok"/>
    <w:basedOn w:val="Policepardfaut"/>
    <w:rsid w:val="00C82803"/>
    <w:rPr>
      <w:rFonts w:ascii="Consolas" w:hAnsi="Consolas"/>
      <w:b/>
      <w:bCs/>
      <w:i/>
      <w:color w:val="5B9BD5" w:themeColor="accent1"/>
      <w:sz w:val="22"/>
      <w:szCs w:val="18"/>
      <w:shd w:val="clear" w:color="auto" w:fill="F8F8F8"/>
    </w:rPr>
  </w:style>
  <w:style w:type="paragraph" w:styleId="Notedebasdepage">
    <w:name w:val="footnote text"/>
    <w:basedOn w:val="Normal"/>
    <w:link w:val="NotedebasdepageCar"/>
    <w:uiPriority w:val="9"/>
    <w:unhideWhenUsed/>
    <w:rsid w:val="00C82803"/>
  </w:style>
  <w:style w:type="character" w:customStyle="1" w:styleId="NotedebasdepageCar">
    <w:name w:val="Note de bas de page Car"/>
    <w:basedOn w:val="Policepardfaut"/>
    <w:link w:val="Notedebasdepage"/>
    <w:uiPriority w:val="9"/>
    <w:rsid w:val="00C82803"/>
    <w:rPr>
      <w:rFonts w:eastAsiaTheme="minorEastAsia"/>
    </w:rPr>
  </w:style>
  <w:style w:type="character" w:customStyle="1" w:styleId="OtherTok">
    <w:name w:val="OtherTok"/>
    <w:basedOn w:val="Policepardfaut"/>
    <w:rsid w:val="00C82803"/>
    <w:rPr>
      <w:rFonts w:ascii="Consolas" w:hAnsi="Consolas"/>
      <w:b/>
      <w:bCs/>
      <w:i/>
      <w:color w:val="8F5902"/>
      <w:sz w:val="22"/>
      <w:szCs w:val="18"/>
      <w:shd w:val="clear" w:color="auto" w:fill="F8F8F8"/>
    </w:rPr>
  </w:style>
  <w:style w:type="character" w:styleId="Rfrenceintense">
    <w:name w:val="Intense Reference"/>
    <w:basedOn w:val="Policepardfaut"/>
    <w:uiPriority w:val="32"/>
    <w:qFormat/>
    <w:rsid w:val="009F5612"/>
    <w:rPr>
      <w:b/>
      <w:sz w:val="24"/>
      <w:u w:val="single"/>
    </w:rPr>
  </w:style>
  <w:style w:type="character" w:styleId="Rfrenceple">
    <w:name w:val="Subtle Reference"/>
    <w:basedOn w:val="Policepardfaut"/>
    <w:uiPriority w:val="31"/>
    <w:qFormat/>
    <w:rsid w:val="009F5612"/>
    <w:rPr>
      <w:sz w:val="24"/>
      <w:szCs w:val="24"/>
      <w:u w:val="single"/>
    </w:rPr>
  </w:style>
  <w:style w:type="character" w:customStyle="1" w:styleId="RegionMarkerTok">
    <w:name w:val="RegionMarkerTok"/>
    <w:basedOn w:val="Policepardfaut"/>
    <w:rsid w:val="00C82803"/>
    <w:rPr>
      <w:rFonts w:ascii="Consolas" w:hAnsi="Consolas"/>
      <w:b/>
      <w:bCs/>
      <w:i/>
      <w:color w:val="5B9BD5" w:themeColor="accent1"/>
      <w:sz w:val="22"/>
      <w:szCs w:val="18"/>
      <w:shd w:val="clear" w:color="auto" w:fill="F8F8F8"/>
    </w:rPr>
  </w:style>
  <w:style w:type="paragraph" w:styleId="Sansinterligne">
    <w:name w:val="No Spacing"/>
    <w:basedOn w:val="Normal"/>
    <w:uiPriority w:val="1"/>
    <w:qFormat/>
    <w:rsid w:val="009F5612"/>
    <w:rPr>
      <w:szCs w:val="32"/>
    </w:rPr>
  </w:style>
  <w:style w:type="paragraph" w:customStyle="1" w:styleId="SourceCode">
    <w:name w:val="Source Code"/>
    <w:basedOn w:val="Normal"/>
    <w:link w:val="VerbatimChar"/>
    <w:rsid w:val="00C82803"/>
    <w:pPr>
      <w:shd w:val="clear" w:color="auto" w:fill="F8F8F8"/>
      <w:wordWrap w:val="0"/>
    </w:pPr>
    <w:rPr>
      <w:color w:val="5B9BD5" w:themeColor="accent1"/>
      <w:sz w:val="18"/>
      <w:szCs w:val="18"/>
    </w:rPr>
  </w:style>
  <w:style w:type="character" w:customStyle="1" w:styleId="VerbatimChar">
    <w:name w:val="Verbatim Char"/>
    <w:basedOn w:val="ImageCaptionCar"/>
    <w:link w:val="SourceCode"/>
    <w:rsid w:val="00C82803"/>
    <w:rPr>
      <w:rFonts w:eastAsiaTheme="minorEastAsia"/>
      <w:b w:val="0"/>
      <w:bCs w:val="0"/>
      <w:i w:val="0"/>
      <w:color w:val="5B9BD5" w:themeColor="accent1"/>
      <w:sz w:val="18"/>
      <w:szCs w:val="18"/>
      <w:shd w:val="clear" w:color="auto" w:fill="F8F8F8"/>
    </w:rPr>
  </w:style>
  <w:style w:type="character" w:customStyle="1" w:styleId="StringTok">
    <w:name w:val="StringTok"/>
    <w:basedOn w:val="VerbatimChar"/>
    <w:rsid w:val="00C82803"/>
    <w:rPr>
      <w:rFonts w:ascii="Consolas" w:eastAsiaTheme="minorEastAsia" w:hAnsi="Consolas"/>
      <w:b/>
      <w:bCs/>
      <w:i/>
      <w:color w:val="4E9A06"/>
      <w:sz w:val="22"/>
      <w:szCs w:val="18"/>
      <w:shd w:val="clear" w:color="auto" w:fill="F8F8F8"/>
    </w:rPr>
  </w:style>
  <w:style w:type="paragraph" w:customStyle="1" w:styleId="TableCaption">
    <w:name w:val="Table Caption"/>
    <w:basedOn w:val="Lgende"/>
    <w:rsid w:val="00C82803"/>
    <w:pPr>
      <w:numPr>
        <w:numId w:val="2"/>
      </w:numPr>
      <w:spacing w:after="120"/>
      <w:jc w:val="center"/>
    </w:pPr>
    <w:rPr>
      <w:i/>
    </w:rPr>
  </w:style>
  <w:style w:type="paragraph" w:styleId="Titre">
    <w:name w:val="Title"/>
    <w:basedOn w:val="Normal"/>
    <w:next w:val="Normal"/>
    <w:link w:val="TitreCar"/>
    <w:uiPriority w:val="10"/>
    <w:qFormat/>
    <w:rsid w:val="009F561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reCar">
    <w:name w:val="Titre Car"/>
    <w:basedOn w:val="Policepardfaut"/>
    <w:link w:val="Titre"/>
    <w:uiPriority w:val="10"/>
    <w:rsid w:val="009F5612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9F5612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rsid w:val="009F5612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4Car">
    <w:name w:val="Titre 4 Car"/>
    <w:basedOn w:val="Policepardfaut"/>
    <w:link w:val="Titre4"/>
    <w:uiPriority w:val="9"/>
    <w:rsid w:val="009F5612"/>
    <w:rPr>
      <w:rFonts w:cstheme="majorBidi"/>
      <w:b/>
      <w:bCs/>
      <w:sz w:val="28"/>
      <w:szCs w:val="28"/>
    </w:rPr>
  </w:style>
  <w:style w:type="character" w:customStyle="1" w:styleId="Titre5Car">
    <w:name w:val="Titre 5 Car"/>
    <w:basedOn w:val="Policepardfaut"/>
    <w:link w:val="Titre5"/>
    <w:uiPriority w:val="9"/>
    <w:rsid w:val="009F5612"/>
    <w:rPr>
      <w:rFonts w:cstheme="majorBidi"/>
      <w:b/>
      <w:bCs/>
      <w:i/>
      <w:iCs/>
      <w:sz w:val="26"/>
      <w:szCs w:val="26"/>
    </w:rPr>
  </w:style>
  <w:style w:type="character" w:customStyle="1" w:styleId="Titre6Car">
    <w:name w:val="Titre 6 Car"/>
    <w:basedOn w:val="Policepardfaut"/>
    <w:link w:val="Titre6"/>
    <w:uiPriority w:val="9"/>
    <w:rsid w:val="009F5612"/>
    <w:rPr>
      <w:rFonts w:cstheme="majorBidi"/>
      <w:b/>
      <w:bCs/>
    </w:rPr>
  </w:style>
  <w:style w:type="character" w:customStyle="1" w:styleId="Titre7Car">
    <w:name w:val="Titre 7 Car"/>
    <w:basedOn w:val="Policepardfaut"/>
    <w:link w:val="Titre7"/>
    <w:uiPriority w:val="9"/>
    <w:rsid w:val="009F5612"/>
    <w:rPr>
      <w:rFonts w:cstheme="majorBidi"/>
      <w:sz w:val="24"/>
      <w:szCs w:val="24"/>
    </w:rPr>
  </w:style>
  <w:style w:type="character" w:customStyle="1" w:styleId="Titre8Car">
    <w:name w:val="Titre 8 Car"/>
    <w:basedOn w:val="Policepardfaut"/>
    <w:link w:val="Titre8"/>
    <w:uiPriority w:val="9"/>
    <w:rsid w:val="009F5612"/>
    <w:rPr>
      <w:rFonts w:cstheme="majorBidi"/>
      <w:i/>
      <w:iCs/>
      <w:sz w:val="24"/>
      <w:szCs w:val="24"/>
    </w:rPr>
  </w:style>
  <w:style w:type="character" w:customStyle="1" w:styleId="Titre9Car">
    <w:name w:val="Titre 9 Car"/>
    <w:basedOn w:val="Policepardfaut"/>
    <w:link w:val="Titre9"/>
    <w:uiPriority w:val="9"/>
    <w:rsid w:val="009F5612"/>
    <w:rPr>
      <w:rFonts w:asciiTheme="majorHAnsi" w:eastAsiaTheme="majorEastAsia" w:hAnsiTheme="majorHAnsi" w:cstheme="majorBidi"/>
    </w:rPr>
  </w:style>
  <w:style w:type="character" w:styleId="Titredulivre">
    <w:name w:val="Book Title"/>
    <w:basedOn w:val="Policepardfaut"/>
    <w:uiPriority w:val="33"/>
    <w:qFormat/>
    <w:rsid w:val="009F5612"/>
    <w:rPr>
      <w:rFonts w:asciiTheme="majorHAnsi" w:eastAsiaTheme="majorEastAsia" w:hAnsiTheme="majorHAnsi"/>
      <w:b/>
      <w:i/>
      <w:sz w:val="24"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330D9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330D9"/>
    <w:rPr>
      <w:rFonts w:ascii="Tahoma" w:eastAsiaTheme="minorEastAsia" w:hAnsi="Tahoma" w:cs="Tahoma"/>
      <w:sz w:val="16"/>
      <w:szCs w:val="16"/>
      <w:lang w:val="en-GB"/>
    </w:rPr>
  </w:style>
  <w:style w:type="paragraph" w:styleId="Rvision">
    <w:name w:val="Revision"/>
    <w:hidden/>
    <w:uiPriority w:val="99"/>
    <w:semiHidden/>
    <w:rsid w:val="00BB305D"/>
    <w:rPr>
      <w:lang w:val="en-GB"/>
    </w:rPr>
  </w:style>
  <w:style w:type="character" w:styleId="Marquedecommentaire">
    <w:name w:val="annotation reference"/>
    <w:basedOn w:val="Policepardfaut"/>
    <w:uiPriority w:val="99"/>
    <w:semiHidden/>
    <w:unhideWhenUsed/>
    <w:rsid w:val="00B92CCA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B92CCA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B92CCA"/>
    <w:rPr>
      <w:rFonts w:eastAsiaTheme="minorEastAsia"/>
      <w:sz w:val="20"/>
      <w:szCs w:val="20"/>
      <w:lang w:val="en-GB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B92CCA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B92CCA"/>
    <w:rPr>
      <w:rFonts w:eastAsiaTheme="minorEastAsia"/>
      <w:b/>
      <w:bCs/>
      <w:sz w:val="20"/>
      <w:szCs w:val="20"/>
      <w:lang w:val="en-GB"/>
    </w:rPr>
  </w:style>
  <w:style w:type="paragraph" w:styleId="Paragraphedeliste">
    <w:name w:val="List Paragraph"/>
    <w:basedOn w:val="Normal"/>
    <w:uiPriority w:val="34"/>
    <w:qFormat/>
    <w:rsid w:val="009F5612"/>
    <w:pPr>
      <w:ind w:left="720"/>
      <w:contextualSpacing/>
    </w:pPr>
  </w:style>
  <w:style w:type="paragraph" w:customStyle="1" w:styleId="paragraph">
    <w:name w:val="paragraph"/>
    <w:basedOn w:val="Normal"/>
    <w:rsid w:val="009F5612"/>
    <w:pPr>
      <w:spacing w:before="100" w:beforeAutospacing="1" w:after="100" w:afterAutospacing="1"/>
    </w:pPr>
    <w:rPr>
      <w:rFonts w:ascii="Times New Roman" w:eastAsia="Times New Roman" w:hAnsi="Times New Roman"/>
      <w:lang w:eastAsia="en-GB"/>
    </w:rPr>
  </w:style>
  <w:style w:type="character" w:customStyle="1" w:styleId="normaltextrun">
    <w:name w:val="normaltextrun"/>
    <w:basedOn w:val="Policepardfaut"/>
    <w:rsid w:val="009F5612"/>
  </w:style>
  <w:style w:type="character" w:customStyle="1" w:styleId="eop">
    <w:name w:val="eop"/>
    <w:basedOn w:val="Policepardfaut"/>
    <w:rsid w:val="009F5612"/>
  </w:style>
  <w:style w:type="character" w:customStyle="1" w:styleId="scx6959520">
    <w:name w:val="scx6959520"/>
    <w:basedOn w:val="Policepardfaut"/>
    <w:rsid w:val="009F5612"/>
  </w:style>
  <w:style w:type="character" w:customStyle="1" w:styleId="spellingerror">
    <w:name w:val="spellingerror"/>
    <w:basedOn w:val="Policepardfaut"/>
    <w:rsid w:val="009F56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723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22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64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33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13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69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68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84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0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12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69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22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201AB7-9D27-4915-8CA8-924968352B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455</Words>
  <Characters>2597</Characters>
  <Application>Microsoft Office Word</Application>
  <DocSecurity>0</DocSecurity>
  <Lines>21</Lines>
  <Paragraphs>6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3046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Mickaël Canouil</dc:creator>
  <cp:lastModifiedBy>Mickaël Canouil</cp:lastModifiedBy>
  <cp:revision>7</cp:revision>
  <dcterms:created xsi:type="dcterms:W3CDTF">2016-11-03T20:53:00Z</dcterms:created>
  <dcterms:modified xsi:type="dcterms:W3CDTF">2016-11-07T10:11:00Z</dcterms:modified>
</cp:coreProperties>
</file>