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insane:</w:t>
      </w:r>
      <w:r>
        <w:t xml:space="preserve"> </w:t>
      </w:r>
      <w:r>
        <w:t xml:space="preserve">INsulin</w:t>
      </w:r>
      <w:r>
        <w:t xml:space="preserve"> </w:t>
      </w:r>
      <w:r>
        <w:t xml:space="preserve">Secretion</w:t>
      </w:r>
      <w:r>
        <w:t xml:space="preserve"> </w:t>
      </w:r>
      <w:r>
        <w:t xml:space="preserve">ANalysEr</w:t>
      </w:r>
    </w:p>
    <w:p>
      <w:pPr>
        <w:pStyle w:val="Author"/>
      </w:pPr>
      <w:r>
        <w:t xml:space="preserve">Amélie</w:t>
      </w:r>
      <w:r>
        <w:t xml:space="preserve"> </w:t>
      </w:r>
      <w:r>
        <w:t xml:space="preserve">Bonnefond,</w:t>
      </w:r>
      <w:r>
        <w:t xml:space="preserve"> </w:t>
      </w:r>
      <w:r>
        <w:t xml:space="preserve">Ph.D.</w:t>
      </w:r>
    </w:p>
    <w:p>
      <w:pPr>
        <w:pStyle w:val="Heading3"/>
      </w:pPr>
      <w:bookmarkStart w:id="20" w:name="experimental-protocol"/>
      <w:r>
        <w:t xml:space="preserve">Experimental Protocol</w:t>
      </w:r>
      <w:bookmarkEnd w:id="20"/>
    </w:p>
    <w:p>
      <w:pPr>
        <w:pStyle w:val="Heading4"/>
      </w:pPr>
      <w:bookmarkStart w:id="21" w:name="culture-of-endoc-βh1-cells"/>
      <w:r>
        <w:t xml:space="preserve">Culture of EndoC-βH1 cells</w:t>
      </w:r>
      <w:bookmarkEnd w:id="21"/>
    </w:p>
    <w:p>
      <w:pPr>
        <w:pStyle w:val="FirstParagraph"/>
      </w:pPr>
      <w:r>
        <w:t xml:space="preserve">EndoC-βH1 cells are cultured in Optiβ medium (Univercell).</w:t>
      </w:r>
      <w:r>
        <w:t xml:space="preserve"> </w:t>
      </w:r>
      <w:r>
        <w:t xml:space="preserve">Cells are seeded at a density of 2.5 × 10</w:t>
      </w:r>
      <w:r>
        <w:t xml:space="preserve">6</w:t>
      </w:r>
      <w:r>
        <w:t xml:space="preserve"> </w:t>
      </w:r>
      <w:r>
        <w:t xml:space="preserve">in T25 flasks coated with β-coat (Univercell) according to manufacturer’s instructions, and cultured at 37 °C and 5 % CO2.</w:t>
      </w:r>
    </w:p>
    <w:p>
      <w:pPr>
        <w:pStyle w:val="Heading4"/>
      </w:pPr>
      <w:bookmarkStart w:id="22" w:name="transfection-of-sirna-into-endoc-βh1-cells"/>
      <w:r>
        <w:t xml:space="preserve">Transfection of siRNA into EndoC-βH1 cells</w:t>
      </w:r>
      <w:bookmarkEnd w:id="22"/>
    </w:p>
    <w:p>
      <w:pPr>
        <w:pStyle w:val="FirstParagraph"/>
      </w:pPr>
      <w:r>
        <w:t xml:space="preserve">In case of transfection, siRNAs are transfected into EndoC-βH1 cells using Lipofectamine 2000 (Invitrogen).</w:t>
      </w:r>
      <w:r>
        <w:br w:type="textWrapping"/>
      </w:r>
      <w:r>
        <w:t xml:space="preserve">Freshly trypsinized EndoC-βH1 (0.5 × 10</w:t>
      </w:r>
      <w:r>
        <w:t xml:space="preserve">6</w:t>
      </w:r>
      <w:r>
        <w:t xml:space="preserve"> </w:t>
      </w:r>
      <w:r>
        <w:t xml:space="preserve">cells) are incubated in suspension with Lipofectamine-siRNA complex in Opti-MEM (Invitrogen) containing 50 μM 2-mercaptoethanol, 10 mM nicotinamide (Calbiochem, Merck Millipore), 5.5 mg/ml human transferrin (Sigma-Aldrich), 6.7 ng/ml sodium selenite (Sigma-Aldrich), 100 U/ml penicillin and 100 mg/ml streptomycin (Life Technologies) for 10 minutes and then are plated onto culture wells coated with β-oat (Univercell).</w:t>
      </w:r>
      <w:r>
        <w:br w:type="textWrapping"/>
      </w:r>
      <w:r>
        <w:t xml:space="preserve">Six hours later, the medium is replaced.</w:t>
      </w:r>
      <w:r>
        <w:br w:type="textWrapping"/>
      </w:r>
      <w:r>
        <w:t xml:space="preserve">We previously used ON-TARGETplus siRNA SMARTpool for each gene of interest (20-30 nM) and ON-TARGETplus nontargeting pool for controls (siNTP; Dharmacon, Thermo Fisher Scientific, Waltham, MA, USA)</w:t>
      </w:r>
      <w:r>
        <w:t xml:space="preserve"> </w:t>
      </w:r>
      <w:r>
        <w:t xml:space="preserve">(Ndiaye et al.</w:t>
      </w:r>
      <w:r>
        <w:t xml:space="preserve"> </w:t>
      </w:r>
      <w:hyperlink w:anchor="ref-ndiaye_expression_2017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.</w:t>
      </w:r>
      <w:r>
        <w:br w:type="textWrapping"/>
      </w:r>
      <w:r>
        <w:t xml:space="preserve">Cells are analyzed 72 hours post transfection.</w:t>
      </w:r>
    </w:p>
    <w:p>
      <w:pPr>
        <w:pStyle w:val="Heading4"/>
      </w:pPr>
      <w:bookmarkStart w:id="23" w:name="assessment-of-insulin-secretion-from-endoc-βh1-cells"/>
      <w:r>
        <w:t xml:space="preserve">Assessment of insulin secretion from EndoC-βH1 cells</w:t>
      </w:r>
      <w:bookmarkEnd w:id="23"/>
    </w:p>
    <w:p>
      <w:pPr>
        <w:pStyle w:val="FirstParagraph"/>
      </w:pPr>
      <w:r>
        <w:t xml:space="preserve">EndoC-βH1 cells seeded onto β-coat-coated 96-well plates at 5 × 10</w:t>
      </w:r>
      <w:r>
        <w:t xml:space="preserve">4</w:t>
      </w:r>
      <w:r>
        <w:t xml:space="preserve"> </w:t>
      </w:r>
      <w:r>
        <w:t xml:space="preserve">cells/well are incubated overnight in no glucose Dulbecco’s Modified Eagle’s Medium (Sigma Aldrich) supplemented with 2 % BSA Fraction V, 50 μM 2-mercaptoethanol, 10 mM nicotinamide (Calbiochem, Merck Millipore), 5.5 mg/ml human transferrin (Sigma-Aldrich), 6.7 ng/ml sodium selenite (Sigma-Aldrich), 100 U/ml penicillin and 100 mg/ml streptomycin (Life Technologies) and that contained 2.8 mM glucose.</w:t>
      </w:r>
      <w:r>
        <w:br w:type="textWrapping"/>
      </w:r>
      <w:r>
        <w:t xml:space="preserve">The day after, they are incubated in HEPES-buffered Krebs-Ringer Buffer (KRB; 116 mmol/l NaCl, 5.06 mmol/l KCl, 1.007 mmol/l CaCl2, 1.01 mmol/l MgCl2, 23.96 mmol/l NaHCO3, 10 mmol/l HEPES, pH 7.4, and 0.1 % BSA solution) that contained 0.5 mM glucose ± 0.5 mM IBMX (Sigma Aldrich) for 60 minutes at 37 °C.</w:t>
      </w:r>
      <w:r>
        <w:br w:type="textWrapping"/>
      </w:r>
      <w:r>
        <w:t xml:space="preserve">This supernatant is subsequently collected (supernatant 1 [SN1]) and replaced with 16.7 mM glucose KRB ± 0.5 mM IBMX for a 60-minute incubation at 37 °C and then collected (supernatant 2 [SN2]).</w:t>
      </w:r>
      <w:r>
        <w:br w:type="textWrapping"/>
      </w:r>
      <w:r>
        <w:t xml:space="preserve">For insulin content measurement, cells are lysed with TETG buffer (20 mM Tris-HCl pH 8.0, 137 mM NaCl, 1 % Triton X-100, 10 % Glycerol, 2 mM EGTA with protease inhibitors; Roche).</w:t>
      </w:r>
      <w:r>
        <w:br w:type="textWrapping"/>
      </w:r>
      <w:r>
        <w:t xml:space="preserve">Lysate, SN1 and SN2 are centrifuged for 5 minutes at 700 g.</w:t>
      </w:r>
      <w:r>
        <w:br w:type="textWrapping"/>
      </w:r>
      <w:r>
        <w:t xml:space="preserve">Samples are kept frozen at -20 °C before use.</w:t>
      </w:r>
      <w:r>
        <w:br w:type="textWrapping"/>
      </w:r>
      <w:r>
        <w:t xml:space="preserve">Insulin concentration in the supernatants and intracellular content of the EndoC-βH1 cells are measured by ELISA according to manufacturer’s instructions using the Human Insulin Kit (Mercodia, Uppsala, Sweden).</w:t>
      </w:r>
      <w:r>
        <w:br w:type="textWrapping"/>
      </w:r>
      <w:r>
        <w:t xml:space="preserve">Briefly, 25 µl of either blank, standard (from 0.2 to 6 µg/ml), or diluted samples (1:400 for lysates and 1:16 for supernatants) and 100 µl 1X conjugate enzyme are put in the 96-well plate coated with insulin antibody for 1 hour under agitation at room temperature.</w:t>
      </w:r>
      <w:r>
        <w:br w:type="textWrapping"/>
      </w:r>
      <w:r>
        <w:t xml:space="preserve">The plate is then washed six times with wash buffer 1X solution.</w:t>
      </w:r>
      <w:r>
        <w:br w:type="textWrapping"/>
      </w:r>
      <w:r>
        <w:t xml:space="preserve">Then, 200 µl substrate is added in the plate for a 15-minute incubation.</w:t>
      </w:r>
      <w:r>
        <w:br w:type="textWrapping"/>
      </w:r>
      <w:r>
        <w:t xml:space="preserve">Then, 50 µl stop solution is added and the absorbance at 450 nm is measured, using technical duplicates of experimental triplicates, leading to six measurements per experimental conditions (that are subsequently repeated).</w:t>
      </w:r>
    </w:p>
    <w:p>
      <w:pPr>
        <w:pStyle w:val="Heading4"/>
      </w:pPr>
      <w:bookmarkStart w:id="24" w:name="references"/>
      <w:r>
        <w:t xml:space="preserve">References</w:t>
      </w:r>
      <w:bookmarkEnd w:id="24"/>
    </w:p>
    <w:bookmarkStart w:id="27" w:name="refs"/>
    <w:bookmarkStart w:id="26" w:name="ref-ndiaye_expression_2017"/>
    <w:p>
      <w:pPr>
        <w:pStyle w:val="Bibliography"/>
      </w:pPr>
      <w:r>
        <w:t xml:space="preserve">Ndiaye, Fatou K., Ana Ortalli, Mickaël Canouil, Marlène Huyvaert, Clara Salazar-Cardozo, Cécile Lecoeur, Marie Verbanck, et al. 2017. “Expression and Functional Assessment of Candidate Type 2 Diabetes Susceptibility Genes Identify Four New Genes Contributing to Human Insulin Secretion.”</w:t>
      </w:r>
      <w:r>
        <w:t xml:space="preserve"> </w:t>
      </w:r>
      <w:r>
        <w:rPr>
          <w:i/>
        </w:rPr>
        <w:t xml:space="preserve">Molecular Metabolism</w:t>
      </w:r>
      <w:r>
        <w:t xml:space="preserve"> </w:t>
      </w:r>
      <w:r>
        <w:t xml:space="preserve">6 (6). Molecular Metabolism: 459–70.</w:t>
      </w:r>
      <w:r>
        <w:t xml:space="preserve"> </w:t>
      </w:r>
      <w:hyperlink r:id="rId25">
        <w:r>
          <w:rPr>
            <w:rStyle w:val="Hyperlink"/>
          </w:rPr>
          <w:t xml:space="preserve">https://doi.org/10.1016/j.molmet.2017.03.011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016/j.molmet.2017.03.01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oi.org/10.1016/j.molmet.2017.03.0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insane: INsulin Secretion ANalysEr</dc:title>
  <dc:creator>Amélie Bonnefond, Ph.D.</dc:creator>
  <cp:keywords/>
  <dcterms:created xsi:type="dcterms:W3CDTF">2020-03-27T15:57:02Z</dcterms:created>
  <dcterms:modified xsi:type="dcterms:W3CDTF">2020-03-27T15:57:02Z</dcterms:modified>
</cp:coreProperties>
</file>