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2" w:type="dxa"/>
        <w:jc w:val="center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7383"/>
        <w:gridCol w:w="3109"/>
      </w:tblGrid>
      <w:tr w:rsidR="00DE0ECE" w14:paraId="3F21132F" w14:textId="77777777" w:rsidTr="009E3E22">
        <w:trPr>
          <w:cantSplit/>
          <w:trHeight w:val="3539"/>
          <w:jc w:val="center"/>
        </w:trPr>
        <w:tc>
          <w:tcPr>
            <w:tcW w:w="7383" w:type="dxa"/>
          </w:tcPr>
          <w:p w14:paraId="6238EB07" w14:textId="77777777" w:rsidR="00DE0ECE" w:rsidRDefault="00DE0ECE" w:rsidP="009E3E22">
            <w:pPr>
              <w:keepNext/>
              <w:tabs>
                <w:tab w:val="center" w:pos="5067"/>
              </w:tabs>
              <w:ind w:left="10" w:right="-366"/>
              <w:jc w:val="center"/>
              <w:outlineLvl w:val="1"/>
              <w:rPr>
                <w:b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2E9C88A" wp14:editId="0DBF4781">
                  <wp:simplePos x="0" y="0"/>
                  <wp:positionH relativeFrom="column">
                    <wp:posOffset>1517650</wp:posOffset>
                  </wp:positionH>
                  <wp:positionV relativeFrom="paragraph">
                    <wp:posOffset>11430</wp:posOffset>
                  </wp:positionV>
                  <wp:extent cx="3014980" cy="1055370"/>
                  <wp:effectExtent l="0" t="0" r="0" b="0"/>
                  <wp:wrapNone/>
                  <wp:docPr id="1" name="Picture 1" descr="HCA Rect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CA Rectan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4980" cy="1055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9D671A" w14:textId="77777777" w:rsidR="00DE0ECE" w:rsidRDefault="00DE0ECE" w:rsidP="009E3E22">
            <w:pPr>
              <w:keepNext/>
              <w:tabs>
                <w:tab w:val="center" w:pos="5067"/>
              </w:tabs>
              <w:ind w:left="10" w:right="-366"/>
              <w:outlineLvl w:val="1"/>
              <w:rPr>
                <w:b/>
                <w:sz w:val="34"/>
              </w:rPr>
            </w:pPr>
            <w:r>
              <w:rPr>
                <w:noProof/>
                <w:sz w:val="44"/>
              </w:rPr>
              <w:object w:dxaOrig="1350" w:dyaOrig="1350" w14:anchorId="1BC7FC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67.5pt" o:ole="" fillcolor="window">
                  <v:imagedata r:id="rId5" o:title=""/>
                </v:shape>
                <o:OLEObject Type="Embed" ProgID="MSPhotoEd.3" ShapeID="_x0000_i1025" DrawAspect="Content" ObjectID="_1731477325" r:id="rId6"/>
              </w:object>
            </w:r>
            <w:r>
              <w:rPr>
                <w:b/>
                <w:sz w:val="26"/>
              </w:rPr>
              <w:tab/>
            </w:r>
          </w:p>
          <w:p w14:paraId="7D891813" w14:textId="77777777" w:rsidR="00DE0ECE" w:rsidRDefault="00DE0ECE" w:rsidP="009E3E22">
            <w:pPr>
              <w:tabs>
                <w:tab w:val="center" w:pos="5067"/>
              </w:tabs>
              <w:ind w:left="10" w:right="-366"/>
              <w:jc w:val="center"/>
              <w:rPr>
                <w:b/>
                <w:sz w:val="26"/>
              </w:rPr>
            </w:pPr>
          </w:p>
          <w:p w14:paraId="0F6D839F" w14:textId="77777777" w:rsidR="00DE0ECE" w:rsidRDefault="00DE0ECE" w:rsidP="009E3E22">
            <w:pPr>
              <w:keepNext/>
              <w:tabs>
                <w:tab w:val="center" w:pos="5067"/>
              </w:tabs>
              <w:ind w:left="14" w:right="-360"/>
              <w:outlineLvl w:val="6"/>
              <w:rPr>
                <w:b/>
              </w:rPr>
            </w:pPr>
            <w:r>
              <w:rPr>
                <w:b/>
              </w:rPr>
              <w:tab/>
            </w:r>
          </w:p>
          <w:p w14:paraId="775F21D5" w14:textId="77777777" w:rsidR="00DE0ECE" w:rsidRDefault="00DE0ECE" w:rsidP="009E3E22">
            <w:pPr>
              <w:rPr>
                <w:rFonts w:cs="Arial"/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                                                            </w:t>
            </w:r>
          </w:p>
          <w:p w14:paraId="17A1D5A1" w14:textId="77777777" w:rsidR="00DE0ECE" w:rsidRDefault="00DE0ECE" w:rsidP="009E3E22">
            <w:pPr>
              <w:rPr>
                <w:rFonts w:ascii="Times New Roman" w:hAnsi="Times New Roman"/>
                <w:sz w:val="20"/>
              </w:rPr>
            </w:pPr>
          </w:p>
          <w:p w14:paraId="368D2EAC" w14:textId="77777777" w:rsidR="00DE0ECE" w:rsidRPr="00DE0ECE" w:rsidRDefault="00DE0ECE" w:rsidP="009E3E22">
            <w:pPr>
              <w:keepNext/>
              <w:tabs>
                <w:tab w:val="left" w:pos="559"/>
                <w:tab w:val="center" w:pos="2501"/>
                <w:tab w:val="center" w:pos="5067"/>
              </w:tabs>
              <w:ind w:left="10"/>
              <w:outlineLvl w:val="6"/>
              <w:rPr>
                <w:b/>
                <w:sz w:val="36"/>
                <w:szCs w:val="36"/>
                <w:u w:val="single"/>
              </w:rPr>
            </w:pPr>
            <w:r w:rsidRPr="001454E8">
              <w:rPr>
                <w:b/>
                <w:sz w:val="36"/>
                <w:szCs w:val="36"/>
              </w:rPr>
              <w:tab/>
            </w:r>
            <w:r w:rsidRPr="00DE0ECE">
              <w:rPr>
                <w:b/>
                <w:sz w:val="36"/>
                <w:szCs w:val="36"/>
                <w:u w:val="single"/>
              </w:rPr>
              <w:t>Office of the Public Guardian</w:t>
            </w:r>
          </w:p>
          <w:p w14:paraId="61444444" w14:textId="77777777" w:rsidR="00DE0ECE" w:rsidRPr="001454E8" w:rsidRDefault="00DE0ECE" w:rsidP="009E3E22">
            <w:pPr>
              <w:keepNext/>
              <w:tabs>
                <w:tab w:val="left" w:pos="559"/>
                <w:tab w:val="center" w:pos="2501"/>
                <w:tab w:val="center" w:pos="5067"/>
              </w:tabs>
              <w:ind w:left="10"/>
              <w:outlineLvl w:val="6"/>
              <w:rPr>
                <w:b/>
                <w:sz w:val="36"/>
                <w:szCs w:val="36"/>
              </w:rPr>
            </w:pPr>
          </w:p>
        </w:tc>
        <w:tc>
          <w:tcPr>
            <w:tcW w:w="3109" w:type="dxa"/>
          </w:tcPr>
          <w:p w14:paraId="12FBBEFF" w14:textId="77777777" w:rsidR="00DE0ECE" w:rsidRDefault="00DE0ECE" w:rsidP="009E3E22">
            <w:pPr>
              <w:jc w:val="right"/>
              <w:rPr>
                <w:b/>
                <w:sz w:val="14"/>
                <w:szCs w:val="14"/>
              </w:rPr>
            </w:pPr>
          </w:p>
          <w:p w14:paraId="5EDAEB64" w14:textId="77777777" w:rsidR="00DE0ECE" w:rsidRDefault="00DE0ECE" w:rsidP="009E3E22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statusText w:type="text" w:val="Enter Date Here"/>
                  <w:textInput>
                    <w:default w:val="[{useragency.director}]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>Clayton Chau, MD PhD</w:t>
            </w:r>
            <w:r>
              <w:rPr>
                <w:b/>
                <w:sz w:val="16"/>
                <w:szCs w:val="16"/>
              </w:rPr>
              <w:fldChar w:fldCharType="end"/>
            </w:r>
          </w:p>
          <w:p w14:paraId="0F85425C" w14:textId="77777777" w:rsidR="00DE0ECE" w:rsidRDefault="00DE0ECE" w:rsidP="009E3E22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statusText w:type="text" w:val="Enter Date Here"/>
                  <w:textInput>
                    <w:default w:val="[{useragency.directortitle}]"/>
                  </w:textInput>
                </w:ffData>
              </w:fldChar>
            </w:r>
            <w:r>
              <w:rPr>
                <w:bCs/>
                <w:sz w:val="16"/>
                <w:szCs w:val="16"/>
              </w:rPr>
              <w:instrText xml:space="preserve"> FORMTEXT </w:instrText>
            </w:r>
            <w:r>
              <w:rPr>
                <w:bCs/>
                <w:sz w:val="16"/>
                <w:szCs w:val="16"/>
              </w:rPr>
            </w:r>
            <w:r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DIRECTOR</w:t>
            </w:r>
            <w:r>
              <w:rPr>
                <w:bCs/>
                <w:sz w:val="16"/>
                <w:szCs w:val="16"/>
              </w:rPr>
              <w:fldChar w:fldCharType="end"/>
            </w:r>
          </w:p>
          <w:p w14:paraId="064F6D89" w14:textId="77777777" w:rsidR="00DE0ECE" w:rsidRDefault="00DE0ECE" w:rsidP="009E3E22">
            <w:pPr>
              <w:jc w:val="right"/>
              <w:rPr>
                <w:b/>
                <w:sz w:val="16"/>
                <w:szCs w:val="16"/>
              </w:rPr>
            </w:pPr>
          </w:p>
          <w:p w14:paraId="3029D765" w14:textId="77777777" w:rsidR="00DE0ECE" w:rsidRDefault="00DE0ECE" w:rsidP="009E3E22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statusText w:type="text" w:val="Enter Date Here"/>
                  <w:textInput>
                    <w:default w:val="[{useragency.publicguardian}]"/>
                  </w:textInput>
                </w:ffData>
              </w:fldChar>
            </w:r>
            <w:r>
              <w:rPr>
                <w:b/>
                <w:sz w:val="16"/>
                <w:szCs w:val="16"/>
              </w:rPr>
              <w:instrText xml:space="preserve"> FORMTEXT </w:instrText>
            </w:r>
            <w:r>
              <w:rPr>
                <w:b/>
                <w:sz w:val="16"/>
                <w:szCs w:val="16"/>
              </w:rPr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>Jenny Qian, M.A.</w:t>
            </w:r>
            <w:r>
              <w:rPr>
                <w:b/>
                <w:sz w:val="16"/>
                <w:szCs w:val="16"/>
              </w:rPr>
              <w:fldChar w:fldCharType="end"/>
            </w:r>
          </w:p>
          <w:p w14:paraId="50390120" w14:textId="77777777" w:rsidR="00DE0ECE" w:rsidRDefault="00DE0ECE" w:rsidP="009E3E22">
            <w:pPr>
              <w:jc w:val="right"/>
              <w:rPr>
                <w:sz w:val="14"/>
              </w:rPr>
            </w:pPr>
            <w:r>
              <w:rPr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statusText w:type="text" w:val="Enter Date Here"/>
                  <w:textInput>
                    <w:default w:val="[{useragency.publicguardiantitle}]"/>
                  </w:textInput>
                </w:ffData>
              </w:fldChar>
            </w:r>
            <w:r>
              <w:rPr>
                <w:bCs/>
                <w:sz w:val="16"/>
                <w:szCs w:val="16"/>
              </w:rPr>
              <w:instrText xml:space="preserve"> FORMTEXT </w:instrText>
            </w:r>
            <w:r>
              <w:rPr>
                <w:bCs/>
                <w:sz w:val="16"/>
                <w:szCs w:val="16"/>
              </w:rPr>
            </w:r>
            <w:r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PUBLIC GUARDIAN</w:t>
            </w:r>
            <w:r>
              <w:rPr>
                <w:bCs/>
                <w:sz w:val="16"/>
                <w:szCs w:val="16"/>
              </w:rPr>
              <w:fldChar w:fldCharType="end"/>
            </w:r>
          </w:p>
          <w:p w14:paraId="35ED14BF" w14:textId="77777777" w:rsidR="00DE0ECE" w:rsidRDefault="00DE0ECE" w:rsidP="009E3E22">
            <w:pPr>
              <w:ind w:right="12"/>
              <w:jc w:val="right"/>
              <w:rPr>
                <w:sz w:val="14"/>
              </w:rPr>
            </w:pPr>
          </w:p>
          <w:p w14:paraId="6341C158" w14:textId="77777777" w:rsidR="00DE0ECE" w:rsidRPr="00FB0533" w:rsidRDefault="00DE0ECE" w:rsidP="009E3E22">
            <w:pPr>
              <w:ind w:right="12"/>
              <w:jc w:val="right"/>
              <w:rPr>
                <w:b/>
                <w:color w:val="000000" w:themeColor="text1"/>
                <w:sz w:val="14"/>
              </w:rPr>
            </w:pPr>
            <w:r w:rsidRPr="00FB0533">
              <w:rPr>
                <w:b/>
                <w:color w:val="000000" w:themeColor="text1"/>
                <w:sz w:val="14"/>
              </w:rPr>
              <w:t>MAILING ADDRESS:</w:t>
            </w:r>
          </w:p>
          <w:p w14:paraId="6CA344A0" w14:textId="77777777" w:rsidR="00DE0ECE" w:rsidRPr="00FB0533" w:rsidRDefault="00DE0ECE" w:rsidP="009E3E22">
            <w:pPr>
              <w:ind w:right="12"/>
              <w:jc w:val="right"/>
              <w:rPr>
                <w:b/>
                <w:color w:val="000000" w:themeColor="text1"/>
                <w:sz w:val="14"/>
              </w:rPr>
            </w:pPr>
            <w:r w:rsidRPr="00FB0533">
              <w:rPr>
                <w:b/>
                <w:color w:val="000000" w:themeColor="text1"/>
                <w:sz w:val="14"/>
              </w:rPr>
              <w:t>1300 S. .GRAND AVE</w:t>
            </w:r>
          </w:p>
          <w:p w14:paraId="4E8CB166" w14:textId="77777777" w:rsidR="00DE0ECE" w:rsidRPr="00FB0533" w:rsidRDefault="00DE0ECE" w:rsidP="009E3E22">
            <w:pPr>
              <w:ind w:right="12"/>
              <w:jc w:val="right"/>
              <w:rPr>
                <w:b/>
                <w:color w:val="000000" w:themeColor="text1"/>
                <w:sz w:val="14"/>
              </w:rPr>
            </w:pPr>
            <w:r w:rsidRPr="00FB0533">
              <w:rPr>
                <w:b/>
                <w:color w:val="000000" w:themeColor="text1"/>
                <w:sz w:val="14"/>
              </w:rPr>
              <w:t>BLDG # C, SUITE 213</w:t>
            </w:r>
          </w:p>
          <w:p w14:paraId="067E78E4" w14:textId="77777777" w:rsidR="00DE0ECE" w:rsidRPr="00FB0533" w:rsidRDefault="00DE0ECE" w:rsidP="009E3E22">
            <w:pPr>
              <w:ind w:right="12"/>
              <w:jc w:val="right"/>
              <w:rPr>
                <w:b/>
                <w:color w:val="000000" w:themeColor="text1"/>
                <w:sz w:val="14"/>
                <w:lang w:val="es-MX"/>
              </w:rPr>
            </w:pPr>
            <w:r w:rsidRPr="00FB0533">
              <w:rPr>
                <w:b/>
                <w:color w:val="000000" w:themeColor="text1"/>
                <w:sz w:val="14"/>
                <w:lang w:val="es-MX"/>
              </w:rPr>
              <w:t>SANTA ANA, CA 92705</w:t>
            </w:r>
          </w:p>
          <w:p w14:paraId="3CF06658" w14:textId="77777777" w:rsidR="00DE0ECE" w:rsidRPr="00FB0533" w:rsidRDefault="00DE0ECE" w:rsidP="009E3E22">
            <w:pPr>
              <w:ind w:right="12"/>
              <w:jc w:val="right"/>
              <w:rPr>
                <w:b/>
                <w:color w:val="000000" w:themeColor="text1"/>
                <w:sz w:val="14"/>
                <w:lang w:val="es-MX"/>
              </w:rPr>
            </w:pPr>
          </w:p>
          <w:p w14:paraId="6D931B8D" w14:textId="77777777" w:rsidR="00DE0ECE" w:rsidRPr="00FB0533" w:rsidRDefault="00DE0ECE" w:rsidP="009E3E22">
            <w:pPr>
              <w:ind w:right="12"/>
              <w:jc w:val="right"/>
              <w:rPr>
                <w:b/>
                <w:color w:val="000000" w:themeColor="text1"/>
                <w:sz w:val="14"/>
                <w:lang w:val="es-MX"/>
              </w:rPr>
            </w:pPr>
            <w:r w:rsidRPr="00FB0533">
              <w:rPr>
                <w:b/>
                <w:color w:val="000000" w:themeColor="text1"/>
                <w:sz w:val="14"/>
                <w:lang w:val="es-MX"/>
              </w:rPr>
              <w:t>P O BOX 11526</w:t>
            </w:r>
          </w:p>
          <w:p w14:paraId="3F94EB68" w14:textId="77777777" w:rsidR="00DE0ECE" w:rsidRPr="00FB0533" w:rsidRDefault="00DE0ECE" w:rsidP="009E3E22">
            <w:pPr>
              <w:ind w:right="12"/>
              <w:jc w:val="right"/>
              <w:rPr>
                <w:b/>
                <w:color w:val="000000" w:themeColor="text1"/>
                <w:sz w:val="14"/>
                <w:lang w:val="es-MX"/>
              </w:rPr>
            </w:pPr>
            <w:r w:rsidRPr="00FB0533">
              <w:rPr>
                <w:b/>
                <w:color w:val="000000" w:themeColor="text1"/>
                <w:sz w:val="14"/>
                <w:lang w:val="es-MX"/>
              </w:rPr>
              <w:t xml:space="preserve">SANTA ANA, CA 92711 </w:t>
            </w:r>
          </w:p>
          <w:p w14:paraId="4F17BFEF" w14:textId="77777777" w:rsidR="00DE0ECE" w:rsidRPr="00FB0533" w:rsidRDefault="00DE0ECE" w:rsidP="009E3E22">
            <w:pPr>
              <w:spacing w:after="60"/>
              <w:jc w:val="right"/>
              <w:rPr>
                <w:b/>
                <w:color w:val="000000" w:themeColor="text1"/>
                <w:sz w:val="14"/>
                <w:lang w:val="es-MX"/>
              </w:rPr>
            </w:pPr>
          </w:p>
          <w:p w14:paraId="5D2B14C8" w14:textId="77777777" w:rsidR="00DE0ECE" w:rsidRPr="00FB0533" w:rsidRDefault="00DE0ECE" w:rsidP="009E3E22">
            <w:pPr>
              <w:ind w:right="12"/>
              <w:jc w:val="right"/>
              <w:rPr>
                <w:b/>
                <w:color w:val="000000" w:themeColor="text1"/>
                <w:sz w:val="14"/>
              </w:rPr>
            </w:pPr>
            <w:r w:rsidRPr="00FB0533">
              <w:rPr>
                <w:b/>
                <w:color w:val="000000" w:themeColor="text1"/>
                <w:sz w:val="14"/>
              </w:rPr>
              <w:t>TELEPHONE: (714) 567-7660</w:t>
            </w:r>
          </w:p>
          <w:p w14:paraId="58C91824" w14:textId="77777777" w:rsidR="00DE0ECE" w:rsidRPr="00FB0533" w:rsidRDefault="00DE0ECE" w:rsidP="009E3E22">
            <w:pPr>
              <w:ind w:right="12"/>
              <w:jc w:val="right"/>
              <w:rPr>
                <w:b/>
                <w:color w:val="000000" w:themeColor="text1"/>
                <w:sz w:val="14"/>
              </w:rPr>
            </w:pPr>
            <w:r w:rsidRPr="00FB0533">
              <w:rPr>
                <w:b/>
                <w:color w:val="000000" w:themeColor="text1"/>
                <w:sz w:val="14"/>
              </w:rPr>
              <w:t>LPS FAX: (714) 567-7633</w:t>
            </w:r>
          </w:p>
          <w:p w14:paraId="35B014F7" w14:textId="77777777" w:rsidR="00DE0ECE" w:rsidRDefault="00DE0ECE" w:rsidP="009E3E22">
            <w:pPr>
              <w:jc w:val="right"/>
              <w:rPr>
                <w:sz w:val="14"/>
              </w:rPr>
            </w:pPr>
            <w:r w:rsidRPr="00FB0533">
              <w:rPr>
                <w:b/>
                <w:color w:val="000000" w:themeColor="text1"/>
                <w:sz w:val="14"/>
              </w:rPr>
              <w:t>PROBATE FAX: (714) 834-7182</w:t>
            </w:r>
          </w:p>
        </w:tc>
      </w:tr>
    </w:tbl>
    <w:p w14:paraId="0CC1BE3D" w14:textId="7246AAC1" w:rsidR="00A652EA" w:rsidRPr="00FB0533" w:rsidRDefault="00DE0ECE" w:rsidP="00FB0533">
      <w:pPr>
        <w:spacing w:line="276" w:lineRule="auto"/>
        <w:rPr>
          <w:sz w:val="22"/>
          <w:szCs w:val="22"/>
        </w:rPr>
      </w:pPr>
      <w:r w:rsidRPr="00FB0533">
        <w:rPr>
          <w:sz w:val="22"/>
          <w:szCs w:val="22"/>
        </w:rPr>
        <w:t>The Public Guardian is responsible for the ca</w:t>
      </w:r>
      <w:r w:rsidR="0015441C" w:rsidRPr="00FB0533">
        <w:rPr>
          <w:sz w:val="22"/>
          <w:szCs w:val="22"/>
        </w:rPr>
        <w:t>r</w:t>
      </w:r>
      <w:r w:rsidRPr="00FB0533">
        <w:rPr>
          <w:sz w:val="22"/>
          <w:szCs w:val="22"/>
        </w:rPr>
        <w:t xml:space="preserve">e of individuals who are no longer able to make decisions or care for themselves. </w:t>
      </w:r>
    </w:p>
    <w:p w14:paraId="1E9E8F5F" w14:textId="43EEE649" w:rsidR="00DE0ECE" w:rsidRPr="00FB0533" w:rsidRDefault="00DE0ECE" w:rsidP="00FB0533">
      <w:pPr>
        <w:spacing w:line="276" w:lineRule="auto"/>
        <w:rPr>
          <w:sz w:val="22"/>
          <w:szCs w:val="22"/>
        </w:rPr>
      </w:pPr>
    </w:p>
    <w:p w14:paraId="3F054FE4" w14:textId="353B75A3" w:rsidR="00DE0ECE" w:rsidRPr="00FB0533" w:rsidRDefault="00DE0ECE" w:rsidP="00FB0533">
      <w:pPr>
        <w:spacing w:line="276" w:lineRule="auto"/>
        <w:rPr>
          <w:sz w:val="22"/>
          <w:szCs w:val="22"/>
        </w:rPr>
      </w:pPr>
      <w:r w:rsidRPr="00FB0533">
        <w:rPr>
          <w:sz w:val="22"/>
          <w:szCs w:val="22"/>
        </w:rPr>
        <w:t>A conservatorship is a legal process where a third party (conservator) is given the legal authority to manage the financial affairs and/or the care of another individual (conservatee).</w:t>
      </w:r>
      <w:r w:rsidR="0015441C" w:rsidRPr="00FB0533">
        <w:rPr>
          <w:sz w:val="22"/>
          <w:szCs w:val="22"/>
        </w:rPr>
        <w:t xml:space="preserve"> </w:t>
      </w:r>
    </w:p>
    <w:p w14:paraId="27C6CAE3" w14:textId="1062299B" w:rsidR="00DE0ECE" w:rsidRPr="00FB0533" w:rsidRDefault="00DE0ECE" w:rsidP="00FB0533">
      <w:pPr>
        <w:spacing w:line="276" w:lineRule="auto"/>
        <w:rPr>
          <w:sz w:val="22"/>
          <w:szCs w:val="22"/>
        </w:rPr>
      </w:pPr>
    </w:p>
    <w:p w14:paraId="20E2C932" w14:textId="037A8F40" w:rsidR="00DE0ECE" w:rsidRPr="00FB0533" w:rsidRDefault="00DE0ECE" w:rsidP="00FB0533">
      <w:pPr>
        <w:spacing w:line="276" w:lineRule="auto"/>
        <w:rPr>
          <w:sz w:val="22"/>
          <w:szCs w:val="22"/>
        </w:rPr>
      </w:pPr>
      <w:r w:rsidRPr="00FB0533">
        <w:rPr>
          <w:sz w:val="22"/>
          <w:szCs w:val="22"/>
        </w:rPr>
        <w:t>The Superior Court determines whether a person is unable to care and make decisions for themselves and whether a conservatorship is appropriate. Once appointed by the court, the Public Guardian assumes personal and/or financial responsibilities for care of the conservatee.</w:t>
      </w:r>
    </w:p>
    <w:p w14:paraId="05E1A560" w14:textId="3C92125E" w:rsidR="0015441C" w:rsidRPr="00FB0533" w:rsidRDefault="0015441C" w:rsidP="00FB0533">
      <w:pPr>
        <w:spacing w:line="276" w:lineRule="auto"/>
        <w:rPr>
          <w:sz w:val="22"/>
          <w:szCs w:val="22"/>
        </w:rPr>
      </w:pPr>
    </w:p>
    <w:p w14:paraId="4AD7665B" w14:textId="1530DC37" w:rsidR="0015441C" w:rsidRPr="00FB0533" w:rsidRDefault="0015441C" w:rsidP="00FB0533">
      <w:pPr>
        <w:spacing w:line="276" w:lineRule="auto"/>
        <w:rPr>
          <w:sz w:val="22"/>
          <w:szCs w:val="22"/>
        </w:rPr>
      </w:pPr>
      <w:r w:rsidRPr="00FB0533">
        <w:rPr>
          <w:sz w:val="22"/>
          <w:szCs w:val="22"/>
        </w:rPr>
        <w:t>The Office of the Public Guardian provides assistance in English, Spanish and Vietnamese. Hours of operation are from 8 a.m. to 5 p.m., Monday through Friday.</w:t>
      </w:r>
    </w:p>
    <w:p w14:paraId="0E7CE4CD" w14:textId="68625680" w:rsidR="0015441C" w:rsidRDefault="0015441C"/>
    <w:p w14:paraId="1F9D5806" w14:textId="1CBC9512" w:rsidR="0015441C" w:rsidRDefault="0015441C">
      <w:r>
        <w:rPr>
          <w:b/>
          <w:bCs/>
          <w:u w:val="single"/>
        </w:rPr>
        <w:t>Probate Program</w:t>
      </w:r>
    </w:p>
    <w:p w14:paraId="09AF8824" w14:textId="2E069430" w:rsidR="0015441C" w:rsidRDefault="0015441C"/>
    <w:p w14:paraId="4D6FB760" w14:textId="65381E8B" w:rsidR="0015441C" w:rsidRPr="00FB0533" w:rsidRDefault="0015441C" w:rsidP="00FB0533">
      <w:pPr>
        <w:spacing w:line="276" w:lineRule="auto"/>
        <w:rPr>
          <w:sz w:val="22"/>
          <w:szCs w:val="22"/>
        </w:rPr>
      </w:pPr>
      <w:r w:rsidRPr="00FB0533">
        <w:rPr>
          <w:sz w:val="22"/>
          <w:szCs w:val="22"/>
        </w:rPr>
        <w:t>A probate conservatorship of the person and/or estate may be established for individuals who can no longer care for themselves. Often, the inability to care for self comes from the symptoms of dementia, a traumatic brain injury or other cognitive impairments.</w:t>
      </w:r>
    </w:p>
    <w:p w14:paraId="50ADFFF3" w14:textId="3E40EFA9" w:rsidR="0015441C" w:rsidRPr="00FB0533" w:rsidRDefault="0015441C" w:rsidP="00FB0533">
      <w:pPr>
        <w:spacing w:line="276" w:lineRule="auto"/>
        <w:rPr>
          <w:sz w:val="22"/>
          <w:szCs w:val="22"/>
        </w:rPr>
      </w:pPr>
    </w:p>
    <w:p w14:paraId="5C36ECD3" w14:textId="475CE624" w:rsidR="0015441C" w:rsidRPr="00FB0533" w:rsidRDefault="0015441C" w:rsidP="00FB0533">
      <w:pPr>
        <w:spacing w:line="276" w:lineRule="auto"/>
        <w:rPr>
          <w:sz w:val="22"/>
          <w:szCs w:val="22"/>
        </w:rPr>
      </w:pPr>
      <w:r w:rsidRPr="00FB0533">
        <w:rPr>
          <w:sz w:val="22"/>
          <w:szCs w:val="22"/>
        </w:rPr>
        <w:t>The Probate unit responds to referrals from Adult Protective Services (APS), local law enfor</w:t>
      </w:r>
      <w:r w:rsidR="00FB0533">
        <w:rPr>
          <w:sz w:val="22"/>
          <w:szCs w:val="22"/>
        </w:rPr>
        <w:t>c</w:t>
      </w:r>
      <w:r w:rsidRPr="00FB0533">
        <w:rPr>
          <w:sz w:val="22"/>
          <w:szCs w:val="22"/>
        </w:rPr>
        <w:t>ement agencies, financial institutions, the community, and the Superior Court to investi</w:t>
      </w:r>
      <w:r w:rsidR="00FB0533">
        <w:rPr>
          <w:sz w:val="22"/>
          <w:szCs w:val="22"/>
        </w:rPr>
        <w:t>g</w:t>
      </w:r>
      <w:r w:rsidRPr="00FB0533">
        <w:rPr>
          <w:sz w:val="22"/>
          <w:szCs w:val="22"/>
        </w:rPr>
        <w:t>ate information received on individuals who are unable to provide for their own basic needs of physical health, food, clothing and shelter and who are at risk of either self-neglect, undue influence by others, or whose property is subject to loss, theft, waste or misappropriation.</w:t>
      </w:r>
    </w:p>
    <w:p w14:paraId="6F86A976" w14:textId="1C201798" w:rsidR="0015441C" w:rsidRPr="00FB0533" w:rsidRDefault="0015441C" w:rsidP="00FB0533">
      <w:pPr>
        <w:spacing w:line="276" w:lineRule="auto"/>
        <w:rPr>
          <w:sz w:val="22"/>
          <w:szCs w:val="22"/>
        </w:rPr>
      </w:pPr>
    </w:p>
    <w:p w14:paraId="1635E249" w14:textId="4B52037F" w:rsidR="0015441C" w:rsidRPr="00FB0533" w:rsidRDefault="0015441C" w:rsidP="00FB0533">
      <w:pPr>
        <w:spacing w:line="276" w:lineRule="auto"/>
        <w:rPr>
          <w:sz w:val="22"/>
          <w:szCs w:val="22"/>
        </w:rPr>
      </w:pPr>
      <w:r w:rsidRPr="00FB0533">
        <w:rPr>
          <w:sz w:val="22"/>
          <w:szCs w:val="22"/>
        </w:rPr>
        <w:t>Upon acceptance of a referral, an investigation will be completed to ascertain whether a conservatorship is appropriate.</w:t>
      </w:r>
    </w:p>
    <w:p w14:paraId="245CF65B" w14:textId="1D63C505" w:rsidR="0015441C" w:rsidRPr="00FB0533" w:rsidRDefault="0015441C" w:rsidP="00FB0533">
      <w:pPr>
        <w:spacing w:line="276" w:lineRule="auto"/>
        <w:rPr>
          <w:sz w:val="22"/>
          <w:szCs w:val="22"/>
        </w:rPr>
      </w:pPr>
    </w:p>
    <w:p w14:paraId="178A20FE" w14:textId="413479AA" w:rsidR="0015441C" w:rsidRPr="00FB0533" w:rsidRDefault="0015441C" w:rsidP="00FB0533">
      <w:pPr>
        <w:spacing w:line="276" w:lineRule="auto"/>
        <w:rPr>
          <w:sz w:val="22"/>
          <w:szCs w:val="22"/>
        </w:rPr>
      </w:pPr>
      <w:r w:rsidRPr="00FB0533">
        <w:rPr>
          <w:sz w:val="22"/>
          <w:szCs w:val="22"/>
        </w:rPr>
        <w:t xml:space="preserve">The Public Guardian is deemed as the “conservator of last resort,” meaning that all other viable alternatives need to be considered before the Public Guardian is granted the </w:t>
      </w:r>
      <w:r w:rsidR="009C0317">
        <w:rPr>
          <w:sz w:val="22"/>
          <w:szCs w:val="22"/>
        </w:rPr>
        <w:t>c</w:t>
      </w:r>
      <w:r w:rsidRPr="00FB0533">
        <w:rPr>
          <w:sz w:val="22"/>
          <w:szCs w:val="22"/>
        </w:rPr>
        <w:t>onservatorship of an individual.</w:t>
      </w:r>
    </w:p>
    <w:p w14:paraId="5D8F675F" w14:textId="617D7E5A" w:rsidR="00FB0533" w:rsidRDefault="00FB0533"/>
    <w:p w14:paraId="2665308B" w14:textId="562A70EF" w:rsidR="00FB0533" w:rsidRPr="00FB0533" w:rsidRDefault="00FB0533" w:rsidP="00FB0533">
      <w:pPr>
        <w:jc w:val="center"/>
        <w:rPr>
          <w:b/>
          <w:bCs/>
          <w:sz w:val="28"/>
          <w:szCs w:val="28"/>
        </w:rPr>
      </w:pPr>
      <w:r w:rsidRPr="00FB0533">
        <w:rPr>
          <w:b/>
          <w:bCs/>
          <w:sz w:val="28"/>
          <w:szCs w:val="28"/>
        </w:rPr>
        <w:t>Deputy Kim Swanson, 714-567-7616</w:t>
      </w:r>
    </w:p>
    <w:sectPr w:rsidR="00FB0533" w:rsidRPr="00FB0533" w:rsidSect="00FB0533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CE"/>
    <w:rsid w:val="0015441C"/>
    <w:rsid w:val="002B4EF0"/>
    <w:rsid w:val="009C0317"/>
    <w:rsid w:val="00A652EA"/>
    <w:rsid w:val="00DE0ECE"/>
    <w:rsid w:val="00FB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7F9D"/>
  <w15:chartTrackingRefBased/>
  <w15:docId w15:val="{6EF50E20-FE6E-40D6-AE26-FD49A73B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ECE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Swanson, Kim</dc:creator>
  <cp:keywords/>
  <dc:description/>
  <cp:lastModifiedBy>Swanson, Kim</cp:lastModifiedBy>
  <cp:revision>4</cp:revision>
  <dcterms:created xsi:type="dcterms:W3CDTF">2022-12-02T16:32:00Z</dcterms:created>
  <dcterms:modified xsi:type="dcterms:W3CDTF">2022-12-02T17:09:00Z</dcterms:modified>
</cp:coreProperties>
</file>