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2BE4" w14:textId="77777777" w:rsidR="0092423F" w:rsidRPr="005963FA" w:rsidRDefault="0092423F" w:rsidP="007A1B5D">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Universidad de Buenos Aires</w:t>
      </w:r>
    </w:p>
    <w:p w14:paraId="21D5CCCE"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Facultad de Ciencias Económicas</w:t>
      </w:r>
    </w:p>
    <w:p w14:paraId="221EC1CC" w14:textId="60140897" w:rsidR="0092423F" w:rsidRPr="005963FA" w:rsidRDefault="0092423F" w:rsidP="00292931">
      <w:pPr>
        <w:pBdr>
          <w:bottom w:val="single" w:sz="8" w:space="4" w:color="4F81BD" w:themeColor="accent1"/>
        </w:pBdr>
        <w:contextualSpacing/>
        <w:jc w:val="center"/>
        <w:rPr>
          <w:rFonts w:eastAsiaTheme="majorEastAsia"/>
          <w:spacing w:val="5"/>
          <w:kern w:val="28"/>
          <w:sz w:val="40"/>
          <w:szCs w:val="40"/>
          <w:lang w:val="es-ES"/>
        </w:rPr>
      </w:pPr>
      <w:r w:rsidRPr="005963FA">
        <w:rPr>
          <w:rFonts w:eastAsiaTheme="majorEastAsia"/>
          <w:spacing w:val="5"/>
          <w:kern w:val="28"/>
          <w:sz w:val="40"/>
          <w:szCs w:val="40"/>
          <w:lang w:val="es-ES"/>
        </w:rPr>
        <w:t xml:space="preserve">Escuela de </w:t>
      </w:r>
      <w:r w:rsidR="00227DCA" w:rsidRPr="005963FA">
        <w:rPr>
          <w:rFonts w:eastAsiaTheme="majorEastAsia"/>
          <w:spacing w:val="5"/>
          <w:kern w:val="28"/>
          <w:sz w:val="40"/>
          <w:szCs w:val="40"/>
          <w:lang w:val="es-ES"/>
        </w:rPr>
        <w:t>Negocios y Administración Pública</w:t>
      </w:r>
    </w:p>
    <w:p w14:paraId="10FD631D" w14:textId="77777777" w:rsidR="0092423F" w:rsidRPr="005963FA" w:rsidRDefault="0092423F" w:rsidP="00292931">
      <w:pPr>
        <w:jc w:val="center"/>
        <w:rPr>
          <w:lang w:val="es-ES"/>
        </w:rPr>
      </w:pPr>
    </w:p>
    <w:p w14:paraId="63D00542" w14:textId="77777777" w:rsidR="0092423F" w:rsidRPr="005963FA" w:rsidRDefault="0092423F" w:rsidP="00292931">
      <w:pPr>
        <w:jc w:val="center"/>
        <w:rPr>
          <w:lang w:val="es-ES"/>
        </w:rPr>
      </w:pPr>
    </w:p>
    <w:p w14:paraId="3E6697E2" w14:textId="77777777" w:rsidR="0092423F" w:rsidRPr="005963FA" w:rsidRDefault="0092423F" w:rsidP="00292931">
      <w:pPr>
        <w:jc w:val="center"/>
        <w:rPr>
          <w:lang w:val="es-ES"/>
        </w:rPr>
      </w:pPr>
    </w:p>
    <w:p w14:paraId="00DD89F4" w14:textId="16698493" w:rsidR="0092423F" w:rsidRPr="005963FA" w:rsidRDefault="0092423F" w:rsidP="00292931">
      <w:pPr>
        <w:pBdr>
          <w:bottom w:val="single" w:sz="8" w:space="4" w:color="4F81BD" w:themeColor="accent1"/>
        </w:pBdr>
        <w:contextualSpacing/>
        <w:jc w:val="center"/>
        <w:rPr>
          <w:rFonts w:eastAsiaTheme="majorEastAsia"/>
          <w:b/>
          <w:bCs/>
          <w:smallCaps/>
          <w:spacing w:val="5"/>
          <w:kern w:val="28"/>
          <w:sz w:val="44"/>
          <w:szCs w:val="44"/>
          <w:lang w:val="es-ES"/>
        </w:rPr>
      </w:pPr>
      <w:r w:rsidRPr="005963FA">
        <w:rPr>
          <w:rFonts w:eastAsiaTheme="majorEastAsia"/>
          <w:b/>
          <w:bCs/>
          <w:smallCaps/>
          <w:spacing w:val="5"/>
          <w:kern w:val="28"/>
          <w:sz w:val="44"/>
          <w:szCs w:val="44"/>
          <w:lang w:val="es-ES"/>
        </w:rPr>
        <w:t xml:space="preserve">Maestría en </w:t>
      </w:r>
      <w:r w:rsidR="009E3CCC" w:rsidRPr="005963FA">
        <w:rPr>
          <w:rFonts w:eastAsiaTheme="majorEastAsia"/>
          <w:b/>
          <w:bCs/>
          <w:smallCaps/>
          <w:spacing w:val="5"/>
          <w:kern w:val="28"/>
          <w:sz w:val="44"/>
          <w:szCs w:val="44"/>
          <w:lang w:val="es-ES"/>
        </w:rPr>
        <w:t>Economía Aplicada</w:t>
      </w:r>
    </w:p>
    <w:p w14:paraId="4E0208BE" w14:textId="77777777" w:rsidR="0092423F" w:rsidRPr="005963FA" w:rsidRDefault="0092423F" w:rsidP="00292931">
      <w:pPr>
        <w:jc w:val="center"/>
        <w:rPr>
          <w:lang w:val="es-ES"/>
        </w:rPr>
      </w:pPr>
    </w:p>
    <w:p w14:paraId="3F163638"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p>
    <w:p w14:paraId="504B1462" w14:textId="77777777" w:rsidR="0092423F" w:rsidRPr="005963FA" w:rsidRDefault="0092423F" w:rsidP="00292931">
      <w:pPr>
        <w:pBdr>
          <w:bottom w:val="single" w:sz="8" w:space="4" w:color="4F81BD" w:themeColor="accent1"/>
        </w:pBdr>
        <w:contextualSpacing/>
        <w:jc w:val="center"/>
        <w:rPr>
          <w:rFonts w:eastAsiaTheme="majorEastAsia"/>
          <w:bCs/>
          <w:smallCaps/>
          <w:spacing w:val="5"/>
          <w:kern w:val="28"/>
          <w:sz w:val="44"/>
          <w:szCs w:val="44"/>
          <w:lang w:val="es-ES"/>
        </w:rPr>
      </w:pPr>
      <w:r w:rsidRPr="005963FA">
        <w:rPr>
          <w:rFonts w:eastAsiaTheme="majorEastAsia"/>
          <w:bCs/>
          <w:smallCaps/>
          <w:spacing w:val="5"/>
          <w:kern w:val="28"/>
          <w:sz w:val="44"/>
          <w:szCs w:val="44"/>
          <w:lang w:val="es-ES"/>
        </w:rPr>
        <w:t>Trabajo Final de Maestría</w:t>
      </w:r>
    </w:p>
    <w:p w14:paraId="6B59E69D" w14:textId="77777777" w:rsidR="0092423F" w:rsidRPr="005963FA" w:rsidRDefault="0092423F" w:rsidP="00292931">
      <w:pPr>
        <w:jc w:val="center"/>
        <w:rPr>
          <w:sz w:val="44"/>
          <w:szCs w:val="44"/>
          <w:lang w:val="es-ES"/>
        </w:rPr>
      </w:pPr>
    </w:p>
    <w:p w14:paraId="72F10E44" w14:textId="23D95AFD" w:rsidR="0092423F" w:rsidRPr="005963FA" w:rsidRDefault="005963FA" w:rsidP="00292931">
      <w:pPr>
        <w:pBdr>
          <w:bottom w:val="single" w:sz="8" w:space="4" w:color="4F81BD" w:themeColor="accent1"/>
        </w:pBdr>
        <w:tabs>
          <w:tab w:val="left" w:pos="2985"/>
        </w:tabs>
        <w:contextualSpacing/>
        <w:jc w:val="center"/>
        <w:rPr>
          <w:rFonts w:asciiTheme="majorHAnsi" w:eastAsiaTheme="majorEastAsia" w:hAnsiTheme="majorHAnsi"/>
          <w:spacing w:val="5"/>
          <w:kern w:val="28"/>
          <w:sz w:val="36"/>
          <w:szCs w:val="36"/>
          <w:lang w:val="es-ES"/>
        </w:rPr>
      </w:pPr>
      <w:r w:rsidRPr="005963FA">
        <w:rPr>
          <w:rFonts w:asciiTheme="majorHAnsi" w:eastAsiaTheme="majorEastAsia" w:hAnsiTheme="majorHAnsi"/>
          <w:spacing w:val="5"/>
          <w:kern w:val="28"/>
          <w:sz w:val="36"/>
          <w:szCs w:val="36"/>
          <w:lang w:val="es-ES"/>
        </w:rPr>
        <w:t>Aprendizaje Automático Doble para Diferencias en Diferencias: Fundamentos y Aplicación</w:t>
      </w:r>
    </w:p>
    <w:p w14:paraId="24BD4303" w14:textId="77777777" w:rsidR="0092423F" w:rsidRPr="005963FA" w:rsidRDefault="0092423F" w:rsidP="00292931">
      <w:pPr>
        <w:numPr>
          <w:ilvl w:val="1"/>
          <w:numId w:val="0"/>
        </w:numPr>
        <w:jc w:val="center"/>
        <w:rPr>
          <w:rFonts w:eastAsiaTheme="majorEastAsia"/>
          <w:i/>
          <w:iCs/>
          <w:spacing w:val="15"/>
          <w:lang w:val="es-ES"/>
        </w:rPr>
      </w:pPr>
    </w:p>
    <w:p w14:paraId="0BC08AC2" w14:textId="77777777" w:rsidR="0092423F" w:rsidRPr="005963FA" w:rsidRDefault="0092423F" w:rsidP="00292931">
      <w:pPr>
        <w:jc w:val="center"/>
        <w:rPr>
          <w:lang w:val="es-ES"/>
        </w:rPr>
      </w:pPr>
    </w:p>
    <w:p w14:paraId="7497DE95" w14:textId="77777777" w:rsidR="0092423F" w:rsidRPr="005963FA" w:rsidRDefault="0092423F" w:rsidP="00292931">
      <w:pPr>
        <w:jc w:val="center"/>
        <w:rPr>
          <w:lang w:val="es-ES"/>
        </w:rPr>
      </w:pPr>
    </w:p>
    <w:p w14:paraId="0142FD7B" w14:textId="77777777" w:rsidR="0092423F" w:rsidRPr="005963FA" w:rsidRDefault="0092423F" w:rsidP="00292931">
      <w:pPr>
        <w:jc w:val="center"/>
        <w:rPr>
          <w:lang w:val="es-ES"/>
        </w:rPr>
      </w:pPr>
    </w:p>
    <w:p w14:paraId="02031B33" w14:textId="77777777" w:rsidR="0092423F" w:rsidRPr="005963FA" w:rsidRDefault="0092423F" w:rsidP="00292931">
      <w:pPr>
        <w:jc w:val="center"/>
        <w:rPr>
          <w:lang w:val="es-ES"/>
        </w:rPr>
      </w:pPr>
    </w:p>
    <w:p w14:paraId="4C3719E4" w14:textId="77777777" w:rsidR="0092423F" w:rsidRPr="005963FA" w:rsidRDefault="0092423F" w:rsidP="00292931">
      <w:pPr>
        <w:jc w:val="center"/>
        <w:rPr>
          <w:b/>
          <w:bCs/>
          <w:smallCaps/>
          <w:spacing w:val="5"/>
          <w:lang w:val="es-ES"/>
        </w:rPr>
      </w:pPr>
    </w:p>
    <w:p w14:paraId="78E9252A" w14:textId="2F920445" w:rsidR="0092423F" w:rsidRPr="005963FA" w:rsidRDefault="0092423F" w:rsidP="00292931">
      <w:pPr>
        <w:rPr>
          <w:bCs/>
          <w:smallCaps/>
          <w:spacing w:val="5"/>
          <w:sz w:val="28"/>
          <w:szCs w:val="28"/>
          <w:lang w:val="es-ES"/>
        </w:rPr>
      </w:pPr>
      <w:r w:rsidRPr="005963FA">
        <w:rPr>
          <w:bCs/>
          <w:smallCaps/>
          <w:spacing w:val="5"/>
          <w:sz w:val="28"/>
          <w:szCs w:val="28"/>
          <w:lang w:val="es-ES"/>
        </w:rPr>
        <w:t xml:space="preserve">Autor: </w:t>
      </w:r>
      <w:r w:rsidR="009E3CCC" w:rsidRPr="005963FA">
        <w:rPr>
          <w:bCs/>
          <w:smallCaps/>
          <w:spacing w:val="5"/>
          <w:sz w:val="28"/>
          <w:szCs w:val="28"/>
          <w:lang w:val="es-ES"/>
        </w:rPr>
        <w:t>Martín Gabriel Cargnel</w:t>
      </w:r>
    </w:p>
    <w:p w14:paraId="2343ABFA" w14:textId="77777777" w:rsidR="0092423F" w:rsidRPr="005963FA" w:rsidRDefault="0092423F" w:rsidP="00292931">
      <w:pPr>
        <w:rPr>
          <w:bCs/>
          <w:smallCaps/>
          <w:spacing w:val="5"/>
          <w:sz w:val="28"/>
          <w:szCs w:val="28"/>
          <w:lang w:val="es-ES"/>
        </w:rPr>
      </w:pPr>
    </w:p>
    <w:p w14:paraId="76296910" w14:textId="680E82E7" w:rsidR="0092423F" w:rsidRPr="005963FA" w:rsidRDefault="00390317" w:rsidP="00292931">
      <w:pPr>
        <w:rPr>
          <w:bCs/>
          <w:smallCaps/>
          <w:spacing w:val="5"/>
          <w:sz w:val="28"/>
          <w:szCs w:val="28"/>
          <w:lang w:val="es-ES"/>
        </w:rPr>
      </w:pPr>
      <w:r w:rsidRPr="005963FA">
        <w:rPr>
          <w:bCs/>
          <w:smallCaps/>
          <w:spacing w:val="5"/>
          <w:sz w:val="28"/>
          <w:szCs w:val="28"/>
          <w:lang w:val="es-ES"/>
        </w:rPr>
        <w:t>Director</w:t>
      </w:r>
      <w:r w:rsidR="0092423F" w:rsidRPr="005963FA">
        <w:rPr>
          <w:bCs/>
          <w:smallCaps/>
          <w:spacing w:val="5"/>
          <w:sz w:val="28"/>
          <w:szCs w:val="28"/>
          <w:lang w:val="es-ES"/>
        </w:rPr>
        <w:t xml:space="preserve">: </w:t>
      </w:r>
      <w:r w:rsidR="009E3CCC" w:rsidRPr="005963FA">
        <w:rPr>
          <w:bCs/>
          <w:smallCaps/>
          <w:spacing w:val="5"/>
          <w:sz w:val="28"/>
          <w:szCs w:val="28"/>
          <w:lang w:val="es-ES"/>
        </w:rPr>
        <w:t>María Noelia romero</w:t>
      </w:r>
    </w:p>
    <w:p w14:paraId="2DB08373" w14:textId="77777777" w:rsidR="0092423F" w:rsidRPr="005963FA" w:rsidRDefault="0092423F" w:rsidP="00292931">
      <w:pPr>
        <w:jc w:val="center"/>
        <w:rPr>
          <w:bCs/>
          <w:smallCaps/>
          <w:spacing w:val="5"/>
          <w:sz w:val="28"/>
          <w:szCs w:val="28"/>
          <w:lang w:val="es-ES"/>
        </w:rPr>
      </w:pPr>
    </w:p>
    <w:p w14:paraId="67AF9756" w14:textId="7881E360" w:rsidR="0092423F" w:rsidRPr="005963FA" w:rsidRDefault="0092423F" w:rsidP="00292931">
      <w:pPr>
        <w:jc w:val="center"/>
        <w:rPr>
          <w:bCs/>
          <w:smallCaps/>
          <w:spacing w:val="5"/>
          <w:sz w:val="28"/>
          <w:szCs w:val="28"/>
          <w:lang w:val="es-ES"/>
        </w:rPr>
      </w:pPr>
    </w:p>
    <w:p w14:paraId="7AF841FA" w14:textId="77777777" w:rsidR="00553510" w:rsidRPr="005963FA" w:rsidRDefault="00553510" w:rsidP="00292931">
      <w:pPr>
        <w:jc w:val="center"/>
        <w:rPr>
          <w:bCs/>
          <w:smallCaps/>
          <w:spacing w:val="5"/>
          <w:sz w:val="28"/>
          <w:szCs w:val="28"/>
          <w:lang w:val="es-ES"/>
        </w:rPr>
      </w:pPr>
    </w:p>
    <w:p w14:paraId="2108111A" w14:textId="77777777" w:rsidR="00553510" w:rsidRPr="005963FA" w:rsidRDefault="00553510" w:rsidP="00292931">
      <w:pPr>
        <w:jc w:val="center"/>
        <w:rPr>
          <w:bCs/>
          <w:smallCaps/>
          <w:spacing w:val="5"/>
          <w:sz w:val="28"/>
          <w:szCs w:val="28"/>
          <w:lang w:val="es-ES"/>
        </w:rPr>
      </w:pPr>
    </w:p>
    <w:p w14:paraId="4D84E0E5" w14:textId="77777777" w:rsidR="00553510" w:rsidRPr="005963FA" w:rsidRDefault="00553510" w:rsidP="00292931">
      <w:pPr>
        <w:jc w:val="center"/>
        <w:rPr>
          <w:bCs/>
          <w:smallCaps/>
          <w:spacing w:val="5"/>
          <w:sz w:val="28"/>
          <w:szCs w:val="28"/>
          <w:lang w:val="es-ES"/>
        </w:rPr>
      </w:pPr>
    </w:p>
    <w:p w14:paraId="7DB491D8" w14:textId="77777777" w:rsidR="00553510" w:rsidRPr="005963FA" w:rsidRDefault="00553510" w:rsidP="00292931">
      <w:pPr>
        <w:jc w:val="center"/>
        <w:rPr>
          <w:bCs/>
          <w:smallCaps/>
          <w:spacing w:val="5"/>
          <w:sz w:val="28"/>
          <w:szCs w:val="28"/>
          <w:lang w:val="es-ES"/>
        </w:rPr>
      </w:pPr>
    </w:p>
    <w:p w14:paraId="134C17D0" w14:textId="77777777" w:rsidR="0092423F" w:rsidRPr="005963FA" w:rsidRDefault="0092423F" w:rsidP="00292931">
      <w:pPr>
        <w:jc w:val="center"/>
        <w:rPr>
          <w:bCs/>
          <w:smallCaps/>
          <w:spacing w:val="5"/>
          <w:sz w:val="28"/>
          <w:szCs w:val="28"/>
          <w:lang w:val="es-ES"/>
        </w:rPr>
      </w:pPr>
    </w:p>
    <w:p w14:paraId="2E44A978" w14:textId="71344CB5" w:rsidR="00B5509F" w:rsidRPr="00292931" w:rsidRDefault="0092423F" w:rsidP="00292931">
      <w:pPr>
        <w:pBdr>
          <w:bottom w:val="single" w:sz="8" w:space="4" w:color="4F81BD" w:themeColor="accent1"/>
        </w:pBdr>
        <w:contextualSpacing/>
        <w:jc w:val="center"/>
      </w:pPr>
      <w:r w:rsidRPr="00292931">
        <w:rPr>
          <w:rFonts w:eastAsiaTheme="majorEastAsia"/>
          <w:bCs/>
          <w:smallCaps/>
          <w:spacing w:val="5"/>
          <w:kern w:val="28"/>
        </w:rPr>
        <w:t>[</w:t>
      </w:r>
      <w:r w:rsidR="007A1B5D">
        <w:rPr>
          <w:rFonts w:eastAsiaTheme="majorEastAsia"/>
          <w:bCs/>
          <w:smallCaps/>
          <w:spacing w:val="5"/>
          <w:kern w:val="28"/>
        </w:rPr>
        <w:t>Abril</w:t>
      </w:r>
      <w:r w:rsidR="009E3CCC" w:rsidRPr="00292931">
        <w:rPr>
          <w:rFonts w:eastAsiaTheme="majorEastAsia"/>
          <w:bCs/>
          <w:smallCaps/>
          <w:spacing w:val="5"/>
          <w:kern w:val="28"/>
        </w:rPr>
        <w:t xml:space="preserve"> 2026</w:t>
      </w:r>
      <w:r w:rsidRPr="00292931">
        <w:rPr>
          <w:rFonts w:eastAsiaTheme="majorEastAsia"/>
          <w:bCs/>
          <w:smallCaps/>
          <w:spacing w:val="5"/>
          <w:kern w:val="28"/>
        </w:rPr>
        <w:t>]</w:t>
      </w:r>
    </w:p>
    <w:p w14:paraId="6F34D742" w14:textId="77777777" w:rsidR="00296984" w:rsidRDefault="00296984" w:rsidP="00E02F19">
      <w:pPr>
        <w:pStyle w:val="ListParagraph"/>
        <w:tabs>
          <w:tab w:val="left" w:pos="6840"/>
        </w:tabs>
        <w:ind w:left="0"/>
        <w:jc w:val="both"/>
        <w:rPr>
          <w:b/>
          <w:sz w:val="28"/>
          <w:szCs w:val="28"/>
        </w:rPr>
      </w:pPr>
    </w:p>
    <w:p w14:paraId="793A4B3E" w14:textId="77777777" w:rsidR="007A1B5D" w:rsidRDefault="007A1B5D" w:rsidP="00E02F19">
      <w:pPr>
        <w:pStyle w:val="ListParagraph"/>
        <w:tabs>
          <w:tab w:val="left" w:pos="6840"/>
        </w:tabs>
        <w:ind w:left="0"/>
        <w:jc w:val="both"/>
        <w:rPr>
          <w:b/>
          <w:sz w:val="28"/>
          <w:szCs w:val="28"/>
        </w:rPr>
      </w:pPr>
    </w:p>
    <w:p w14:paraId="3933A474" w14:textId="77777777" w:rsidR="00492577" w:rsidRDefault="00492577" w:rsidP="00492577">
      <w:pPr>
        <w:tabs>
          <w:tab w:val="left" w:pos="6840"/>
        </w:tabs>
        <w:rPr>
          <w:b/>
          <w:sz w:val="28"/>
          <w:szCs w:val="28"/>
        </w:rPr>
      </w:pPr>
    </w:p>
    <w:p w14:paraId="27CD1EA4" w14:textId="77777777" w:rsidR="00185DA9" w:rsidRDefault="00185DA9">
      <w:pPr>
        <w:spacing w:after="200" w:line="276" w:lineRule="auto"/>
        <w:rPr>
          <w:b/>
          <w:sz w:val="28"/>
          <w:szCs w:val="28"/>
        </w:rPr>
      </w:pPr>
      <w:r>
        <w:rPr>
          <w:b/>
          <w:sz w:val="28"/>
          <w:szCs w:val="28"/>
        </w:rPr>
        <w:br w:type="page"/>
      </w:r>
    </w:p>
    <w:p w14:paraId="531D00B3" w14:textId="1A3CC137" w:rsidR="00D15730" w:rsidRPr="007A1B5D" w:rsidRDefault="007A1B5D" w:rsidP="00492577">
      <w:pPr>
        <w:tabs>
          <w:tab w:val="left" w:pos="6840"/>
        </w:tabs>
        <w:jc w:val="center"/>
        <w:rPr>
          <w:b/>
          <w:sz w:val="28"/>
          <w:szCs w:val="28"/>
        </w:rPr>
      </w:pPr>
      <w:r w:rsidRPr="007A1B5D">
        <w:rPr>
          <w:b/>
          <w:sz w:val="28"/>
          <w:szCs w:val="28"/>
        </w:rPr>
        <w:lastRenderedPageBreak/>
        <w:t>Abstract</w:t>
      </w:r>
    </w:p>
    <w:p w14:paraId="3FFA1B47" w14:textId="643B72A8" w:rsidR="007A1B5D" w:rsidRPr="00002482" w:rsidRDefault="007A1B5D" w:rsidP="007A1B5D">
      <w:pPr>
        <w:pStyle w:val="FirstParagraph"/>
        <w:jc w:val="both"/>
        <w:rPr>
          <w:rFonts w:ascii="Times New Roman" w:hAnsi="Times New Roman" w:cs="Times New Roman"/>
        </w:rPr>
      </w:pPr>
      <w:bookmarkStart w:id="0" w:name="abstract"/>
    </w:p>
    <w:p w14:paraId="78F54489" w14:textId="77777777" w:rsidR="007A1B5D" w:rsidRPr="00002482" w:rsidRDefault="007A1B5D" w:rsidP="007A1B5D">
      <w:pPr>
        <w:pStyle w:val="BodyText"/>
        <w:jc w:val="both"/>
      </w:pPr>
      <w:r w:rsidRPr="00002482">
        <w:t>Machine Learning (ML) models have traditionally been associated with prediction tasks due to their flexibility, while social scientists have typically relied on simpler, often linear, regressions for assessing causality. However, a novel framework named Double Machine Learning (DML) has emerged, providing a way to leverage the predictive performance of these complex methods for robust causal estimation. This thesis examines the fundamentals and applications of double machine learning for two distinct popular Difference-in-Differences (</w:t>
      </w:r>
      <w:proofErr w:type="spellStart"/>
      <w:r w:rsidRPr="00002482">
        <w:t>DiD</w:t>
      </w:r>
      <w:proofErr w:type="spellEnd"/>
      <w:r w:rsidRPr="00002482">
        <w:t>) settings.</w:t>
      </w:r>
    </w:p>
    <w:p w14:paraId="7453427D" w14:textId="77777777" w:rsidR="007A1B5D" w:rsidRPr="00002482" w:rsidRDefault="007A1B5D" w:rsidP="007A1B5D">
      <w:pPr>
        <w:pStyle w:val="BodyText"/>
        <w:jc w:val="both"/>
      </w:pPr>
      <w:r w:rsidRPr="00002482">
        <w:rPr>
          <w:b/>
          <w:bCs/>
        </w:rPr>
        <w:t>Keywords</w:t>
      </w:r>
      <w:r w:rsidRPr="00002482">
        <w:t>: Double Machine Learning, Causal Inference, Difference-in-Differences</w:t>
      </w:r>
    </w:p>
    <w:p w14:paraId="392AA5E1" w14:textId="7F90B34F" w:rsidR="007A1B5D" w:rsidRPr="00002482" w:rsidRDefault="007A1B5D" w:rsidP="007A1B5D">
      <w:pPr>
        <w:jc w:val="both"/>
      </w:pPr>
    </w:p>
    <w:p w14:paraId="7E3928EA" w14:textId="77777777" w:rsidR="007A1B5D" w:rsidRDefault="007A1B5D" w:rsidP="00EB6242">
      <w:pPr>
        <w:pStyle w:val="Heading1"/>
      </w:pPr>
      <w:bookmarkStart w:id="1" w:name="chapter-1-introduction"/>
      <w:bookmarkEnd w:id="0"/>
    </w:p>
    <w:p w14:paraId="34CBDE6D" w14:textId="77777777" w:rsidR="007A1B5D" w:rsidRDefault="007A1B5D" w:rsidP="007A1B5D"/>
    <w:p w14:paraId="621661F4" w14:textId="77777777" w:rsidR="007A1B5D" w:rsidRDefault="007A1B5D" w:rsidP="007A1B5D"/>
    <w:p w14:paraId="26B7024F" w14:textId="77777777" w:rsidR="007A1B5D" w:rsidRDefault="007A1B5D" w:rsidP="007A1B5D"/>
    <w:p w14:paraId="1836DD6D" w14:textId="77777777" w:rsidR="007A1B5D" w:rsidRDefault="007A1B5D" w:rsidP="007A1B5D"/>
    <w:p w14:paraId="2E1CB2D2" w14:textId="77777777" w:rsidR="007A1B5D" w:rsidRDefault="007A1B5D" w:rsidP="007A1B5D"/>
    <w:p w14:paraId="400172E5" w14:textId="77777777" w:rsidR="007A1B5D" w:rsidRDefault="007A1B5D" w:rsidP="007A1B5D"/>
    <w:p w14:paraId="59FF1B2D" w14:textId="77777777" w:rsidR="007A1B5D" w:rsidRDefault="007A1B5D" w:rsidP="007A1B5D"/>
    <w:p w14:paraId="7E9312E4" w14:textId="77777777" w:rsidR="007A1B5D" w:rsidRDefault="007A1B5D" w:rsidP="007A1B5D"/>
    <w:p w14:paraId="5F1F2809" w14:textId="77777777" w:rsidR="007A1B5D" w:rsidRDefault="007A1B5D" w:rsidP="007A1B5D"/>
    <w:p w14:paraId="12F7F0C7" w14:textId="77777777" w:rsidR="007A1B5D" w:rsidRDefault="007A1B5D" w:rsidP="007A1B5D"/>
    <w:p w14:paraId="4BC2C664" w14:textId="77777777" w:rsidR="007A1B5D" w:rsidRDefault="007A1B5D" w:rsidP="007A1B5D"/>
    <w:p w14:paraId="1900EC6F" w14:textId="77777777" w:rsidR="007A1B5D" w:rsidRDefault="007A1B5D" w:rsidP="007A1B5D"/>
    <w:p w14:paraId="3332F979" w14:textId="77777777" w:rsidR="007A1B5D" w:rsidRDefault="007A1B5D" w:rsidP="007A1B5D"/>
    <w:p w14:paraId="2A1618F5" w14:textId="77777777" w:rsidR="007A1B5D" w:rsidRDefault="007A1B5D" w:rsidP="007A1B5D"/>
    <w:p w14:paraId="2F4B3F9F" w14:textId="77777777" w:rsidR="007A1B5D" w:rsidRDefault="007A1B5D" w:rsidP="007A1B5D"/>
    <w:p w14:paraId="1646DD74" w14:textId="77777777" w:rsidR="007A1B5D" w:rsidRDefault="007A1B5D" w:rsidP="007A1B5D"/>
    <w:p w14:paraId="1E69E029" w14:textId="77777777" w:rsidR="007A1B5D" w:rsidRDefault="007A1B5D" w:rsidP="007A1B5D"/>
    <w:p w14:paraId="67FA6C64" w14:textId="77777777" w:rsidR="007A1B5D" w:rsidRDefault="007A1B5D" w:rsidP="007A1B5D"/>
    <w:p w14:paraId="302383B9" w14:textId="77777777" w:rsidR="007A1B5D" w:rsidRDefault="007A1B5D" w:rsidP="007A1B5D"/>
    <w:p w14:paraId="3F705D72" w14:textId="77777777" w:rsidR="007A1B5D" w:rsidRDefault="007A1B5D" w:rsidP="007A1B5D"/>
    <w:p w14:paraId="0C66B1E5" w14:textId="77777777" w:rsidR="007A1B5D" w:rsidRDefault="007A1B5D" w:rsidP="007A1B5D"/>
    <w:p w14:paraId="10F5EC3F" w14:textId="77777777" w:rsidR="007A1B5D" w:rsidRDefault="007A1B5D" w:rsidP="007A1B5D"/>
    <w:p w14:paraId="188339CC" w14:textId="77777777" w:rsidR="00492577" w:rsidRDefault="00492577" w:rsidP="00EB6242">
      <w:pPr>
        <w:pStyle w:val="Heading1"/>
      </w:pPr>
    </w:p>
    <w:p w14:paraId="7F10B2A0" w14:textId="77777777" w:rsidR="00492577" w:rsidRDefault="00492577" w:rsidP="00492577"/>
    <w:p w14:paraId="2AEA7210" w14:textId="77777777" w:rsidR="00CC5F82" w:rsidRDefault="00CC5F82" w:rsidP="00492577"/>
    <w:p w14:paraId="43F35D9D" w14:textId="77777777" w:rsidR="00CC5F82" w:rsidRDefault="00CC5F82" w:rsidP="00492577"/>
    <w:p w14:paraId="4902E9C9" w14:textId="77777777" w:rsidR="00CC5F82" w:rsidRDefault="00CC5F82" w:rsidP="00492577"/>
    <w:p w14:paraId="2A0D5C6D" w14:textId="77777777" w:rsidR="00CC5F82" w:rsidRDefault="00CC5F82" w:rsidP="00492577"/>
    <w:p w14:paraId="4A3B617D" w14:textId="77777777" w:rsidR="00CC5F82" w:rsidRDefault="00CC5F82" w:rsidP="00492577"/>
    <w:sdt>
      <w:sdtPr>
        <w:rPr>
          <w:rFonts w:eastAsia="Times New Roman"/>
          <w:b w:val="0"/>
          <w:bCs w:val="0"/>
          <w:color w:val="auto"/>
          <w:sz w:val="24"/>
          <w:szCs w:val="24"/>
          <w:lang w:eastAsia="en-US"/>
        </w:rPr>
        <w:id w:val="-1316182406"/>
        <w:docPartObj>
          <w:docPartGallery w:val="Table of Contents"/>
          <w:docPartUnique/>
        </w:docPartObj>
      </w:sdtPr>
      <w:sdtEndPr>
        <w:rPr>
          <w:noProof/>
        </w:rPr>
      </w:sdtEndPr>
      <w:sdtContent>
        <w:p w14:paraId="081549B9" w14:textId="0858FBF4" w:rsidR="00CC5F82" w:rsidRPr="00EB6242" w:rsidRDefault="00CC5F82" w:rsidP="00EB6242">
          <w:pPr>
            <w:pStyle w:val="TOCHeading"/>
          </w:pPr>
          <w:r w:rsidRPr="00EB6242">
            <w:rPr>
              <w:rFonts w:eastAsia="Times New Roman"/>
            </w:rPr>
            <w:t>Table of Contents</w:t>
          </w:r>
        </w:p>
        <w:p w14:paraId="73652696" w14:textId="716FB25D" w:rsidR="00BF697B" w:rsidRDefault="00CC5F82">
          <w:pPr>
            <w:pStyle w:val="TOC1"/>
            <w:rPr>
              <w:rFonts w:asciiTheme="minorHAnsi" w:eastAsiaTheme="minorEastAsia" w:hAnsiTheme="minorHAnsi" w:cstheme="minorBidi"/>
              <w:b w:val="0"/>
              <w:bCs w:val="0"/>
              <w:kern w:val="2"/>
              <w14:ligatures w14:val="standardContextual"/>
            </w:rPr>
          </w:pPr>
          <w:r w:rsidRPr="00BF697B">
            <w:rPr>
              <w:noProof w:val="0"/>
            </w:rPr>
            <w:fldChar w:fldCharType="begin"/>
          </w:r>
          <w:r w:rsidRPr="00BF697B">
            <w:instrText xml:space="preserve"> TOC \o "1-3" \h \z \u </w:instrText>
          </w:r>
          <w:r w:rsidRPr="00BF697B">
            <w:rPr>
              <w:noProof w:val="0"/>
            </w:rPr>
            <w:fldChar w:fldCharType="separate"/>
          </w:r>
          <w:hyperlink w:anchor="_Toc227873370" w:history="1">
            <w:r w:rsidR="00BF697B" w:rsidRPr="001D0E5C">
              <w:rPr>
                <w:rStyle w:val="Hyperlink"/>
              </w:rPr>
              <w:t>1. Introduction</w:t>
            </w:r>
            <w:r w:rsidR="00BF697B">
              <w:rPr>
                <w:webHidden/>
              </w:rPr>
              <w:tab/>
            </w:r>
            <w:r w:rsidR="00BF697B">
              <w:rPr>
                <w:webHidden/>
              </w:rPr>
              <w:fldChar w:fldCharType="begin"/>
            </w:r>
            <w:r w:rsidR="00BF697B">
              <w:rPr>
                <w:webHidden/>
              </w:rPr>
              <w:instrText xml:space="preserve"> PAGEREF _Toc227873370 \h </w:instrText>
            </w:r>
            <w:r w:rsidR="00BF697B">
              <w:rPr>
                <w:webHidden/>
              </w:rPr>
            </w:r>
            <w:r w:rsidR="00BF697B">
              <w:rPr>
                <w:webHidden/>
              </w:rPr>
              <w:fldChar w:fldCharType="separate"/>
            </w:r>
            <w:r w:rsidR="00BF697B">
              <w:rPr>
                <w:webHidden/>
              </w:rPr>
              <w:t>5</w:t>
            </w:r>
            <w:r w:rsidR="00BF697B">
              <w:rPr>
                <w:webHidden/>
              </w:rPr>
              <w:fldChar w:fldCharType="end"/>
            </w:r>
          </w:hyperlink>
        </w:p>
        <w:p w14:paraId="0A864660" w14:textId="47E018AD" w:rsidR="00BF697B" w:rsidRDefault="00BF697B">
          <w:pPr>
            <w:pStyle w:val="TOC1"/>
            <w:rPr>
              <w:rFonts w:asciiTheme="minorHAnsi" w:eastAsiaTheme="minorEastAsia" w:hAnsiTheme="minorHAnsi" w:cstheme="minorBidi"/>
              <w:b w:val="0"/>
              <w:bCs w:val="0"/>
              <w:kern w:val="2"/>
              <w14:ligatures w14:val="standardContextual"/>
            </w:rPr>
          </w:pPr>
          <w:hyperlink w:anchor="_Toc227873371" w:history="1">
            <w:r w:rsidRPr="001D0E5C">
              <w:rPr>
                <w:rStyle w:val="Hyperlink"/>
              </w:rPr>
              <w:t>2. Difference in Differences</w:t>
            </w:r>
            <w:r>
              <w:rPr>
                <w:webHidden/>
              </w:rPr>
              <w:tab/>
            </w:r>
            <w:r>
              <w:rPr>
                <w:webHidden/>
              </w:rPr>
              <w:fldChar w:fldCharType="begin"/>
            </w:r>
            <w:r>
              <w:rPr>
                <w:webHidden/>
              </w:rPr>
              <w:instrText xml:space="preserve"> PAGEREF _Toc227873371 \h </w:instrText>
            </w:r>
            <w:r>
              <w:rPr>
                <w:webHidden/>
              </w:rPr>
            </w:r>
            <w:r>
              <w:rPr>
                <w:webHidden/>
              </w:rPr>
              <w:fldChar w:fldCharType="separate"/>
            </w:r>
            <w:r>
              <w:rPr>
                <w:webHidden/>
              </w:rPr>
              <w:t>7</w:t>
            </w:r>
            <w:r>
              <w:rPr>
                <w:webHidden/>
              </w:rPr>
              <w:fldChar w:fldCharType="end"/>
            </w:r>
          </w:hyperlink>
        </w:p>
        <w:p w14:paraId="5C468A58" w14:textId="0151E2DD"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72" w:history="1">
            <w:r w:rsidRPr="001D0E5C">
              <w:rPr>
                <w:rStyle w:val="Hyperlink"/>
              </w:rPr>
              <w:t>2.1. The DiD Estimator</w:t>
            </w:r>
            <w:r>
              <w:rPr>
                <w:webHidden/>
              </w:rPr>
              <w:tab/>
            </w:r>
            <w:r>
              <w:rPr>
                <w:webHidden/>
              </w:rPr>
              <w:fldChar w:fldCharType="begin"/>
            </w:r>
            <w:r>
              <w:rPr>
                <w:webHidden/>
              </w:rPr>
              <w:instrText xml:space="preserve"> PAGEREF _Toc227873372 \h </w:instrText>
            </w:r>
            <w:r>
              <w:rPr>
                <w:webHidden/>
              </w:rPr>
            </w:r>
            <w:r>
              <w:rPr>
                <w:webHidden/>
              </w:rPr>
              <w:fldChar w:fldCharType="separate"/>
            </w:r>
            <w:r>
              <w:rPr>
                <w:webHidden/>
              </w:rPr>
              <w:t>7</w:t>
            </w:r>
            <w:r>
              <w:rPr>
                <w:webHidden/>
              </w:rPr>
              <w:fldChar w:fldCharType="end"/>
            </w:r>
          </w:hyperlink>
        </w:p>
        <w:p w14:paraId="19363806" w14:textId="64E7D344"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73" w:history="1">
            <w:r w:rsidRPr="001D0E5C">
              <w:rPr>
                <w:rStyle w:val="Hyperlink"/>
                <w:noProof/>
              </w:rPr>
              <w:t>2.1.1. Estimation</w:t>
            </w:r>
            <w:r>
              <w:rPr>
                <w:noProof/>
                <w:webHidden/>
              </w:rPr>
              <w:tab/>
            </w:r>
            <w:r>
              <w:rPr>
                <w:noProof/>
                <w:webHidden/>
              </w:rPr>
              <w:fldChar w:fldCharType="begin"/>
            </w:r>
            <w:r>
              <w:rPr>
                <w:noProof/>
                <w:webHidden/>
              </w:rPr>
              <w:instrText xml:space="preserve"> PAGEREF _Toc227873373 \h </w:instrText>
            </w:r>
            <w:r>
              <w:rPr>
                <w:noProof/>
                <w:webHidden/>
              </w:rPr>
            </w:r>
            <w:r>
              <w:rPr>
                <w:noProof/>
                <w:webHidden/>
              </w:rPr>
              <w:fldChar w:fldCharType="separate"/>
            </w:r>
            <w:r>
              <w:rPr>
                <w:noProof/>
                <w:webHidden/>
              </w:rPr>
              <w:t>8</w:t>
            </w:r>
            <w:r>
              <w:rPr>
                <w:noProof/>
                <w:webHidden/>
              </w:rPr>
              <w:fldChar w:fldCharType="end"/>
            </w:r>
          </w:hyperlink>
        </w:p>
        <w:p w14:paraId="501000CA" w14:textId="3070DD80"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74" w:history="1">
            <w:r w:rsidRPr="001D0E5C">
              <w:rPr>
                <w:rStyle w:val="Hyperlink"/>
                <w:noProof/>
              </w:rPr>
              <w:t>2.1.2. Assumptions</w:t>
            </w:r>
            <w:r>
              <w:rPr>
                <w:noProof/>
                <w:webHidden/>
              </w:rPr>
              <w:tab/>
            </w:r>
            <w:r>
              <w:rPr>
                <w:noProof/>
                <w:webHidden/>
              </w:rPr>
              <w:fldChar w:fldCharType="begin"/>
            </w:r>
            <w:r>
              <w:rPr>
                <w:noProof/>
                <w:webHidden/>
              </w:rPr>
              <w:instrText xml:space="preserve"> PAGEREF _Toc227873374 \h </w:instrText>
            </w:r>
            <w:r>
              <w:rPr>
                <w:noProof/>
                <w:webHidden/>
              </w:rPr>
            </w:r>
            <w:r>
              <w:rPr>
                <w:noProof/>
                <w:webHidden/>
              </w:rPr>
              <w:fldChar w:fldCharType="separate"/>
            </w:r>
            <w:r>
              <w:rPr>
                <w:noProof/>
                <w:webHidden/>
              </w:rPr>
              <w:t>8</w:t>
            </w:r>
            <w:r>
              <w:rPr>
                <w:noProof/>
                <w:webHidden/>
              </w:rPr>
              <w:fldChar w:fldCharType="end"/>
            </w:r>
          </w:hyperlink>
        </w:p>
        <w:p w14:paraId="10FB3195" w14:textId="724C4F76"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75" w:history="1">
            <w:r w:rsidRPr="001D0E5C">
              <w:rPr>
                <w:rStyle w:val="Hyperlink"/>
              </w:rPr>
              <w:t>2.2. Extension: Staggered DiD</w:t>
            </w:r>
            <w:r>
              <w:rPr>
                <w:webHidden/>
              </w:rPr>
              <w:tab/>
            </w:r>
            <w:r>
              <w:rPr>
                <w:webHidden/>
              </w:rPr>
              <w:fldChar w:fldCharType="begin"/>
            </w:r>
            <w:r>
              <w:rPr>
                <w:webHidden/>
              </w:rPr>
              <w:instrText xml:space="preserve"> PAGEREF _Toc227873375 \h </w:instrText>
            </w:r>
            <w:r>
              <w:rPr>
                <w:webHidden/>
              </w:rPr>
            </w:r>
            <w:r>
              <w:rPr>
                <w:webHidden/>
              </w:rPr>
              <w:fldChar w:fldCharType="separate"/>
            </w:r>
            <w:r>
              <w:rPr>
                <w:webHidden/>
              </w:rPr>
              <w:t>10</w:t>
            </w:r>
            <w:r>
              <w:rPr>
                <w:webHidden/>
              </w:rPr>
              <w:fldChar w:fldCharType="end"/>
            </w:r>
          </w:hyperlink>
        </w:p>
        <w:p w14:paraId="0FA9DFB3" w14:textId="05C5BCD0"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76" w:history="1">
            <w:r w:rsidRPr="001D0E5C">
              <w:rPr>
                <w:rStyle w:val="Hyperlink"/>
                <w:noProof/>
              </w:rPr>
              <w:t>2.2.1. Estimation</w:t>
            </w:r>
            <w:r>
              <w:rPr>
                <w:noProof/>
                <w:webHidden/>
              </w:rPr>
              <w:tab/>
            </w:r>
            <w:r>
              <w:rPr>
                <w:noProof/>
                <w:webHidden/>
              </w:rPr>
              <w:fldChar w:fldCharType="begin"/>
            </w:r>
            <w:r>
              <w:rPr>
                <w:noProof/>
                <w:webHidden/>
              </w:rPr>
              <w:instrText xml:space="preserve"> PAGEREF _Toc227873376 \h </w:instrText>
            </w:r>
            <w:r>
              <w:rPr>
                <w:noProof/>
                <w:webHidden/>
              </w:rPr>
            </w:r>
            <w:r>
              <w:rPr>
                <w:noProof/>
                <w:webHidden/>
              </w:rPr>
              <w:fldChar w:fldCharType="separate"/>
            </w:r>
            <w:r>
              <w:rPr>
                <w:noProof/>
                <w:webHidden/>
              </w:rPr>
              <w:t>11</w:t>
            </w:r>
            <w:r>
              <w:rPr>
                <w:noProof/>
                <w:webHidden/>
              </w:rPr>
              <w:fldChar w:fldCharType="end"/>
            </w:r>
          </w:hyperlink>
        </w:p>
        <w:p w14:paraId="02F77CD8" w14:textId="42678FDC"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77" w:history="1">
            <w:r w:rsidRPr="001D0E5C">
              <w:rPr>
                <w:rStyle w:val="Hyperlink"/>
                <w:noProof/>
              </w:rPr>
              <w:t>2.2.2. Limitations and Recent Advances</w:t>
            </w:r>
            <w:r>
              <w:rPr>
                <w:noProof/>
                <w:webHidden/>
              </w:rPr>
              <w:tab/>
            </w:r>
            <w:r>
              <w:rPr>
                <w:noProof/>
                <w:webHidden/>
              </w:rPr>
              <w:fldChar w:fldCharType="begin"/>
            </w:r>
            <w:r>
              <w:rPr>
                <w:noProof/>
                <w:webHidden/>
              </w:rPr>
              <w:instrText xml:space="preserve"> PAGEREF _Toc227873377 \h </w:instrText>
            </w:r>
            <w:r>
              <w:rPr>
                <w:noProof/>
                <w:webHidden/>
              </w:rPr>
            </w:r>
            <w:r>
              <w:rPr>
                <w:noProof/>
                <w:webHidden/>
              </w:rPr>
              <w:fldChar w:fldCharType="separate"/>
            </w:r>
            <w:r>
              <w:rPr>
                <w:noProof/>
                <w:webHidden/>
              </w:rPr>
              <w:t>11</w:t>
            </w:r>
            <w:r>
              <w:rPr>
                <w:noProof/>
                <w:webHidden/>
              </w:rPr>
              <w:fldChar w:fldCharType="end"/>
            </w:r>
          </w:hyperlink>
        </w:p>
        <w:p w14:paraId="6B7D2164" w14:textId="11DC7153"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78" w:history="1">
            <w:r w:rsidRPr="001D0E5C">
              <w:rPr>
                <w:rStyle w:val="Hyperlink"/>
                <w:noProof/>
              </w:rPr>
              <w:t>2.2.3. Extensions to Covariates</w:t>
            </w:r>
            <w:r>
              <w:rPr>
                <w:noProof/>
                <w:webHidden/>
              </w:rPr>
              <w:tab/>
            </w:r>
            <w:r>
              <w:rPr>
                <w:noProof/>
                <w:webHidden/>
              </w:rPr>
              <w:fldChar w:fldCharType="begin"/>
            </w:r>
            <w:r>
              <w:rPr>
                <w:noProof/>
                <w:webHidden/>
              </w:rPr>
              <w:instrText xml:space="preserve"> PAGEREF _Toc227873378 \h </w:instrText>
            </w:r>
            <w:r>
              <w:rPr>
                <w:noProof/>
                <w:webHidden/>
              </w:rPr>
            </w:r>
            <w:r>
              <w:rPr>
                <w:noProof/>
                <w:webHidden/>
              </w:rPr>
              <w:fldChar w:fldCharType="separate"/>
            </w:r>
            <w:r>
              <w:rPr>
                <w:noProof/>
                <w:webHidden/>
              </w:rPr>
              <w:t>11</w:t>
            </w:r>
            <w:r>
              <w:rPr>
                <w:noProof/>
                <w:webHidden/>
              </w:rPr>
              <w:fldChar w:fldCharType="end"/>
            </w:r>
          </w:hyperlink>
        </w:p>
        <w:p w14:paraId="3A76D8A4" w14:textId="43286017" w:rsidR="00BF697B" w:rsidRDefault="00BF697B">
          <w:pPr>
            <w:pStyle w:val="TOC1"/>
            <w:rPr>
              <w:rFonts w:asciiTheme="minorHAnsi" w:eastAsiaTheme="minorEastAsia" w:hAnsiTheme="minorHAnsi" w:cstheme="minorBidi"/>
              <w:b w:val="0"/>
              <w:bCs w:val="0"/>
              <w:kern w:val="2"/>
              <w14:ligatures w14:val="standardContextual"/>
            </w:rPr>
          </w:pPr>
          <w:hyperlink w:anchor="_Toc227873379" w:history="1">
            <w:r w:rsidRPr="001D0E5C">
              <w:rPr>
                <w:rStyle w:val="Hyperlink"/>
              </w:rPr>
              <w:t>3. Double Machine Learning</w:t>
            </w:r>
            <w:r>
              <w:rPr>
                <w:webHidden/>
              </w:rPr>
              <w:tab/>
            </w:r>
            <w:r>
              <w:rPr>
                <w:webHidden/>
              </w:rPr>
              <w:fldChar w:fldCharType="begin"/>
            </w:r>
            <w:r>
              <w:rPr>
                <w:webHidden/>
              </w:rPr>
              <w:instrText xml:space="preserve"> PAGEREF _Toc227873379 \h </w:instrText>
            </w:r>
            <w:r>
              <w:rPr>
                <w:webHidden/>
              </w:rPr>
            </w:r>
            <w:r>
              <w:rPr>
                <w:webHidden/>
              </w:rPr>
              <w:fldChar w:fldCharType="separate"/>
            </w:r>
            <w:r>
              <w:rPr>
                <w:webHidden/>
              </w:rPr>
              <w:t>13</w:t>
            </w:r>
            <w:r>
              <w:rPr>
                <w:webHidden/>
              </w:rPr>
              <w:fldChar w:fldCharType="end"/>
            </w:r>
          </w:hyperlink>
        </w:p>
        <w:p w14:paraId="7C61D7C7" w14:textId="0667F9FE"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80" w:history="1">
            <w:r w:rsidRPr="001D0E5C">
              <w:rPr>
                <w:rStyle w:val="Hyperlink"/>
              </w:rPr>
              <w:t>3.1. Double Machine Learning Framework</w:t>
            </w:r>
            <w:r>
              <w:rPr>
                <w:webHidden/>
              </w:rPr>
              <w:tab/>
            </w:r>
            <w:r>
              <w:rPr>
                <w:webHidden/>
              </w:rPr>
              <w:fldChar w:fldCharType="begin"/>
            </w:r>
            <w:r>
              <w:rPr>
                <w:webHidden/>
              </w:rPr>
              <w:instrText xml:space="preserve"> PAGEREF _Toc227873380 \h </w:instrText>
            </w:r>
            <w:r>
              <w:rPr>
                <w:webHidden/>
              </w:rPr>
            </w:r>
            <w:r>
              <w:rPr>
                <w:webHidden/>
              </w:rPr>
              <w:fldChar w:fldCharType="separate"/>
            </w:r>
            <w:r>
              <w:rPr>
                <w:webHidden/>
              </w:rPr>
              <w:t>13</w:t>
            </w:r>
            <w:r>
              <w:rPr>
                <w:webHidden/>
              </w:rPr>
              <w:fldChar w:fldCharType="end"/>
            </w:r>
          </w:hyperlink>
        </w:p>
        <w:p w14:paraId="509FE314" w14:textId="17F56490"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81" w:history="1">
            <w:r w:rsidRPr="001D0E5C">
              <w:rPr>
                <w:rStyle w:val="Hyperlink"/>
              </w:rPr>
              <w:t>3.2. The General Framework</w:t>
            </w:r>
            <w:r>
              <w:rPr>
                <w:webHidden/>
              </w:rPr>
              <w:tab/>
            </w:r>
            <w:r>
              <w:rPr>
                <w:webHidden/>
              </w:rPr>
              <w:fldChar w:fldCharType="begin"/>
            </w:r>
            <w:r>
              <w:rPr>
                <w:webHidden/>
              </w:rPr>
              <w:instrText xml:space="preserve"> PAGEREF _Toc227873381 \h </w:instrText>
            </w:r>
            <w:r>
              <w:rPr>
                <w:webHidden/>
              </w:rPr>
            </w:r>
            <w:r>
              <w:rPr>
                <w:webHidden/>
              </w:rPr>
              <w:fldChar w:fldCharType="separate"/>
            </w:r>
            <w:r>
              <w:rPr>
                <w:webHidden/>
              </w:rPr>
              <w:t>13</w:t>
            </w:r>
            <w:r>
              <w:rPr>
                <w:webHidden/>
              </w:rPr>
              <w:fldChar w:fldCharType="end"/>
            </w:r>
          </w:hyperlink>
        </w:p>
        <w:p w14:paraId="20D764C9" w14:textId="2374A862"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2" w:history="1">
            <w:r w:rsidRPr="001D0E5C">
              <w:rPr>
                <w:rStyle w:val="Hyperlink"/>
                <w:noProof/>
              </w:rPr>
              <w:t>3.2.1. Estimation Goal and Model Setup</w:t>
            </w:r>
            <w:r>
              <w:rPr>
                <w:noProof/>
                <w:webHidden/>
              </w:rPr>
              <w:tab/>
            </w:r>
            <w:r>
              <w:rPr>
                <w:noProof/>
                <w:webHidden/>
              </w:rPr>
              <w:fldChar w:fldCharType="begin"/>
            </w:r>
            <w:r>
              <w:rPr>
                <w:noProof/>
                <w:webHidden/>
              </w:rPr>
              <w:instrText xml:space="preserve"> PAGEREF _Toc227873382 \h </w:instrText>
            </w:r>
            <w:r>
              <w:rPr>
                <w:noProof/>
                <w:webHidden/>
              </w:rPr>
            </w:r>
            <w:r>
              <w:rPr>
                <w:noProof/>
                <w:webHidden/>
              </w:rPr>
              <w:fldChar w:fldCharType="separate"/>
            </w:r>
            <w:r>
              <w:rPr>
                <w:noProof/>
                <w:webHidden/>
              </w:rPr>
              <w:t>13</w:t>
            </w:r>
            <w:r>
              <w:rPr>
                <w:noProof/>
                <w:webHidden/>
              </w:rPr>
              <w:fldChar w:fldCharType="end"/>
            </w:r>
          </w:hyperlink>
        </w:p>
        <w:p w14:paraId="024249CA" w14:textId="58A172E5"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3" w:history="1">
            <w:r w:rsidRPr="001D0E5C">
              <w:rPr>
                <w:rStyle w:val="Hyperlink"/>
                <w:noProof/>
              </w:rPr>
              <w:t>3.2.2. The Confounding Problem</w:t>
            </w:r>
            <w:r>
              <w:rPr>
                <w:noProof/>
                <w:webHidden/>
              </w:rPr>
              <w:tab/>
            </w:r>
            <w:r>
              <w:rPr>
                <w:noProof/>
                <w:webHidden/>
              </w:rPr>
              <w:fldChar w:fldCharType="begin"/>
            </w:r>
            <w:r>
              <w:rPr>
                <w:noProof/>
                <w:webHidden/>
              </w:rPr>
              <w:instrText xml:space="preserve"> PAGEREF _Toc227873383 \h </w:instrText>
            </w:r>
            <w:r>
              <w:rPr>
                <w:noProof/>
                <w:webHidden/>
              </w:rPr>
            </w:r>
            <w:r>
              <w:rPr>
                <w:noProof/>
                <w:webHidden/>
              </w:rPr>
              <w:fldChar w:fldCharType="separate"/>
            </w:r>
            <w:r>
              <w:rPr>
                <w:noProof/>
                <w:webHidden/>
              </w:rPr>
              <w:t>14</w:t>
            </w:r>
            <w:r>
              <w:rPr>
                <w:noProof/>
                <w:webHidden/>
              </w:rPr>
              <w:fldChar w:fldCharType="end"/>
            </w:r>
          </w:hyperlink>
        </w:p>
        <w:p w14:paraId="44158AE5" w14:textId="5322D2B2"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4" w:history="1">
            <w:r w:rsidRPr="001D0E5C">
              <w:rPr>
                <w:rStyle w:val="Hyperlink"/>
                <w:noProof/>
              </w:rPr>
              <w:t>3.2.3. Theoretical Solution Through Orthogonalization</w:t>
            </w:r>
            <w:r>
              <w:rPr>
                <w:noProof/>
                <w:webHidden/>
              </w:rPr>
              <w:tab/>
            </w:r>
            <w:r>
              <w:rPr>
                <w:noProof/>
                <w:webHidden/>
              </w:rPr>
              <w:fldChar w:fldCharType="begin"/>
            </w:r>
            <w:r>
              <w:rPr>
                <w:noProof/>
                <w:webHidden/>
              </w:rPr>
              <w:instrText xml:space="preserve"> PAGEREF _Toc227873384 \h </w:instrText>
            </w:r>
            <w:r>
              <w:rPr>
                <w:noProof/>
                <w:webHidden/>
              </w:rPr>
            </w:r>
            <w:r>
              <w:rPr>
                <w:noProof/>
                <w:webHidden/>
              </w:rPr>
              <w:fldChar w:fldCharType="separate"/>
            </w:r>
            <w:r>
              <w:rPr>
                <w:noProof/>
                <w:webHidden/>
              </w:rPr>
              <w:t>15</w:t>
            </w:r>
            <w:r>
              <w:rPr>
                <w:noProof/>
                <w:webHidden/>
              </w:rPr>
              <w:fldChar w:fldCharType="end"/>
            </w:r>
          </w:hyperlink>
        </w:p>
        <w:p w14:paraId="097E5C19" w14:textId="0181225D"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85" w:history="1">
            <w:r w:rsidRPr="001D0E5C">
              <w:rPr>
                <w:rStyle w:val="Hyperlink"/>
              </w:rPr>
              <w:t>3.3. Practical Implementation with Machine Learning</w:t>
            </w:r>
            <w:r>
              <w:rPr>
                <w:webHidden/>
              </w:rPr>
              <w:tab/>
            </w:r>
            <w:r>
              <w:rPr>
                <w:webHidden/>
              </w:rPr>
              <w:fldChar w:fldCharType="begin"/>
            </w:r>
            <w:r>
              <w:rPr>
                <w:webHidden/>
              </w:rPr>
              <w:instrText xml:space="preserve"> PAGEREF _Toc227873385 \h </w:instrText>
            </w:r>
            <w:r>
              <w:rPr>
                <w:webHidden/>
              </w:rPr>
            </w:r>
            <w:r>
              <w:rPr>
                <w:webHidden/>
              </w:rPr>
              <w:fldChar w:fldCharType="separate"/>
            </w:r>
            <w:r>
              <w:rPr>
                <w:webHidden/>
              </w:rPr>
              <w:t>16</w:t>
            </w:r>
            <w:r>
              <w:rPr>
                <w:webHidden/>
              </w:rPr>
              <w:fldChar w:fldCharType="end"/>
            </w:r>
          </w:hyperlink>
        </w:p>
        <w:p w14:paraId="4F9FDA96" w14:textId="4BC6F5C1"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6" w:history="1">
            <w:r w:rsidRPr="001D0E5C">
              <w:rPr>
                <w:rStyle w:val="Hyperlink"/>
                <w:noProof/>
              </w:rPr>
              <w:t>3.3.1. Cross-Fitting: Addressing Overfitting Bias</w:t>
            </w:r>
            <w:r>
              <w:rPr>
                <w:noProof/>
                <w:webHidden/>
              </w:rPr>
              <w:tab/>
            </w:r>
            <w:r>
              <w:rPr>
                <w:noProof/>
                <w:webHidden/>
              </w:rPr>
              <w:fldChar w:fldCharType="begin"/>
            </w:r>
            <w:r>
              <w:rPr>
                <w:noProof/>
                <w:webHidden/>
              </w:rPr>
              <w:instrText xml:space="preserve"> PAGEREF _Toc227873386 \h </w:instrText>
            </w:r>
            <w:r>
              <w:rPr>
                <w:noProof/>
                <w:webHidden/>
              </w:rPr>
            </w:r>
            <w:r>
              <w:rPr>
                <w:noProof/>
                <w:webHidden/>
              </w:rPr>
              <w:fldChar w:fldCharType="separate"/>
            </w:r>
            <w:r>
              <w:rPr>
                <w:noProof/>
                <w:webHidden/>
              </w:rPr>
              <w:t>17</w:t>
            </w:r>
            <w:r>
              <w:rPr>
                <w:noProof/>
                <w:webHidden/>
              </w:rPr>
              <w:fldChar w:fldCharType="end"/>
            </w:r>
          </w:hyperlink>
        </w:p>
        <w:p w14:paraId="42918C7A" w14:textId="57774A0C"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7" w:history="1">
            <w:r w:rsidRPr="001D0E5C">
              <w:rPr>
                <w:rStyle w:val="Hyperlink"/>
                <w:noProof/>
              </w:rPr>
              <w:t>3.3.2. Neyman Orthogonality: Addressing Estimation Bias</w:t>
            </w:r>
            <w:r>
              <w:rPr>
                <w:noProof/>
                <w:webHidden/>
              </w:rPr>
              <w:tab/>
            </w:r>
            <w:r>
              <w:rPr>
                <w:noProof/>
                <w:webHidden/>
              </w:rPr>
              <w:fldChar w:fldCharType="begin"/>
            </w:r>
            <w:r>
              <w:rPr>
                <w:noProof/>
                <w:webHidden/>
              </w:rPr>
              <w:instrText xml:space="preserve"> PAGEREF _Toc227873387 \h </w:instrText>
            </w:r>
            <w:r>
              <w:rPr>
                <w:noProof/>
                <w:webHidden/>
              </w:rPr>
            </w:r>
            <w:r>
              <w:rPr>
                <w:noProof/>
                <w:webHidden/>
              </w:rPr>
              <w:fldChar w:fldCharType="separate"/>
            </w:r>
            <w:r>
              <w:rPr>
                <w:noProof/>
                <w:webHidden/>
              </w:rPr>
              <w:t>18</w:t>
            </w:r>
            <w:r>
              <w:rPr>
                <w:noProof/>
                <w:webHidden/>
              </w:rPr>
              <w:fldChar w:fldCharType="end"/>
            </w:r>
          </w:hyperlink>
        </w:p>
        <w:p w14:paraId="64C6F1F2" w14:textId="126F6605"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88" w:history="1">
            <w:r w:rsidRPr="001D0E5C">
              <w:rPr>
                <w:rStyle w:val="Hyperlink"/>
              </w:rPr>
              <w:t>3.4. DML for Difference-in-Differences</w:t>
            </w:r>
            <w:r>
              <w:rPr>
                <w:webHidden/>
              </w:rPr>
              <w:tab/>
            </w:r>
            <w:r>
              <w:rPr>
                <w:webHidden/>
              </w:rPr>
              <w:fldChar w:fldCharType="begin"/>
            </w:r>
            <w:r>
              <w:rPr>
                <w:webHidden/>
              </w:rPr>
              <w:instrText xml:space="preserve"> PAGEREF _Toc227873388 \h </w:instrText>
            </w:r>
            <w:r>
              <w:rPr>
                <w:webHidden/>
              </w:rPr>
            </w:r>
            <w:r>
              <w:rPr>
                <w:webHidden/>
              </w:rPr>
              <w:fldChar w:fldCharType="separate"/>
            </w:r>
            <w:r>
              <w:rPr>
                <w:webHidden/>
              </w:rPr>
              <w:t>18</w:t>
            </w:r>
            <w:r>
              <w:rPr>
                <w:webHidden/>
              </w:rPr>
              <w:fldChar w:fldCharType="end"/>
            </w:r>
          </w:hyperlink>
        </w:p>
        <w:p w14:paraId="3F3CB1A6" w14:textId="3F3F5284"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89" w:history="1">
            <w:r w:rsidRPr="001D0E5C">
              <w:rPr>
                <w:rStyle w:val="Hyperlink"/>
                <w:noProof/>
              </w:rPr>
              <w:t>3.4.1. Two-Period Difference-in-Differences</w:t>
            </w:r>
            <w:r>
              <w:rPr>
                <w:noProof/>
                <w:webHidden/>
              </w:rPr>
              <w:tab/>
            </w:r>
            <w:r>
              <w:rPr>
                <w:noProof/>
                <w:webHidden/>
              </w:rPr>
              <w:fldChar w:fldCharType="begin"/>
            </w:r>
            <w:r>
              <w:rPr>
                <w:noProof/>
                <w:webHidden/>
              </w:rPr>
              <w:instrText xml:space="preserve"> PAGEREF _Toc227873389 \h </w:instrText>
            </w:r>
            <w:r>
              <w:rPr>
                <w:noProof/>
                <w:webHidden/>
              </w:rPr>
            </w:r>
            <w:r>
              <w:rPr>
                <w:noProof/>
                <w:webHidden/>
              </w:rPr>
              <w:fldChar w:fldCharType="separate"/>
            </w:r>
            <w:r>
              <w:rPr>
                <w:noProof/>
                <w:webHidden/>
              </w:rPr>
              <w:t>19</w:t>
            </w:r>
            <w:r>
              <w:rPr>
                <w:noProof/>
                <w:webHidden/>
              </w:rPr>
              <w:fldChar w:fldCharType="end"/>
            </w:r>
          </w:hyperlink>
        </w:p>
        <w:p w14:paraId="1677F3E4" w14:textId="611C5FB9"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0" w:history="1">
            <w:r w:rsidRPr="001D0E5C">
              <w:rPr>
                <w:rStyle w:val="Hyperlink"/>
                <w:noProof/>
              </w:rPr>
              <w:t>3.4.2. Staggered Treatment Adoption</w:t>
            </w:r>
            <w:r>
              <w:rPr>
                <w:noProof/>
                <w:webHidden/>
              </w:rPr>
              <w:tab/>
            </w:r>
            <w:r>
              <w:rPr>
                <w:noProof/>
                <w:webHidden/>
              </w:rPr>
              <w:fldChar w:fldCharType="begin"/>
            </w:r>
            <w:r>
              <w:rPr>
                <w:noProof/>
                <w:webHidden/>
              </w:rPr>
              <w:instrText xml:space="preserve"> PAGEREF _Toc227873390 \h </w:instrText>
            </w:r>
            <w:r>
              <w:rPr>
                <w:noProof/>
                <w:webHidden/>
              </w:rPr>
            </w:r>
            <w:r>
              <w:rPr>
                <w:noProof/>
                <w:webHidden/>
              </w:rPr>
              <w:fldChar w:fldCharType="separate"/>
            </w:r>
            <w:r>
              <w:rPr>
                <w:noProof/>
                <w:webHidden/>
              </w:rPr>
              <w:t>20</w:t>
            </w:r>
            <w:r>
              <w:rPr>
                <w:noProof/>
                <w:webHidden/>
              </w:rPr>
              <w:fldChar w:fldCharType="end"/>
            </w:r>
          </w:hyperlink>
        </w:p>
        <w:p w14:paraId="12D4295A" w14:textId="12D94715"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1" w:history="1">
            <w:r w:rsidRPr="001D0E5C">
              <w:rPr>
                <w:rStyle w:val="Hyperlink"/>
                <w:noProof/>
              </w:rPr>
              <w:t>3.4.3. Doubly Robust Estimation of Cohort Effects</w:t>
            </w:r>
            <w:r>
              <w:rPr>
                <w:noProof/>
                <w:webHidden/>
              </w:rPr>
              <w:tab/>
            </w:r>
            <w:r>
              <w:rPr>
                <w:noProof/>
                <w:webHidden/>
              </w:rPr>
              <w:fldChar w:fldCharType="begin"/>
            </w:r>
            <w:r>
              <w:rPr>
                <w:noProof/>
                <w:webHidden/>
              </w:rPr>
              <w:instrText xml:space="preserve"> PAGEREF _Toc227873391 \h </w:instrText>
            </w:r>
            <w:r>
              <w:rPr>
                <w:noProof/>
                <w:webHidden/>
              </w:rPr>
            </w:r>
            <w:r>
              <w:rPr>
                <w:noProof/>
                <w:webHidden/>
              </w:rPr>
              <w:fldChar w:fldCharType="separate"/>
            </w:r>
            <w:r>
              <w:rPr>
                <w:noProof/>
                <w:webHidden/>
              </w:rPr>
              <w:t>21</w:t>
            </w:r>
            <w:r>
              <w:rPr>
                <w:noProof/>
                <w:webHidden/>
              </w:rPr>
              <w:fldChar w:fldCharType="end"/>
            </w:r>
          </w:hyperlink>
        </w:p>
        <w:p w14:paraId="70432C06" w14:textId="7C6ACAAE"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2" w:history="1">
            <w:r w:rsidRPr="001D0E5C">
              <w:rPr>
                <w:rStyle w:val="Hyperlink"/>
                <w:noProof/>
              </w:rPr>
              <w:t>3.4.4. Event Study Aggregation</w:t>
            </w:r>
            <w:r>
              <w:rPr>
                <w:noProof/>
                <w:webHidden/>
              </w:rPr>
              <w:tab/>
            </w:r>
            <w:r>
              <w:rPr>
                <w:noProof/>
                <w:webHidden/>
              </w:rPr>
              <w:fldChar w:fldCharType="begin"/>
            </w:r>
            <w:r>
              <w:rPr>
                <w:noProof/>
                <w:webHidden/>
              </w:rPr>
              <w:instrText xml:space="preserve"> PAGEREF _Toc227873392 \h </w:instrText>
            </w:r>
            <w:r>
              <w:rPr>
                <w:noProof/>
                <w:webHidden/>
              </w:rPr>
            </w:r>
            <w:r>
              <w:rPr>
                <w:noProof/>
                <w:webHidden/>
              </w:rPr>
              <w:fldChar w:fldCharType="separate"/>
            </w:r>
            <w:r>
              <w:rPr>
                <w:noProof/>
                <w:webHidden/>
              </w:rPr>
              <w:t>21</w:t>
            </w:r>
            <w:r>
              <w:rPr>
                <w:noProof/>
                <w:webHidden/>
              </w:rPr>
              <w:fldChar w:fldCharType="end"/>
            </w:r>
          </w:hyperlink>
        </w:p>
        <w:p w14:paraId="5BFCC336" w14:textId="00BC8509" w:rsidR="00BF697B" w:rsidRDefault="00BF697B">
          <w:pPr>
            <w:pStyle w:val="TOC1"/>
            <w:rPr>
              <w:rFonts w:asciiTheme="minorHAnsi" w:eastAsiaTheme="minorEastAsia" w:hAnsiTheme="minorHAnsi" w:cstheme="minorBidi"/>
              <w:b w:val="0"/>
              <w:bCs w:val="0"/>
              <w:kern w:val="2"/>
              <w14:ligatures w14:val="standardContextual"/>
            </w:rPr>
          </w:pPr>
          <w:hyperlink w:anchor="_Toc227873393" w:history="1">
            <w:r w:rsidRPr="001D0E5C">
              <w:rPr>
                <w:rStyle w:val="Hyperlink"/>
              </w:rPr>
              <w:t>4. Simulations</w:t>
            </w:r>
            <w:r>
              <w:rPr>
                <w:webHidden/>
              </w:rPr>
              <w:tab/>
            </w:r>
            <w:r>
              <w:rPr>
                <w:webHidden/>
              </w:rPr>
              <w:fldChar w:fldCharType="begin"/>
            </w:r>
            <w:r>
              <w:rPr>
                <w:webHidden/>
              </w:rPr>
              <w:instrText xml:space="preserve"> PAGEREF _Toc227873393 \h </w:instrText>
            </w:r>
            <w:r>
              <w:rPr>
                <w:webHidden/>
              </w:rPr>
            </w:r>
            <w:r>
              <w:rPr>
                <w:webHidden/>
              </w:rPr>
              <w:fldChar w:fldCharType="separate"/>
            </w:r>
            <w:r>
              <w:rPr>
                <w:webHidden/>
              </w:rPr>
              <w:t>23</w:t>
            </w:r>
            <w:r>
              <w:rPr>
                <w:webHidden/>
              </w:rPr>
              <w:fldChar w:fldCharType="end"/>
            </w:r>
          </w:hyperlink>
        </w:p>
        <w:p w14:paraId="0AD9D127" w14:textId="03D687D4"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394" w:history="1">
            <w:r w:rsidRPr="001D0E5C">
              <w:rPr>
                <w:rStyle w:val="Hyperlink"/>
              </w:rPr>
              <w:t>4.1. Data Generating Process</w:t>
            </w:r>
            <w:r>
              <w:rPr>
                <w:webHidden/>
              </w:rPr>
              <w:tab/>
            </w:r>
            <w:r>
              <w:rPr>
                <w:webHidden/>
              </w:rPr>
              <w:fldChar w:fldCharType="begin"/>
            </w:r>
            <w:r>
              <w:rPr>
                <w:webHidden/>
              </w:rPr>
              <w:instrText xml:space="preserve"> PAGEREF _Toc227873394 \h </w:instrText>
            </w:r>
            <w:r>
              <w:rPr>
                <w:webHidden/>
              </w:rPr>
            </w:r>
            <w:r>
              <w:rPr>
                <w:webHidden/>
              </w:rPr>
              <w:fldChar w:fldCharType="separate"/>
            </w:r>
            <w:r>
              <w:rPr>
                <w:webHidden/>
              </w:rPr>
              <w:t>23</w:t>
            </w:r>
            <w:r>
              <w:rPr>
                <w:webHidden/>
              </w:rPr>
              <w:fldChar w:fldCharType="end"/>
            </w:r>
          </w:hyperlink>
        </w:p>
        <w:p w14:paraId="6139732C" w14:textId="33014123"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5" w:history="1">
            <w:r w:rsidRPr="001D0E5C">
              <w:rPr>
                <w:rStyle w:val="Hyperlink"/>
                <w:noProof/>
              </w:rPr>
              <w:t>4.1.1. Covariates</w:t>
            </w:r>
            <w:r>
              <w:rPr>
                <w:noProof/>
                <w:webHidden/>
              </w:rPr>
              <w:tab/>
            </w:r>
            <w:r>
              <w:rPr>
                <w:noProof/>
                <w:webHidden/>
              </w:rPr>
              <w:fldChar w:fldCharType="begin"/>
            </w:r>
            <w:r>
              <w:rPr>
                <w:noProof/>
                <w:webHidden/>
              </w:rPr>
              <w:instrText xml:space="preserve"> PAGEREF _Toc227873395 \h </w:instrText>
            </w:r>
            <w:r>
              <w:rPr>
                <w:noProof/>
                <w:webHidden/>
              </w:rPr>
            </w:r>
            <w:r>
              <w:rPr>
                <w:noProof/>
                <w:webHidden/>
              </w:rPr>
              <w:fldChar w:fldCharType="separate"/>
            </w:r>
            <w:r>
              <w:rPr>
                <w:noProof/>
                <w:webHidden/>
              </w:rPr>
              <w:t>24</w:t>
            </w:r>
            <w:r>
              <w:rPr>
                <w:noProof/>
                <w:webHidden/>
              </w:rPr>
              <w:fldChar w:fldCharType="end"/>
            </w:r>
          </w:hyperlink>
        </w:p>
        <w:p w14:paraId="74044D0D" w14:textId="13F3CBAA"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6" w:history="1">
            <w:r w:rsidRPr="001D0E5C">
              <w:rPr>
                <w:rStyle w:val="Hyperlink"/>
                <w:noProof/>
              </w:rPr>
              <w:t>4.1.2. Treatment Assignment</w:t>
            </w:r>
            <w:r>
              <w:rPr>
                <w:noProof/>
                <w:webHidden/>
              </w:rPr>
              <w:tab/>
            </w:r>
            <w:r>
              <w:rPr>
                <w:noProof/>
                <w:webHidden/>
              </w:rPr>
              <w:fldChar w:fldCharType="begin"/>
            </w:r>
            <w:r>
              <w:rPr>
                <w:noProof/>
                <w:webHidden/>
              </w:rPr>
              <w:instrText xml:space="preserve"> PAGEREF _Toc227873396 \h </w:instrText>
            </w:r>
            <w:r>
              <w:rPr>
                <w:noProof/>
                <w:webHidden/>
              </w:rPr>
            </w:r>
            <w:r>
              <w:rPr>
                <w:noProof/>
                <w:webHidden/>
              </w:rPr>
              <w:fldChar w:fldCharType="separate"/>
            </w:r>
            <w:r>
              <w:rPr>
                <w:noProof/>
                <w:webHidden/>
              </w:rPr>
              <w:t>25</w:t>
            </w:r>
            <w:r>
              <w:rPr>
                <w:noProof/>
                <w:webHidden/>
              </w:rPr>
              <w:fldChar w:fldCharType="end"/>
            </w:r>
          </w:hyperlink>
        </w:p>
        <w:p w14:paraId="640CE568" w14:textId="3F0E09EB"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7" w:history="1">
            <w:r w:rsidRPr="001D0E5C">
              <w:rPr>
                <w:rStyle w:val="Hyperlink"/>
                <w:noProof/>
              </w:rPr>
              <w:t>4.1.3. Fixed Effects</w:t>
            </w:r>
            <w:r>
              <w:rPr>
                <w:noProof/>
                <w:webHidden/>
              </w:rPr>
              <w:tab/>
            </w:r>
            <w:r>
              <w:rPr>
                <w:noProof/>
                <w:webHidden/>
              </w:rPr>
              <w:fldChar w:fldCharType="begin"/>
            </w:r>
            <w:r>
              <w:rPr>
                <w:noProof/>
                <w:webHidden/>
              </w:rPr>
              <w:instrText xml:space="preserve"> PAGEREF _Toc227873397 \h </w:instrText>
            </w:r>
            <w:r>
              <w:rPr>
                <w:noProof/>
                <w:webHidden/>
              </w:rPr>
            </w:r>
            <w:r>
              <w:rPr>
                <w:noProof/>
                <w:webHidden/>
              </w:rPr>
              <w:fldChar w:fldCharType="separate"/>
            </w:r>
            <w:r>
              <w:rPr>
                <w:noProof/>
                <w:webHidden/>
              </w:rPr>
              <w:t>26</w:t>
            </w:r>
            <w:r>
              <w:rPr>
                <w:noProof/>
                <w:webHidden/>
              </w:rPr>
              <w:fldChar w:fldCharType="end"/>
            </w:r>
          </w:hyperlink>
        </w:p>
        <w:p w14:paraId="5DC9A005" w14:textId="32007B35"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8" w:history="1">
            <w:r w:rsidRPr="001D0E5C">
              <w:rPr>
                <w:rStyle w:val="Hyperlink"/>
                <w:noProof/>
              </w:rPr>
              <w:t>4.1.4. Potential Outcomes</w:t>
            </w:r>
            <w:r>
              <w:rPr>
                <w:noProof/>
                <w:webHidden/>
              </w:rPr>
              <w:tab/>
            </w:r>
            <w:r>
              <w:rPr>
                <w:noProof/>
                <w:webHidden/>
              </w:rPr>
              <w:fldChar w:fldCharType="begin"/>
            </w:r>
            <w:r>
              <w:rPr>
                <w:noProof/>
                <w:webHidden/>
              </w:rPr>
              <w:instrText xml:space="preserve"> PAGEREF _Toc227873398 \h </w:instrText>
            </w:r>
            <w:r>
              <w:rPr>
                <w:noProof/>
                <w:webHidden/>
              </w:rPr>
            </w:r>
            <w:r>
              <w:rPr>
                <w:noProof/>
                <w:webHidden/>
              </w:rPr>
              <w:fldChar w:fldCharType="separate"/>
            </w:r>
            <w:r>
              <w:rPr>
                <w:noProof/>
                <w:webHidden/>
              </w:rPr>
              <w:t>26</w:t>
            </w:r>
            <w:r>
              <w:rPr>
                <w:noProof/>
                <w:webHidden/>
              </w:rPr>
              <w:fldChar w:fldCharType="end"/>
            </w:r>
          </w:hyperlink>
        </w:p>
        <w:p w14:paraId="1B0CC679" w14:textId="673DDB6D"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399" w:history="1">
            <w:r w:rsidRPr="001D0E5C">
              <w:rPr>
                <w:rStyle w:val="Hyperlink"/>
                <w:noProof/>
              </w:rPr>
              <w:t>4.1.4. Observed Outcomes</w:t>
            </w:r>
            <w:r>
              <w:rPr>
                <w:noProof/>
                <w:webHidden/>
              </w:rPr>
              <w:tab/>
            </w:r>
            <w:r>
              <w:rPr>
                <w:noProof/>
                <w:webHidden/>
              </w:rPr>
              <w:fldChar w:fldCharType="begin"/>
            </w:r>
            <w:r>
              <w:rPr>
                <w:noProof/>
                <w:webHidden/>
              </w:rPr>
              <w:instrText xml:space="preserve"> PAGEREF _Toc227873399 \h </w:instrText>
            </w:r>
            <w:r>
              <w:rPr>
                <w:noProof/>
                <w:webHidden/>
              </w:rPr>
            </w:r>
            <w:r>
              <w:rPr>
                <w:noProof/>
                <w:webHidden/>
              </w:rPr>
              <w:fldChar w:fldCharType="separate"/>
            </w:r>
            <w:r>
              <w:rPr>
                <w:noProof/>
                <w:webHidden/>
              </w:rPr>
              <w:t>27</w:t>
            </w:r>
            <w:r>
              <w:rPr>
                <w:noProof/>
                <w:webHidden/>
              </w:rPr>
              <w:fldChar w:fldCharType="end"/>
            </w:r>
          </w:hyperlink>
        </w:p>
        <w:p w14:paraId="5426BD96" w14:textId="6D5E2D67"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400" w:history="1">
            <w:r w:rsidRPr="001D0E5C">
              <w:rPr>
                <w:rStyle w:val="Hyperlink"/>
              </w:rPr>
              <w:t>4.2. Simulation Setup</w:t>
            </w:r>
            <w:r>
              <w:rPr>
                <w:webHidden/>
              </w:rPr>
              <w:tab/>
            </w:r>
            <w:r>
              <w:rPr>
                <w:webHidden/>
              </w:rPr>
              <w:fldChar w:fldCharType="begin"/>
            </w:r>
            <w:r>
              <w:rPr>
                <w:webHidden/>
              </w:rPr>
              <w:instrText xml:space="preserve"> PAGEREF _Toc227873400 \h </w:instrText>
            </w:r>
            <w:r>
              <w:rPr>
                <w:webHidden/>
              </w:rPr>
            </w:r>
            <w:r>
              <w:rPr>
                <w:webHidden/>
              </w:rPr>
              <w:fldChar w:fldCharType="separate"/>
            </w:r>
            <w:r>
              <w:rPr>
                <w:webHidden/>
              </w:rPr>
              <w:t>27</w:t>
            </w:r>
            <w:r>
              <w:rPr>
                <w:webHidden/>
              </w:rPr>
              <w:fldChar w:fldCharType="end"/>
            </w:r>
          </w:hyperlink>
        </w:p>
        <w:p w14:paraId="6D441515" w14:textId="242EE3C1" w:rsidR="00BF697B" w:rsidRPr="000D1F15" w:rsidRDefault="00BF697B">
          <w:pPr>
            <w:pStyle w:val="TOC2"/>
            <w:rPr>
              <w:rFonts w:asciiTheme="minorHAnsi" w:eastAsiaTheme="minorEastAsia" w:hAnsiTheme="minorHAnsi" w:cstheme="minorBidi"/>
              <w:b w:val="0"/>
              <w:bCs w:val="0"/>
              <w:kern w:val="2"/>
              <w:sz w:val="24"/>
              <w:szCs w:val="24"/>
              <w:lang w:val="es-ES_tradnl"/>
              <w14:ligatures w14:val="standardContextual"/>
            </w:rPr>
          </w:pPr>
          <w:hyperlink w:anchor="_Toc227873401" w:history="1">
            <w:r w:rsidRPr="001D0E5C">
              <w:rPr>
                <w:rStyle w:val="Hyperlink"/>
              </w:rPr>
              <w:t>4.3. Results</w:t>
            </w:r>
            <w:r>
              <w:rPr>
                <w:webHidden/>
              </w:rPr>
              <w:tab/>
            </w:r>
            <w:r>
              <w:rPr>
                <w:webHidden/>
              </w:rPr>
              <w:fldChar w:fldCharType="begin"/>
            </w:r>
            <w:r>
              <w:rPr>
                <w:webHidden/>
              </w:rPr>
              <w:instrText xml:space="preserve"> PAGEREF _Toc227873401 \h </w:instrText>
            </w:r>
            <w:r>
              <w:rPr>
                <w:webHidden/>
              </w:rPr>
            </w:r>
            <w:r>
              <w:rPr>
                <w:webHidden/>
              </w:rPr>
              <w:fldChar w:fldCharType="separate"/>
            </w:r>
            <w:r>
              <w:rPr>
                <w:webHidden/>
              </w:rPr>
              <w:t>30</w:t>
            </w:r>
            <w:r>
              <w:rPr>
                <w:webHidden/>
              </w:rPr>
              <w:fldChar w:fldCharType="end"/>
            </w:r>
          </w:hyperlink>
        </w:p>
        <w:p w14:paraId="67E9AE8D" w14:textId="0DFAE5B9"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2" w:history="1">
            <w:r w:rsidRPr="001D0E5C">
              <w:rPr>
                <w:rStyle w:val="Hyperlink"/>
                <w:noProof/>
              </w:rPr>
              <w:t>4.3.1. Constant Treatment Effect Scenarios (1, 2, 3)</w:t>
            </w:r>
            <w:r>
              <w:rPr>
                <w:noProof/>
                <w:webHidden/>
              </w:rPr>
              <w:tab/>
            </w:r>
            <w:r>
              <w:rPr>
                <w:noProof/>
                <w:webHidden/>
              </w:rPr>
              <w:fldChar w:fldCharType="begin"/>
            </w:r>
            <w:r>
              <w:rPr>
                <w:noProof/>
                <w:webHidden/>
              </w:rPr>
              <w:instrText xml:space="preserve"> PAGEREF _Toc227873402 \h </w:instrText>
            </w:r>
            <w:r>
              <w:rPr>
                <w:noProof/>
                <w:webHidden/>
              </w:rPr>
            </w:r>
            <w:r>
              <w:rPr>
                <w:noProof/>
                <w:webHidden/>
              </w:rPr>
              <w:fldChar w:fldCharType="separate"/>
            </w:r>
            <w:r>
              <w:rPr>
                <w:noProof/>
                <w:webHidden/>
              </w:rPr>
              <w:t>31</w:t>
            </w:r>
            <w:r>
              <w:rPr>
                <w:noProof/>
                <w:webHidden/>
              </w:rPr>
              <w:fldChar w:fldCharType="end"/>
            </w:r>
          </w:hyperlink>
        </w:p>
        <w:p w14:paraId="0ADA5508" w14:textId="0B6857AB"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3" w:history="1">
            <w:r w:rsidRPr="001D0E5C">
              <w:rPr>
                <w:rStyle w:val="Hyperlink"/>
                <w:noProof/>
              </w:rPr>
              <w:t>4.3.2. Two-Period Scenarios (4, 5, 6)</w:t>
            </w:r>
            <w:r>
              <w:rPr>
                <w:noProof/>
                <w:webHidden/>
              </w:rPr>
              <w:tab/>
            </w:r>
            <w:r>
              <w:rPr>
                <w:noProof/>
                <w:webHidden/>
              </w:rPr>
              <w:fldChar w:fldCharType="begin"/>
            </w:r>
            <w:r>
              <w:rPr>
                <w:noProof/>
                <w:webHidden/>
              </w:rPr>
              <w:instrText xml:space="preserve"> PAGEREF _Toc227873403 \h </w:instrText>
            </w:r>
            <w:r>
              <w:rPr>
                <w:noProof/>
                <w:webHidden/>
              </w:rPr>
            </w:r>
            <w:r>
              <w:rPr>
                <w:noProof/>
                <w:webHidden/>
              </w:rPr>
              <w:fldChar w:fldCharType="separate"/>
            </w:r>
            <w:r>
              <w:rPr>
                <w:noProof/>
                <w:webHidden/>
              </w:rPr>
              <w:t>33</w:t>
            </w:r>
            <w:r>
              <w:rPr>
                <w:noProof/>
                <w:webHidden/>
              </w:rPr>
              <w:fldChar w:fldCharType="end"/>
            </w:r>
          </w:hyperlink>
        </w:p>
        <w:p w14:paraId="74FCC668" w14:textId="0FF924B4"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4" w:history="1">
            <w:r w:rsidRPr="001D0E5C">
              <w:rPr>
                <w:rStyle w:val="Hyperlink"/>
                <w:noProof/>
              </w:rPr>
              <w:t>4.3.4. Six-Period Non-Staggered Scenarios (7, 8, 9)</w:t>
            </w:r>
            <w:r>
              <w:rPr>
                <w:noProof/>
                <w:webHidden/>
              </w:rPr>
              <w:tab/>
            </w:r>
            <w:r>
              <w:rPr>
                <w:noProof/>
                <w:webHidden/>
              </w:rPr>
              <w:fldChar w:fldCharType="begin"/>
            </w:r>
            <w:r>
              <w:rPr>
                <w:noProof/>
                <w:webHidden/>
              </w:rPr>
              <w:instrText xml:space="preserve"> PAGEREF _Toc227873404 \h </w:instrText>
            </w:r>
            <w:r>
              <w:rPr>
                <w:noProof/>
                <w:webHidden/>
              </w:rPr>
            </w:r>
            <w:r>
              <w:rPr>
                <w:noProof/>
                <w:webHidden/>
              </w:rPr>
              <w:fldChar w:fldCharType="separate"/>
            </w:r>
            <w:r>
              <w:rPr>
                <w:noProof/>
                <w:webHidden/>
              </w:rPr>
              <w:t>34</w:t>
            </w:r>
            <w:r>
              <w:rPr>
                <w:noProof/>
                <w:webHidden/>
              </w:rPr>
              <w:fldChar w:fldCharType="end"/>
            </w:r>
          </w:hyperlink>
        </w:p>
        <w:p w14:paraId="20546DF5" w14:textId="33AF868B"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5" w:history="1">
            <w:r w:rsidRPr="001D0E5C">
              <w:rPr>
                <w:rStyle w:val="Hyperlink"/>
                <w:noProof/>
              </w:rPr>
              <w:t>4.3.5. Staggered Scenarios (10, 11, 12)</w:t>
            </w:r>
            <w:r>
              <w:rPr>
                <w:noProof/>
                <w:webHidden/>
              </w:rPr>
              <w:tab/>
            </w:r>
            <w:r>
              <w:rPr>
                <w:noProof/>
                <w:webHidden/>
              </w:rPr>
              <w:fldChar w:fldCharType="begin"/>
            </w:r>
            <w:r>
              <w:rPr>
                <w:noProof/>
                <w:webHidden/>
              </w:rPr>
              <w:instrText xml:space="preserve"> PAGEREF _Toc227873405 \h </w:instrText>
            </w:r>
            <w:r>
              <w:rPr>
                <w:noProof/>
                <w:webHidden/>
              </w:rPr>
            </w:r>
            <w:r>
              <w:rPr>
                <w:noProof/>
                <w:webHidden/>
              </w:rPr>
              <w:fldChar w:fldCharType="separate"/>
            </w:r>
            <w:r>
              <w:rPr>
                <w:noProof/>
                <w:webHidden/>
              </w:rPr>
              <w:t>36</w:t>
            </w:r>
            <w:r>
              <w:rPr>
                <w:noProof/>
                <w:webHidden/>
              </w:rPr>
              <w:fldChar w:fldCharType="end"/>
            </w:r>
          </w:hyperlink>
        </w:p>
        <w:p w14:paraId="620B1250" w14:textId="1A3BA8AD" w:rsidR="00BF697B" w:rsidRDefault="00BF697B">
          <w:pPr>
            <w:pStyle w:val="TOC1"/>
            <w:rPr>
              <w:rFonts w:asciiTheme="minorHAnsi" w:eastAsiaTheme="minorEastAsia" w:hAnsiTheme="minorHAnsi" w:cstheme="minorBidi"/>
              <w:b w:val="0"/>
              <w:bCs w:val="0"/>
              <w:kern w:val="2"/>
              <w14:ligatures w14:val="standardContextual"/>
            </w:rPr>
          </w:pPr>
          <w:hyperlink w:anchor="_Toc227873406" w:history="1">
            <w:r w:rsidRPr="001D0E5C">
              <w:rPr>
                <w:rStyle w:val="Hyperlink"/>
              </w:rPr>
              <w:t>5. Applications</w:t>
            </w:r>
            <w:r>
              <w:rPr>
                <w:webHidden/>
              </w:rPr>
              <w:tab/>
            </w:r>
            <w:r>
              <w:rPr>
                <w:webHidden/>
              </w:rPr>
              <w:fldChar w:fldCharType="begin"/>
            </w:r>
            <w:r>
              <w:rPr>
                <w:webHidden/>
              </w:rPr>
              <w:instrText xml:space="preserve"> PAGEREF _Toc227873406 \h </w:instrText>
            </w:r>
            <w:r>
              <w:rPr>
                <w:webHidden/>
              </w:rPr>
            </w:r>
            <w:r>
              <w:rPr>
                <w:webHidden/>
              </w:rPr>
              <w:fldChar w:fldCharType="separate"/>
            </w:r>
            <w:r>
              <w:rPr>
                <w:webHidden/>
              </w:rPr>
              <w:t>38</w:t>
            </w:r>
            <w:r>
              <w:rPr>
                <w:webHidden/>
              </w:rPr>
              <w:fldChar w:fldCharType="end"/>
            </w:r>
          </w:hyperlink>
        </w:p>
        <w:p w14:paraId="5DCA7DBF" w14:textId="323E6D1D"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407" w:history="1">
            <w:r w:rsidRPr="001D0E5C">
              <w:rPr>
                <w:rStyle w:val="Hyperlink"/>
              </w:rPr>
              <w:t>5.1. Difference-in-Differences with Treatment in One Period</w:t>
            </w:r>
            <w:r>
              <w:rPr>
                <w:webHidden/>
              </w:rPr>
              <w:tab/>
            </w:r>
            <w:r>
              <w:rPr>
                <w:webHidden/>
              </w:rPr>
              <w:fldChar w:fldCharType="begin"/>
            </w:r>
            <w:r>
              <w:rPr>
                <w:webHidden/>
              </w:rPr>
              <w:instrText xml:space="preserve"> PAGEREF _Toc227873407 \h </w:instrText>
            </w:r>
            <w:r>
              <w:rPr>
                <w:webHidden/>
              </w:rPr>
            </w:r>
            <w:r>
              <w:rPr>
                <w:webHidden/>
              </w:rPr>
              <w:fldChar w:fldCharType="separate"/>
            </w:r>
            <w:r>
              <w:rPr>
                <w:webHidden/>
              </w:rPr>
              <w:t>38</w:t>
            </w:r>
            <w:r>
              <w:rPr>
                <w:webHidden/>
              </w:rPr>
              <w:fldChar w:fldCharType="end"/>
            </w:r>
          </w:hyperlink>
        </w:p>
        <w:p w14:paraId="3C46FDCD" w14:textId="5B11EA3C"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8" w:history="1">
            <w:r w:rsidRPr="001D0E5C">
              <w:rPr>
                <w:rStyle w:val="Hyperlink"/>
                <w:noProof/>
              </w:rPr>
              <w:t>5.1.1. Replication of Gonzáles</w:t>
            </w:r>
            <w:r>
              <w:rPr>
                <w:noProof/>
                <w:webHidden/>
              </w:rPr>
              <w:tab/>
            </w:r>
            <w:r>
              <w:rPr>
                <w:noProof/>
                <w:webHidden/>
              </w:rPr>
              <w:fldChar w:fldCharType="begin"/>
            </w:r>
            <w:r>
              <w:rPr>
                <w:noProof/>
                <w:webHidden/>
              </w:rPr>
              <w:instrText xml:space="preserve"> PAGEREF _Toc227873408 \h </w:instrText>
            </w:r>
            <w:r>
              <w:rPr>
                <w:noProof/>
                <w:webHidden/>
              </w:rPr>
            </w:r>
            <w:r>
              <w:rPr>
                <w:noProof/>
                <w:webHidden/>
              </w:rPr>
              <w:fldChar w:fldCharType="separate"/>
            </w:r>
            <w:r>
              <w:rPr>
                <w:noProof/>
                <w:webHidden/>
              </w:rPr>
              <w:t>39</w:t>
            </w:r>
            <w:r>
              <w:rPr>
                <w:noProof/>
                <w:webHidden/>
              </w:rPr>
              <w:fldChar w:fldCharType="end"/>
            </w:r>
          </w:hyperlink>
        </w:p>
        <w:p w14:paraId="0A836D27" w14:textId="0246C314"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09" w:history="1">
            <w:r w:rsidRPr="001D0E5C">
              <w:rPr>
                <w:rStyle w:val="Hyperlink"/>
                <w:noProof/>
              </w:rPr>
              <w:t>5.1.2. Double Machine Learning</w:t>
            </w:r>
            <w:r>
              <w:rPr>
                <w:noProof/>
                <w:webHidden/>
              </w:rPr>
              <w:tab/>
            </w:r>
            <w:r>
              <w:rPr>
                <w:noProof/>
                <w:webHidden/>
              </w:rPr>
              <w:fldChar w:fldCharType="begin"/>
            </w:r>
            <w:r>
              <w:rPr>
                <w:noProof/>
                <w:webHidden/>
              </w:rPr>
              <w:instrText xml:space="preserve"> PAGEREF _Toc227873409 \h </w:instrText>
            </w:r>
            <w:r>
              <w:rPr>
                <w:noProof/>
                <w:webHidden/>
              </w:rPr>
            </w:r>
            <w:r>
              <w:rPr>
                <w:noProof/>
                <w:webHidden/>
              </w:rPr>
              <w:fldChar w:fldCharType="separate"/>
            </w:r>
            <w:r>
              <w:rPr>
                <w:noProof/>
                <w:webHidden/>
              </w:rPr>
              <w:t>39</w:t>
            </w:r>
            <w:r>
              <w:rPr>
                <w:noProof/>
                <w:webHidden/>
              </w:rPr>
              <w:fldChar w:fldCharType="end"/>
            </w:r>
          </w:hyperlink>
        </w:p>
        <w:p w14:paraId="6EFF362D" w14:textId="48F18E25"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10" w:history="1">
            <w:r w:rsidRPr="001D0E5C">
              <w:rPr>
                <w:rStyle w:val="Hyperlink"/>
                <w:noProof/>
              </w:rPr>
              <w:t>5.1.3. Comparing results</w:t>
            </w:r>
            <w:r>
              <w:rPr>
                <w:noProof/>
                <w:webHidden/>
              </w:rPr>
              <w:tab/>
            </w:r>
            <w:r>
              <w:rPr>
                <w:noProof/>
                <w:webHidden/>
              </w:rPr>
              <w:fldChar w:fldCharType="begin"/>
            </w:r>
            <w:r>
              <w:rPr>
                <w:noProof/>
                <w:webHidden/>
              </w:rPr>
              <w:instrText xml:space="preserve"> PAGEREF _Toc227873410 \h </w:instrText>
            </w:r>
            <w:r>
              <w:rPr>
                <w:noProof/>
                <w:webHidden/>
              </w:rPr>
            </w:r>
            <w:r>
              <w:rPr>
                <w:noProof/>
                <w:webHidden/>
              </w:rPr>
              <w:fldChar w:fldCharType="separate"/>
            </w:r>
            <w:r>
              <w:rPr>
                <w:noProof/>
                <w:webHidden/>
              </w:rPr>
              <w:t>41</w:t>
            </w:r>
            <w:r>
              <w:rPr>
                <w:noProof/>
                <w:webHidden/>
              </w:rPr>
              <w:fldChar w:fldCharType="end"/>
            </w:r>
          </w:hyperlink>
        </w:p>
        <w:p w14:paraId="4FCE415A" w14:textId="3AF7B72C" w:rsidR="00BF697B" w:rsidRDefault="00BF697B">
          <w:pPr>
            <w:pStyle w:val="TOC2"/>
            <w:rPr>
              <w:rFonts w:asciiTheme="minorHAnsi" w:eastAsiaTheme="minorEastAsia" w:hAnsiTheme="minorHAnsi" w:cstheme="minorBidi"/>
              <w:b w:val="0"/>
              <w:bCs w:val="0"/>
              <w:kern w:val="2"/>
              <w:sz w:val="24"/>
              <w:szCs w:val="24"/>
              <w14:ligatures w14:val="standardContextual"/>
            </w:rPr>
          </w:pPr>
          <w:hyperlink w:anchor="_Toc227873411" w:history="1">
            <w:r w:rsidRPr="001D0E5C">
              <w:rPr>
                <w:rStyle w:val="Hyperlink"/>
              </w:rPr>
              <w:t>5.2. Staggered difference in differences</w:t>
            </w:r>
            <w:r>
              <w:rPr>
                <w:webHidden/>
              </w:rPr>
              <w:tab/>
            </w:r>
            <w:r>
              <w:rPr>
                <w:webHidden/>
              </w:rPr>
              <w:fldChar w:fldCharType="begin"/>
            </w:r>
            <w:r>
              <w:rPr>
                <w:webHidden/>
              </w:rPr>
              <w:instrText xml:space="preserve"> PAGEREF _Toc227873411 \h </w:instrText>
            </w:r>
            <w:r>
              <w:rPr>
                <w:webHidden/>
              </w:rPr>
            </w:r>
            <w:r>
              <w:rPr>
                <w:webHidden/>
              </w:rPr>
              <w:fldChar w:fldCharType="separate"/>
            </w:r>
            <w:r>
              <w:rPr>
                <w:webHidden/>
              </w:rPr>
              <w:t>42</w:t>
            </w:r>
            <w:r>
              <w:rPr>
                <w:webHidden/>
              </w:rPr>
              <w:fldChar w:fldCharType="end"/>
            </w:r>
          </w:hyperlink>
        </w:p>
        <w:p w14:paraId="36ADEDD7" w14:textId="09A802D5"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12" w:history="1">
            <w:r w:rsidRPr="001D0E5C">
              <w:rPr>
                <w:rStyle w:val="Hyperlink"/>
                <w:noProof/>
              </w:rPr>
              <w:t>5.2.1. Two-Way-Fixed-Effects</w:t>
            </w:r>
            <w:r>
              <w:rPr>
                <w:noProof/>
                <w:webHidden/>
              </w:rPr>
              <w:tab/>
            </w:r>
            <w:r>
              <w:rPr>
                <w:noProof/>
                <w:webHidden/>
              </w:rPr>
              <w:fldChar w:fldCharType="begin"/>
            </w:r>
            <w:r>
              <w:rPr>
                <w:noProof/>
                <w:webHidden/>
              </w:rPr>
              <w:instrText xml:space="preserve"> PAGEREF _Toc227873412 \h </w:instrText>
            </w:r>
            <w:r>
              <w:rPr>
                <w:noProof/>
                <w:webHidden/>
              </w:rPr>
            </w:r>
            <w:r>
              <w:rPr>
                <w:noProof/>
                <w:webHidden/>
              </w:rPr>
              <w:fldChar w:fldCharType="separate"/>
            </w:r>
            <w:r>
              <w:rPr>
                <w:noProof/>
                <w:webHidden/>
              </w:rPr>
              <w:t>43</w:t>
            </w:r>
            <w:r>
              <w:rPr>
                <w:noProof/>
                <w:webHidden/>
              </w:rPr>
              <w:fldChar w:fldCharType="end"/>
            </w:r>
          </w:hyperlink>
        </w:p>
        <w:p w14:paraId="498A2A45" w14:textId="34633071"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13" w:history="1">
            <w:r w:rsidRPr="001D0E5C">
              <w:rPr>
                <w:rStyle w:val="Hyperlink"/>
                <w:noProof/>
              </w:rPr>
              <w:t>5.2.2. Double Machine Learning</w:t>
            </w:r>
            <w:r>
              <w:rPr>
                <w:noProof/>
                <w:webHidden/>
              </w:rPr>
              <w:tab/>
            </w:r>
            <w:r>
              <w:rPr>
                <w:noProof/>
                <w:webHidden/>
              </w:rPr>
              <w:fldChar w:fldCharType="begin"/>
            </w:r>
            <w:r>
              <w:rPr>
                <w:noProof/>
                <w:webHidden/>
              </w:rPr>
              <w:instrText xml:space="preserve"> PAGEREF _Toc227873413 \h </w:instrText>
            </w:r>
            <w:r>
              <w:rPr>
                <w:noProof/>
                <w:webHidden/>
              </w:rPr>
            </w:r>
            <w:r>
              <w:rPr>
                <w:noProof/>
                <w:webHidden/>
              </w:rPr>
              <w:fldChar w:fldCharType="separate"/>
            </w:r>
            <w:r>
              <w:rPr>
                <w:noProof/>
                <w:webHidden/>
              </w:rPr>
              <w:t>43</w:t>
            </w:r>
            <w:r>
              <w:rPr>
                <w:noProof/>
                <w:webHidden/>
              </w:rPr>
              <w:fldChar w:fldCharType="end"/>
            </w:r>
          </w:hyperlink>
        </w:p>
        <w:p w14:paraId="548478C0" w14:textId="0ABCAEA1" w:rsidR="00BF697B" w:rsidRDefault="00BF697B">
          <w:pPr>
            <w:pStyle w:val="TOC3"/>
            <w:tabs>
              <w:tab w:val="right" w:leader="dot" w:pos="8778"/>
            </w:tabs>
            <w:rPr>
              <w:rFonts w:eastAsiaTheme="minorEastAsia" w:cstheme="minorBidi"/>
              <w:noProof/>
              <w:kern w:val="2"/>
              <w:sz w:val="24"/>
              <w:szCs w:val="24"/>
              <w14:ligatures w14:val="standardContextual"/>
            </w:rPr>
          </w:pPr>
          <w:hyperlink w:anchor="_Toc227873414" w:history="1">
            <w:r w:rsidRPr="001D0E5C">
              <w:rPr>
                <w:rStyle w:val="Hyperlink"/>
                <w:noProof/>
              </w:rPr>
              <w:t>5.2.3. Comparing results</w:t>
            </w:r>
            <w:r>
              <w:rPr>
                <w:noProof/>
                <w:webHidden/>
              </w:rPr>
              <w:tab/>
            </w:r>
            <w:r>
              <w:rPr>
                <w:noProof/>
                <w:webHidden/>
              </w:rPr>
              <w:fldChar w:fldCharType="begin"/>
            </w:r>
            <w:r>
              <w:rPr>
                <w:noProof/>
                <w:webHidden/>
              </w:rPr>
              <w:instrText xml:space="preserve"> PAGEREF _Toc227873414 \h </w:instrText>
            </w:r>
            <w:r>
              <w:rPr>
                <w:noProof/>
                <w:webHidden/>
              </w:rPr>
            </w:r>
            <w:r>
              <w:rPr>
                <w:noProof/>
                <w:webHidden/>
              </w:rPr>
              <w:fldChar w:fldCharType="separate"/>
            </w:r>
            <w:r>
              <w:rPr>
                <w:noProof/>
                <w:webHidden/>
              </w:rPr>
              <w:t>44</w:t>
            </w:r>
            <w:r>
              <w:rPr>
                <w:noProof/>
                <w:webHidden/>
              </w:rPr>
              <w:fldChar w:fldCharType="end"/>
            </w:r>
          </w:hyperlink>
        </w:p>
        <w:p w14:paraId="791935DD" w14:textId="79B32F17" w:rsidR="00BF697B" w:rsidRDefault="00BF697B">
          <w:pPr>
            <w:pStyle w:val="TOC1"/>
            <w:rPr>
              <w:rFonts w:asciiTheme="minorHAnsi" w:eastAsiaTheme="minorEastAsia" w:hAnsiTheme="minorHAnsi" w:cstheme="minorBidi"/>
              <w:b w:val="0"/>
              <w:bCs w:val="0"/>
              <w:kern w:val="2"/>
              <w14:ligatures w14:val="standardContextual"/>
            </w:rPr>
          </w:pPr>
          <w:hyperlink w:anchor="_Toc227873415" w:history="1">
            <w:r w:rsidRPr="001D0E5C">
              <w:rPr>
                <w:rStyle w:val="Hyperlink"/>
              </w:rPr>
              <w:t>6. Conclusion</w:t>
            </w:r>
            <w:r>
              <w:rPr>
                <w:webHidden/>
              </w:rPr>
              <w:tab/>
            </w:r>
            <w:r>
              <w:rPr>
                <w:webHidden/>
              </w:rPr>
              <w:fldChar w:fldCharType="begin"/>
            </w:r>
            <w:r>
              <w:rPr>
                <w:webHidden/>
              </w:rPr>
              <w:instrText xml:space="preserve"> PAGEREF _Toc227873415 \h </w:instrText>
            </w:r>
            <w:r>
              <w:rPr>
                <w:webHidden/>
              </w:rPr>
            </w:r>
            <w:r>
              <w:rPr>
                <w:webHidden/>
              </w:rPr>
              <w:fldChar w:fldCharType="separate"/>
            </w:r>
            <w:r>
              <w:rPr>
                <w:webHidden/>
              </w:rPr>
              <w:t>48</w:t>
            </w:r>
            <w:r>
              <w:rPr>
                <w:webHidden/>
              </w:rPr>
              <w:fldChar w:fldCharType="end"/>
            </w:r>
          </w:hyperlink>
        </w:p>
        <w:p w14:paraId="57345080" w14:textId="4A6D450E" w:rsidR="00BF697B" w:rsidRDefault="00BF697B">
          <w:pPr>
            <w:pStyle w:val="TOC1"/>
            <w:rPr>
              <w:rFonts w:asciiTheme="minorHAnsi" w:eastAsiaTheme="minorEastAsia" w:hAnsiTheme="minorHAnsi" w:cstheme="minorBidi"/>
              <w:b w:val="0"/>
              <w:bCs w:val="0"/>
              <w:kern w:val="2"/>
              <w14:ligatures w14:val="standardContextual"/>
            </w:rPr>
          </w:pPr>
          <w:hyperlink w:anchor="_Toc227873416" w:history="1">
            <w:r w:rsidRPr="001D0E5C">
              <w:rPr>
                <w:rStyle w:val="Hyperlink"/>
              </w:rPr>
              <w:t>References</w:t>
            </w:r>
            <w:r>
              <w:rPr>
                <w:webHidden/>
              </w:rPr>
              <w:tab/>
            </w:r>
            <w:r>
              <w:rPr>
                <w:webHidden/>
              </w:rPr>
              <w:fldChar w:fldCharType="begin"/>
            </w:r>
            <w:r>
              <w:rPr>
                <w:webHidden/>
              </w:rPr>
              <w:instrText xml:space="preserve"> PAGEREF _Toc227873416 \h </w:instrText>
            </w:r>
            <w:r>
              <w:rPr>
                <w:webHidden/>
              </w:rPr>
            </w:r>
            <w:r>
              <w:rPr>
                <w:webHidden/>
              </w:rPr>
              <w:fldChar w:fldCharType="separate"/>
            </w:r>
            <w:r>
              <w:rPr>
                <w:webHidden/>
              </w:rPr>
              <w:t>49</w:t>
            </w:r>
            <w:r>
              <w:rPr>
                <w:webHidden/>
              </w:rPr>
              <w:fldChar w:fldCharType="end"/>
            </w:r>
          </w:hyperlink>
        </w:p>
        <w:p w14:paraId="0D012A07" w14:textId="41292B88" w:rsidR="00BF697B" w:rsidRDefault="00BF697B">
          <w:pPr>
            <w:pStyle w:val="TOC1"/>
            <w:rPr>
              <w:rFonts w:asciiTheme="minorHAnsi" w:eastAsiaTheme="minorEastAsia" w:hAnsiTheme="minorHAnsi" w:cstheme="minorBidi"/>
              <w:b w:val="0"/>
              <w:bCs w:val="0"/>
              <w:kern w:val="2"/>
              <w14:ligatures w14:val="standardContextual"/>
            </w:rPr>
          </w:pPr>
          <w:hyperlink w:anchor="_Toc227873417" w:history="1">
            <w:r w:rsidRPr="001D0E5C">
              <w:rPr>
                <w:rStyle w:val="Hyperlink"/>
              </w:rPr>
              <w:t>Appendix</w:t>
            </w:r>
            <w:r>
              <w:rPr>
                <w:webHidden/>
              </w:rPr>
              <w:tab/>
            </w:r>
            <w:r>
              <w:rPr>
                <w:webHidden/>
              </w:rPr>
              <w:fldChar w:fldCharType="begin"/>
            </w:r>
            <w:r>
              <w:rPr>
                <w:webHidden/>
              </w:rPr>
              <w:instrText xml:space="preserve"> PAGEREF _Toc227873417 \h </w:instrText>
            </w:r>
            <w:r>
              <w:rPr>
                <w:webHidden/>
              </w:rPr>
            </w:r>
            <w:r>
              <w:rPr>
                <w:webHidden/>
              </w:rPr>
              <w:fldChar w:fldCharType="separate"/>
            </w:r>
            <w:r>
              <w:rPr>
                <w:webHidden/>
              </w:rPr>
              <w:t>52</w:t>
            </w:r>
            <w:r>
              <w:rPr>
                <w:webHidden/>
              </w:rPr>
              <w:fldChar w:fldCharType="end"/>
            </w:r>
          </w:hyperlink>
        </w:p>
        <w:p w14:paraId="33B9EBC4" w14:textId="00B5F4C3" w:rsidR="00CC5F82" w:rsidRPr="00CC5F82" w:rsidRDefault="00CC5F82">
          <w:r w:rsidRPr="00BF697B">
            <w:rPr>
              <w:noProof/>
            </w:rPr>
            <w:fldChar w:fldCharType="end"/>
          </w:r>
        </w:p>
      </w:sdtContent>
    </w:sdt>
    <w:p w14:paraId="21AACCCA" w14:textId="77777777" w:rsidR="00CC5F82" w:rsidRDefault="00CC5F82" w:rsidP="00492577"/>
    <w:p w14:paraId="1907AE4D" w14:textId="77777777" w:rsidR="00CC5F82" w:rsidRDefault="00CC5F82" w:rsidP="00492577"/>
    <w:p w14:paraId="306C54F8" w14:textId="77777777" w:rsidR="00CC5F82" w:rsidRDefault="00CC5F82" w:rsidP="00492577"/>
    <w:p w14:paraId="1087140A" w14:textId="77777777" w:rsidR="00CC5F82" w:rsidRDefault="00CC5F82" w:rsidP="00492577"/>
    <w:p w14:paraId="2A9E3ED8" w14:textId="77777777" w:rsidR="00CC5F82" w:rsidRDefault="00CC5F82" w:rsidP="00492577"/>
    <w:p w14:paraId="3CC96F26" w14:textId="77777777" w:rsidR="00CC5F82" w:rsidRDefault="00CC5F82" w:rsidP="00492577"/>
    <w:p w14:paraId="7182C9EC" w14:textId="77777777" w:rsidR="00CC5F82" w:rsidRDefault="00CC5F82" w:rsidP="00492577"/>
    <w:p w14:paraId="4FB396C7" w14:textId="77777777" w:rsidR="00CC5F82" w:rsidRDefault="00CC5F82" w:rsidP="00492577"/>
    <w:p w14:paraId="6343873D" w14:textId="77777777" w:rsidR="00CC5F82" w:rsidRDefault="00CC5F82" w:rsidP="00492577"/>
    <w:p w14:paraId="398235C4" w14:textId="77777777" w:rsidR="00CC5F82" w:rsidRDefault="00CC5F82" w:rsidP="00492577"/>
    <w:p w14:paraId="12939A06" w14:textId="77777777" w:rsidR="00CC5F82" w:rsidRDefault="00CC5F82" w:rsidP="00492577"/>
    <w:p w14:paraId="68541E59" w14:textId="77777777" w:rsidR="00CC5F82" w:rsidRDefault="00CC5F82" w:rsidP="00492577"/>
    <w:p w14:paraId="3FEDA4DE" w14:textId="77777777" w:rsidR="00CC5F82" w:rsidRDefault="00CC5F82" w:rsidP="00492577"/>
    <w:p w14:paraId="538830E0" w14:textId="77777777" w:rsidR="00CC5F82" w:rsidRDefault="00CC5F82" w:rsidP="00492577"/>
    <w:p w14:paraId="4F3A69C6" w14:textId="77777777" w:rsidR="00CC5F82" w:rsidRDefault="00CC5F82" w:rsidP="00492577"/>
    <w:p w14:paraId="76098A3C" w14:textId="77777777" w:rsidR="00CC5F82" w:rsidRDefault="00CC5F82" w:rsidP="00492577"/>
    <w:p w14:paraId="6165D10B" w14:textId="77777777" w:rsidR="00CC5F82" w:rsidRDefault="00CC5F82" w:rsidP="00492577"/>
    <w:p w14:paraId="2A7D746C" w14:textId="77777777" w:rsidR="00CC5F82" w:rsidRDefault="00CC5F82" w:rsidP="00492577"/>
    <w:p w14:paraId="4A442D04" w14:textId="77777777" w:rsidR="00CC5F82" w:rsidRDefault="00CC5F82" w:rsidP="00492577"/>
    <w:p w14:paraId="24D3162C" w14:textId="77777777" w:rsidR="00CC5F82" w:rsidRDefault="00CC5F82" w:rsidP="00492577"/>
    <w:p w14:paraId="7B288F6C" w14:textId="77777777" w:rsidR="00CC5F82" w:rsidRDefault="00CC5F82" w:rsidP="00492577"/>
    <w:p w14:paraId="1CEC6D95" w14:textId="77777777" w:rsidR="00CC5F82" w:rsidRDefault="00CC5F82" w:rsidP="00492577"/>
    <w:p w14:paraId="3EA35040" w14:textId="77777777" w:rsidR="00CC5F82" w:rsidRDefault="00CC5F82" w:rsidP="00492577"/>
    <w:p w14:paraId="34981FF0" w14:textId="77777777" w:rsidR="00CC5F82" w:rsidRDefault="00CC5F82" w:rsidP="00492577"/>
    <w:p w14:paraId="7431D896" w14:textId="77777777" w:rsidR="00CC5F82" w:rsidRDefault="00CC5F82" w:rsidP="00492577"/>
    <w:p w14:paraId="684BE4A8" w14:textId="77777777" w:rsidR="00CC5F82" w:rsidRDefault="00CC5F82" w:rsidP="00492577"/>
    <w:p w14:paraId="26C06CAC" w14:textId="77777777" w:rsidR="00CC5F82" w:rsidRDefault="00CC5F82" w:rsidP="00492577"/>
    <w:p w14:paraId="432E1F49" w14:textId="77777777" w:rsidR="00CC5F82" w:rsidRDefault="00CC5F82" w:rsidP="00492577"/>
    <w:p w14:paraId="64E615D9" w14:textId="77777777" w:rsidR="00CC5F82" w:rsidRDefault="00CC5F82" w:rsidP="00492577"/>
    <w:p w14:paraId="77E29979" w14:textId="77777777" w:rsidR="00CC5F82" w:rsidRDefault="00CC5F82" w:rsidP="00492577"/>
    <w:p w14:paraId="24F4AC99" w14:textId="77777777" w:rsidR="00CC5F82" w:rsidRDefault="00CC5F82" w:rsidP="00492577"/>
    <w:p w14:paraId="3E845D06" w14:textId="77777777" w:rsidR="00CC5F82" w:rsidRDefault="00CC5F82" w:rsidP="00492577"/>
    <w:p w14:paraId="2A170284" w14:textId="77777777" w:rsidR="00CC5F82" w:rsidRDefault="00CC5F82" w:rsidP="00492577"/>
    <w:p w14:paraId="54598DB6" w14:textId="77777777" w:rsidR="00CC5F82" w:rsidRDefault="00CC5F82" w:rsidP="00492577"/>
    <w:p w14:paraId="7FB8BAB3" w14:textId="4AFD002E" w:rsidR="00E97ABC" w:rsidRDefault="00E97ABC" w:rsidP="00EB6242">
      <w:pPr>
        <w:pStyle w:val="Heading1"/>
      </w:pPr>
    </w:p>
    <w:p w14:paraId="0AC825F9" w14:textId="77777777" w:rsidR="004E388F" w:rsidRPr="004E388F" w:rsidRDefault="004E388F" w:rsidP="004E388F"/>
    <w:p w14:paraId="342A74F1" w14:textId="66FCC73E" w:rsidR="007A1B5D" w:rsidRPr="00EB6242" w:rsidRDefault="00C2694E" w:rsidP="00EB6242">
      <w:pPr>
        <w:pStyle w:val="Heading1"/>
        <w:rPr>
          <w:szCs w:val="28"/>
        </w:rPr>
      </w:pPr>
      <w:r>
        <w:rPr>
          <w:szCs w:val="28"/>
        </w:rPr>
        <w:br w:type="page"/>
      </w:r>
      <w:bookmarkStart w:id="2" w:name="_Toc227873370"/>
      <w:r w:rsidR="007A1B5D" w:rsidRPr="00BF697B">
        <w:lastRenderedPageBreak/>
        <w:t>1. Introduction</w:t>
      </w:r>
      <w:bookmarkEnd w:id="2"/>
    </w:p>
    <w:p w14:paraId="5BD510F9" w14:textId="4A023F0F" w:rsidR="007A1B5D" w:rsidRPr="007A1B5D" w:rsidRDefault="007A1B5D" w:rsidP="00705A7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As discussed in</w:t>
      </w:r>
      <w:r w:rsidR="00277956">
        <w:rPr>
          <w:rFonts w:ascii="Times New Roman" w:hAnsi="Times New Roman" w:cs="Times New Roman"/>
        </w:rPr>
        <w:t xml:space="preserve"> Shmueli </w:t>
      </w:r>
      <w:r w:rsidR="00277956">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0Y65C7Tv","properties":{"unsorted":false,"formattedCitation":"(2010)","plainCitation":"(2010)","noteIndex":0},"citationItems":[{"id":17,"uris":["http://zotero.org/users/local/ik3vdrlJ/items/FJSS9GXY"],"itemData":{"id":17,"type":"article-journal","citation-key":"shmueliExplainPredict2010","container-title":"Statistical Science","DOI":"10.1214/10-STS330","issue":"3","page":"289 – 310","publisher":"Institute of Mathematical Statistics","title":"To Explain or to Predict?","volume":"25","author":[{"family":"Shmueli","given":"Galit"}],"issued":{"date-parts":[["2010"]]}},"suppress-author":true}],"schema":"https://github.com/citation-style-language/schema/raw/master/csl-citation.json"} </w:instrText>
      </w:r>
      <w:r w:rsidR="00277956">
        <w:rPr>
          <w:rFonts w:ascii="Times New Roman" w:hAnsi="Times New Roman" w:cs="Times New Roman"/>
        </w:rPr>
        <w:fldChar w:fldCharType="separate"/>
      </w:r>
      <w:r w:rsidR="00277956">
        <w:rPr>
          <w:rFonts w:ascii="Times New Roman" w:hAnsi="Times New Roman" w:cs="Times New Roman"/>
          <w:noProof/>
        </w:rPr>
        <w:t>(2010)</w:t>
      </w:r>
      <w:r w:rsidR="00277956">
        <w:rPr>
          <w:rFonts w:ascii="Times New Roman" w:hAnsi="Times New Roman" w:cs="Times New Roman"/>
        </w:rPr>
        <w:fldChar w:fldCharType="end"/>
      </w:r>
      <w:r w:rsidRPr="007A1B5D">
        <w:rPr>
          <w:rFonts w:ascii="Times New Roman" w:hAnsi="Times New Roman" w:cs="Times New Roman"/>
        </w:rPr>
        <w:t xml:space="preserve">, when working in applied statistics there is a clear distinction between predicting and explaining. Prediction is usually associated with achieving the best performance on a selected goodness-of-fit metric, while explaining is focused on understanding the effects or relationships between variables. This distinction makes it clear why flexible, and often considered black-box, Machine Learning (ML) algorithms are widely used when the goal is to achieve the best prediction performance. However, when the goal is to interpret results or to draw causal relationships, other, usually simpler approaches like linear regressions are preferred. This distinction is not new, as it was highlighted by </w:t>
      </w:r>
      <w:proofErr w:type="spellStart"/>
      <w:r w:rsidRPr="007A1B5D">
        <w:rPr>
          <w:rFonts w:ascii="Times New Roman" w:hAnsi="Times New Roman" w:cs="Times New Roman"/>
        </w:rPr>
        <w:t>Breiman</w:t>
      </w:r>
      <w:proofErr w:type="spellEnd"/>
      <w:r w:rsidR="00277956">
        <w:rPr>
          <w:rFonts w:ascii="Times New Roman" w:hAnsi="Times New Roman" w:cs="Times New Roman"/>
        </w:rPr>
        <w:t xml:space="preserve"> </w:t>
      </w:r>
      <w:r w:rsidR="00277956">
        <w:rPr>
          <w:rFonts w:ascii="Times New Roman" w:hAnsi="Times New Roman" w:cs="Times New Roman"/>
        </w:rPr>
        <w:fldChar w:fldCharType="begin"/>
      </w:r>
      <w:r w:rsidR="004656B7">
        <w:rPr>
          <w:rFonts w:ascii="Times New Roman" w:hAnsi="Times New Roman" w:cs="Times New Roman"/>
        </w:rPr>
        <w:instrText xml:space="preserve"> ADDIN ZOTERO_ITEM CSL_CITATION {"citationID":"hPApUu2J","properties":{"unsorted":false,"formattedCitation":"(2001b)","plainCitation":"(2001b)","noteIndex":0},"citationItems":[{"id":16,"uris":["http://zotero.org/users/local/ik3vdrlJ/items/Z5EWNCJT"],"itemData":{"id":16,"type":"article-journal","citation-key":"breimanStatisticalModelingTwo2001","container-title":"Statistical Science","DOI":"10.1214/ss/1009213726","issue":"3","page":"199 – 231","publisher":"Institute of Mathematical Statistics","title":"Statistical Modeling: The Two Cultures (with comments and a rejoinder by the author)","volume":"16","author":[{"family":"Breiman","given":"Leo"}],"issued":{"date-parts":[["2001"]]}},"suppress-author":true}],"schema":"https://github.com/citation-style-language/schema/raw/master/csl-citation.json"} </w:instrText>
      </w:r>
      <w:r w:rsidR="00277956">
        <w:rPr>
          <w:rFonts w:ascii="Times New Roman" w:hAnsi="Times New Roman" w:cs="Times New Roman"/>
        </w:rPr>
        <w:fldChar w:fldCharType="separate"/>
      </w:r>
      <w:r w:rsidR="004656B7">
        <w:rPr>
          <w:rFonts w:ascii="Times New Roman" w:hAnsi="Times New Roman" w:cs="Times New Roman"/>
          <w:noProof/>
        </w:rPr>
        <w:t>(2001b)</w:t>
      </w:r>
      <w:r w:rsidR="00277956">
        <w:rPr>
          <w:rFonts w:ascii="Times New Roman" w:hAnsi="Times New Roman" w:cs="Times New Roman"/>
        </w:rPr>
        <w:fldChar w:fldCharType="end"/>
      </w:r>
      <w:r w:rsidRPr="007A1B5D">
        <w:rPr>
          <w:rFonts w:ascii="Times New Roman" w:hAnsi="Times New Roman" w:cs="Times New Roman"/>
        </w:rPr>
        <w:t>, who clearly differentiated between statistics and machine learning when the latter field started to gain popularity.</w:t>
      </w:r>
    </w:p>
    <w:p w14:paraId="17F90EFB" w14:textId="5F156235" w:rsidR="007A1B5D" w:rsidRPr="007A1B5D" w:rsidRDefault="007A1B5D" w:rsidP="00705A79">
      <w:pPr>
        <w:pStyle w:val="BodyText"/>
        <w:spacing w:line="360" w:lineRule="auto"/>
        <w:ind w:firstLine="708"/>
        <w:jc w:val="both"/>
      </w:pPr>
      <w:r w:rsidRPr="007A1B5D">
        <w:t>The focus on prediction and not explanation generated criticism among economists and other social scientists who needed tools for understanding and studying causal relationships, which is not possible with black-box models. However, the new models were appealing, so in recent years, many authors have explored how to bridge this gap. Early work, such as Varian</w:t>
      </w:r>
      <w:r w:rsidR="00277956">
        <w:t xml:space="preserve"> </w:t>
      </w:r>
      <w:r w:rsidR="00277956">
        <w:fldChar w:fldCharType="begin"/>
      </w:r>
      <w:r w:rsidR="00277956">
        <w:instrText xml:space="preserve"> ADDIN ZOTERO_ITEM CSL_CITATION {"citationID":"xppmfEi8","properties":{"unsorted":false,"formattedCitation":"(2014)","plainCitation":"(2014)","noteIndex":0},"citationItems":[{"id":9,"uris":["http://zotero.org/users/local/ik3vdrlJ/items/6HTW7KWZ"],"itemData":{"id":9,"type":"article-journal","container-title":"Journal of Economic Perspectives","DOI":"10.1257/jep.28.2.3","issue":"2","page":"3–28","title":"Big Data: New Tricks for Econometrics","volume":"28","author":[{"family":"Varian","given":"Hal R."}],"issued":{"date-parts":[["2014",5]]}},"suppress-author":true}],"schema":"https://github.com/citation-style-language/schema/raw/master/csl-citation.json"} </w:instrText>
      </w:r>
      <w:r w:rsidR="00277956">
        <w:fldChar w:fldCharType="separate"/>
      </w:r>
      <w:r w:rsidR="00277956">
        <w:rPr>
          <w:noProof/>
        </w:rPr>
        <w:t>(2014)</w:t>
      </w:r>
      <w:r w:rsidR="00277956">
        <w:fldChar w:fldCharType="end"/>
      </w:r>
      <w:r w:rsidRPr="007A1B5D">
        <w:t>, highlighted how ML techniques, especially tree-based models, could complement traditional econometric methods in settings with non-linearities and complex interactions. Similarly, Mullainathan and Spiess</w:t>
      </w:r>
      <w:r w:rsidR="00277956">
        <w:t xml:space="preserve"> </w:t>
      </w:r>
      <w:r w:rsidR="00277956">
        <w:fldChar w:fldCharType="begin"/>
      </w:r>
      <w:r w:rsidR="00277956">
        <w:instrText xml:space="preserve"> ADDIN ZOTERO_ITEM CSL_CITATION {"citationID":"poH2OQ17","properties":{"unsorted":false,"formattedCitation":"(2017)","plainCitation":"(2017)","noteIndex":0},"citationItems":[{"id":10,"uris":["http://zotero.org/users/local/ik3vdrlJ/items/WR4TIC8M"],"itemData":{"id":10,"type":"article-journal","container-title":"Journal of Economic Perspectives","DOI":"10.1257/jep.31.2.87","issue":"2","page":"87–106","title":"Machine Learning: An Applied Econometric Approach","volume":"31","author":[{"family":"Mullainathan","given":"Sendhil"},{"family":"Spiess","given":"Jann"}],"issued":{"date-parts":[["2017",5]]}},"suppress-author":true}],"schema":"https://github.com/citation-style-language/schema/raw/master/csl-citation.json"} </w:instrText>
      </w:r>
      <w:r w:rsidR="00277956">
        <w:fldChar w:fldCharType="separate"/>
      </w:r>
      <w:r w:rsidR="00277956">
        <w:rPr>
          <w:noProof/>
        </w:rPr>
        <w:t>(2017)</w:t>
      </w:r>
      <w:r w:rsidR="00277956">
        <w:fldChar w:fldCharType="end"/>
      </w:r>
      <w:r w:rsidRPr="007A1B5D">
        <w:t xml:space="preserve"> explored the practical applications of machine learning in econometrics, particularly emphasizing prediction, but also cautioning against drawing causal conclusions about the effects of independent variables without careful consideration.</w:t>
      </w:r>
    </w:p>
    <w:p w14:paraId="48C06396" w14:textId="27F3A78C" w:rsidR="007A1B5D" w:rsidRPr="007A1B5D" w:rsidRDefault="007A1B5D" w:rsidP="00705A79">
      <w:pPr>
        <w:pStyle w:val="BodyText"/>
        <w:spacing w:line="360" w:lineRule="auto"/>
        <w:ind w:firstLine="708"/>
        <w:jc w:val="both"/>
      </w:pPr>
      <w:r w:rsidRPr="007A1B5D">
        <w:t>Although the prevailing view cautioned against using machine learning for explaining, these algorithms gained popularity among researchers over the years. As shown in Desai</w:t>
      </w:r>
      <w:r w:rsidR="00277956">
        <w:t xml:space="preserve"> </w:t>
      </w:r>
      <w:r w:rsidR="00277956">
        <w:fldChar w:fldCharType="begin"/>
      </w:r>
      <w:r w:rsidR="00277956">
        <w:instrText xml:space="preserve"> ADDIN ZOTERO_ITEM CSL_CITATION {"citationID":"7MCBtwUc","properties":{"unsorted":false,"formattedCitation":"(2023)","plainCitation":"(2023)","noteIndex":0},"citationItems":[{"id":8,"uris":["http://zotero.org/users/local/ik3vdrlJ/items/MKKSZ36C"],"itemData":{"id":8,"type":"report","abstract":"This article provides a curated review of selected papers published in prominent economics journals that use machine learning (ML) tools for research and policy analysis. The review focuses on three key questions: (1) when ML is used in economics, (2) what ML models are commonly preferred, and (3) how they are used for economic applications. The review highlights that ML is particularly used to process nontraditional and unstructured data, capture strong nonlinearity, and improve prediction accuracy. Deep learning models are suitable for nontraditional data, whereas ensemble learning models are preferred for traditional datasets. While traditional econometric models may suffice for analyzing low-complexity data, the increasing complexity of economic data due to rapid digitalization and the growing literature suggests that ML is becoming an essential addition to the econometrician's toolbox.","DOI":"10.2139/ssrn.4404772","genre":"Papers","publisher":"SSRN","title":"Machine Learning for Economics Research: When What and How?","URL":"https://ssrn.com/abstract=4404772","author":[{"family":"Desai","given":"Ajit"}],"issued":{"date-parts":[["2023",3]]}},"suppress-author":true}],"schema":"https://github.com/citation-style-language/schema/raw/master/csl-citation.json"} </w:instrText>
      </w:r>
      <w:r w:rsidR="00277956">
        <w:fldChar w:fldCharType="separate"/>
      </w:r>
      <w:r w:rsidR="00277956">
        <w:rPr>
          <w:noProof/>
        </w:rPr>
        <w:t>(2023)</w:t>
      </w:r>
      <w:r w:rsidR="00277956">
        <w:fldChar w:fldCharType="end"/>
      </w:r>
      <w:r w:rsidRPr="007A1B5D">
        <w:t>, which reviews how ML algorithms are being integrated into economic analysis, this popularity has grown significantly. An attempt to bridge the gap between black-box, prediction-focused machine learning methods and simpler, more interpretable methods was the emergence of interpretable machine learning. There are now several techniques that aim to combine the predictive power of complex, black box machine learning models with methods to interpret them. A comprehensive overview of these techniques can be found in Molnar</w:t>
      </w:r>
      <w:r w:rsidR="00277956">
        <w:t xml:space="preserve"> </w:t>
      </w:r>
      <w:r w:rsidR="00277956">
        <w:fldChar w:fldCharType="begin"/>
      </w:r>
      <w:r w:rsidR="00277956">
        <w:instrText xml:space="preserve"> ADDIN ZOTERO_ITEM CSL_CITATION {"citationID":"ICg9vqf4","properties":{"unsorted":false,"formattedCitation":"(2025)","plainCitation":"(2025)","noteIndex":0},"citationItems":[{"id":15,"uris":["http://zotero.org/users/local/ik3vdrlJ/items/Y9EDCAPR"],"itemData":{"id":15,"type":"book","edition":"3","ISBN":"978-3-911578-03-5","title":"Interpretable Machine Learning: A Guide for Making Black Box Models Explainable","URL":"https://christophm.github.io/interpretable-ml-book","author":[{"family":"Molnar","given":"Christoph"}],"issued":{"date-parts":[["2025"]]}},"suppress-author":true}],"schema":"https://github.com/citation-style-language/schema/raw/master/csl-citation.json"} </w:instrText>
      </w:r>
      <w:r w:rsidR="00277956">
        <w:fldChar w:fldCharType="separate"/>
      </w:r>
      <w:r w:rsidR="00277956">
        <w:rPr>
          <w:noProof/>
        </w:rPr>
        <w:t>(2025)</w:t>
      </w:r>
      <w:r w:rsidR="00277956">
        <w:fldChar w:fldCharType="end"/>
      </w:r>
      <w:r w:rsidRPr="007A1B5D">
        <w:t xml:space="preserve">. However, it is important to note that many of these methods </w:t>
      </w:r>
      <w:r w:rsidRPr="007A1B5D">
        <w:lastRenderedPageBreak/>
        <w:t>focus on describing the behavior of the model itself, rather than uncovering the underlying data generating process (DGP) as is common in classical statistics.</w:t>
      </w:r>
    </w:p>
    <w:p w14:paraId="17B9585F" w14:textId="4C71F8FF" w:rsidR="007A1B5D" w:rsidRPr="007A1B5D" w:rsidRDefault="007A1B5D" w:rsidP="00705A79">
      <w:pPr>
        <w:pStyle w:val="BodyText"/>
        <w:spacing w:line="360" w:lineRule="auto"/>
        <w:ind w:firstLine="708"/>
        <w:jc w:val="both"/>
      </w:pPr>
      <w:r w:rsidRPr="007A1B5D">
        <w:t>While interpretable ML addresses the transparency problem, it does not directly solve the fundamental challenge economists face: estimating causal effects with formal statistical guarantees. What is needed is a framework that uses machine learning not to explain its own predictions, but rather to flexibly control for confounding variables while maintaining the ability to perform valid statistical inference on causal parameters. This work focuses its attention on a particularly influential framework that achieves exactly this: Double Machine Learning (DML)</w:t>
      </w:r>
      <w:r w:rsidR="00277956">
        <w:t xml:space="preserve"> </w:t>
      </w:r>
      <w:r w:rsidR="00277956">
        <w:fldChar w:fldCharType="begin"/>
      </w:r>
      <w:r w:rsidR="00277956">
        <w:instrText xml:space="preserve"> ADDIN ZOTERO_ITEM CSL_CITATION {"citationID":"uSUhSFuq","properties":{"unsorted":false,"formattedCitation":"(Chernozhukov et al., 2018)","plainCitation":"(Chernozhukov et al., 2018)","noteIndex":0},"citationItems":[{"id":24,"uris":["http://zotero.org/users/local/ik3vdrlJ/items/6S45RE2C"],"itemData":{"id":24,"type":"article-journal","abstract":"We revisit the classic semi‐parametric problem of inference on a low‐dimensional parameter θ0 in the presence of high‐dimensional nuisance parameters η0. We depart from the classical setting by allowing for η0 to be so high‐dimensional that the traditional assumptions (e.g. Donsker properties) that limit complexity of the parameter space for this object break down. To estimate η0, we consider the use of statistical or machine learning (ML) methods, which are particularly well suited to estimation in modern, very high‐dimensional cases. ML methods perform well by employing regularization to reduce variance and trading off regularization bias with overfitting in practice. However, both regularization bias and overfitting in estimating η0 cause a heavy bias in estimators of θ0 that are obtained by naively plugging ML estimators of η0 into estimating equations for θ0. This bias results in the naive estimator failing to be N−1/2 consistent, where N is the sample size. We show that the impact of regularization bias and overfitting on estimation of the parameter of interest θ0 can be removed by using two simple, yet critical, ingredients: (1) using Neyman‐orthogonal moments/scores that have reduced sensitivity with respect to nuisance parameters to estimate θ0; (2) making use of cross‐fitting, which provides an efficient form of data‐splitting. We call the resulting set of methods double or debiased ML (DML). We verify that DML delivers point estimators that concentrate in an N−1/2‐neighbourhood of the true parameter values and are approximately unbiased and normally distributed, which allows construction of valid confidence statements. The generic statistical theory of DML is elementary and simultaneously relies on only weak theoretical requirements, which will admit the use of a broad array of modern ML methods for estimating the nuisance parameters, such as random forests, lasso, ridge, deep neural nets, boosted trees, and various hybrids and ensembles of these methods. We illustrate the general theory by applying it to provide theoretical properties of the following: DML applied to learn the main regression parameter in a partially linear regression model; DML applied to learn the coefficient on an endogenous variable in a partially linear instrumental variables model; DML applied to learn the average treatment effect and the average treatment effect on the treated under unconfoundedness; DML applied to learn the local average treatment effect in an instrumental variables setting. In addition to these theoretical applications, we also illustrate the use of DML in three empirical examples.","citation-key":"chernozhukovDoubleDebiasedMachine2018","container-title":"The Econometrics Journal","DOI":"10.1111/ectj.12097","ISSN":"1368-4221","issue":"1","note":"_eprint: https://academic.oup.com/ectj/article-pdf/21/1/C1/27684918/ectj00c1.pdf","page":"C1-C68","title":"Double/debiased machine learning for treatment and structural parameters","volume":"21","author":[{"family":"Chernozhukov","given":"Victor"},{"family":"Chetverikov","given":"Denis"},{"family":"Demirer","given":"Mert"},{"family":"Duflo","given":"Esther"},{"family":"Hansen","given":"Christian"},{"family":"Newey","given":"Whitney"},{"family":"Robins","given":"James"}],"issued":{"date-parts":[["2018",1]]}}}],"schema":"https://github.com/citation-style-language/schema/raw/master/csl-citation.json"} </w:instrText>
      </w:r>
      <w:r w:rsidR="00277956">
        <w:fldChar w:fldCharType="separate"/>
      </w:r>
      <w:r w:rsidR="00277956">
        <w:rPr>
          <w:noProof/>
        </w:rPr>
        <w:t>(Chernozhukov et al., 2018)</w:t>
      </w:r>
      <w:r w:rsidR="00277956">
        <w:fldChar w:fldCharType="end"/>
      </w:r>
      <w:r w:rsidRPr="007A1B5D">
        <w:t>.</w:t>
      </w:r>
    </w:p>
    <w:p w14:paraId="3C7FF70C" w14:textId="77777777" w:rsidR="007A1B5D" w:rsidRPr="007A1B5D" w:rsidRDefault="007A1B5D" w:rsidP="00B83798">
      <w:pPr>
        <w:pStyle w:val="BodyText"/>
        <w:spacing w:line="360" w:lineRule="auto"/>
        <w:ind w:firstLine="708"/>
        <w:jc w:val="both"/>
      </w:pPr>
      <w:r w:rsidRPr="007A1B5D">
        <w:t>The DML framework provides a general, robust method that formally combines the predictive power of machine learning with the theoretical rigor of causal inference to estimate a specific parameter of interest. Notably, the framework is not restricted to a single econometric setting. It can be adapted to multiple familiar contexts for economists, including Instrumental Variables (IV) estimation, treatment effect models, and, central to this thesis, Difference-in-Differences (</w:t>
      </w:r>
      <w:proofErr w:type="spellStart"/>
      <w:r w:rsidRPr="007A1B5D">
        <w:t>DiD</w:t>
      </w:r>
      <w:proofErr w:type="spellEnd"/>
      <w:r w:rsidRPr="007A1B5D">
        <w:t>) designs.</w:t>
      </w:r>
    </w:p>
    <w:p w14:paraId="14356C97" w14:textId="77777777" w:rsidR="007A1B5D" w:rsidRPr="007A1B5D" w:rsidRDefault="007A1B5D" w:rsidP="00B83798">
      <w:pPr>
        <w:pStyle w:val="BodyText"/>
        <w:spacing w:line="360" w:lineRule="auto"/>
        <w:ind w:firstLine="708"/>
        <w:jc w:val="both"/>
      </w:pPr>
      <w:r w:rsidRPr="007A1B5D">
        <w:t xml:space="preserve">This document aims to contribute to the growing literature on how to apply these methods in practice, focusing specifically on the application of DML within the </w:t>
      </w:r>
      <w:proofErr w:type="spellStart"/>
      <w:r w:rsidRPr="007A1B5D">
        <w:t>DiD</w:t>
      </w:r>
      <w:proofErr w:type="spellEnd"/>
      <w:r w:rsidRPr="007A1B5D">
        <w:t xml:space="preserve"> framework. By providing both conceptual foundations and practical guidance, this thesis seeks to equip practitioners with the understanding and tools needed to leverage this powerful technique in their own research.</w:t>
      </w:r>
    </w:p>
    <w:p w14:paraId="3B85CDF5" w14:textId="11FA2CF5" w:rsidR="00492577" w:rsidRPr="00D851F9" w:rsidRDefault="007A1B5D" w:rsidP="00B83798">
      <w:pPr>
        <w:pStyle w:val="BodyText"/>
        <w:spacing w:line="360" w:lineRule="auto"/>
        <w:ind w:firstLine="708"/>
        <w:jc w:val="both"/>
      </w:pPr>
      <w:r w:rsidRPr="007A1B5D">
        <w:t xml:space="preserve">The rest of this document is structured as follows: First, the classic Difference-in-Differences framework and its econometric tools are introduced. Second, the Double Machine Learning (DML) framework is presented along with its specific application for </w:t>
      </w:r>
      <w:proofErr w:type="spellStart"/>
      <w:r w:rsidRPr="007A1B5D">
        <w:t>DiD</w:t>
      </w:r>
      <w:proofErr w:type="spellEnd"/>
      <w:r w:rsidRPr="007A1B5D">
        <w:t xml:space="preserve"> setups. Then, two real-world applications of this algorithm are provided to demonstrate its practical utility, and finally, a conclusion is presented.</w:t>
      </w:r>
      <w:bookmarkStart w:id="3" w:name="chapter-2-difference-in-differences"/>
      <w:bookmarkEnd w:id="1"/>
    </w:p>
    <w:p w14:paraId="60A274BE" w14:textId="77777777" w:rsidR="00C2694E" w:rsidRDefault="00C2694E">
      <w:pPr>
        <w:spacing w:after="200" w:line="276" w:lineRule="auto"/>
        <w:rPr>
          <w:b/>
          <w:bCs/>
          <w:color w:val="000000" w:themeColor="text1"/>
          <w:sz w:val="28"/>
          <w:szCs w:val="28"/>
        </w:rPr>
      </w:pPr>
      <w:r>
        <w:rPr>
          <w:b/>
          <w:bCs/>
          <w:color w:val="000000" w:themeColor="text1"/>
          <w:sz w:val="28"/>
          <w:szCs w:val="28"/>
        </w:rPr>
        <w:br w:type="page"/>
      </w:r>
    </w:p>
    <w:p w14:paraId="43906AB0" w14:textId="61F72064" w:rsidR="007A1B5D" w:rsidRPr="00C2694E" w:rsidRDefault="007A1B5D" w:rsidP="00EB6242">
      <w:pPr>
        <w:pStyle w:val="Heading1"/>
      </w:pPr>
      <w:bookmarkStart w:id="4" w:name="_Toc227873371"/>
      <w:r w:rsidRPr="007A1B5D">
        <w:lastRenderedPageBreak/>
        <w:t>2</w:t>
      </w:r>
      <w:r w:rsidR="00CC5F82">
        <w:t>.</w:t>
      </w:r>
      <w:r w:rsidRPr="007A1B5D">
        <w:t xml:space="preserve"> Difference in Differences</w:t>
      </w:r>
      <w:bookmarkEnd w:id="4"/>
    </w:p>
    <w:p w14:paraId="1659C106" w14:textId="1862FC4B"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Difference in Differences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is a widely used econometric technique for estimating causal effects when randomized experiments are not feasible. It is particularly useful in policy analysis, economics, and social sciences to evaluate the impact of a treatment or intervention over time. Essentially, the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approach compares the changes in outcomes over time between a group that is exposed to a treatment (the treatment group) and a group that is not (the control group). The key idea is to control for unobserved factors that are constant over time and for common trends affecting both groups. An excellent introduction to the method can be found in Cunningham </w:t>
      </w:r>
      <w:r w:rsidR="00277956">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{"citationID":"lj8ku1mm","properties":{"unsorted":false,"formattedCitation":"(2021)","plainCitation":"(2021)","noteIndex":0},"citationItems":[{"id":27,"uris":["http://zotero.org/users/local/ik3vdrlJ/items/L3EHSQP3"],"itemData":{"id":27,"type":"book","abstract":"An accessible and contemporary introduction to the methods for determining cause and effect in the social sciences Causal inference encompasses the tools that allow social scientists to determine what causes what. Economists-who generally can't run controlled experiments to test and validate their hypotheses-apply these tools to observational data to make connections. In a messy world, causal inference is what helps establish the causes and effects of the actions being studied, whether the impact (or lack thereof) of increases in the minimum wage on employment, the effects of early childhood education on incarceration later in life, or the introduction of malaria nets in developing regions on economic growth. Scott Cunningham introduces students and practitioners to the methods necessary to arrive at meaningful answers to the questions of causation, using a range of modeling techniques and coding instructions for both the R and Stata programming languages.","ISBN":"978-0-300-25168-5","publisher":"Yale University Press","title":"Causal Inference: The Mixtape","URL":"http://www.jstor.org/stable/j.ctv1c29t27","author":[{"family":"Cunningham","given":"Scott"}],"accessed":{"date-parts":[["2025",10,14]]},"issued":{"date-parts":[["2021"]]}},"suppress-author":true}],"schema":"https://github.com/citation-style-language/schema/raw/master/csl-citation.json"} </w:instrText>
      </w:r>
      <w:r w:rsidR="00277956">
        <w:rPr>
          <w:rFonts w:ascii="Times New Roman" w:hAnsi="Times New Roman" w:cs="Times New Roman"/>
        </w:rPr>
        <w:fldChar w:fldCharType="separate"/>
      </w:r>
      <w:r w:rsidR="00277956">
        <w:rPr>
          <w:rFonts w:ascii="Times New Roman" w:hAnsi="Times New Roman" w:cs="Times New Roman"/>
          <w:noProof/>
        </w:rPr>
        <w:t>(2021)</w:t>
      </w:r>
      <w:r w:rsidR="00277956">
        <w:rPr>
          <w:rFonts w:ascii="Times New Roman" w:hAnsi="Times New Roman" w:cs="Times New Roman"/>
        </w:rPr>
        <w:fldChar w:fldCharType="end"/>
      </w:r>
      <w:r w:rsidRPr="007A1B5D">
        <w:rPr>
          <w:rFonts w:ascii="Times New Roman" w:hAnsi="Times New Roman" w:cs="Times New Roman"/>
        </w:rPr>
        <w:t>.</w:t>
      </w:r>
    </w:p>
    <w:p w14:paraId="0C4EC9EA" w14:textId="3927FD96" w:rsidR="007A1B5D" w:rsidRPr="00BF697B" w:rsidRDefault="007A1B5D" w:rsidP="00002FB9">
      <w:pPr>
        <w:spacing w:line="360" w:lineRule="auto"/>
        <w:ind w:firstLine="708"/>
        <w:jc w:val="both"/>
      </w:pPr>
      <w:r w:rsidRPr="00BF697B">
        <w:t>This chapter begins with the classical Difference in Differences design, lay out</w:t>
      </w:r>
      <w:r w:rsidR="00002FB9">
        <w:t xml:space="preserve"> </w:t>
      </w:r>
      <w:r w:rsidRPr="00BF697B">
        <w:t>identification and estimation in the two-period case, move to extensions for staggered</w:t>
      </w:r>
      <w:r w:rsidR="00002FB9">
        <w:t xml:space="preserve"> </w:t>
      </w:r>
      <w:r w:rsidRPr="00BF697B">
        <w:t>adoption, and clarify the role of covariates.</w:t>
      </w:r>
    </w:p>
    <w:p w14:paraId="51C6B29B" w14:textId="77777777" w:rsidR="00BF697B" w:rsidRPr="00BF697B" w:rsidRDefault="00BF697B" w:rsidP="00BF697B"/>
    <w:p w14:paraId="45A4DB77" w14:textId="78783343" w:rsidR="007A1B5D" w:rsidRPr="00BF697B" w:rsidRDefault="00CC5F82" w:rsidP="00EB6242">
      <w:pPr>
        <w:pStyle w:val="Heading2"/>
      </w:pPr>
      <w:bookmarkStart w:id="5" w:name="_Toc227873372"/>
      <w:bookmarkStart w:id="6" w:name="the-did-estimator"/>
      <w:r w:rsidRPr="00BF697B">
        <w:t xml:space="preserve">2.1. </w:t>
      </w:r>
      <w:r w:rsidR="007A1B5D" w:rsidRPr="00BF697B">
        <w:t xml:space="preserve">The </w:t>
      </w:r>
      <w:proofErr w:type="spellStart"/>
      <w:r w:rsidR="007A1B5D" w:rsidRPr="00BF697B">
        <w:t>DiD</w:t>
      </w:r>
      <w:proofErr w:type="spellEnd"/>
      <w:r w:rsidR="007A1B5D" w:rsidRPr="00BF697B">
        <w:t xml:space="preserve"> Estimator</w:t>
      </w:r>
      <w:bookmarkEnd w:id="5"/>
    </w:p>
    <w:p w14:paraId="60844CAE"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This section first defines the canonical two group, two period estimator and link it to the Average Treatment Effect on the Treated.</w:t>
      </w:r>
    </w:p>
    <w:p w14:paraId="4E7E90FE" w14:textId="77777777" w:rsidR="007A1B5D" w:rsidRPr="007A1B5D" w:rsidRDefault="007A1B5D" w:rsidP="00B83798">
      <w:pPr>
        <w:pStyle w:val="BodyText"/>
        <w:spacing w:line="360" w:lineRule="auto"/>
        <w:ind w:firstLine="708"/>
        <w:jc w:val="both"/>
      </w:pPr>
      <w:r w:rsidRPr="007A1B5D">
        <w:t xml:space="preserve">Suppose two groups are observed over two periods: before and after a treatment is implemented. The </w:t>
      </w:r>
      <w:proofErr w:type="spellStart"/>
      <w:r w:rsidRPr="007A1B5D">
        <w:t>DiD</w:t>
      </w:r>
      <w:proofErr w:type="spellEnd"/>
      <w:r w:rsidRPr="007A1B5D">
        <w:t xml:space="preserve"> estimator is calculated as:</w:t>
      </w:r>
    </w:p>
    <w:p w14:paraId="33C3FBAE" w14:textId="02FD04A8" w:rsidR="00705A79" w:rsidRPr="00705A79" w:rsidRDefault="00000000" w:rsidP="007A1B5D">
      <w:pPr>
        <w:pStyle w:val="BodyText"/>
        <w:spacing w:line="360" w:lineRule="auto"/>
        <w:jc w:val="both"/>
      </w:pPr>
      <m:oMathPara>
        <m:oMath>
          <m:eqArr>
            <m:eqArrPr>
              <m:maxDist m:val="1"/>
              <m:ctrlPr>
                <w:rPr>
                  <w:rFonts w:ascii="Cambria Math" w:hAnsi="Cambria Math"/>
                  <w:i/>
                  <w:sz w:val="22"/>
                  <w:szCs w:val="22"/>
                </w:rPr>
              </m:ctrlPr>
            </m:eqArrPr>
            <m:e>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ctrlPr>
                    <w:rPr>
                      <w:rFonts w:ascii="Cambria Math" w:hAnsi="Cambria Math"/>
                      <w:i/>
                    </w:rPr>
                  </m:ctrlPr>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t</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c</m:t>
                      </m:r>
                    </m:sup>
                  </m:sSubSup>
                </m:e>
              </m:d>
              <m:r>
                <w:rPr>
                  <w:rFonts w:ascii="Cambria Math" w:hAnsi="Cambria Math"/>
                </w:rPr>
                <m:t>#</m:t>
              </m:r>
              <m:d>
                <m:dPr>
                  <m:ctrlPr>
                    <w:rPr>
                      <w:rFonts w:ascii="Cambria Math" w:hAnsi="Cambria Math"/>
                      <w:i/>
                      <w:sz w:val="22"/>
                      <w:szCs w:val="22"/>
                    </w:rPr>
                  </m:ctrlPr>
                </m:dPr>
                <m:e>
                  <m:r>
                    <w:rPr>
                      <w:rFonts w:ascii="Cambria Math" w:hAnsi="Cambria Math"/>
                      <w:sz w:val="22"/>
                      <w:szCs w:val="22"/>
                    </w:rPr>
                    <m:t>2.1</m:t>
                  </m:r>
                </m:e>
              </m:d>
              <m:ctrlPr>
                <w:rPr>
                  <w:rFonts w:ascii="Cambria Math" w:hAnsi="Cambria Math"/>
                  <w:i/>
                </w:rPr>
              </m:ctrlPr>
            </m:e>
          </m:eqArr>
        </m:oMath>
      </m:oMathPara>
    </w:p>
    <w:p w14:paraId="0D37997F" w14:textId="08A6CFA2" w:rsid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Y</m:t>
            </m:r>
            <m:ctrlPr>
              <w:rPr>
                <w:rFonts w:ascii="Cambria Math" w:hAnsi="Cambria Math" w:cs="Times New Roman"/>
                <w:i/>
              </w:rPr>
            </m:ctrlPr>
          </m:e>
          <m:sub>
            <m:r>
              <w:rPr>
                <w:rFonts w:ascii="Cambria Math" w:hAnsi="Cambria Math" w:cs="Times New Roman"/>
              </w:rPr>
              <m:t>post</m:t>
            </m:r>
          </m:sub>
          <m:sup>
            <m:r>
              <w:rPr>
                <w:rFonts w:ascii="Cambria Math" w:hAnsi="Cambria Math" w:cs="Times New Roman"/>
              </w:rPr>
              <m:t>t</m:t>
            </m:r>
          </m:sup>
        </m:sSubSup>
      </m:oMath>
      <w:r w:rsidRPr="007A1B5D">
        <w:rPr>
          <w:rFonts w:ascii="Times New Roman" w:hAnsi="Times New Roman" w:cs="Times New Roman"/>
        </w:rPr>
        <w:t xml:space="preserve"> is the average outcome for the treatment group after the intervention, </w:t>
      </w:r>
      <m:oMath>
        <m:sSubSup>
          <m:sSubSupPr>
            <m:ctrlPr>
              <w:rPr>
                <w:rFonts w:ascii="Cambria Math" w:hAnsi="Cambria Math" w:cs="Times New Roman"/>
              </w:rPr>
            </m:ctrlPr>
          </m:sSubSupPr>
          <m:e>
            <m:r>
              <w:rPr>
                <w:rFonts w:ascii="Cambria Math" w:hAnsi="Cambria Math" w:cs="Times New Roman"/>
              </w:rPr>
              <m:t>Y</m:t>
            </m:r>
            <m:ctrlPr>
              <w:rPr>
                <w:rFonts w:ascii="Cambria Math" w:hAnsi="Cambria Math" w:cs="Times New Roman"/>
                <w:i/>
              </w:rPr>
            </m:ctrlPr>
          </m:e>
          <m:sub>
            <m:r>
              <w:rPr>
                <w:rFonts w:ascii="Cambria Math" w:hAnsi="Cambria Math" w:cs="Times New Roman"/>
              </w:rPr>
              <m:t>pre</m:t>
            </m:r>
          </m:sub>
          <m:sup>
            <m:r>
              <w:rPr>
                <w:rFonts w:ascii="Cambria Math" w:hAnsi="Cambria Math" w:cs="Times New Roman"/>
              </w:rPr>
              <m:t>t</m:t>
            </m:r>
          </m:sup>
        </m:sSubSup>
      </m:oMath>
      <w:r w:rsidRPr="007A1B5D">
        <w:rPr>
          <w:rFonts w:ascii="Times New Roman" w:hAnsi="Times New Roman" w:cs="Times New Roman"/>
        </w:rPr>
        <w:t xml:space="preserve"> the average outcome for the treatment group before the intervention, </w:t>
      </w:r>
      <m:oMath>
        <m:sSubSup>
          <m:sSubSupPr>
            <m:ctrlPr>
              <w:rPr>
                <w:rFonts w:ascii="Cambria Math" w:hAnsi="Cambria Math" w:cs="Times New Roman"/>
              </w:rPr>
            </m:ctrlPr>
          </m:sSubSupPr>
          <m:e>
            <m:r>
              <w:rPr>
                <w:rFonts w:ascii="Cambria Math" w:hAnsi="Cambria Math" w:cs="Times New Roman"/>
              </w:rPr>
              <m:t>Y</m:t>
            </m:r>
            <m:ctrlPr>
              <w:rPr>
                <w:rFonts w:ascii="Cambria Math" w:hAnsi="Cambria Math" w:cs="Times New Roman"/>
                <w:i/>
              </w:rPr>
            </m:ctrlPr>
          </m:e>
          <m:sub>
            <m:r>
              <w:rPr>
                <w:rFonts w:ascii="Cambria Math" w:hAnsi="Cambria Math" w:cs="Times New Roman"/>
              </w:rPr>
              <m:t>post</m:t>
            </m:r>
          </m:sub>
          <m:sup>
            <m:r>
              <w:rPr>
                <w:rFonts w:ascii="Cambria Math" w:hAnsi="Cambria Math" w:cs="Times New Roman"/>
              </w:rPr>
              <m:t>c</m:t>
            </m:r>
          </m:sup>
        </m:sSubSup>
      </m:oMath>
      <w:r w:rsidRPr="007A1B5D">
        <w:rPr>
          <w:rFonts w:ascii="Times New Roman" w:hAnsi="Times New Roman" w:cs="Times New Roman"/>
        </w:rPr>
        <w:t xml:space="preserve"> the average outcome for the control group after the intervention, and </w:t>
      </w:r>
      <m:oMath>
        <m:sSubSup>
          <m:sSubSupPr>
            <m:ctrlPr>
              <w:rPr>
                <w:rFonts w:ascii="Cambria Math" w:hAnsi="Cambria Math" w:cs="Times New Roman"/>
              </w:rPr>
            </m:ctrlPr>
          </m:sSubSupPr>
          <m:e>
            <m:r>
              <w:rPr>
                <w:rFonts w:ascii="Cambria Math" w:hAnsi="Cambria Math" w:cs="Times New Roman"/>
              </w:rPr>
              <m:t>Y</m:t>
            </m:r>
            <m:ctrlPr>
              <w:rPr>
                <w:rFonts w:ascii="Cambria Math" w:hAnsi="Cambria Math" w:cs="Times New Roman"/>
                <w:i/>
              </w:rPr>
            </m:ctrlPr>
          </m:e>
          <m:sub>
            <m:r>
              <w:rPr>
                <w:rFonts w:ascii="Cambria Math" w:hAnsi="Cambria Math" w:cs="Times New Roman"/>
              </w:rPr>
              <m:t>pre</m:t>
            </m:r>
          </m:sub>
          <m:sup>
            <m:r>
              <w:rPr>
                <w:rFonts w:ascii="Cambria Math" w:hAnsi="Cambria Math" w:cs="Times New Roman"/>
              </w:rPr>
              <m:t>c</m:t>
            </m:r>
          </m:sup>
        </m:sSubSup>
      </m:oMath>
      <w:r w:rsidRPr="007A1B5D">
        <w:rPr>
          <w:rFonts w:ascii="Times New Roman" w:hAnsi="Times New Roman" w:cs="Times New Roman"/>
        </w:rPr>
        <w:t xml:space="preserve"> the average outcome for the control group before the intervention. This double differencing removes biases from permanent differences between the groups and from trends that affect both groups equally and can be seen as the average treatment effect on the treated, defined as</w:t>
      </w:r>
    </w:p>
    <w:p w14:paraId="20D17123" w14:textId="6B73232C" w:rsidR="007E6793" w:rsidRPr="00705A79" w:rsidRDefault="00000000" w:rsidP="007E6793">
      <w:pPr>
        <w:pStyle w:val="BodyText"/>
        <w:spacing w:line="360" w:lineRule="auto"/>
        <w:jc w:val="both"/>
      </w:pPr>
      <m:oMathPara>
        <m:oMath>
          <m:eqArr>
            <m:eqArrPr>
              <m:maxDist m:val="1"/>
              <m:ctrlPr>
                <w:rPr>
                  <w:rFonts w:ascii="Cambria Math" w:hAnsi="Cambria Math"/>
                  <w:i/>
                  <w:sz w:val="22"/>
                  <w:szCs w:val="22"/>
                </w:rPr>
              </m:ctrlPr>
            </m:eqArrPr>
            <m:e>
              <m:r>
                <m:rPr>
                  <m:sty m:val="p"/>
                </m:rPr>
                <w:rPr>
                  <w:rFonts w:ascii="Cambria Math" w:hAnsi="Cambria Math"/>
                </w:rPr>
                <m:t>ATT=E[</m:t>
              </m:r>
              <m:sSup>
                <m:sSupPr>
                  <m:ctrlPr>
                    <w:rPr>
                      <w:rFonts w:ascii="Cambria Math" w:hAnsi="Cambria Math"/>
                    </w:rPr>
                  </m:ctrlPr>
                </m:sSupPr>
                <m:e>
                  <m:r>
                    <w:rPr>
                      <w:rFonts w:ascii="Cambria Math" w:hAnsi="Cambria Math"/>
                    </w:rPr>
                    <m:t>Y</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Y</m:t>
                  </m:r>
                </m:e>
                <m:sup>
                  <m:r>
                    <w:rPr>
                      <w:rFonts w:ascii="Cambria Math" w:hAnsi="Cambria Math"/>
                    </w:rPr>
                    <m:t>(0)</m:t>
                  </m:r>
                </m:sup>
              </m:sSup>
              <m:r>
                <m:rPr>
                  <m:sty m:val="p"/>
                </m:rPr>
                <w:rPr>
                  <w:rFonts w:ascii="Cambria Math" w:hAnsi="Cambria Math"/>
                </w:rPr>
                <m:t xml:space="preserve"> | D=1]</m:t>
              </m:r>
              <m:r>
                <w:rPr>
                  <w:rFonts w:ascii="Cambria Math" w:hAnsi="Cambria Math"/>
                </w:rPr>
                <m:t>#</m:t>
              </m:r>
              <m:d>
                <m:dPr>
                  <m:ctrlPr>
                    <w:rPr>
                      <w:rFonts w:ascii="Cambria Math" w:hAnsi="Cambria Math"/>
                      <w:i/>
                      <w:sz w:val="22"/>
                      <w:szCs w:val="22"/>
                    </w:rPr>
                  </m:ctrlPr>
                </m:dPr>
                <m:e>
                  <m:r>
                    <w:rPr>
                      <w:rFonts w:ascii="Cambria Math" w:hAnsi="Cambria Math"/>
                      <w:sz w:val="22"/>
                      <w:szCs w:val="22"/>
                    </w:rPr>
                    <m:t>2.2</m:t>
                  </m:r>
                </m:e>
              </m:d>
              <m:ctrlPr>
                <w:rPr>
                  <w:rFonts w:ascii="Cambria Math" w:hAnsi="Cambria Math"/>
                  <w:i/>
                </w:rPr>
              </m:ctrlPr>
            </m:e>
          </m:eqArr>
        </m:oMath>
      </m:oMathPara>
    </w:p>
    <w:p w14:paraId="771CA421" w14:textId="77777777" w:rsidR="007E6793" w:rsidRPr="007E6793" w:rsidRDefault="007E6793" w:rsidP="007E6793">
      <w:pPr>
        <w:pStyle w:val="BodyText"/>
        <w:rPr>
          <w:lang w:eastAsia="zh-CN"/>
        </w:rPr>
      </w:pPr>
    </w:p>
    <w:p w14:paraId="3D7F9A6D" w14:textId="147C619A"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lastRenderedPageBreak/>
        <w:t xml:space="preserve">where </w:t>
      </w:r>
      <m:oMath>
        <m:sSup>
          <m:sSupPr>
            <m:ctrlPr>
              <w:rPr>
                <w:rFonts w:ascii="Cambria Math" w:hAnsi="Cambria Math" w:cs="Times New Roman"/>
              </w:rPr>
            </m:ctrlPr>
          </m:sSupPr>
          <m:e>
            <m:r>
              <w:rPr>
                <w:rFonts w:ascii="Cambria Math" w:hAnsi="Cambria Math" w:cs="Times New Roman"/>
              </w:rPr>
              <m:t>Y</m:t>
            </m:r>
            <m:ctrlPr>
              <w:rPr>
                <w:rFonts w:ascii="Cambria Math" w:hAnsi="Cambria Math" w:cs="Times New Roman"/>
                <w:i/>
              </w:rPr>
            </m:ctrlPr>
          </m:e>
          <m:sup>
            <m:d>
              <m:dPr>
                <m:ctrlPr>
                  <w:rPr>
                    <w:rFonts w:ascii="Cambria Math" w:hAnsi="Cambria Math" w:cs="Times New Roman"/>
                  </w:rPr>
                </m:ctrlPr>
              </m:dPr>
              <m:e>
                <m:r>
                  <w:rPr>
                    <w:rFonts w:ascii="Cambria Math" w:hAnsi="Cambria Math" w:cs="Times New Roman"/>
                  </w:rPr>
                  <m:t>1</m:t>
                </m:r>
              </m:e>
            </m:d>
          </m:sup>
        </m:sSup>
      </m:oMath>
      <w:r w:rsidRPr="007A1B5D">
        <w:rPr>
          <w:rFonts w:ascii="Times New Roman" w:hAnsi="Times New Roman" w:cs="Times New Roman"/>
        </w:rPr>
        <w:t xml:space="preserve"> would be the potential outcome if treated, </w:t>
      </w:r>
      <m:oMath>
        <m:sSup>
          <m:sSupPr>
            <m:ctrlPr>
              <w:rPr>
                <w:rFonts w:ascii="Cambria Math" w:hAnsi="Cambria Math" w:cs="Times New Roman"/>
              </w:rPr>
            </m:ctrlPr>
          </m:sSupPr>
          <m:e>
            <m:r>
              <w:rPr>
                <w:rFonts w:ascii="Cambria Math" w:hAnsi="Cambria Math" w:cs="Times New Roman"/>
              </w:rPr>
              <m:t>Y</m:t>
            </m:r>
            <m:ctrlPr>
              <w:rPr>
                <w:rFonts w:ascii="Cambria Math" w:hAnsi="Cambria Math" w:cs="Times New Roman"/>
                <w:i/>
              </w:rPr>
            </m:ctrlPr>
          </m:e>
          <m:sup>
            <m:d>
              <m:dPr>
                <m:ctrlPr>
                  <w:rPr>
                    <w:rFonts w:ascii="Cambria Math" w:hAnsi="Cambria Math" w:cs="Times New Roman"/>
                  </w:rPr>
                </m:ctrlPr>
              </m:dPr>
              <m:e>
                <m:r>
                  <w:rPr>
                    <w:rFonts w:ascii="Cambria Math" w:hAnsi="Cambria Math" w:cs="Times New Roman"/>
                  </w:rPr>
                  <m:t>0</m:t>
                </m:r>
              </m:e>
            </m:d>
          </m:sup>
        </m:sSup>
      </m:oMath>
      <w:r w:rsidRPr="007A1B5D">
        <w:rPr>
          <w:rFonts w:ascii="Times New Roman" w:hAnsi="Times New Roman" w:cs="Times New Roman"/>
        </w:rPr>
        <w:t xml:space="preserve"> the potential outcome if not treated, and </w:t>
      </w:r>
      <m:oMath>
        <m:r>
          <m:rPr>
            <m:sty m:val="p"/>
          </m:rPr>
          <w:rPr>
            <w:rFonts w:ascii="Cambria Math" w:hAnsi="Cambria Math" w:cs="Times New Roman"/>
          </w:rPr>
          <m:t>D∈</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7A1B5D">
        <w:rPr>
          <w:rFonts w:ascii="Times New Roman" w:hAnsi="Times New Roman" w:cs="Times New Roman"/>
        </w:rPr>
        <w:t xml:space="preserve"> the treatment indicator, with </w:t>
      </w:r>
      <m:oMath>
        <m:r>
          <m:rPr>
            <m:sty m:val="p"/>
          </m:rPr>
          <w:rPr>
            <w:rFonts w:ascii="Cambria Math" w:hAnsi="Cambria Math" w:cs="Times New Roman"/>
          </w:rPr>
          <m:t>D=</m:t>
        </m:r>
        <m:r>
          <w:rPr>
            <w:rFonts w:ascii="Cambria Math" w:hAnsi="Cambria Math" w:cs="Times New Roman"/>
          </w:rPr>
          <m:t>1</m:t>
        </m:r>
      </m:oMath>
      <w:r w:rsidRPr="007A1B5D">
        <w:rPr>
          <w:rFonts w:ascii="Times New Roman" w:hAnsi="Times New Roman" w:cs="Times New Roman"/>
        </w:rPr>
        <w:t xml:space="preserve"> if treated and </w:t>
      </w:r>
      <m:oMath>
        <m:r>
          <m:rPr>
            <m:sty m:val="p"/>
          </m:rPr>
          <w:rPr>
            <w:rFonts w:ascii="Cambria Math" w:hAnsi="Cambria Math" w:cs="Times New Roman"/>
          </w:rPr>
          <m:t>D=</m:t>
        </m:r>
        <m:r>
          <w:rPr>
            <w:rFonts w:ascii="Cambria Math" w:hAnsi="Cambria Math" w:cs="Times New Roman"/>
          </w:rPr>
          <m:t>0</m:t>
        </m:r>
      </m:oMath>
      <w:r w:rsidRPr="007A1B5D">
        <w:rPr>
          <w:rFonts w:ascii="Times New Roman" w:hAnsi="Times New Roman" w:cs="Times New Roman"/>
        </w:rPr>
        <w:t xml:space="preserve"> if not. </w:t>
      </w:r>
      <w:r w:rsidR="009225C6" w:rsidRPr="007A1B5D">
        <w:rPr>
          <w:rFonts w:ascii="Times New Roman" w:hAnsi="Times New Roman" w:cs="Times New Roman"/>
        </w:rPr>
        <w:t>So,</w:t>
      </w:r>
      <w:r w:rsidRPr="007A1B5D">
        <w:rPr>
          <w:rFonts w:ascii="Times New Roman" w:hAnsi="Times New Roman" w:cs="Times New Roman"/>
        </w:rPr>
        <w:t xml:space="preserve"> it’s the expected treatment effect for the units that </w:t>
      </w:r>
      <w:r w:rsidR="00277956" w:rsidRPr="007A1B5D">
        <w:rPr>
          <w:rFonts w:ascii="Times New Roman" w:hAnsi="Times New Roman" w:cs="Times New Roman"/>
        </w:rPr>
        <w:t>received</w:t>
      </w:r>
      <w:r w:rsidRPr="007A1B5D">
        <w:rPr>
          <w:rFonts w:ascii="Times New Roman" w:hAnsi="Times New Roman" w:cs="Times New Roman"/>
        </w:rPr>
        <w:t xml:space="preserve"> the treatment.</w:t>
      </w:r>
    </w:p>
    <w:p w14:paraId="6354161F" w14:textId="77777777" w:rsidR="007A1B5D" w:rsidRPr="007A1B5D" w:rsidRDefault="007A1B5D" w:rsidP="00B83798">
      <w:pPr>
        <w:pStyle w:val="BodyText"/>
        <w:spacing w:line="360" w:lineRule="auto"/>
        <w:ind w:firstLine="708"/>
        <w:jc w:val="both"/>
      </w:pPr>
      <w:r w:rsidRPr="007A1B5D">
        <w:t>In summary, comparing changes across groups recovers the effect on treated units under appropriate assumptions.</w:t>
      </w:r>
    </w:p>
    <w:p w14:paraId="2BE18AE4" w14:textId="62C8CB7A" w:rsidR="007A1B5D" w:rsidRPr="00BF697B" w:rsidRDefault="00CC5F82" w:rsidP="00BF697B">
      <w:pPr>
        <w:pStyle w:val="Heading3"/>
      </w:pPr>
      <w:bookmarkStart w:id="7" w:name="_Toc227873373"/>
      <w:r w:rsidRPr="00BF697B">
        <w:t xml:space="preserve">2.1.1. </w:t>
      </w:r>
      <w:r w:rsidR="007A1B5D" w:rsidRPr="00BF697B">
        <w:t>Estimation</w:t>
      </w:r>
      <w:bookmarkEnd w:id="7"/>
    </w:p>
    <w:p w14:paraId="069A0853"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An equivalent regression formulation clarifies the interpretation of the interaction coefficient as the Difference in Differences </w:t>
      </w:r>
      <w:proofErr w:type="spellStart"/>
      <w:r w:rsidRPr="007A1B5D">
        <w:rPr>
          <w:rFonts w:ascii="Times New Roman" w:hAnsi="Times New Roman" w:cs="Times New Roman"/>
        </w:rPr>
        <w:t>estimand</w:t>
      </w:r>
      <w:proofErr w:type="spellEnd"/>
      <w:r w:rsidRPr="007A1B5D">
        <w:rPr>
          <w:rFonts w:ascii="Times New Roman" w:hAnsi="Times New Roman" w:cs="Times New Roman"/>
        </w:rPr>
        <w:t>.</w:t>
      </w:r>
    </w:p>
    <w:p w14:paraId="5E3E142B" w14:textId="77777777" w:rsidR="007A1B5D" w:rsidRPr="007A1B5D" w:rsidRDefault="007A1B5D" w:rsidP="00B83798">
      <w:pPr>
        <w:pStyle w:val="BodyText"/>
        <w:spacing w:line="360" w:lineRule="auto"/>
        <w:ind w:firstLine="708"/>
        <w:jc w:val="both"/>
      </w:pPr>
      <w:proofErr w:type="spellStart"/>
      <w:r w:rsidRPr="007A1B5D">
        <w:t>DiD</w:t>
      </w:r>
      <w:proofErr w:type="spellEnd"/>
      <w:r w:rsidRPr="007A1B5D">
        <w:t xml:space="preserve"> models are often estimated using regression analysis, typically with a specification like:</w:t>
      </w:r>
    </w:p>
    <w:bookmarkStart w:id="8" w:name="estimation"/>
    <w:p w14:paraId="142F8EEF" w14:textId="2FEDDEF8" w:rsidR="007E6793" w:rsidRPr="007E6793" w:rsidRDefault="00000000" w:rsidP="007A1B5D">
      <w:pPr>
        <w:pStyle w:val="BodyText"/>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ty m:val="p"/>
                </m:rPr>
                <w:rPr>
                  <w:rFonts w:ascii="Cambria Math" w:hAnsi="Cambria Math"/>
                </w:rPr>
                <m:t>=α+β</m:t>
              </m:r>
              <m:sSub>
                <m:sSubPr>
                  <m:ctrlPr>
                    <w:rPr>
                      <w:rFonts w:ascii="Cambria Math" w:hAnsi="Cambria Math"/>
                    </w:rPr>
                  </m:ctrlPr>
                </m:sSubPr>
                <m:e>
                  <m:r>
                    <m:rPr>
                      <m:nor/>
                    </m:rPr>
                    <w:rPr>
                      <w:rFonts w:ascii="Cambria Math" w:hAnsi="Cambria Math"/>
                    </w:rPr>
                    <m:t>Post</m:t>
                  </m:r>
                </m:e>
                <m:sub>
                  <m:r>
                    <w:rPr>
                      <w:rFonts w:ascii="Cambria Math" w:hAnsi="Cambria Math"/>
                    </w:rPr>
                    <m:t>t</m:t>
                  </m:r>
                </m:sub>
              </m:sSub>
              <m:r>
                <m:rPr>
                  <m:sty m:val="p"/>
                </m:rPr>
                <w:rPr>
                  <w:rFonts w:ascii="Cambria Math" w:hAnsi="Cambria Math"/>
                </w:rPr>
                <m:t>+γ</m:t>
              </m:r>
              <m:sSub>
                <m:sSubPr>
                  <m:ctrlPr>
                    <w:rPr>
                      <w:rFonts w:ascii="Cambria Math" w:hAnsi="Cambria Math"/>
                    </w:rPr>
                  </m:ctrlPr>
                </m:sSubPr>
                <m:e>
                  <m:r>
                    <m:rPr>
                      <m:nor/>
                    </m:rPr>
                    <w:rPr>
                      <w:rFonts w:ascii="Cambria Math" w:hAnsi="Cambria Math"/>
                    </w:rPr>
                    <m:t>Treat</m:t>
                  </m:r>
                </m:e>
                <m:sub>
                  <m:r>
                    <w:rPr>
                      <w:rFonts w:ascii="Cambria Math" w:hAnsi="Cambria Math"/>
                    </w:rPr>
                    <m:t>i</m:t>
                  </m:r>
                </m:sub>
              </m:sSub>
              <m:r>
                <m:rPr>
                  <m:sty m:val="p"/>
                </m:rPr>
                <w:rPr>
                  <w:rFonts w:ascii="Cambria Math" w:hAnsi="Cambria Math"/>
                </w:rPr>
                <m:t>+δ</m:t>
              </m:r>
              <m:d>
                <m:dPr>
                  <m:ctrlPr>
                    <w:rPr>
                      <w:rFonts w:ascii="Cambria Math" w:hAnsi="Cambria Math"/>
                    </w:rPr>
                  </m:ctrlPr>
                </m:dPr>
                <m:e>
                  <m:sSub>
                    <m:sSubPr>
                      <m:ctrlPr>
                        <w:rPr>
                          <w:rFonts w:ascii="Cambria Math" w:hAnsi="Cambria Math"/>
                        </w:rPr>
                      </m:ctrlPr>
                    </m:sSubPr>
                    <m:e>
                      <m:r>
                        <m:rPr>
                          <m:nor/>
                        </m:rPr>
                        <w:rPr>
                          <w:rFonts w:ascii="Cambria Math" w:hAnsi="Cambria Math"/>
                        </w: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Cambria Math" w:hAnsi="Cambria Math"/>
                        </w:rPr>
                        <m:t>Treat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2.3</m:t>
                  </m:r>
                </m:e>
              </m:d>
            </m:e>
          </m:eqArr>
        </m:oMath>
      </m:oMathPara>
    </w:p>
    <w:p w14:paraId="109BB2D3" w14:textId="1FC2C357"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is the outcome for unit </w:t>
      </w:r>
      <m:oMath>
        <m:r>
          <m:rPr>
            <m:sty m:val="p"/>
          </m:rPr>
          <w:rPr>
            <w:rFonts w:ascii="Cambria Math" w:hAnsi="Cambria Math" w:cs="Times New Roman"/>
          </w:rPr>
          <m:t>i</m:t>
        </m:r>
      </m:oMath>
      <w:r w:rsidRPr="007A1B5D">
        <w:rPr>
          <w:rFonts w:ascii="Times New Roman" w:hAnsi="Times New Roman" w:cs="Times New Roman"/>
        </w:rPr>
        <w:t xml:space="preserve"> at time </w:t>
      </w:r>
      <m:oMath>
        <m:r>
          <m:rPr>
            <m:sty m:val="p"/>
          </m:rPr>
          <w:rPr>
            <w:rFonts w:ascii="Cambria Math" w:hAnsi="Cambria Math" w:cs="Times New Roman"/>
          </w:rPr>
          <m:t>t</m:t>
        </m:r>
      </m:oMath>
      <w:r w:rsidRPr="007A1B5D">
        <w:rPr>
          <w:rFonts w:ascii="Times New Roman" w:hAnsi="Times New Roman" w:cs="Times New Roman"/>
        </w:rPr>
        <w:t xml:space="preserve">, </w:t>
      </w:r>
      <m:oMath>
        <m:sSub>
          <m:sSubPr>
            <m:ctrlPr>
              <w:rPr>
                <w:rFonts w:ascii="Cambria Math" w:hAnsi="Cambria Math" w:cs="Times New Roman"/>
              </w:rPr>
            </m:ctrlPr>
          </m:sSubPr>
          <m:e>
            <m:r>
              <m:rPr>
                <m:nor/>
              </m:rPr>
              <w:rPr>
                <w:rFonts w:ascii="Cambria Math" w:hAnsi="Cambria Math" w:cs="Times New Roman"/>
              </w:rPr>
              <m:t>Post</m:t>
            </m:r>
          </m:e>
          <m:sub>
            <m:r>
              <w:rPr>
                <w:rFonts w:ascii="Cambria Math" w:hAnsi="Cambria Math" w:cs="Times New Roman"/>
              </w:rPr>
              <m:t>t</m:t>
            </m:r>
          </m:sub>
        </m:sSub>
      </m:oMath>
      <w:r w:rsidRPr="007A1B5D">
        <w:rPr>
          <w:rFonts w:ascii="Times New Roman" w:hAnsi="Times New Roman" w:cs="Times New Roman"/>
        </w:rPr>
        <w:t xml:space="preserve"> an indicator variable that equals 1 if time </w:t>
      </w:r>
      <m:oMath>
        <m:r>
          <m:rPr>
            <m:sty m:val="p"/>
          </m:rPr>
          <w:rPr>
            <w:rFonts w:ascii="Cambria Math" w:hAnsi="Cambria Math" w:cs="Times New Roman"/>
          </w:rPr>
          <m:t>t</m:t>
        </m:r>
      </m:oMath>
      <w:r w:rsidRPr="007A1B5D">
        <w:rPr>
          <w:rFonts w:ascii="Times New Roman" w:hAnsi="Times New Roman" w:cs="Times New Roman"/>
        </w:rPr>
        <w:t xml:space="preserve"> is after the treatment, and 0 otherwise, </w:t>
      </w:r>
      <m:oMath>
        <m:sSub>
          <m:sSubPr>
            <m:ctrlPr>
              <w:rPr>
                <w:rFonts w:ascii="Cambria Math" w:hAnsi="Cambria Math" w:cs="Times New Roman"/>
              </w:rPr>
            </m:ctrlPr>
          </m:sSubPr>
          <m:e>
            <m:r>
              <m:rPr>
                <m:nor/>
              </m:rPr>
              <w:rPr>
                <w:rFonts w:ascii="Cambria Math" w:hAnsi="Cambria Math" w:cs="Times New Roman"/>
              </w:rPr>
              <m:t>Treat</m:t>
            </m:r>
          </m:e>
          <m:sub>
            <m:r>
              <w:rPr>
                <w:rFonts w:ascii="Cambria Math" w:hAnsi="Cambria Math" w:cs="Times New Roman"/>
              </w:rPr>
              <m:t>i</m:t>
            </m:r>
          </m:sub>
        </m:sSub>
      </m:oMath>
      <w:r w:rsidRPr="007A1B5D">
        <w:rPr>
          <w:rFonts w:ascii="Times New Roman" w:hAnsi="Times New Roman" w:cs="Times New Roman"/>
        </w:rPr>
        <w:t xml:space="preserve"> an indicator variable that equals 1 if unit </w:t>
      </w:r>
      <m:oMath>
        <m:r>
          <m:rPr>
            <m:sty m:val="p"/>
          </m:rPr>
          <w:rPr>
            <w:rFonts w:ascii="Cambria Math" w:hAnsi="Cambria Math" w:cs="Times New Roman"/>
          </w:rPr>
          <m:t>i</m:t>
        </m:r>
      </m:oMath>
      <w:r w:rsidRPr="007A1B5D">
        <w:rPr>
          <w:rFonts w:ascii="Times New Roman" w:hAnsi="Times New Roman" w:cs="Times New Roman"/>
        </w:rPr>
        <w:t xml:space="preserve"> is in the treatment group, and 0 otherwise, </w:t>
      </w:r>
      <m:oMath>
        <m:r>
          <m:rPr>
            <m:sty m:val="p"/>
          </m:rPr>
          <w:rPr>
            <w:rFonts w:ascii="Cambria Math" w:hAnsi="Cambria Math" w:cs="Times New Roman"/>
          </w:rPr>
          <m:t>δ</m:t>
        </m:r>
      </m:oMath>
      <w:r w:rsidRPr="007A1B5D">
        <w:rPr>
          <w:rFonts w:ascii="Times New Roman" w:hAnsi="Times New Roman" w:cs="Times New Roman"/>
        </w:rPr>
        <w:t xml:space="preserve"> is the DiD estimator (treatment effect), and </w:t>
      </w:r>
      <m:oMath>
        <m:sSub>
          <m:sSubPr>
            <m:ctrlPr>
              <w:rPr>
                <w:rFonts w:ascii="Cambria Math" w:hAnsi="Cambria Math" w:cs="Times New Roman"/>
              </w:rPr>
            </m:ctrlPr>
          </m:sSubPr>
          <m:e>
            <m:r>
              <m:rPr>
                <m:sty m:val="p"/>
              </m:rPr>
              <w:rPr>
                <w:rFonts w:ascii="Cambria Math" w:hAnsi="Cambria Math" w:cs="Times New Roman"/>
              </w:rPr>
              <m:t>ϵ</m:t>
            </m:r>
          </m:e>
          <m:sub>
            <m:r>
              <w:rPr>
                <w:rFonts w:ascii="Cambria Math" w:hAnsi="Cambria Math" w:cs="Times New Roman"/>
              </w:rPr>
              <m:t>it</m:t>
            </m:r>
          </m:sub>
        </m:sSub>
      </m:oMath>
      <w:r w:rsidRPr="007A1B5D">
        <w:rPr>
          <w:rFonts w:ascii="Times New Roman" w:hAnsi="Times New Roman" w:cs="Times New Roman"/>
        </w:rPr>
        <w:t xml:space="preserve"> the error term.</w:t>
      </w:r>
    </w:p>
    <w:p w14:paraId="4027F4DC" w14:textId="77777777" w:rsidR="007A1B5D" w:rsidRPr="007A1B5D" w:rsidRDefault="007A1B5D" w:rsidP="00B83798">
      <w:pPr>
        <w:pStyle w:val="BodyText"/>
        <w:spacing w:line="360" w:lineRule="auto"/>
        <w:ind w:firstLine="708"/>
        <w:jc w:val="both"/>
      </w:pPr>
      <w:r w:rsidRPr="007A1B5D">
        <w:t xml:space="preserve">Under the same conditions, this regression delivers the same </w:t>
      </w:r>
      <w:proofErr w:type="spellStart"/>
      <w:r w:rsidRPr="007A1B5D">
        <w:t>estimand</w:t>
      </w:r>
      <w:proofErr w:type="spellEnd"/>
      <w:r w:rsidRPr="007A1B5D">
        <w:t xml:space="preserve"> as the difference in differences formula.</w:t>
      </w:r>
    </w:p>
    <w:p w14:paraId="57E97C34" w14:textId="0C78EBFD" w:rsidR="007A1B5D" w:rsidRPr="00BF697B" w:rsidRDefault="00CC5F82" w:rsidP="00BF697B">
      <w:pPr>
        <w:pStyle w:val="Heading3"/>
      </w:pPr>
      <w:bookmarkStart w:id="9" w:name="_Toc227873374"/>
      <w:bookmarkEnd w:id="8"/>
      <w:r w:rsidRPr="00BF697B">
        <w:t xml:space="preserve">2.1.2. </w:t>
      </w:r>
      <w:r w:rsidR="007A1B5D" w:rsidRPr="00BF697B">
        <w:t>Assumptions</w:t>
      </w:r>
      <w:bookmarkEnd w:id="9"/>
    </w:p>
    <w:p w14:paraId="334EC064"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Next, the identifying requirement is stated and illustrated through an algebraic decomposition and parallel trends plots.</w:t>
      </w:r>
    </w:p>
    <w:p w14:paraId="6F378C93" w14:textId="77777777" w:rsidR="007A1B5D" w:rsidRPr="007A1B5D" w:rsidRDefault="007A1B5D" w:rsidP="00B83798">
      <w:pPr>
        <w:pStyle w:val="BodyText"/>
        <w:spacing w:line="360" w:lineRule="auto"/>
        <w:ind w:firstLine="708"/>
        <w:jc w:val="both"/>
      </w:pPr>
      <w:r w:rsidRPr="007A1B5D">
        <w:t xml:space="preserve">The main identifying assumption of </w:t>
      </w:r>
      <w:proofErr w:type="spellStart"/>
      <w:r w:rsidRPr="007A1B5D">
        <w:t>DiD</w:t>
      </w:r>
      <w:proofErr w:type="spellEnd"/>
      <w:r w:rsidRPr="007A1B5D">
        <w:t xml:space="preserve"> is the parallel trends assumption: in the absence of treatment, the average change in the outcome would have been the same for both groups. If this assumption holds, the </w:t>
      </w:r>
      <w:proofErr w:type="spellStart"/>
      <w:r w:rsidRPr="007A1B5D">
        <w:t>DiD</w:t>
      </w:r>
      <w:proofErr w:type="spellEnd"/>
      <w:r w:rsidRPr="007A1B5D">
        <w:t xml:space="preserve"> estimator provides an unbiased estimate of the treatment effect.</w:t>
      </w:r>
    </w:p>
    <w:p w14:paraId="4118D1D9" w14:textId="77777777" w:rsidR="007A1B5D" w:rsidRPr="007A1B5D" w:rsidRDefault="007A1B5D" w:rsidP="00B83798">
      <w:pPr>
        <w:pStyle w:val="BodyText"/>
        <w:spacing w:line="360" w:lineRule="auto"/>
        <w:ind w:firstLine="708"/>
        <w:jc w:val="both"/>
      </w:pPr>
      <w:r w:rsidRPr="007A1B5D">
        <w:t xml:space="preserve">A nice way to see this is by working with the </w:t>
      </w:r>
      <w:proofErr w:type="spellStart"/>
      <w:r w:rsidRPr="007A1B5D">
        <w:t>DiD</w:t>
      </w:r>
      <w:proofErr w:type="spellEnd"/>
      <w:r w:rsidRPr="007A1B5D">
        <w:t xml:space="preserve"> estimator, expanding it to</w:t>
      </w:r>
    </w:p>
    <w:bookmarkStart w:id="10" w:name="assumptions"/>
    <w:p w14:paraId="64F04C16" w14:textId="7C5E06CB" w:rsidR="007E6793" w:rsidRPr="007E6793" w:rsidRDefault="00000000" w:rsidP="007A1B5D">
      <w:pPr>
        <w:pStyle w:val="BodyText"/>
        <w:spacing w:line="360" w:lineRule="auto"/>
        <w:jc w:val="both"/>
      </w:pPr>
      <m:oMathPara>
        <m:oMath>
          <m:eqArr>
            <m:eqArrPr>
              <m:maxDist m:val="1"/>
              <m:ctrlPr>
                <w:rPr>
                  <w:rFonts w:ascii="Cambria Math" w:hAnsi="Cambria Math"/>
                  <w:i/>
                </w:rPr>
              </m:ctrlPr>
            </m:eqArrPr>
            <m:e>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ctrlPr>
                    <w:rPr>
                      <w:rFonts w:ascii="Cambria Math" w:hAnsi="Cambria Math"/>
                      <w:i/>
                    </w:rPr>
                  </m:ctrlPr>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d>
                <m:dPr>
                  <m:ctrlPr>
                    <w:rPr>
                      <w:rFonts w:ascii="Cambria Math" w:hAnsi="Cambria Math"/>
                    </w:rPr>
                  </m:ctrlPr>
                </m:dPr>
                <m:e>
                  <m:r>
                    <m:rPr>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t</m:t>
                          </m:r>
                        </m:sup>
                      </m:sSup>
                    </m:e>
                    <m:e>
                      <m:r>
                        <m:rPr>
                          <m:sty m:val="p"/>
                        </m:rPr>
                        <w:rPr>
                          <w:rFonts w:ascii="Cambria Math" w:hAnsi="Cambria Math"/>
                        </w:rPr>
                        <m:t>post</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t</m:t>
                          </m:r>
                        </m:sup>
                      </m:sSup>
                    </m:e>
                    <m:e>
                      <m:r>
                        <w:rPr>
                          <w:rFonts w:ascii="Cambria Math" w:hAnsi="Cambria Math"/>
                        </w:rPr>
                        <m:t>pre</m:t>
                      </m:r>
                    </m:e>
                  </m:d>
                </m:e>
              </m:d>
              <m:r>
                <m:rPr>
                  <m:sty m:val="p"/>
                </m:rPr>
                <w:rPr>
                  <w:rFonts w:ascii="Cambria Math" w:hAnsi="Cambria Math"/>
                </w:rPr>
                <m:t>-</m:t>
              </m:r>
              <m:d>
                <m:dPr>
                  <m:ctrlPr>
                    <w:rPr>
                      <w:rFonts w:ascii="Cambria Math" w:hAnsi="Cambria Math"/>
                    </w:rPr>
                  </m:ctrlPr>
                </m:dPr>
                <m:e>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c</m:t>
                          </m:r>
                        </m:sup>
                      </m:sSup>
                    </m:e>
                    <m:e>
                      <m:r>
                        <w:rPr>
                          <w:rFonts w:ascii="Cambria Math" w:hAnsi="Cambria Math"/>
                        </w:rPr>
                        <m:t>post</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c</m:t>
                          </m:r>
                        </m:sup>
                      </m:sSup>
                    </m:e>
                    <m:e>
                      <m:r>
                        <w:rPr>
                          <w:rFonts w:ascii="Cambria Math" w:hAnsi="Cambria Math"/>
                        </w:rPr>
                        <m:t>pre</m:t>
                      </m:r>
                    </m:e>
                  </m:d>
                </m:e>
              </m:d>
              <m:r>
                <w:rPr>
                  <w:rFonts w:ascii="Cambria Math" w:hAnsi="Cambria Math"/>
                </w:rPr>
                <m:t>#</m:t>
              </m:r>
              <m:d>
                <m:dPr>
                  <m:ctrlPr>
                    <w:rPr>
                      <w:rFonts w:ascii="Cambria Math" w:hAnsi="Cambria Math"/>
                      <w:i/>
                    </w:rPr>
                  </m:ctrlPr>
                </m:dPr>
                <m:e>
                  <m:r>
                    <w:rPr>
                      <w:rFonts w:ascii="Cambria Math" w:hAnsi="Cambria Math"/>
                    </w:rPr>
                    <m:t>2.4</m:t>
                  </m:r>
                </m:e>
              </m:d>
            </m:e>
          </m:eqArr>
        </m:oMath>
      </m:oMathPara>
    </w:p>
    <w:p w14:paraId="12DDA87D" w14:textId="7301DDB5"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lastRenderedPageBreak/>
        <w:t>a</w:t>
      </w:r>
      <w:r w:rsidR="007A1B5D" w:rsidRPr="007A1B5D">
        <w:rPr>
          <w:rFonts w:ascii="Times New Roman" w:hAnsi="Times New Roman" w:cs="Times New Roman"/>
        </w:rPr>
        <w:t>fter some algebra, the following expression is obtained:</w:t>
      </w:r>
    </w:p>
    <w:p w14:paraId="0423C83F" w14:textId="4FF775C5" w:rsidR="00B83798" w:rsidRPr="00B83798"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eqArr>
                <m:eqArrPr>
                  <m:ctrlPr>
                    <w:rPr>
                      <w:rFonts w:ascii="Cambria Math" w:hAnsi="Cambria Math"/>
                    </w:rPr>
                  </m:ctrlPr>
                </m:eqArrPr>
                <m:e>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 xml:space="preserve">]) </m:t>
                  </m:r>
                  <m: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 #</m:t>
                  </m:r>
                </m:e>
              </m:eqArr>
              <m:r>
                <w:rPr>
                  <w:rFonts w:ascii="Cambria Math" w:hAnsi="Cambria Math"/>
                </w:rPr>
                <m:t>#</m:t>
              </m:r>
              <m:d>
                <m:dPr>
                  <m:ctrlPr>
                    <w:rPr>
                      <w:rFonts w:ascii="Cambria Math" w:hAnsi="Cambria Math"/>
                      <w:i/>
                    </w:rPr>
                  </m:ctrlPr>
                </m:dPr>
                <m:e>
                  <m:r>
                    <w:rPr>
                      <w:rFonts w:ascii="Cambria Math" w:hAnsi="Cambria Math"/>
                    </w:rPr>
                    <m:t>2.5</m:t>
                  </m:r>
                </m:e>
              </m:d>
            </m:e>
          </m:eqArr>
        </m:oMath>
      </m:oMathPara>
    </w:p>
    <w:p w14:paraId="6F321AC9" w14:textId="4FBAE05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In this decomposition, the first term corresponds to the ATT estimator. Please note that the superscripts denote whether the group corresponds to the treated (</w:t>
      </w:r>
      <m:oMath>
        <m:r>
          <m:rPr>
            <m:sty m:val="p"/>
          </m:rPr>
          <w:rPr>
            <w:rFonts w:ascii="Cambria Math" w:hAnsi="Cambria Math" w:cs="Times New Roman"/>
          </w:rPr>
          <m:t>t</m:t>
        </m:r>
      </m:oMath>
      <w:r w:rsidRPr="007A1B5D">
        <w:rPr>
          <w:rFonts w:ascii="Times New Roman" w:hAnsi="Times New Roman" w:cs="Times New Roman"/>
        </w:rPr>
        <w:t>) or control (</w:t>
      </w:r>
      <m:oMath>
        <m:r>
          <m:rPr>
            <m:sty m:val="p"/>
          </m:rPr>
          <w:rPr>
            <w:rFonts w:ascii="Cambria Math" w:hAnsi="Cambria Math" w:cs="Times New Roman"/>
          </w:rPr>
          <m:t>c</m:t>
        </m:r>
      </m:oMath>
      <w:r w:rsidRPr="007A1B5D">
        <w:rPr>
          <w:rFonts w:ascii="Times New Roman" w:hAnsi="Times New Roman" w:cs="Times New Roman"/>
        </w:rPr>
        <w:t>), and whether it was treated (1) or not (0).</w:t>
      </w:r>
    </w:p>
    <w:p w14:paraId="703A8EAC" w14:textId="77777777" w:rsidR="007A1B5D" w:rsidRPr="007A1B5D" w:rsidRDefault="007A1B5D" w:rsidP="00B83798">
      <w:pPr>
        <w:pStyle w:val="BodyText"/>
        <w:spacing w:line="360" w:lineRule="auto"/>
        <w:ind w:firstLine="708"/>
        <w:jc w:val="both"/>
      </w:pPr>
      <w:r w:rsidRPr="007A1B5D">
        <w:t>But the second and third terms cancel out if the parallel trends assumption holds, basically because if the group that received the treatment and the group that didn’t receive the treatment would both behave the same in the absence of treatment, then both would be equal before and after the treatment. So, the terms would cancel out, and only the ATT would remain.</w:t>
      </w:r>
    </w:p>
    <w:p w14:paraId="11804DDB" w14:textId="77777777" w:rsidR="007A1B5D" w:rsidRPr="007A1B5D" w:rsidRDefault="007A1B5D" w:rsidP="00B83798">
      <w:pPr>
        <w:pStyle w:val="BodyText"/>
        <w:spacing w:line="360" w:lineRule="auto"/>
        <w:ind w:firstLine="708"/>
        <w:jc w:val="both"/>
      </w:pPr>
      <w:r w:rsidRPr="007A1B5D">
        <w:t>When pretreatment trends are parallel, the remaining terms cancel, and the estimator recovers the Average Treatment Effect on the Treated.</w:t>
      </w:r>
    </w:p>
    <w:p w14:paraId="0237774B" w14:textId="77777777" w:rsidR="007A1B5D" w:rsidRPr="007A1B5D" w:rsidRDefault="007A1B5D" w:rsidP="00B83798">
      <w:pPr>
        <w:pStyle w:val="BodyText"/>
        <w:spacing w:line="360" w:lineRule="auto"/>
        <w:ind w:firstLine="708"/>
        <w:jc w:val="both"/>
      </w:pPr>
      <w:r w:rsidRPr="007A1B5D">
        <w:t>A popular way to validate this assumption is to use a parallel trend plot. This visualization allows for the evaluation of how the dependent variable evolves for the control and treatment groups before and after the treatment. An example with simulated data can be found in Figure (1), where both control and treatment units behave similarly before the treatment (denoted by a vertical red dotted line) but differ after it.</w:t>
      </w:r>
    </w:p>
    <w:p w14:paraId="6F33F453" w14:textId="77777777" w:rsidR="007D6ADF" w:rsidRDefault="007A1B5D" w:rsidP="007D6ADF">
      <w:pPr>
        <w:pStyle w:val="CaptionedFigure"/>
        <w:keepNext/>
        <w:spacing w:line="360" w:lineRule="auto"/>
        <w:jc w:val="both"/>
      </w:pPr>
      <w:r w:rsidRPr="007A1B5D">
        <w:rPr>
          <w:rFonts w:ascii="Times New Roman" w:hAnsi="Times New Roman" w:cs="Times New Roman"/>
          <w:noProof/>
        </w:rPr>
        <w:lastRenderedPageBreak/>
        <w:drawing>
          <wp:inline distT="0" distB="0" distL="0" distR="0" wp14:anchorId="749AB920" wp14:editId="6EBD0851">
            <wp:extent cx="5334000" cy="2667000"/>
            <wp:effectExtent l="0" t="0" r="0" b="0"/>
            <wp:docPr id="21" name="Picture" descr="Parallel trends example: control and treatment groups follow similar trends before treatment."/>
            <wp:cNvGraphicFramePr/>
            <a:graphic xmlns:a="http://schemas.openxmlformats.org/drawingml/2006/main">
              <a:graphicData uri="http://schemas.openxmlformats.org/drawingml/2006/picture">
                <pic:pic xmlns:pic="http://schemas.openxmlformats.org/drawingml/2006/picture">
                  <pic:nvPicPr>
                    <pic:cNvPr id="22" name="Picture" descr="./images/sim_parallel_trends.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24E83C95" w14:textId="4CB24569" w:rsidR="007A1B5D" w:rsidRPr="007D6ADF" w:rsidRDefault="007D6ADF" w:rsidP="007D6ADF">
      <w:pPr>
        <w:pStyle w:val="Caption"/>
        <w:jc w:val="center"/>
        <w:rPr>
          <w:rFonts w:ascii="Times New Roman" w:hAnsi="Times New Roman" w:cs="Times New Roman"/>
          <w:sz w:val="18"/>
          <w:szCs w:val="18"/>
        </w:rPr>
      </w:pPr>
      <w:r w:rsidRPr="007D6ADF">
        <w:rPr>
          <w:rFonts w:ascii="Times New Roman" w:hAnsi="Times New Roman" w:cs="Times New Roman"/>
          <w:sz w:val="18"/>
          <w:szCs w:val="18"/>
        </w:rPr>
        <w:t xml:space="preserve">Figure </w:t>
      </w:r>
      <w:r w:rsidRPr="007D6ADF">
        <w:rPr>
          <w:rFonts w:ascii="Times New Roman" w:hAnsi="Times New Roman" w:cs="Times New Roman"/>
          <w:sz w:val="18"/>
          <w:szCs w:val="18"/>
        </w:rPr>
        <w:fldChar w:fldCharType="begin"/>
      </w:r>
      <w:r w:rsidRPr="007D6ADF">
        <w:rPr>
          <w:rFonts w:ascii="Times New Roman" w:hAnsi="Times New Roman" w:cs="Times New Roman"/>
          <w:sz w:val="18"/>
          <w:szCs w:val="18"/>
        </w:rPr>
        <w:instrText xml:space="preserve"> SEQ Figure \* ARABIC </w:instrText>
      </w:r>
      <w:r w:rsidRPr="007D6ADF">
        <w:rPr>
          <w:rFonts w:ascii="Times New Roman" w:hAnsi="Times New Roman" w:cs="Times New Roman"/>
          <w:sz w:val="18"/>
          <w:szCs w:val="18"/>
        </w:rPr>
        <w:fldChar w:fldCharType="separate"/>
      </w:r>
      <w:r w:rsidR="002A0A11">
        <w:rPr>
          <w:rFonts w:ascii="Times New Roman" w:hAnsi="Times New Roman" w:cs="Times New Roman"/>
          <w:noProof/>
          <w:sz w:val="18"/>
          <w:szCs w:val="18"/>
        </w:rPr>
        <w:t>1</w:t>
      </w:r>
      <w:r w:rsidRPr="007D6ADF">
        <w:rPr>
          <w:rFonts w:ascii="Times New Roman" w:hAnsi="Times New Roman" w:cs="Times New Roman"/>
          <w:sz w:val="18"/>
          <w:szCs w:val="18"/>
        </w:rPr>
        <w:fldChar w:fldCharType="end"/>
      </w:r>
      <w:r w:rsidRPr="007D6ADF">
        <w:rPr>
          <w:rFonts w:ascii="Times New Roman" w:hAnsi="Times New Roman" w:cs="Times New Roman"/>
          <w:sz w:val="18"/>
          <w:szCs w:val="18"/>
        </w:rPr>
        <w:t>: Parallel trends example: control and treatment groups follow similar trends before treatment.</w:t>
      </w:r>
    </w:p>
    <w:p w14:paraId="60509E87" w14:textId="77777777" w:rsidR="007A1B5D" w:rsidRPr="007A1B5D" w:rsidRDefault="007A1B5D" w:rsidP="00B83798">
      <w:pPr>
        <w:pStyle w:val="BodyText"/>
        <w:spacing w:line="360" w:lineRule="auto"/>
        <w:ind w:firstLine="708"/>
        <w:jc w:val="both"/>
      </w:pPr>
      <w:r w:rsidRPr="007A1B5D">
        <w:t>On the other hand, Figure (2) is an example of a plot where the assumption does not hold, because the trends for the two groups are not parallel before the treatment, meaning that the groups are not comparable.</w:t>
      </w:r>
    </w:p>
    <w:p w14:paraId="05BCD043" w14:textId="77777777" w:rsidR="007D6ADF" w:rsidRDefault="007A1B5D" w:rsidP="007D6ADF">
      <w:pPr>
        <w:pStyle w:val="CaptionedFigure"/>
        <w:keepNext/>
        <w:spacing w:line="360" w:lineRule="auto"/>
        <w:jc w:val="both"/>
      </w:pPr>
      <w:r w:rsidRPr="007A1B5D">
        <w:rPr>
          <w:rFonts w:ascii="Times New Roman" w:hAnsi="Times New Roman" w:cs="Times New Roman"/>
          <w:noProof/>
        </w:rPr>
        <w:drawing>
          <wp:inline distT="0" distB="0" distL="0" distR="0" wp14:anchorId="64F509D4" wp14:editId="2786F457">
            <wp:extent cx="5334000" cy="2667000"/>
            <wp:effectExtent l="0" t="0" r="0" b="0"/>
            <wp:docPr id="24" name="Picture" descr="Violation of parallel trends: groups show different pre-treatment trends."/>
            <wp:cNvGraphicFramePr/>
            <a:graphic xmlns:a="http://schemas.openxmlformats.org/drawingml/2006/main">
              <a:graphicData uri="http://schemas.openxmlformats.org/drawingml/2006/picture">
                <pic:pic xmlns:pic="http://schemas.openxmlformats.org/drawingml/2006/picture">
                  <pic:nvPicPr>
                    <pic:cNvPr id="25" name="Picture" descr="./images/sim_not_parallel_trends.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0FDE9436" w14:textId="6D6A13FA" w:rsidR="007A1B5D" w:rsidRPr="007D6ADF" w:rsidRDefault="007D6ADF" w:rsidP="007D6ADF">
      <w:pPr>
        <w:pStyle w:val="Caption"/>
        <w:jc w:val="center"/>
        <w:rPr>
          <w:rFonts w:ascii="Times New Roman" w:hAnsi="Times New Roman" w:cs="Times New Roman"/>
          <w:sz w:val="18"/>
          <w:szCs w:val="18"/>
        </w:rPr>
      </w:pPr>
      <w:r w:rsidRPr="007D6ADF">
        <w:rPr>
          <w:rFonts w:ascii="Times New Roman" w:hAnsi="Times New Roman" w:cs="Times New Roman"/>
          <w:sz w:val="18"/>
          <w:szCs w:val="18"/>
        </w:rPr>
        <w:t xml:space="preserve">Figure </w:t>
      </w:r>
      <w:r w:rsidRPr="007D6ADF">
        <w:rPr>
          <w:rFonts w:ascii="Times New Roman" w:hAnsi="Times New Roman" w:cs="Times New Roman"/>
          <w:sz w:val="18"/>
          <w:szCs w:val="18"/>
        </w:rPr>
        <w:fldChar w:fldCharType="begin"/>
      </w:r>
      <w:r w:rsidRPr="007D6ADF">
        <w:rPr>
          <w:rFonts w:ascii="Times New Roman" w:hAnsi="Times New Roman" w:cs="Times New Roman"/>
          <w:sz w:val="18"/>
          <w:szCs w:val="18"/>
        </w:rPr>
        <w:instrText xml:space="preserve"> SEQ Figure \* ARABIC </w:instrText>
      </w:r>
      <w:r w:rsidRPr="007D6ADF">
        <w:rPr>
          <w:rFonts w:ascii="Times New Roman" w:hAnsi="Times New Roman" w:cs="Times New Roman"/>
          <w:sz w:val="18"/>
          <w:szCs w:val="18"/>
        </w:rPr>
        <w:fldChar w:fldCharType="separate"/>
      </w:r>
      <w:r w:rsidR="002A0A11">
        <w:rPr>
          <w:rFonts w:ascii="Times New Roman" w:hAnsi="Times New Roman" w:cs="Times New Roman"/>
          <w:noProof/>
          <w:sz w:val="18"/>
          <w:szCs w:val="18"/>
        </w:rPr>
        <w:t>2</w:t>
      </w:r>
      <w:r w:rsidRPr="007D6ADF">
        <w:rPr>
          <w:rFonts w:ascii="Times New Roman" w:hAnsi="Times New Roman" w:cs="Times New Roman"/>
          <w:sz w:val="18"/>
          <w:szCs w:val="18"/>
        </w:rPr>
        <w:fldChar w:fldCharType="end"/>
      </w:r>
      <w:r w:rsidRPr="007D6ADF">
        <w:rPr>
          <w:rFonts w:ascii="Times New Roman" w:hAnsi="Times New Roman" w:cs="Times New Roman"/>
          <w:sz w:val="18"/>
          <w:szCs w:val="18"/>
        </w:rPr>
        <w:t>: Violation of parallel trends: groups show different pre-treatment trends.</w:t>
      </w:r>
    </w:p>
    <w:p w14:paraId="3DD1B15D" w14:textId="363A0C60" w:rsidR="007A1B5D" w:rsidRPr="00385CC7" w:rsidRDefault="00CC5F82" w:rsidP="00EB6242">
      <w:pPr>
        <w:pStyle w:val="Heading2"/>
      </w:pPr>
      <w:bookmarkStart w:id="11" w:name="_Toc227873375"/>
      <w:bookmarkStart w:id="12" w:name="extension-staggered-did"/>
      <w:bookmarkEnd w:id="6"/>
      <w:bookmarkEnd w:id="10"/>
      <w:r w:rsidRPr="00385CC7">
        <w:t xml:space="preserve">2.2. </w:t>
      </w:r>
      <w:r w:rsidR="007A1B5D" w:rsidRPr="00385CC7">
        <w:t xml:space="preserve">Extension: Staggered </w:t>
      </w:r>
      <w:proofErr w:type="spellStart"/>
      <w:r w:rsidR="007A1B5D" w:rsidRPr="00385CC7">
        <w:t>DiD</w:t>
      </w:r>
      <w:bookmarkEnd w:id="11"/>
      <w:proofErr w:type="spellEnd"/>
    </w:p>
    <w:p w14:paraId="308E168D" w14:textId="1B03F8ED"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Staggered adoption complicates identification and motivates alternative estimators. This section begins with the standard two-way fixed effects specification and then summarizes recent advances that address its limitations.</w:t>
      </w:r>
    </w:p>
    <w:p w14:paraId="5603E9ED" w14:textId="77777777" w:rsidR="007A1B5D" w:rsidRPr="007A1B5D" w:rsidRDefault="007A1B5D" w:rsidP="00B83798">
      <w:pPr>
        <w:pStyle w:val="BodyText"/>
        <w:spacing w:line="360" w:lineRule="auto"/>
        <w:ind w:firstLine="708"/>
        <w:jc w:val="both"/>
      </w:pPr>
      <w:r w:rsidRPr="007A1B5D">
        <w:lastRenderedPageBreak/>
        <w:t xml:space="preserve">In many empirical applications, treatments are not implemented at the same time for all treated units. Instead, different units receive the treatment at different points in time; a situation known as staggered adoption. The standard two-period </w:t>
      </w:r>
      <w:proofErr w:type="spellStart"/>
      <w:r w:rsidRPr="007A1B5D">
        <w:t>DiD</w:t>
      </w:r>
      <w:proofErr w:type="spellEnd"/>
      <w:r w:rsidRPr="007A1B5D">
        <w:t xml:space="preserve"> framework does not account for this complexity, so extensions are needed.</w:t>
      </w:r>
    </w:p>
    <w:p w14:paraId="6F32069B" w14:textId="5DEA253D" w:rsidR="007A1B5D" w:rsidRPr="00CC5F82" w:rsidRDefault="00CC5F82" w:rsidP="00BF697B">
      <w:pPr>
        <w:pStyle w:val="Heading3"/>
      </w:pPr>
      <w:bookmarkStart w:id="13" w:name="_Toc227873376"/>
      <w:bookmarkStart w:id="14" w:name="estimation-1"/>
      <w:r>
        <w:t xml:space="preserve">2.2.1. </w:t>
      </w:r>
      <w:r w:rsidR="007A1B5D" w:rsidRPr="00CC5F82">
        <w:t>Estimation</w:t>
      </w:r>
      <w:bookmarkEnd w:id="13"/>
    </w:p>
    <w:p w14:paraId="0CCE5008" w14:textId="7D9F4981" w:rsidR="007A1B5D" w:rsidRPr="007A1B5D" w:rsidRDefault="007A1B5D" w:rsidP="00247F2B">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two-way fixed effects regression is commonly used for staggered adoption panels.</w:t>
      </w:r>
      <w:r w:rsidR="00247F2B">
        <w:rPr>
          <w:rFonts w:ascii="Times New Roman" w:hAnsi="Times New Roman" w:cs="Times New Roman"/>
        </w:rPr>
        <w:t xml:space="preserve"> </w:t>
      </w:r>
      <w:r w:rsidRPr="007A1B5D">
        <w:rPr>
          <w:rFonts w:ascii="Times New Roman" w:hAnsi="Times New Roman" w:cs="Times New Roman"/>
        </w:rPr>
        <w:t>A common approach is to use a two-way fixed effects (TWFE) regression:</w:t>
      </w:r>
    </w:p>
    <w:p w14:paraId="61E1042B" w14:textId="4177821C" w:rsidR="007A1B5D" w:rsidRPr="00DC6026" w:rsidRDefault="00000000" w:rsidP="007A1B5D">
      <w:pPr>
        <w:pStyle w:val="BodyText"/>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+δ</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2.6</m:t>
                  </m:r>
                </m:e>
              </m:d>
            </m:e>
          </m:eqArr>
        </m:oMath>
      </m:oMathPara>
    </w:p>
    <w:p w14:paraId="1069C77B" w14:textId="0CFB1183" w:rsidR="007A1B5D" w:rsidRPr="007A1B5D" w:rsidRDefault="007A1B5D" w:rsidP="00247F2B">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is the outcome for unit </w:t>
      </w:r>
      <m:oMath>
        <m:r>
          <m:rPr>
            <m:sty m:val="p"/>
          </m:rPr>
          <w:rPr>
            <w:rFonts w:ascii="Cambria Math" w:hAnsi="Cambria Math" w:cs="Times New Roman"/>
          </w:rPr>
          <m:t>i</m:t>
        </m:r>
      </m:oMath>
      <w:r w:rsidRPr="007A1B5D">
        <w:rPr>
          <w:rFonts w:ascii="Times New Roman" w:hAnsi="Times New Roman" w:cs="Times New Roman"/>
        </w:rPr>
        <w:t xml:space="preserve"> at time </w:t>
      </w:r>
      <m:oMath>
        <m:r>
          <m:rPr>
            <m:sty m:val="p"/>
          </m:rPr>
          <w:rPr>
            <w:rFonts w:ascii="Cambria Math" w:hAnsi="Cambria Math" w:cs="Times New Roman"/>
          </w:rPr>
          <m:t>t</m:t>
        </m:r>
      </m:oMath>
      <w:r w:rsidRPr="007A1B5D">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α</m:t>
            </m:r>
          </m:e>
          <m:sub>
            <m:r>
              <w:rPr>
                <w:rFonts w:ascii="Cambria Math" w:hAnsi="Cambria Math" w:cs="Times New Roman"/>
              </w:rPr>
              <m:t>i</m:t>
            </m:r>
          </m:sub>
        </m:sSub>
      </m:oMath>
      <w:r w:rsidRPr="007A1B5D">
        <w:rPr>
          <w:rFonts w:ascii="Times New Roman" w:hAnsi="Times New Roman" w:cs="Times New Roman"/>
        </w:rPr>
        <w:t xml:space="preserve"> are unit fixed effects, </w:t>
      </w:r>
      <m:oMath>
        <m:sSub>
          <m:sSubPr>
            <m:ctrlPr>
              <w:rPr>
                <w:rFonts w:ascii="Cambria Math" w:hAnsi="Cambria Math" w:cs="Times New Roman"/>
              </w:rPr>
            </m:ctrlPr>
          </m:sSubPr>
          <m:e>
            <m:r>
              <m:rPr>
                <m:sty m:val="p"/>
              </m:rPr>
              <w:rPr>
                <w:rFonts w:ascii="Cambria Math" w:hAnsi="Cambria Math" w:cs="Times New Roman"/>
              </w:rPr>
              <m:t>λ</m:t>
            </m:r>
          </m:e>
          <m:sub>
            <m:r>
              <w:rPr>
                <w:rFonts w:ascii="Cambria Math" w:hAnsi="Cambria Math" w:cs="Times New Roman"/>
              </w:rPr>
              <m:t>t</m:t>
            </m:r>
          </m:sub>
        </m:sSub>
      </m:oMath>
      <w:r w:rsidRPr="007A1B5D">
        <w:rPr>
          <w:rFonts w:ascii="Times New Roman" w:hAnsi="Times New Roman" w:cs="Times New Roman"/>
        </w:rPr>
        <w:t xml:space="preserve"> are time fixed effects, </w:t>
      </w:r>
      <m:oMath>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is an indicator for whether unit </w:t>
      </w:r>
      <m:oMath>
        <m:r>
          <m:rPr>
            <m:sty m:val="p"/>
          </m:rPr>
          <w:rPr>
            <w:rFonts w:ascii="Cambria Math" w:hAnsi="Cambria Math" w:cs="Times New Roman"/>
          </w:rPr>
          <m:t>i</m:t>
        </m:r>
      </m:oMath>
      <w:r w:rsidRPr="007A1B5D">
        <w:rPr>
          <w:rFonts w:ascii="Times New Roman" w:hAnsi="Times New Roman" w:cs="Times New Roman"/>
        </w:rPr>
        <w:t xml:space="preserve"> is treated at time </w:t>
      </w:r>
      <m:oMath>
        <m:r>
          <m:rPr>
            <m:sty m:val="p"/>
          </m:rPr>
          <w:rPr>
            <w:rFonts w:ascii="Cambria Math" w:hAnsi="Cambria Math" w:cs="Times New Roman"/>
          </w:rPr>
          <m:t>t</m:t>
        </m:r>
      </m:oMath>
      <w:r w:rsidRPr="007A1B5D">
        <w:rPr>
          <w:rFonts w:ascii="Times New Roman" w:hAnsi="Times New Roman" w:cs="Times New Roman"/>
        </w:rPr>
        <w:t xml:space="preserve">, and </w:t>
      </w:r>
      <m:oMath>
        <m:r>
          <m:rPr>
            <m:sty m:val="p"/>
          </m:rPr>
          <w:rPr>
            <w:rFonts w:ascii="Cambria Math" w:hAnsi="Cambria Math" w:cs="Times New Roman"/>
          </w:rPr>
          <m:t>δ</m:t>
        </m:r>
      </m:oMath>
      <w:r w:rsidRPr="007A1B5D">
        <w:rPr>
          <w:rFonts w:ascii="Times New Roman" w:hAnsi="Times New Roman" w:cs="Times New Roman"/>
        </w:rPr>
        <w:t xml:space="preserve"> is the average treatment effect.</w:t>
      </w:r>
    </w:p>
    <w:p w14:paraId="451675B4" w14:textId="5C086537" w:rsidR="007A1B5D" w:rsidRPr="00CC5F82" w:rsidRDefault="00CC5F82" w:rsidP="00BF697B">
      <w:pPr>
        <w:pStyle w:val="Heading3"/>
      </w:pPr>
      <w:bookmarkStart w:id="15" w:name="_Toc227873377"/>
      <w:bookmarkStart w:id="16" w:name="limitations-and-recent-advances"/>
      <w:bookmarkEnd w:id="14"/>
      <w:r>
        <w:t xml:space="preserve">2.2.2. </w:t>
      </w:r>
      <w:r w:rsidR="007A1B5D" w:rsidRPr="00CC5F82">
        <w:t>Limitations and Recent Advances</w:t>
      </w:r>
      <w:bookmarkEnd w:id="15"/>
    </w:p>
    <w:p w14:paraId="09AE40D4" w14:textId="41789E71"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Recent research, mainly pioneered by the decomposition demonstrated in Goodman-Bacon</w:t>
      </w:r>
      <w:r w:rsidR="00277956">
        <w:rPr>
          <w:rFonts w:ascii="Times New Roman" w:hAnsi="Times New Roman" w:cs="Times New Roman"/>
        </w:rPr>
        <w:t xml:space="preserve"> </w:t>
      </w:r>
      <w:r w:rsidR="00277956">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{"citationID":"0iWvn3oH","properties":{"unsorted":false,"formattedCitation":"(2021)","plainCitation":"(2021)","noteIndex":0},"citationItems":[{"id":26,"uris":["http://zotero.org/users/local/ik3vdrlJ/items/YHIZ44CT"],"itemData":{"id":26,"type":"article-journal","abstract":"The canonical difference-in-differences (DD) estimator contains two time periods, â€preâ€ and â€postâ€, and two groups, â€treatmentâ€ and â€controlâ€.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controls.","container-title":"Journal of Econometrics","DOI":"10.1016/j.jeconom.2021.03.014","issue":"2","page":"254-277","title":"Difference-in-differences with variation in treatment timing","volume":"225","author":[{"family":"Goodman-Bacon","given":"Andrew"}],"issued":{"date-parts":[["2021"]]}},"suppress-author":true}],"schema":"https://github.com/citation-style-language/schema/raw/master/csl-citation.json"} </w:instrText>
      </w:r>
      <w:r w:rsidR="00277956">
        <w:rPr>
          <w:rFonts w:ascii="Times New Roman" w:hAnsi="Times New Roman" w:cs="Times New Roman"/>
        </w:rPr>
        <w:fldChar w:fldCharType="separate"/>
      </w:r>
      <w:r w:rsidR="00277956">
        <w:rPr>
          <w:rFonts w:ascii="Times New Roman" w:hAnsi="Times New Roman" w:cs="Times New Roman"/>
          <w:noProof/>
        </w:rPr>
        <w:t>(2021)</w:t>
      </w:r>
      <w:r w:rsidR="00277956">
        <w:rPr>
          <w:rFonts w:ascii="Times New Roman" w:hAnsi="Times New Roman" w:cs="Times New Roman"/>
        </w:rPr>
        <w:fldChar w:fldCharType="end"/>
      </w:r>
      <w:r w:rsidRPr="007A1B5D">
        <w:rPr>
          <w:rFonts w:ascii="Times New Roman" w:hAnsi="Times New Roman" w:cs="Times New Roman"/>
        </w:rPr>
        <w:t xml:space="preserve">, has shown that the TWFE estimator can be seen as a weighted average of all potential 2x2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estimates, where weights are based on both group sizes and variance in treatment. However, this decomposition revealed that TWFE can produce biased estimates when treatment effects are heterogeneous across groups or over time in a staggered design. This is because the estimator may compare already treated units to newly treated units, contaminating the control group. Also, it assumes that groups in the middle of the panel should be weighted more than those at the end.</w:t>
      </w:r>
    </w:p>
    <w:p w14:paraId="7CF9AE99" w14:textId="1DDD72BA" w:rsidR="007A1B5D" w:rsidRPr="007A1B5D" w:rsidRDefault="007A1B5D" w:rsidP="00B83798">
      <w:pPr>
        <w:pStyle w:val="BodyText"/>
        <w:spacing w:line="360" w:lineRule="auto"/>
        <w:ind w:firstLine="708"/>
        <w:jc w:val="both"/>
      </w:pPr>
      <w:r w:rsidRPr="007A1B5D">
        <w:t xml:space="preserve">To address these issues, alternative estimators have been developed by different authors. However, in this thesis, the focus will be on the proposal from Callaway and </w:t>
      </w:r>
      <w:proofErr w:type="spellStart"/>
      <w:r w:rsidRPr="007A1B5D">
        <w:t>Santa’Anna</w:t>
      </w:r>
      <w:proofErr w:type="spellEnd"/>
      <w:r w:rsidR="00277956">
        <w:t xml:space="preserve"> </w:t>
      </w:r>
      <w:r w:rsidR="00277956">
        <w:fldChar w:fldCharType="begin"/>
      </w:r>
      <w:r w:rsidR="00277956">
        <w:instrText xml:space="preserve"> ADDIN ZOTERO_ITEM CSL_CITATION {"citationID":"Kq8JG8os","properties":{"unsorted":false,"formattedCitation":"(2021)","plainCitation":"(2021)","noteIndex":0},"citationItems":[{"id":25,"uris":["http://zotero.org/users/local/ik3vdrlJ/items/JBF2LLR6"],"itemData":{"id":25,"type":"article-journal","abstract":"In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277956">
        <w:fldChar w:fldCharType="separate"/>
      </w:r>
      <w:r w:rsidR="00277956">
        <w:rPr>
          <w:noProof/>
        </w:rPr>
        <w:t>(2021)</w:t>
      </w:r>
      <w:r w:rsidR="00277956">
        <w:fldChar w:fldCharType="end"/>
      </w:r>
      <w:r w:rsidRPr="007A1B5D">
        <w:t xml:space="preserve">, who propose a reliable way to estimate staggered </w:t>
      </w:r>
      <w:proofErr w:type="spellStart"/>
      <w:r w:rsidRPr="007A1B5D">
        <w:t>DiD</w:t>
      </w:r>
      <w:proofErr w:type="spellEnd"/>
      <w:r w:rsidRPr="007A1B5D">
        <w:t>. In sum, while TWFE is convenient, it can be problematic under staggered designs with heterogeneous effects.</w:t>
      </w:r>
    </w:p>
    <w:p w14:paraId="11AC1C85" w14:textId="460E5184" w:rsidR="007A1B5D" w:rsidRPr="00CC5F82" w:rsidRDefault="00CC5F82" w:rsidP="00BF697B">
      <w:pPr>
        <w:pStyle w:val="Heading3"/>
      </w:pPr>
      <w:bookmarkStart w:id="17" w:name="_Toc227873378"/>
      <w:bookmarkEnd w:id="12"/>
      <w:bookmarkEnd w:id="16"/>
      <w:r>
        <w:t xml:space="preserve">2.2.3. </w:t>
      </w:r>
      <w:r w:rsidR="007A1B5D" w:rsidRPr="00CC5F82">
        <w:t>Extensions to Covariates</w:t>
      </w:r>
      <w:bookmarkEnd w:id="17"/>
    </w:p>
    <w:p w14:paraId="23B0EB4C" w14:textId="7544A5A1" w:rsidR="007A1B5D" w:rsidRPr="007A1B5D" w:rsidRDefault="007A1B5D" w:rsidP="00247F2B">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Finally, this section motivates conditioning on covariates and clarifies when and how to include them in a Difference in Differences design.</w:t>
      </w:r>
      <w:r w:rsidR="00247F2B">
        <w:rPr>
          <w:rFonts w:ascii="Times New Roman" w:hAnsi="Times New Roman" w:cs="Times New Roman"/>
        </w:rPr>
        <w:t xml:space="preserve"> </w:t>
      </w:r>
      <w:r w:rsidRPr="007A1B5D">
        <w:rPr>
          <w:rFonts w:ascii="Times New Roman" w:hAnsi="Times New Roman" w:cs="Times New Roman"/>
        </w:rPr>
        <w:t xml:space="preserve">The standard parallel trends </w:t>
      </w:r>
      <w:r w:rsidRPr="007A1B5D">
        <w:rPr>
          <w:rFonts w:ascii="Times New Roman" w:hAnsi="Times New Roman" w:cs="Times New Roman"/>
        </w:rPr>
        <w:lastRenderedPageBreak/>
        <w:t xml:space="preserve">assumption can be restrictive. In many settings, it may be more plausible to assume conditional parallel trends: the trends between the treated and control groups would be parallel, conditional on a set of covariates </w:t>
      </w:r>
      <m:oMath>
        <m:r>
          <w:rPr>
            <w:rFonts w:ascii="Cambria Math" w:hAnsi="Cambria Math"/>
          </w:rPr>
          <m:t>X</m:t>
        </m:r>
      </m:oMath>
      <w:r w:rsidRPr="007A1B5D">
        <w:rPr>
          <w:rFonts w:ascii="Times New Roman" w:hAnsi="Times New Roman" w:cs="Times New Roman"/>
        </w:rPr>
        <w:t>.</w:t>
      </w:r>
    </w:p>
    <w:p w14:paraId="553F92DB" w14:textId="2FBF0911" w:rsidR="007A1B5D" w:rsidRPr="007A1B5D" w:rsidRDefault="007A1B5D" w:rsidP="00B83798">
      <w:pPr>
        <w:pStyle w:val="BodyText"/>
        <w:spacing w:line="360" w:lineRule="auto"/>
        <w:ind w:firstLine="708"/>
        <w:jc w:val="both"/>
      </w:pPr>
      <w:r w:rsidRPr="007A1B5D">
        <w:t xml:space="preserve">Including covariates can thus strengthen the validity of the </w:t>
      </w:r>
      <w:proofErr w:type="spellStart"/>
      <w:r w:rsidRPr="007A1B5D">
        <w:t>DiD</w:t>
      </w:r>
      <w:proofErr w:type="spellEnd"/>
      <w:r w:rsidRPr="007A1B5D">
        <w:t xml:space="preserve"> design. In a traditional regression framework, this is done by simply adding the covariates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it</m:t>
            </m:r>
          </m:sub>
        </m:sSub>
      </m:oMath>
      <w:r w:rsidRPr="007A1B5D">
        <w:t xml:space="preserve"> to the estimation equation:</w:t>
      </w:r>
    </w:p>
    <w:bookmarkStart w:id="18" w:name="extensions-to-covariates"/>
    <w:p w14:paraId="52AF02B3" w14:textId="66AF375F" w:rsidR="00DC6026" w:rsidRPr="00DC6026" w:rsidRDefault="00000000" w:rsidP="007A1B5D">
      <w:pPr>
        <w:pStyle w:val="BodyText"/>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ty m:val="p"/>
                </m:rPr>
                <w:rPr>
                  <w:rFonts w:ascii="Cambria Math" w:hAnsi="Cambria Math"/>
                </w:rPr>
                <m:t>=α+β</m:t>
              </m:r>
              <m:sSub>
                <m:sSubPr>
                  <m:ctrlPr>
                    <w:rPr>
                      <w:rFonts w:ascii="Cambria Math" w:hAnsi="Cambria Math"/>
                    </w:rPr>
                  </m:ctrlPr>
                </m:sSubPr>
                <m:e>
                  <m:r>
                    <m:rPr>
                      <m:nor/>
                    </m:rPr>
                    <w:rPr>
                      <w:rFonts w:ascii="Cambria Math" w:hAnsi="Cambria Math"/>
                    </w:rPr>
                    <m:t>Post</m:t>
                  </m:r>
                </m:e>
                <m:sub>
                  <m:r>
                    <w:rPr>
                      <w:rFonts w:ascii="Cambria Math" w:hAnsi="Cambria Math"/>
                    </w:rPr>
                    <m:t>t</m:t>
                  </m:r>
                </m:sub>
              </m:sSub>
              <m:r>
                <m:rPr>
                  <m:sty m:val="p"/>
                </m:rPr>
                <w:rPr>
                  <w:rFonts w:ascii="Cambria Math" w:hAnsi="Cambria Math"/>
                </w:rPr>
                <m:t>+γ</m:t>
              </m:r>
              <m:sSub>
                <m:sSubPr>
                  <m:ctrlPr>
                    <w:rPr>
                      <w:rFonts w:ascii="Cambria Math" w:hAnsi="Cambria Math"/>
                    </w:rPr>
                  </m:ctrlPr>
                </m:sSubPr>
                <m:e>
                  <m:r>
                    <m:rPr>
                      <m:nor/>
                    </m:rPr>
                    <w:rPr>
                      <w:rFonts w:ascii="Cambria Math" w:hAnsi="Cambria Math"/>
                    </w:rPr>
                    <m:t>Treat</m:t>
                  </m:r>
                </m:e>
                <m:sub>
                  <m:r>
                    <w:rPr>
                      <w:rFonts w:ascii="Cambria Math" w:hAnsi="Cambria Math"/>
                    </w:rPr>
                    <m:t>i</m:t>
                  </m:r>
                </m:sub>
              </m:sSub>
              <m:r>
                <m:rPr>
                  <m:sty m:val="p"/>
                </m:rPr>
                <w:rPr>
                  <w:rFonts w:ascii="Cambria Math" w:hAnsi="Cambria Math"/>
                </w:rPr>
                <m:t>+δ</m:t>
              </m:r>
              <m:d>
                <m:dPr>
                  <m:ctrlPr>
                    <w:rPr>
                      <w:rFonts w:ascii="Cambria Math" w:hAnsi="Cambria Math"/>
                    </w:rPr>
                  </m:ctrlPr>
                </m:dPr>
                <m:e>
                  <m:sSub>
                    <m:sSubPr>
                      <m:ctrlPr>
                        <w:rPr>
                          <w:rFonts w:ascii="Cambria Math" w:hAnsi="Cambria Math"/>
                        </w:rPr>
                      </m:ctrlPr>
                    </m:sSubPr>
                    <m:e>
                      <m:r>
                        <m:rPr>
                          <m:nor/>
                        </m:rPr>
                        <w:rPr>
                          <w:rFonts w:ascii="Cambria Math" w:hAnsi="Cambria Math"/>
                        </w: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Cambria Math" w:hAnsi="Cambria Math"/>
                        </w:rPr>
                        <m:t>Treat</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2.7</m:t>
                  </m:r>
                </m:e>
              </m:d>
            </m:e>
          </m:eqArr>
        </m:oMath>
      </m:oMathPara>
    </w:p>
    <w:p w14:paraId="10DF582A" w14:textId="533D85F3"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t>t</w:t>
      </w:r>
      <w:r w:rsidR="007A1B5D" w:rsidRPr="007A1B5D">
        <w:rPr>
          <w:rFonts w:ascii="Times New Roman" w:hAnsi="Times New Roman" w:cs="Times New Roman"/>
        </w:rPr>
        <w:t>his model is often estimated as a fixed effects model (</w:t>
      </w:r>
      <w:proofErr w:type="gramStart"/>
      <w:r w:rsidR="007A1B5D" w:rsidRPr="007A1B5D">
        <w:rPr>
          <w:rFonts w:ascii="Times New Roman" w:hAnsi="Times New Roman" w:cs="Times New Roman"/>
        </w:rPr>
        <w:t>similar to</w:t>
      </w:r>
      <w:proofErr w:type="gramEnd"/>
      <w:r w:rsidR="007A1B5D" w:rsidRPr="007A1B5D">
        <w:rPr>
          <w:rFonts w:ascii="Times New Roman" w:hAnsi="Times New Roman" w:cs="Times New Roman"/>
        </w:rPr>
        <w:t xml:space="preserve"> the TWFE specification) to control for time invariant </w:t>
      </w:r>
      <w:proofErr w:type="spellStart"/>
      <w:r w:rsidR="007A1B5D" w:rsidRPr="007A1B5D">
        <w:rPr>
          <w:rFonts w:ascii="Times New Roman" w:hAnsi="Times New Roman" w:cs="Times New Roman"/>
        </w:rPr>
        <w:t>unobservables</w:t>
      </w:r>
      <w:proofErr w:type="spellEnd"/>
      <w:r w:rsidR="007A1B5D" w:rsidRPr="007A1B5D">
        <w:rPr>
          <w:rFonts w:ascii="Times New Roman" w:hAnsi="Times New Roman" w:cs="Times New Roman"/>
        </w:rPr>
        <w:t>:</w:t>
      </w:r>
    </w:p>
    <w:p w14:paraId="51B0D936" w14:textId="0EC77C5B"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+δ</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2.8</m:t>
                  </m:r>
                </m:e>
              </m:d>
            </m:e>
          </m:eqArr>
        </m:oMath>
      </m:oMathPara>
    </w:p>
    <w:p w14:paraId="10A9B55C" w14:textId="6BF24662"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A limitation of this approach is that it assumes the covariates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have a linear and additive effect on the outcome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If the true relationship is nonlinear or involves complex interactions, this model is misspecified, and the estimate of </w:t>
      </w:r>
      <m:oMath>
        <m:r>
          <m:rPr>
            <m:sty m:val="p"/>
          </m:rPr>
          <w:rPr>
            <w:rFonts w:ascii="Cambria Math" w:hAnsi="Cambria Math" w:cs="Times New Roman"/>
          </w:rPr>
          <m:t>δ</m:t>
        </m:r>
      </m:oMath>
      <w:r w:rsidRPr="007A1B5D">
        <w:rPr>
          <w:rFonts w:ascii="Times New Roman" w:hAnsi="Times New Roman" w:cs="Times New Roman"/>
        </w:rPr>
        <w:t xml:space="preserve"> can be biased.</w:t>
      </w:r>
    </w:p>
    <w:p w14:paraId="599F43BE" w14:textId="62544E98" w:rsidR="007A1B5D" w:rsidRPr="007A1B5D" w:rsidRDefault="007A1B5D" w:rsidP="00B83798">
      <w:pPr>
        <w:pStyle w:val="BodyText"/>
        <w:spacing w:line="360" w:lineRule="auto"/>
        <w:ind w:firstLine="708"/>
        <w:jc w:val="both"/>
      </w:pPr>
      <w:r w:rsidRPr="007A1B5D">
        <w:t xml:space="preserve">This limitation provides a key motivation for using machine learning. The Double Machine Learning (DML) framework, as discussed in the next chapter, is designed to overcome this exact problem. It allows for controlling for a rich set of covariates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it</m:t>
            </m:r>
          </m:sub>
        </m:sSub>
      </m:oMath>
      <w:r w:rsidRPr="007A1B5D">
        <w:t xml:space="preserve"> in a flexible, nonparametric way, thereby avoiding the biases associated with model misspecification.</w:t>
      </w:r>
    </w:p>
    <w:p w14:paraId="4EB98DA3" w14:textId="7E447468" w:rsidR="007A1B5D" w:rsidRDefault="007A1B5D" w:rsidP="00B83798">
      <w:pPr>
        <w:pStyle w:val="BodyText"/>
        <w:spacing w:line="360" w:lineRule="auto"/>
        <w:ind w:firstLine="708"/>
        <w:jc w:val="both"/>
      </w:pPr>
      <w:r w:rsidRPr="007A1B5D">
        <w:t>However, regardless of the chosen method, the practitioner must be careful when including covariates as this might introduce bias. It is usually recommended to include only time invariant covariates or those that are measured before the treatment takes place. The main risk is that inappropriate covariates might be affected by the treatment, so they would not be a valid control anymore and can be considered colliders, which would introduce bias in the estimation. Taken together, conditioning on covariates can strengthen identification when done carefully, and the next chapter introduces Double Machine Learning to bring flexibility while preserving valid inference.</w:t>
      </w:r>
    </w:p>
    <w:p w14:paraId="1A979923" w14:textId="77777777" w:rsidR="00BF697B" w:rsidRDefault="00BF697B" w:rsidP="00BF697B">
      <w:pPr>
        <w:spacing w:after="200" w:line="276" w:lineRule="auto"/>
        <w:rPr>
          <w:b/>
        </w:rPr>
      </w:pPr>
      <w:bookmarkStart w:id="19" w:name="chapter-3-double-machine-learning"/>
      <w:bookmarkEnd w:id="3"/>
      <w:bookmarkEnd w:id="18"/>
    </w:p>
    <w:p w14:paraId="3F7B7FC1" w14:textId="0637828A" w:rsidR="007A1B5D" w:rsidRPr="00BF697B" w:rsidRDefault="007A1B5D" w:rsidP="00EB6242">
      <w:pPr>
        <w:pStyle w:val="Heading1"/>
        <w:rPr>
          <w:szCs w:val="28"/>
        </w:rPr>
      </w:pPr>
      <w:bookmarkStart w:id="20" w:name="_Toc227873379"/>
      <w:r w:rsidRPr="007A1B5D">
        <w:lastRenderedPageBreak/>
        <w:t>3</w:t>
      </w:r>
      <w:r>
        <w:t>.</w:t>
      </w:r>
      <w:r w:rsidRPr="007A1B5D">
        <w:t xml:space="preserve"> Double Machine Learning</w:t>
      </w:r>
      <w:bookmarkEnd w:id="20"/>
    </w:p>
    <w:p w14:paraId="3B366058" w14:textId="77777777" w:rsidR="00BF697B" w:rsidRPr="00BF697B" w:rsidRDefault="00BF697B" w:rsidP="00BF697B">
      <w:pPr>
        <w:rPr>
          <w:rFonts w:eastAsiaTheme="majorEastAsia"/>
        </w:rPr>
      </w:pPr>
    </w:p>
    <w:p w14:paraId="7FE0EB46" w14:textId="079B48B3" w:rsidR="007A1B5D" w:rsidRPr="00385CC7" w:rsidRDefault="00CC5F82" w:rsidP="00EB6242">
      <w:pPr>
        <w:pStyle w:val="Heading2"/>
      </w:pPr>
      <w:bookmarkStart w:id="21" w:name="_Toc227873380"/>
      <w:bookmarkStart w:id="22" w:name="double-machine-learning-framework"/>
      <w:r w:rsidRPr="00385CC7">
        <w:t xml:space="preserve">3.1. </w:t>
      </w:r>
      <w:r w:rsidR="007A1B5D" w:rsidRPr="00385CC7">
        <w:t>Double Machine Learning Framework</w:t>
      </w:r>
      <w:bookmarkEnd w:id="21"/>
    </w:p>
    <w:p w14:paraId="72AEC64D" w14:textId="4D1C9DDF"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This chapter presents the Double Machine Learning framework introduced by </w:t>
      </w:r>
      <w:proofErr w:type="spellStart"/>
      <w:r w:rsidRPr="007A1B5D">
        <w:rPr>
          <w:rFonts w:ascii="Times New Roman" w:hAnsi="Times New Roman" w:cs="Times New Roman"/>
        </w:rPr>
        <w:t>Chernozhukov</w:t>
      </w:r>
      <w:proofErr w:type="spellEnd"/>
      <w:r w:rsidRPr="007A1B5D">
        <w:rPr>
          <w:rFonts w:ascii="Times New Roman" w:hAnsi="Times New Roman" w:cs="Times New Roman"/>
        </w:rPr>
        <w:t xml:space="preserve"> et al. </w:t>
      </w:r>
      <w:r w:rsidR="00277956">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{"citationID":"9lHfqT7N","properties":{"unsorted":false,"formattedCitation":"(2018)","plainCitation":"(2018)","noteIndex":0},"citationItems":[{"id":24,"uris":["http://zotero.org/users/local/ik3vdrlJ/items/6S45RE2C"],"itemData":{"id":24,"type":"article-journal","abstract":"We revisit the classic semi‐parametric problem of inference on a low‐dimensional parameter θ0 in the presence of high‐dimensional nuisance parameters η0. We depart from the classical setting by allowing for η0 to be so high‐dimensional that the traditional assumptions (e.g. Donsker properties) that limit complexity of the parameter space for this object break down. To estimate η0, we consider the use of statistical or machine learning (ML) methods, which are particularly well suited to estimation in modern, very high‐dimensional cases. ML methods perform well by employing regularization to reduce variance and trading off regularization bias with overfitting in practice. However, both regularization bias and overfitting in estimating η0 cause a heavy bias in estimators of θ0 that are obtained by naively plugging ML estimators of η0 into estimating equations for θ0. This bias results in the naive estimator failing to be N−1/2 consistent, where N is the sample size. We show that the impact of regularization bias and overfitting on estimation of the parameter of interest θ0 can be removed by using two simple, yet critical, ingredients: (1) using Neyman‐orthogonal moments/scores that have reduced sensitivity with respect to nuisance parameters to estimate θ0; (2) making use of cross‐fitting, which provides an efficient form of data‐splitting. We call the resulting set of methods double or debiased ML (DML). We verify that DML delivers point estimators that concentrate in an N−1/2‐neighbourhood of the true parameter values and are approximately unbiased and normally distributed, which allows construction of valid confidence statements. The generic statistical theory of DML is elementary and simultaneously relies on only weak theoretical requirements, which will admit the use of a broad array of modern ML methods for estimating the nuisance parameters, such as random forests, lasso, ridge, deep neural nets, boosted trees, and various hybrids and ensembles of these methods. We illustrate the general theory by applying it to provide theoretical properties of the following: DML applied to learn the main regression parameter in a partially linear regression model; DML applied to learn the coefficient on an endogenous variable in a partially linear instrumental variables model; DML applied to learn the average treatment effect and the average treatment effect on the treated under unconfoundedness; DML applied to learn the local average treatment effect in an instrumental variables setting. In addition to these theoretical applications, we also illustrate the use of DML in three empirical examples.","citation-key":"chernozhukovDoubleDebiasedMachine2018","container-title":"The Econometrics Journal","DOI":"10.1111/ectj.12097","ISSN":"1368-4221","issue":"1","note":"_eprint: https://academic.oup.com/ectj/article-pdf/21/1/C1/27684918/ectj00c1.pdf","page":"C1-C68","title":"Double/debiased machine learning for treatment and structural parameters","volume":"21","author":[{"family":"Chernozhukov","given":"Victor"},{"family":"Chetverikov","given":"Denis"},{"family":"Demirer","given":"Mert"},{"family":"Duflo","given":"Esther"},{"family":"Hansen","given":"Christian"},{"family":"Newey","given":"Whitney"},{"family":"Robins","given":"James"}],"issued":{"date-parts":[["2018",1]]}},"suppress-author":true}],"schema":"https://github.com/citation-style-language/schema/raw/master/csl-citation.json"} </w:instrText>
      </w:r>
      <w:r w:rsidR="00277956">
        <w:rPr>
          <w:rFonts w:ascii="Times New Roman" w:hAnsi="Times New Roman" w:cs="Times New Roman"/>
        </w:rPr>
        <w:fldChar w:fldCharType="separate"/>
      </w:r>
      <w:r w:rsidR="00277956">
        <w:rPr>
          <w:rFonts w:ascii="Times New Roman" w:hAnsi="Times New Roman" w:cs="Times New Roman"/>
          <w:noProof/>
        </w:rPr>
        <w:t>(2018)</w:t>
      </w:r>
      <w:r w:rsidR="00277956">
        <w:rPr>
          <w:rFonts w:ascii="Times New Roman" w:hAnsi="Times New Roman" w:cs="Times New Roman"/>
        </w:rPr>
        <w:fldChar w:fldCharType="end"/>
      </w:r>
      <w:r w:rsidRPr="007A1B5D">
        <w:rPr>
          <w:rFonts w:ascii="Times New Roman" w:hAnsi="Times New Roman" w:cs="Times New Roman"/>
        </w:rPr>
        <w:t>, which provides a rigorous method for combining machine learning flexibility with formal causal inference. The chapter begins by establishing the core framework in a general partially linear model setting, demonstrating how the method addresses key challenges in estimating causal effects when controlling for high-dimensional covariates. It then shows how this framework can be adapted to Difference-in-Differences settings, first in the canonical two-period case and subsequently in the more complex staggered adoption scenario.</w:t>
      </w:r>
    </w:p>
    <w:p w14:paraId="35FA6B23" w14:textId="77777777" w:rsidR="007A1B5D" w:rsidRPr="007A1B5D" w:rsidRDefault="007A1B5D" w:rsidP="00B83798">
      <w:pPr>
        <w:pStyle w:val="BodyText"/>
        <w:spacing w:line="360" w:lineRule="auto"/>
        <w:ind w:firstLine="708"/>
        <w:jc w:val="both"/>
      </w:pPr>
      <w:r w:rsidRPr="007A1B5D">
        <w:t>The chapter is organized as follows. First, the general DML framework is introduced, starting with the estimation goal and the fundamental confounding problem. The theoretical solution based on orthogonalization is then presented, explaining how machine learning is used in practice to implement this solution. Second, the two critical techniques that ensure valid statistical inference despite using flexible machine learning methods are discussed: cross-fitting and Neyman orthogonality. Finally, this framework is adapted to Difference-in-Differences designs, showing how the core principles apply in both simple and staggered treatment timing contexts.</w:t>
      </w:r>
    </w:p>
    <w:p w14:paraId="62ECFE98" w14:textId="28BA4205" w:rsidR="007A1B5D" w:rsidRPr="00385CC7" w:rsidRDefault="00CC5F82" w:rsidP="00EB6242">
      <w:pPr>
        <w:pStyle w:val="Heading2"/>
      </w:pPr>
      <w:bookmarkStart w:id="23" w:name="_Toc227873381"/>
      <w:bookmarkStart w:id="24" w:name="the-general-framework"/>
      <w:bookmarkEnd w:id="22"/>
      <w:r w:rsidRPr="00385CC7">
        <w:t xml:space="preserve">3.2. </w:t>
      </w:r>
      <w:r w:rsidR="007A1B5D" w:rsidRPr="00385CC7">
        <w:t>The General Framework</w:t>
      </w:r>
      <w:bookmarkEnd w:id="23"/>
    </w:p>
    <w:p w14:paraId="0E24326D" w14:textId="732DDFA5" w:rsidR="00404256" w:rsidRPr="00CC5F82" w:rsidRDefault="00404256" w:rsidP="00BF697B">
      <w:pPr>
        <w:pStyle w:val="Heading3"/>
      </w:pPr>
      <w:bookmarkStart w:id="25" w:name="_Toc227873382"/>
      <w:bookmarkStart w:id="26" w:name="estimation-goal-and-model-setup"/>
      <w:r>
        <w:t xml:space="preserve">3.2.1. </w:t>
      </w:r>
      <w:r w:rsidRPr="00CC5F82">
        <w:t>Estimation</w:t>
      </w:r>
      <w:r>
        <w:t xml:space="preserve"> Goal and Model Setup</w:t>
      </w:r>
      <w:bookmarkEnd w:id="25"/>
    </w:p>
    <w:p w14:paraId="6B73A316" w14:textId="75FEEE89"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fundamental objective in causal inference is to estimate the causal effect of a treatment </w:t>
      </w:r>
      <m:oMath>
        <m:r>
          <m:rPr>
            <m:sty m:val="p"/>
          </m:rPr>
          <w:rPr>
            <w:rFonts w:ascii="Cambria Math" w:hAnsi="Cambria Math" w:cs="Times New Roman"/>
          </w:rPr>
          <m:t>D</m:t>
        </m:r>
      </m:oMath>
      <w:r w:rsidRPr="007A1B5D">
        <w:rPr>
          <w:rFonts w:ascii="Times New Roman" w:hAnsi="Times New Roman" w:cs="Times New Roman"/>
        </w:rPr>
        <w:t xml:space="preserve"> on an outcome </w:t>
      </w:r>
      <m:oMath>
        <m:r>
          <m:rPr>
            <m:sty m:val="p"/>
          </m:rPr>
          <w:rPr>
            <w:rFonts w:ascii="Cambria Math" w:hAnsi="Cambria Math" w:cs="Times New Roman"/>
          </w:rPr>
          <m:t>Y</m:t>
        </m:r>
      </m:oMath>
      <w:r w:rsidRPr="007A1B5D">
        <w:rPr>
          <w:rFonts w:ascii="Times New Roman" w:hAnsi="Times New Roman" w:cs="Times New Roman"/>
        </w:rPr>
        <w:t xml:space="preserve"> while properly accounting for a potentially high-dimensional set of covariates </w:t>
      </w:r>
      <m:oMath>
        <m:r>
          <m:rPr>
            <m:sty m:val="p"/>
          </m:rPr>
          <w:rPr>
            <w:rFonts w:ascii="Cambria Math" w:hAnsi="Cambria Math" w:cs="Times New Roman"/>
          </w:rPr>
          <m:t>X</m:t>
        </m:r>
      </m:oMath>
      <w:r w:rsidRPr="007A1B5D">
        <w:rPr>
          <w:rFonts w:ascii="Times New Roman" w:hAnsi="Times New Roman" w:cs="Times New Roman"/>
        </w:rPr>
        <w:t xml:space="preserve">. The focus is on estimating a constant treatment effect parameter </w:t>
      </w:r>
      <m:oMath>
        <m:r>
          <m:rPr>
            <m:sty m:val="p"/>
          </m:rPr>
          <w:rPr>
            <w:rFonts w:ascii="Cambria Math" w:hAnsi="Cambria Math" w:cs="Times New Roman"/>
          </w:rPr>
          <m:t>θ</m:t>
        </m:r>
      </m:oMath>
      <w:r w:rsidRPr="007A1B5D">
        <w:rPr>
          <w:rFonts w:ascii="Times New Roman" w:hAnsi="Times New Roman" w:cs="Times New Roman"/>
        </w:rPr>
        <w:t>, which represents the Average Treatment Effect (ATE).</w:t>
      </w:r>
    </w:p>
    <w:p w14:paraId="3333A050" w14:textId="7DF9E707" w:rsidR="007A1B5D" w:rsidRPr="00247F2B" w:rsidRDefault="00000000" w:rsidP="00247F2B">
      <w:pPr>
        <w:pStyle w:val="BodyText"/>
        <w:spacing w:line="360" w:lineRule="auto"/>
        <w:jc w:val="both"/>
        <w:rPr>
          <w:rFonts w:eastAsiaTheme="minorEastAsia"/>
        </w:rPr>
      </w:pPr>
      <m:oMath>
        <m:eqArr>
          <m:eqArrPr>
            <m:maxDist m:val="1"/>
            <m:ctrlPr>
              <w:rPr>
                <w:rFonts w:ascii="Cambria Math" w:hAnsi="Cambria Math"/>
                <w:i/>
              </w:rPr>
            </m:ctrlPr>
          </m:eqArrPr>
          <m:e>
            <m:r>
              <w:rPr>
                <w:rFonts w:ascii="Cambria Math" w:hAnsi="Cambria Math"/>
              </w:rPr>
              <m:t>ATE</m:t>
            </m:r>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r>
              <w:rPr>
                <w:rFonts w:ascii="Cambria Math" w:hAnsi="Cambria Math"/>
              </w:rPr>
              <m:t>#</m:t>
            </m:r>
            <m:d>
              <m:dPr>
                <m:ctrlPr>
                  <w:rPr>
                    <w:rFonts w:ascii="Cambria Math" w:hAnsi="Cambria Math"/>
                    <w:i/>
                  </w:rPr>
                </m:ctrlPr>
              </m:dPr>
              <m:e>
                <m:r>
                  <w:rPr>
                    <w:rFonts w:ascii="Cambria Math" w:hAnsi="Cambria Math"/>
                  </w:rPr>
                  <m:t>3.1</m:t>
                </m:r>
              </m:e>
            </m:d>
          </m:e>
        </m:eqArr>
      </m:oMath>
      <w:r w:rsidR="00247F2B">
        <w:t>h</w:t>
      </w:r>
      <w:r w:rsidR="007A1B5D" w:rsidRPr="007A1B5D">
        <w:t xml:space="preserve">ere,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d>
          <m:dPr>
            <m:ctrlPr>
              <w:rPr>
                <w:rFonts w:ascii="Cambria Math" w:hAnsi="Cambria Math"/>
              </w:rPr>
            </m:ctrlPr>
          </m:dPr>
          <m:e>
            <m:r>
              <w:rPr>
                <w:rFonts w:ascii="Cambria Math" w:hAnsi="Cambria Math"/>
              </w:rPr>
              <m:t>1</m:t>
            </m:r>
          </m:e>
        </m:d>
      </m:oMath>
      <w:r w:rsidR="007A1B5D" w:rsidRPr="007A1B5D">
        <w:t xml:space="preserve"> represents the potential outcome for unit </w:t>
      </w:r>
      <m:oMath>
        <m:r>
          <w:rPr>
            <w:rFonts w:ascii="Cambria Math" w:hAnsi="Cambria Math"/>
          </w:rPr>
          <m:t>i</m:t>
        </m:r>
      </m:oMath>
      <w:r w:rsidR="007A1B5D" w:rsidRPr="007A1B5D">
        <w:t xml:space="preserve"> under treatment, while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d>
          <m:dPr>
            <m:ctrlPr>
              <w:rPr>
                <w:rFonts w:ascii="Cambria Math" w:hAnsi="Cambria Math"/>
              </w:rPr>
            </m:ctrlPr>
          </m:dPr>
          <m:e>
            <m:r>
              <w:rPr>
                <w:rFonts w:ascii="Cambria Math" w:hAnsi="Cambria Math"/>
              </w:rPr>
              <m:t>0</m:t>
            </m:r>
          </m:e>
        </m:d>
      </m:oMath>
      <w:r w:rsidR="007A1B5D" w:rsidRPr="007A1B5D">
        <w:t xml:space="preserve"> represents the potential outcome without treatment. The fundamental challenge is that only one of these </w:t>
      </w:r>
      <w:r w:rsidR="007A1B5D" w:rsidRPr="007A1B5D">
        <w:lastRenderedPageBreak/>
        <w:t>potential outcomes is observed for each unit, making direct estimation of the ATE impossible without additional structure.</w:t>
      </w:r>
    </w:p>
    <w:p w14:paraId="5E99FCAB" w14:textId="77777777" w:rsidR="007A1B5D" w:rsidRPr="007A1B5D" w:rsidRDefault="007A1B5D" w:rsidP="00B83798">
      <w:pPr>
        <w:pStyle w:val="BodyText"/>
        <w:spacing w:line="360" w:lineRule="auto"/>
        <w:ind w:firstLine="708"/>
        <w:jc w:val="both"/>
      </w:pPr>
      <w:r w:rsidRPr="007A1B5D">
        <w:t>To provide this structure, a Partially Linear Model specification is adopted, which forms the basis for the DML approach:</w:t>
      </w:r>
    </w:p>
    <w:p w14:paraId="2C86CCD4" w14:textId="2CFC357F" w:rsidR="007A1B5D" w:rsidRPr="00247F2B" w:rsidRDefault="00000000" w:rsidP="00247F2B">
      <w:pPr>
        <w:pStyle w:val="BodyText"/>
        <w:spacing w:line="360" w:lineRule="auto"/>
        <w:jc w:val="both"/>
      </w:pPr>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 </m:t>
                </m:r>
                <m:r>
                  <m:rPr>
                    <m:nor/>
                  </m:rPr>
                  <m:t>(Outcome Model)</m:t>
                </m:r>
              </m:e>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m:t>
                </m:r>
                <m:r>
                  <m:rPr>
                    <m:nor/>
                  </m:rPr>
                  <m:t>(Treatment Model)</m:t>
                </m:r>
              </m:e>
            </m:eqArr>
            <m:r>
              <w:rPr>
                <w:rFonts w:ascii="Cambria Math" w:hAnsi="Cambria Math"/>
              </w:rPr>
              <m:t>#</m:t>
            </m:r>
            <m:d>
              <m:dPr>
                <m:ctrlPr>
                  <w:rPr>
                    <w:rFonts w:ascii="Cambria Math" w:hAnsi="Cambria Math"/>
                    <w:i/>
                  </w:rPr>
                </m:ctrlPr>
              </m:dPr>
              <m:e>
                <m:r>
                  <w:rPr>
                    <w:rFonts w:ascii="Cambria Math" w:hAnsi="Cambria Math"/>
                  </w:rPr>
                  <m:t>3.2</m:t>
                </m:r>
              </m:e>
            </m:d>
          </m:e>
        </m:eqArr>
      </m:oMath>
      <w:r w:rsidR="00247F2B">
        <w:t>w</w:t>
      </w:r>
      <w:r w:rsidR="007A1B5D" w:rsidRPr="007A1B5D">
        <w:t xml:space="preserve">here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oMath>
      <w:r w:rsidR="007A1B5D" w:rsidRPr="007A1B5D">
        <w:t xml:space="preserve"> is the observed outcome,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m:t>
            </m:r>
          </m:sub>
        </m:sSub>
      </m:oMath>
      <w:r w:rsidR="007A1B5D" w:rsidRPr="007A1B5D">
        <w:t xml:space="preserve"> is the observed treatment status (e.g., 1 if treated, 0 if not),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oMath>
      <w:r w:rsidR="007A1B5D" w:rsidRPr="007A1B5D">
        <w:t xml:space="preserve"> is a vector of covariates, </w:t>
      </w:r>
      <m:oMath>
        <m:r>
          <w:rPr>
            <w:rFonts w:ascii="Cambria Math" w:hAnsi="Cambria Math"/>
          </w:rPr>
          <m:t>θ</m:t>
        </m:r>
      </m:oMath>
      <w:r w:rsidR="007A1B5D" w:rsidRPr="007A1B5D">
        <w:t xml:space="preserve"> is the causal parameter of interest (the ATE, assuming a constant effect),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007A1B5D" w:rsidRPr="007A1B5D">
        <w:t xml:space="preserve"> and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007A1B5D" w:rsidRPr="007A1B5D">
        <w:t xml:space="preserve"> are unknown, potentially complex functions, known as “nuisance functions”, that represent how the covariates </w:t>
      </w:r>
      <m:oMath>
        <m:r>
          <w:rPr>
            <w:rFonts w:ascii="Cambria Math" w:hAnsi="Cambria Math"/>
          </w:rPr>
          <m:t>X</m:t>
        </m:r>
      </m:oMath>
      <w:r w:rsidR="007A1B5D" w:rsidRPr="007A1B5D">
        <w:t xml:space="preserve"> affect the outcome and the treatment, respectively, and </w:t>
      </w:r>
      <m:oMath>
        <m:sSub>
          <m:sSubPr>
            <m:ctrlPr>
              <w:rPr>
                <w:rFonts w:ascii="Cambria Math" w:hAnsi="Cambria Math"/>
              </w:rPr>
            </m:ctrlPr>
          </m:sSubPr>
          <m:e>
            <m:r>
              <w:rPr>
                <w:rFonts w:ascii="Cambria Math" w:hAnsi="Cambria Math"/>
              </w:rPr>
              <m:t>ϵ</m:t>
            </m:r>
          </m:e>
          <m:sub>
            <m:r>
              <w:rPr>
                <w:rFonts w:ascii="Cambria Math" w:hAnsi="Cambria Math"/>
              </w:rPr>
              <m:t>i</m:t>
            </m:r>
          </m:sub>
        </m:sSub>
      </m:oMath>
      <w:r w:rsidR="007A1B5D" w:rsidRPr="007A1B5D">
        <w:t xml:space="preserve"> and </w:t>
      </w:r>
      <m:oMath>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i</m:t>
            </m:r>
          </m:sub>
        </m:sSub>
      </m:oMath>
      <w:r w:rsidR="007A1B5D" w:rsidRPr="007A1B5D">
        <w:t xml:space="preserve"> are error terms, which are assumed to be exogenous (i.e.,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w:rPr>
            <w:rFonts w:ascii="Cambria Math" w:hAnsi="Cambria Math"/>
          </w:rPr>
          <m:t>0</m:t>
        </m:r>
      </m:oMath>
      <w:r w:rsidR="007A1B5D" w:rsidRPr="007A1B5D">
        <w:t xml:space="preserve"> and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0</m:t>
        </m:r>
      </m:oMath>
      <w:r w:rsidR="007A1B5D" w:rsidRPr="007A1B5D">
        <w:t>).</w:t>
      </w:r>
    </w:p>
    <w:p w14:paraId="4A6CA5B9" w14:textId="202AD764" w:rsidR="007A1B5D" w:rsidRPr="00404256" w:rsidRDefault="00404256" w:rsidP="00BF697B">
      <w:pPr>
        <w:pStyle w:val="Heading3"/>
      </w:pPr>
      <w:bookmarkStart w:id="27" w:name="_Toc227873383"/>
      <w:bookmarkStart w:id="28" w:name="the-confounding-problem"/>
      <w:bookmarkEnd w:id="26"/>
      <w:r>
        <w:t xml:space="preserve">3.2.2. </w:t>
      </w:r>
      <w:r w:rsidR="007A1B5D" w:rsidRPr="00404256">
        <w:t>The Confounding Problem</w:t>
      </w:r>
      <w:bookmarkEnd w:id="27"/>
    </w:p>
    <w:p w14:paraId="451E99B3" w14:textId="3F1B8746"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A naive approach of regressing </w:t>
      </w:r>
      <m:oMath>
        <m:r>
          <m:rPr>
            <m:sty m:val="p"/>
          </m:rPr>
          <w:rPr>
            <w:rFonts w:ascii="Cambria Math" w:hAnsi="Cambria Math" w:cs="Times New Roman"/>
          </w:rPr>
          <m:t>Y</m:t>
        </m:r>
      </m:oMath>
      <w:r w:rsidRPr="007A1B5D">
        <w:rPr>
          <w:rFonts w:ascii="Times New Roman" w:hAnsi="Times New Roman" w:cs="Times New Roman"/>
        </w:rPr>
        <w:t xml:space="preserve"> directly on </w:t>
      </w:r>
      <m:oMath>
        <m:r>
          <m:rPr>
            <m:sty m:val="p"/>
          </m:rPr>
          <w:rPr>
            <w:rFonts w:ascii="Cambria Math" w:hAnsi="Cambria Math" w:cs="Times New Roman"/>
          </w:rPr>
          <m:t>D</m:t>
        </m:r>
      </m:oMath>
      <w:r w:rsidRPr="007A1B5D">
        <w:rPr>
          <w:rFonts w:ascii="Times New Roman" w:hAnsi="Times New Roman" w:cs="Times New Roman"/>
        </w:rPr>
        <w:t xml:space="preserve"> would yield biased estimates of </w:t>
      </w:r>
      <m:oMath>
        <m:r>
          <m:rPr>
            <m:sty m:val="p"/>
          </m:rPr>
          <w:rPr>
            <w:rFonts w:ascii="Cambria Math" w:hAnsi="Cambria Math" w:cs="Times New Roman"/>
          </w:rPr>
          <m:t>θ</m:t>
        </m:r>
      </m:oMath>
      <w:r w:rsidRPr="007A1B5D">
        <w:rPr>
          <w:rFonts w:ascii="Times New Roman" w:hAnsi="Times New Roman" w:cs="Times New Roman"/>
        </w:rPr>
        <w:t xml:space="preserve">. The source of this bias is confounding: the covariates </w:t>
      </w:r>
      <m:oMath>
        <m:r>
          <m:rPr>
            <m:sty m:val="p"/>
          </m:rPr>
          <w:rPr>
            <w:rFonts w:ascii="Cambria Math" w:hAnsi="Cambria Math" w:cs="Times New Roman"/>
          </w:rPr>
          <m:t>X</m:t>
        </m:r>
      </m:oMath>
      <w:r w:rsidRPr="007A1B5D">
        <w:rPr>
          <w:rFonts w:ascii="Times New Roman" w:hAnsi="Times New Roman" w:cs="Times New Roman"/>
        </w:rPr>
        <w:t xml:space="preserve"> simultaneously influence both the treatment assignment through </w:t>
      </w:r>
      <m:oMath>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X</m:t>
            </m:r>
          </m:e>
        </m:d>
      </m:oMath>
      <w:r w:rsidRPr="007A1B5D">
        <w:rPr>
          <w:rFonts w:ascii="Times New Roman" w:hAnsi="Times New Roman" w:cs="Times New Roman"/>
        </w:rPr>
        <w:t xml:space="preserve"> and the outcome through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X</m:t>
            </m:r>
          </m:e>
        </m:d>
      </m:oMath>
      <w:r w:rsidRPr="007A1B5D">
        <w:rPr>
          <w:rFonts w:ascii="Times New Roman" w:hAnsi="Times New Roman" w:cs="Times New Roman"/>
        </w:rPr>
        <w:t xml:space="preserve">. This creates a backdoor path from </w:t>
      </w:r>
      <m:oMath>
        <m:r>
          <m:rPr>
            <m:sty m:val="p"/>
          </m:rPr>
          <w:rPr>
            <w:rFonts w:ascii="Cambria Math" w:hAnsi="Cambria Math" w:cs="Times New Roman"/>
          </w:rPr>
          <m:t>D</m:t>
        </m:r>
      </m:oMath>
      <w:r w:rsidRPr="007A1B5D">
        <w:rPr>
          <w:rFonts w:ascii="Times New Roman" w:hAnsi="Times New Roman" w:cs="Times New Roman"/>
        </w:rPr>
        <w:t xml:space="preserve"> to </w:t>
      </w:r>
      <m:oMath>
        <m:r>
          <m:rPr>
            <m:sty m:val="p"/>
          </m:rPr>
          <w:rPr>
            <w:rFonts w:ascii="Cambria Math" w:hAnsi="Cambria Math" w:cs="Times New Roman"/>
          </w:rPr>
          <m:t>Y</m:t>
        </m:r>
      </m:oMath>
      <w:r w:rsidRPr="007A1B5D">
        <w:rPr>
          <w:rFonts w:ascii="Times New Roman" w:hAnsi="Times New Roman" w:cs="Times New Roman"/>
        </w:rPr>
        <w:t xml:space="preserve"> that runs through </w:t>
      </w:r>
      <m:oMath>
        <m:r>
          <m:rPr>
            <m:sty m:val="p"/>
          </m:rPr>
          <w:rPr>
            <w:rFonts w:ascii="Cambria Math" w:hAnsi="Cambria Math" w:cs="Times New Roman"/>
          </w:rPr>
          <m:t>X</m:t>
        </m:r>
      </m:oMath>
      <w:r w:rsidRPr="007A1B5D">
        <w:rPr>
          <w:rFonts w:ascii="Times New Roman" w:hAnsi="Times New Roman" w:cs="Times New Roman"/>
        </w:rPr>
        <w:t>, violating the conditions necessary for causal identification.</w:t>
      </w:r>
    </w:p>
    <w:p w14:paraId="41FB4CA8" w14:textId="39879D1B" w:rsidR="007A1B5D" w:rsidRPr="007A1B5D" w:rsidRDefault="007A1B5D" w:rsidP="00B83798">
      <w:pPr>
        <w:pStyle w:val="BodyText"/>
        <w:spacing w:line="360" w:lineRule="auto"/>
        <w:ind w:firstLine="708"/>
        <w:jc w:val="both"/>
      </w:pPr>
      <w:r w:rsidRPr="007A1B5D">
        <w:t>The structure of this confounding problem can be visualized through a Directed Acyclic Graph</w:t>
      </w:r>
      <w:r w:rsidR="009225C6">
        <w:t xml:space="preserve"> (</w:t>
      </w:r>
      <w:r w:rsidR="009225C6">
        <w:fldChar w:fldCharType="begin"/>
      </w:r>
      <w:r w:rsidR="009225C6">
        <w:instrText xml:space="preserve"> REF _Ref227866763 \h </w:instrText>
      </w:r>
      <w:r w:rsidR="009225C6">
        <w:fldChar w:fldCharType="separate"/>
      </w:r>
      <w:r w:rsidR="009225C6">
        <w:fldChar w:fldCharType="end"/>
      </w:r>
      <w:r w:rsidR="009225C6">
        <w:fldChar w:fldCharType="begin"/>
      </w:r>
      <w:r w:rsidR="009225C6">
        <w:instrText xml:space="preserve"> REF _Ref227866766 \h </w:instrText>
      </w:r>
      <w:r w:rsidR="009225C6">
        <w:fldChar w:fldCharType="separate"/>
      </w:r>
      <w:r w:rsidR="009225C6">
        <w:t xml:space="preserve">Figure </w:t>
      </w:r>
      <w:r w:rsidR="009225C6">
        <w:rPr>
          <w:noProof/>
        </w:rPr>
        <w:t>1</w:t>
      </w:r>
      <w:r w:rsidR="009225C6">
        <w:fldChar w:fldCharType="end"/>
      </w:r>
      <w:r w:rsidR="009225C6">
        <w:t>)</w:t>
      </w:r>
      <w:r w:rsidRPr="007A1B5D">
        <w:t>:</w:t>
      </w:r>
    </w:p>
    <w:p w14:paraId="2F1A503C" w14:textId="77777777" w:rsidR="009225C6" w:rsidRDefault="007A1B5D" w:rsidP="009225C6">
      <w:pPr>
        <w:pStyle w:val="CaptionedFigure"/>
        <w:keepNext/>
        <w:spacing w:line="360" w:lineRule="auto"/>
        <w:jc w:val="center"/>
      </w:pPr>
      <w:r w:rsidRPr="007A1B5D">
        <w:rPr>
          <w:rFonts w:ascii="Times New Roman" w:hAnsi="Times New Roman" w:cs="Times New Roman"/>
          <w:noProof/>
        </w:rPr>
        <w:lastRenderedPageBreak/>
        <w:drawing>
          <wp:inline distT="0" distB="0" distL="0" distR="0" wp14:anchorId="64E8B38F" wp14:editId="54ED6ADF">
            <wp:extent cx="3172178" cy="2043289"/>
            <wp:effectExtent l="0" t="0" r="3175" b="1905"/>
            <wp:docPr id="39" name="Picture" descr="Directed Acyclic Graph showing the confounding structure. Covariates X affect both treatment D (through m(X)) and outcome Y (through g(X)), while the causal effect of interest is θ (from D to Y)."/>
            <wp:cNvGraphicFramePr/>
            <a:graphic xmlns:a="http://schemas.openxmlformats.org/drawingml/2006/main">
              <a:graphicData uri="http://schemas.openxmlformats.org/drawingml/2006/picture">
                <pic:pic xmlns:pic="http://schemas.openxmlformats.org/drawingml/2006/picture">
                  <pic:nvPicPr>
                    <pic:cNvPr id="40" name="Picture" descr="./images/dag.png"/>
                    <pic:cNvPicPr>
                      <a:picLocks noChangeAspect="1" noChangeArrowheads="1"/>
                    </pic:cNvPicPr>
                  </pic:nvPicPr>
                  <pic:blipFill>
                    <a:blip r:embed="rId13"/>
                    <a:stretch>
                      <a:fillRect/>
                    </a:stretch>
                  </pic:blipFill>
                  <pic:spPr bwMode="auto">
                    <a:xfrm>
                      <a:off x="0" y="0"/>
                      <a:ext cx="3229999" cy="2080533"/>
                    </a:xfrm>
                    <a:prstGeom prst="rect">
                      <a:avLst/>
                    </a:prstGeom>
                    <a:noFill/>
                    <a:ln w="9525">
                      <a:noFill/>
                      <a:headEnd/>
                      <a:tailEnd/>
                    </a:ln>
                  </pic:spPr>
                </pic:pic>
              </a:graphicData>
            </a:graphic>
          </wp:inline>
        </w:drawing>
      </w:r>
    </w:p>
    <w:p w14:paraId="60B8A0B2" w14:textId="183BB254" w:rsidR="007A1B5D" w:rsidRPr="007D6ADF" w:rsidRDefault="009225C6" w:rsidP="007D6ADF">
      <w:pPr>
        <w:pStyle w:val="ImageCaption"/>
        <w:spacing w:line="360" w:lineRule="auto"/>
        <w:jc w:val="center"/>
        <w:rPr>
          <w:rFonts w:ascii="Times New Roman" w:hAnsi="Times New Roman" w:cs="Times New Roman"/>
          <w:sz w:val="18"/>
          <w:szCs w:val="18"/>
        </w:rPr>
      </w:pPr>
      <w:bookmarkStart w:id="29" w:name="_Ref227866766"/>
      <w:bookmarkStart w:id="30" w:name="_Ref227866763"/>
      <w:r w:rsidRPr="007D6ADF">
        <w:rPr>
          <w:rFonts w:ascii="Times New Roman" w:hAnsi="Times New Roman" w:cs="Times New Roman"/>
          <w:sz w:val="18"/>
          <w:szCs w:val="18"/>
        </w:rPr>
        <w:t xml:space="preserve">Figure </w:t>
      </w:r>
      <w:r w:rsidRPr="007D6ADF">
        <w:rPr>
          <w:rFonts w:ascii="Times New Roman" w:hAnsi="Times New Roman" w:cs="Times New Roman"/>
          <w:sz w:val="18"/>
          <w:szCs w:val="18"/>
        </w:rPr>
        <w:fldChar w:fldCharType="begin"/>
      </w:r>
      <w:r w:rsidRPr="007D6ADF">
        <w:rPr>
          <w:rFonts w:ascii="Times New Roman" w:hAnsi="Times New Roman" w:cs="Times New Roman"/>
          <w:sz w:val="18"/>
          <w:szCs w:val="18"/>
        </w:rPr>
        <w:instrText xml:space="preserve"> SEQ Figure \* ARABIC </w:instrText>
      </w:r>
      <w:r w:rsidRPr="007D6ADF">
        <w:rPr>
          <w:rFonts w:ascii="Times New Roman" w:hAnsi="Times New Roman" w:cs="Times New Roman"/>
          <w:sz w:val="18"/>
          <w:szCs w:val="18"/>
        </w:rPr>
        <w:fldChar w:fldCharType="separate"/>
      </w:r>
      <w:r w:rsidR="002A0A11">
        <w:rPr>
          <w:rFonts w:ascii="Times New Roman" w:hAnsi="Times New Roman" w:cs="Times New Roman"/>
          <w:noProof/>
          <w:sz w:val="18"/>
          <w:szCs w:val="18"/>
        </w:rPr>
        <w:t>3</w:t>
      </w:r>
      <w:r w:rsidRPr="007D6ADF">
        <w:rPr>
          <w:rFonts w:ascii="Times New Roman" w:hAnsi="Times New Roman" w:cs="Times New Roman"/>
          <w:sz w:val="18"/>
          <w:szCs w:val="18"/>
        </w:rPr>
        <w:fldChar w:fldCharType="end"/>
      </w:r>
      <w:bookmarkEnd w:id="29"/>
      <w:r w:rsidRPr="007D6ADF">
        <w:rPr>
          <w:rFonts w:ascii="Times New Roman" w:hAnsi="Times New Roman" w:cs="Times New Roman"/>
          <w:sz w:val="18"/>
          <w:szCs w:val="18"/>
        </w:rPr>
        <w:t xml:space="preserve">: </w:t>
      </w:r>
      <w:bookmarkEnd w:id="30"/>
      <w:r w:rsidRPr="007D6ADF">
        <w:rPr>
          <w:rFonts w:ascii="Times New Roman" w:hAnsi="Times New Roman" w:cs="Times New Roman"/>
          <w:sz w:val="18"/>
          <w:szCs w:val="18"/>
        </w:rPr>
        <w:t>Directed Acyclic Graph showing the confounding structure. Covariates X affect both treatment D (through m(X)) and outcome Y (through g(X)), while the causal effect of interest is θ (from D to Y).</w:t>
      </w:r>
    </w:p>
    <w:p w14:paraId="78721222" w14:textId="4D9294C0" w:rsidR="007A1B5D" w:rsidRPr="007A1B5D" w:rsidRDefault="007A1B5D" w:rsidP="00B83798">
      <w:pPr>
        <w:pStyle w:val="BodyText"/>
        <w:spacing w:line="360" w:lineRule="auto"/>
        <w:ind w:firstLine="708"/>
        <w:jc w:val="both"/>
      </w:pPr>
      <w:r w:rsidRPr="007A1B5D">
        <w:t xml:space="preserve">Obtaining an unbiased estimate of </w:t>
      </w:r>
      <m:oMath>
        <m:r>
          <m:rPr>
            <m:sty m:val="p"/>
          </m:rPr>
          <w:rPr>
            <w:rFonts w:ascii="Cambria Math" w:hAnsi="Cambria Math"/>
          </w:rPr>
          <m:t>θ</m:t>
        </m:r>
      </m:oMath>
      <w:r w:rsidRPr="007A1B5D">
        <w:t xml:space="preserve"> requires properly controlling for the confounding influence of </w:t>
      </w:r>
      <m:oMath>
        <m:r>
          <m:rPr>
            <m:sty m:val="p"/>
          </m:rPr>
          <w:rPr>
            <w:rFonts w:ascii="Cambria Math" w:hAnsi="Cambria Math"/>
          </w:rPr>
          <m:t>X</m:t>
        </m:r>
      </m:oMath>
      <w:r w:rsidRPr="007A1B5D">
        <w:t xml:space="preserve">. The challenge lies in doing so when the functional forms </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oMath>
      <w:r w:rsidRPr="007A1B5D">
        <w:t xml:space="preserve"> and </w:t>
      </w:r>
      <m:oMath>
        <m:r>
          <m:rPr>
            <m:sty m:val="p"/>
          </m:rPr>
          <w:rPr>
            <w:rFonts w:ascii="Cambria Math" w:hAnsi="Cambria Math"/>
          </w:rPr>
          <m:t>m</m:t>
        </m:r>
        <m:d>
          <m:dPr>
            <m:ctrlPr>
              <w:rPr>
                <w:rFonts w:ascii="Cambria Math" w:hAnsi="Cambria Math"/>
              </w:rPr>
            </m:ctrlPr>
          </m:dPr>
          <m:e>
            <m:r>
              <m:rPr>
                <m:sty m:val="p"/>
              </m:rPr>
              <w:rPr>
                <w:rFonts w:ascii="Cambria Math" w:hAnsi="Cambria Math"/>
              </w:rPr>
              <m:t>X</m:t>
            </m:r>
          </m:e>
        </m:d>
      </m:oMath>
      <w:r w:rsidRPr="007A1B5D">
        <w:t xml:space="preserve"> are unknown and potentially complex, making traditional parametric approaches inadequate.</w:t>
      </w:r>
    </w:p>
    <w:p w14:paraId="4B2E8C13" w14:textId="263DFA9B" w:rsidR="007A1B5D" w:rsidRPr="00404256" w:rsidRDefault="00404256" w:rsidP="00BF697B">
      <w:pPr>
        <w:pStyle w:val="Heading3"/>
      </w:pPr>
      <w:bookmarkStart w:id="31" w:name="_Toc227873384"/>
      <w:bookmarkStart w:id="32" w:name="X339a5139463784add8f3273704147ef254e6a14"/>
      <w:bookmarkEnd w:id="28"/>
      <w:r>
        <w:t xml:space="preserve">3.2.3. </w:t>
      </w:r>
      <w:r w:rsidR="007A1B5D" w:rsidRPr="00404256">
        <w:t xml:space="preserve">Theoretical Solution Through </w:t>
      </w:r>
      <w:r w:rsidR="007A1B5D" w:rsidRPr="00BF697B">
        <w:t>Orthogonalization</w:t>
      </w:r>
      <w:bookmarkEnd w:id="31"/>
    </w:p>
    <w:p w14:paraId="53C09A21"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DML framework addresses the confounding problem by building on the Frisch-Waugh-Lovell theorem from econometrics.</w:t>
      </w:r>
    </w:p>
    <w:p w14:paraId="1EE5CD0A" w14:textId="5F5DFBCC" w:rsidR="007A1B5D" w:rsidRPr="007A1B5D" w:rsidRDefault="007A1B5D" w:rsidP="00B83798">
      <w:pPr>
        <w:pStyle w:val="BodyText"/>
        <w:spacing w:line="360" w:lineRule="auto"/>
        <w:ind w:firstLine="708"/>
        <w:jc w:val="both"/>
      </w:pPr>
      <w:r w:rsidRPr="007A1B5D">
        <w:t xml:space="preserve">This theorem demonstrates that estimating a parameter in a multivariate regression can be accomplished by first residualizing all variables with respect to the controls. Applying this principle to our partially linear model yields an estimating equation for </w:t>
      </w:r>
      <m:oMath>
        <m:r>
          <m:rPr>
            <m:sty m:val="p"/>
          </m:rPr>
          <w:rPr>
            <w:rFonts w:ascii="Cambria Math" w:hAnsi="Cambria Math"/>
          </w:rPr>
          <m:t>θ</m:t>
        </m:r>
      </m:oMath>
      <w:r w:rsidRPr="007A1B5D">
        <w:t xml:space="preserve"> that is free from dependence on the nuisance functions </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oMath>
      <w:r w:rsidRPr="007A1B5D">
        <w:t xml:space="preserve"> and </w:t>
      </w:r>
      <m:oMath>
        <m:r>
          <m:rPr>
            <m:sty m:val="p"/>
          </m:rPr>
          <w:rPr>
            <w:rFonts w:ascii="Cambria Math" w:hAnsi="Cambria Math"/>
          </w:rPr>
          <m:t>m</m:t>
        </m:r>
        <m:d>
          <m:dPr>
            <m:ctrlPr>
              <w:rPr>
                <w:rFonts w:ascii="Cambria Math" w:hAnsi="Cambria Math"/>
              </w:rPr>
            </m:ctrlPr>
          </m:dPr>
          <m:e>
            <m:r>
              <m:rPr>
                <m:sty m:val="p"/>
              </m:rPr>
              <w:rPr>
                <w:rFonts w:ascii="Cambria Math" w:hAnsi="Cambria Math"/>
              </w:rPr>
              <m:t>X</m:t>
            </m:r>
          </m:e>
        </m:d>
      </m:oMath>
      <w:r w:rsidRPr="007A1B5D">
        <w:t>.</w:t>
      </w:r>
    </w:p>
    <w:p w14:paraId="70F7C56F" w14:textId="7AA50D48" w:rsidR="007A1B5D" w:rsidRPr="007A1B5D" w:rsidRDefault="007A1B5D" w:rsidP="00B83798">
      <w:pPr>
        <w:pStyle w:val="BodyText"/>
        <w:spacing w:line="360" w:lineRule="auto"/>
        <w:ind w:firstLine="708"/>
        <w:jc w:val="both"/>
      </w:pPr>
      <w:r w:rsidRPr="007A1B5D">
        <w:t xml:space="preserve">Start with the outcome model: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m:rPr>
            <m:sty m:val="p"/>
          </m:rPr>
          <w:rPr>
            <w:rFonts w:ascii="Cambria Math" w:hAnsi="Cambria Math"/>
          </w:rPr>
          <m:t>=θ</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m:t>
            </m:r>
          </m:sub>
        </m:sSub>
      </m:oMath>
      <w:r w:rsidRPr="007A1B5D">
        <w:t xml:space="preserve"> and take the conditional expectation of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oMath>
      <w:r w:rsidRPr="007A1B5D">
        <w:t xml:space="preserve"> given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oMath>
      <w:r w:rsidRPr="007A1B5D">
        <w:t>:</w:t>
      </w:r>
    </w:p>
    <w:p w14:paraId="11B58265" w14:textId="7D48B914" w:rsidR="00002FB9" w:rsidRPr="00002FB9" w:rsidRDefault="00000000" w:rsidP="007A1B5D">
      <w:pPr>
        <w:pStyle w:val="BodyText"/>
        <w:spacing w:line="360" w:lineRule="auto"/>
        <w:jc w:val="both"/>
      </w:pPr>
      <m:oMathPara>
        <m:oMath>
          <m:eqArr>
            <m:eqArrPr>
              <m:maxDist m:val="1"/>
              <m:ctrlPr>
                <w:rPr>
                  <w:rFonts w:ascii="Cambria Math" w:hAnsi="Cambria Math"/>
                  <w:i/>
                </w:rPr>
              </m:ctrlPr>
            </m:eqArrP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 xml:space="preserve"> </m:t>
                  </m:r>
                </m:e>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3.3</m:t>
                  </m:r>
                </m:e>
              </m:d>
              <m:ctrlPr>
                <w:rPr>
                  <w:rFonts w:ascii="Cambria Math" w:hAnsi="Cambria Math"/>
                  <w:i/>
                  <w:iCs/>
                </w:rPr>
              </m:ctrlPr>
            </m:e>
          </m:eqArr>
        </m:oMath>
      </m:oMathPara>
    </w:p>
    <w:p w14:paraId="703729E6" w14:textId="5635B625"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t>a</w:t>
      </w:r>
      <w:r w:rsidR="007A1B5D" w:rsidRPr="007A1B5D">
        <w:rPr>
          <w:rFonts w:ascii="Times New Roman" w:hAnsi="Times New Roman" w:cs="Times New Roman"/>
        </w:rPr>
        <w:t xml:space="preserve">ssuming </w:t>
      </w:r>
      <m:oMath>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ϵ</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0</m:t>
        </m:r>
      </m:oMath>
      <w:r w:rsidR="007A1B5D" w:rsidRPr="007A1B5D">
        <w:rPr>
          <w:rFonts w:ascii="Times New Roman" w:hAnsi="Times New Roman" w:cs="Times New Roman"/>
        </w:rPr>
        <w:t xml:space="preserve"> and since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 xml:space="preserve"> is a function of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m:t>
            </m:r>
          </m:sub>
        </m:sSub>
      </m:oMath>
      <w:r w:rsidR="007A1B5D" w:rsidRPr="007A1B5D">
        <w:rPr>
          <w:rFonts w:ascii="Times New Roman" w:hAnsi="Times New Roman" w:cs="Times New Roman"/>
        </w:rPr>
        <w:t xml:space="preserve">, </w:t>
      </w:r>
      <m:oMath>
        <m:r>
          <m:rPr>
            <m:sty m:val="p"/>
          </m:rPr>
          <w:rPr>
            <w:rFonts w:ascii="Cambria Math" w:hAnsi="Cambria Math" w:cs="Times New Roman"/>
          </w:rPr>
          <m:t>E</m:t>
        </m:r>
        <m:d>
          <m:dPr>
            <m:begChr m:val="["/>
            <m:endChr m:val="]"/>
            <m:ctrlPr>
              <w:rPr>
                <w:rFonts w:ascii="Cambria Math" w:hAnsi="Cambria Math" w:cs="Times New Roman"/>
              </w:rPr>
            </m:ctrlPr>
          </m:dPr>
          <m:e>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w:t>
      </w:r>
    </w:p>
    <w:p w14:paraId="6BAFC7C6" w14:textId="72C5C2D3"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θE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3.4</m:t>
                  </m:r>
                </m:e>
              </m:d>
            </m:e>
          </m:eqArr>
        </m:oMath>
      </m:oMathPara>
    </w:p>
    <w:p w14:paraId="72A65038" w14:textId="4ED5213D"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t>t</w:t>
      </w:r>
      <w:r w:rsidR="007A1B5D" w:rsidRPr="007A1B5D">
        <w:rPr>
          <w:rFonts w:ascii="Times New Roman" w:hAnsi="Times New Roman" w:cs="Times New Roman"/>
        </w:rPr>
        <w:t xml:space="preserve">his gives us an expression for the confounder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w:t>
      </w:r>
    </w:p>
    <w:p w14:paraId="38B10914" w14:textId="23FAF640"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θE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3.5</m:t>
                  </m:r>
                </m:e>
              </m:d>
            </m:e>
          </m:eqArr>
        </m:oMath>
      </m:oMathPara>
    </w:p>
    <w:p w14:paraId="1D5E0548" w14:textId="159FA796"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t>n</w:t>
      </w:r>
      <w:r w:rsidR="007A1B5D" w:rsidRPr="007A1B5D">
        <w:rPr>
          <w:rFonts w:ascii="Times New Roman" w:hAnsi="Times New Roman" w:cs="Times New Roman"/>
        </w:rPr>
        <w:t xml:space="preserve">ow, substitute this expression for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 xml:space="preserve"> back into the original outcome model:</w:t>
      </w:r>
    </w:p>
    <w:p w14:paraId="4F9DEC8E" w14:textId="5F8F39EE"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m:rPr>
                  <m:sty m:val="p"/>
                </m:rPr>
                <w:rPr>
                  <w:rFonts w:ascii="Cambria Math" w:hAnsi="Cambria Math"/>
                </w:rPr>
                <m:t>=θ</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θE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3.6</m:t>
                  </m:r>
                </m:e>
              </m:d>
            </m:e>
          </m:eqArr>
        </m:oMath>
      </m:oMathPara>
    </w:p>
    <w:p w14:paraId="267303D9" w14:textId="2226E9F0" w:rsidR="007A1B5D" w:rsidRPr="007A1B5D" w:rsidRDefault="00247F2B" w:rsidP="007A1B5D">
      <w:pPr>
        <w:pStyle w:val="FirstParagraph"/>
        <w:spacing w:line="360" w:lineRule="auto"/>
        <w:jc w:val="both"/>
        <w:rPr>
          <w:rFonts w:ascii="Times New Roman" w:hAnsi="Times New Roman" w:cs="Times New Roman"/>
        </w:rPr>
      </w:pPr>
      <w:r>
        <w:rPr>
          <w:rFonts w:ascii="Times New Roman" w:hAnsi="Times New Roman" w:cs="Times New Roman"/>
        </w:rPr>
        <w:t>f</w:t>
      </w:r>
      <w:r w:rsidR="007A1B5D" w:rsidRPr="007A1B5D">
        <w:rPr>
          <w:rFonts w:ascii="Times New Roman" w:hAnsi="Times New Roman" w:cs="Times New Roman"/>
        </w:rPr>
        <w:t xml:space="preserve">inally, rearrange the terms to isolate </w:t>
      </w:r>
      <m:oMath>
        <m:r>
          <m:rPr>
            <m:sty m:val="p"/>
          </m:rPr>
          <w:rPr>
            <w:rFonts w:ascii="Cambria Math" w:hAnsi="Cambria Math" w:cs="Times New Roman"/>
          </w:rPr>
          <m:t>Y</m:t>
        </m:r>
      </m:oMath>
      <w:r w:rsidR="007A1B5D" w:rsidRPr="007A1B5D">
        <w:rPr>
          <w:rFonts w:ascii="Times New Roman" w:hAnsi="Times New Roman" w:cs="Times New Roman"/>
        </w:rPr>
        <w:t xml:space="preserve"> and </w:t>
      </w:r>
      <m:oMath>
        <m:r>
          <m:rPr>
            <m:sty m:val="p"/>
          </m:rPr>
          <w:rPr>
            <w:rFonts w:ascii="Cambria Math" w:hAnsi="Cambria Math" w:cs="Times New Roman"/>
          </w:rPr>
          <m:t>D</m:t>
        </m:r>
      </m:oMath>
      <w:r w:rsidR="007A1B5D" w:rsidRPr="007A1B5D">
        <w:rPr>
          <w:rFonts w:ascii="Times New Roman" w:hAnsi="Times New Roman" w:cs="Times New Roman"/>
        </w:rPr>
        <w:t xml:space="preserve"> from their conditional expectations:</w:t>
      </w:r>
    </w:p>
    <w:p w14:paraId="00514459" w14:textId="1C13C207"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3.7</m:t>
                  </m:r>
                </m:e>
              </m:d>
            </m:e>
          </m:eqArr>
        </m:oMath>
      </m:oMathPara>
    </w:p>
    <w:p w14:paraId="0A73B7AE" w14:textId="1B5F07DB" w:rsidR="007A1B5D" w:rsidRPr="007A1B5D" w:rsidRDefault="00247F2B" w:rsidP="00247F2B">
      <w:pPr>
        <w:pStyle w:val="FirstParagraph"/>
        <w:spacing w:line="360" w:lineRule="auto"/>
        <w:jc w:val="both"/>
        <w:rPr>
          <w:rFonts w:ascii="Times New Roman" w:hAnsi="Times New Roman" w:cs="Times New Roman"/>
        </w:rPr>
      </w:pPr>
      <w:r>
        <w:rPr>
          <w:rFonts w:ascii="Times New Roman" w:hAnsi="Times New Roman" w:cs="Times New Roman"/>
        </w:rPr>
        <w:t>l</w:t>
      </w:r>
      <w:r w:rsidR="007A1B5D" w:rsidRPr="007A1B5D">
        <w:rPr>
          <w:rFonts w:ascii="Times New Roman" w:hAnsi="Times New Roman" w:cs="Times New Roman"/>
        </w:rPr>
        <w:t xml:space="preserve">et’s define our residuals: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 xml:space="preserve"> (The “residualized” outcome)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D</m:t>
                </m:r>
              </m:e>
            </m:acc>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7A1B5D" w:rsidRPr="007A1B5D">
        <w:rPr>
          <w:rFonts w:ascii="Times New Roman" w:hAnsi="Times New Roman" w:cs="Times New Roman"/>
        </w:rPr>
        <w:t xml:space="preserve"> (The “residualized” treatment). Then our equation becomes:</w:t>
      </w:r>
    </w:p>
    <w:p w14:paraId="51C0C1A2" w14:textId="5B9FDDE1"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r>
                <m:rPr>
                  <m:sty m:val="p"/>
                </m:rP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ctrlPr>
                    <w:rPr>
                      <w:rFonts w:ascii="Cambria Math" w:hAnsi="Cambria Math"/>
                      <w:i/>
                    </w:rPr>
                  </m:ctrlP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3.8</m:t>
                  </m:r>
                </m:e>
              </m:d>
            </m:e>
          </m:eqArr>
        </m:oMath>
      </m:oMathPara>
    </w:p>
    <w:p w14:paraId="678AF81B" w14:textId="1236B176"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This transformation represents the central theoretical insight of the framework. The complex partially linear model reduces to a simple linear regression in </w:t>
      </w:r>
      <w:proofErr w:type="spellStart"/>
      <w:r w:rsidRPr="007A1B5D">
        <w:rPr>
          <w:rFonts w:ascii="Times New Roman" w:hAnsi="Times New Roman" w:cs="Times New Roman"/>
        </w:rPr>
        <w:t>residualized</w:t>
      </w:r>
      <w:proofErr w:type="spellEnd"/>
      <w:r w:rsidRPr="007A1B5D">
        <w:rPr>
          <w:rFonts w:ascii="Times New Roman" w:hAnsi="Times New Roman" w:cs="Times New Roman"/>
        </w:rPr>
        <w:t xml:space="preserve"> variables. If the true residuals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ctrlPr>
              <w:rPr>
                <w:rFonts w:ascii="Cambria Math" w:hAnsi="Cambria Math" w:cs="Times New Roman"/>
                <w:i/>
              </w:rPr>
            </m:ctrlPr>
          </m:e>
          <m:sub>
            <m:r>
              <w:rPr>
                <w:rFonts w:ascii="Cambria Math" w:hAnsi="Cambria Math" w:cs="Times New Roman"/>
              </w:rPr>
              <m:t>i</m:t>
            </m:r>
          </m:sub>
        </m:sSub>
      </m:oMath>
      <w:r w:rsidRPr="007A1B5D">
        <w:rPr>
          <w:rFonts w:ascii="Times New Roman" w:hAnsi="Times New Roman"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D</m:t>
                </m:r>
              </m:e>
            </m:acc>
            <m:ctrlPr>
              <w:rPr>
                <w:rFonts w:ascii="Cambria Math" w:hAnsi="Cambria Math" w:cs="Times New Roman"/>
                <w:i/>
              </w:rPr>
            </m:ctrlPr>
          </m:e>
          <m:sub>
            <m:r>
              <w:rPr>
                <w:rFonts w:ascii="Cambria Math" w:hAnsi="Cambria Math" w:cs="Times New Roman"/>
              </w:rPr>
              <m:t>i</m:t>
            </m:r>
          </m:sub>
        </m:sSub>
      </m:oMath>
      <w:r w:rsidRPr="007A1B5D">
        <w:rPr>
          <w:rFonts w:ascii="Times New Roman" w:hAnsi="Times New Roman" w:cs="Times New Roman"/>
        </w:rPr>
        <w:t xml:space="preserve"> were available, unbiased estimation of </w:t>
      </w:r>
      <m:oMath>
        <m:r>
          <m:rPr>
            <m:sty m:val="p"/>
          </m:rPr>
          <w:rPr>
            <w:rFonts w:ascii="Cambria Math" w:hAnsi="Cambria Math" w:cs="Times New Roman"/>
          </w:rPr>
          <m:t>θ</m:t>
        </m:r>
      </m:oMath>
      <w:r w:rsidRPr="007A1B5D">
        <w:rPr>
          <w:rFonts w:ascii="Times New Roman" w:hAnsi="Times New Roman" w:cs="Times New Roman"/>
        </w:rPr>
        <w:t xml:space="preserve"> would follow directly from regressing </w:t>
      </w:r>
      <m:oMath>
        <m:acc>
          <m:accPr>
            <m:chr m:val="̃"/>
            <m:ctrlPr>
              <w:rPr>
                <w:rFonts w:ascii="Cambria Math" w:hAnsi="Cambria Math" w:cs="Times New Roman"/>
              </w:rPr>
            </m:ctrlPr>
          </m:accPr>
          <m:e>
            <m:r>
              <w:rPr>
                <w:rFonts w:ascii="Cambria Math" w:hAnsi="Cambria Math" w:cs="Times New Roman"/>
              </w:rPr>
              <m:t>Y</m:t>
            </m:r>
          </m:e>
        </m:acc>
      </m:oMath>
      <w:r w:rsidRPr="007A1B5D">
        <w:rPr>
          <w:rFonts w:ascii="Times New Roman" w:hAnsi="Times New Roman" w:cs="Times New Roman"/>
        </w:rPr>
        <w:t xml:space="preserve"> on </w:t>
      </w:r>
      <m:oMath>
        <m:acc>
          <m:accPr>
            <m:chr m:val="̃"/>
            <m:ctrlPr>
              <w:rPr>
                <w:rFonts w:ascii="Cambria Math" w:hAnsi="Cambria Math" w:cs="Times New Roman"/>
              </w:rPr>
            </m:ctrlPr>
          </m:accPr>
          <m:e>
            <m:r>
              <w:rPr>
                <w:rFonts w:ascii="Cambria Math" w:hAnsi="Cambria Math" w:cs="Times New Roman"/>
              </w:rPr>
              <m:t>D</m:t>
            </m:r>
          </m:e>
        </m:acc>
      </m:oMath>
      <w:r w:rsidRPr="007A1B5D">
        <w:rPr>
          <w:rFonts w:ascii="Times New Roman" w:hAnsi="Times New Roman" w:cs="Times New Roman"/>
        </w:rPr>
        <w:t>. The remaining challenge is that the conditional expectations required to compute these residuals are unknown in practice, motivating the use of machine learning for their estimation.</w:t>
      </w:r>
    </w:p>
    <w:p w14:paraId="595D0909" w14:textId="446544B5" w:rsidR="007A1B5D" w:rsidRPr="00385CC7" w:rsidRDefault="00404256" w:rsidP="00EB6242">
      <w:pPr>
        <w:pStyle w:val="Heading2"/>
      </w:pPr>
      <w:bookmarkStart w:id="33" w:name="_Toc227873385"/>
      <w:bookmarkStart w:id="34" w:name="Xb9345789188fc1832d67251f7756d71635e040a"/>
      <w:bookmarkEnd w:id="24"/>
      <w:bookmarkEnd w:id="32"/>
      <w:r w:rsidRPr="00385CC7">
        <w:t xml:space="preserve">3.3. </w:t>
      </w:r>
      <w:r w:rsidR="007A1B5D" w:rsidRPr="00385CC7">
        <w:t>Practical Implementation with Machine Learning</w:t>
      </w:r>
      <w:bookmarkEnd w:id="33"/>
    </w:p>
    <w:p w14:paraId="61308751" w14:textId="1B83E256"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true conditional expectation functions </w:t>
      </w:r>
      <m:oMath>
        <m:r>
          <m:rPr>
            <m:sty m:val="p"/>
          </m:rPr>
          <w:rPr>
            <w:rFonts w:ascii="Cambria Math" w:hAnsi="Cambria Math" w:cs="Times New Roman"/>
          </w:rPr>
          <m:t>E</m:t>
        </m:r>
        <m:d>
          <m:dPr>
            <m:begChr m:val="["/>
            <m:endChr m:val="]"/>
            <m:ctrlPr>
              <w:rPr>
                <w:rFonts w:ascii="Cambria Math" w:hAnsi="Cambria Math" w:cs="Times New Roman"/>
              </w:rPr>
            </m:ctrlPr>
          </m:dPr>
          <m:e>
            <m:r>
              <m:rPr>
                <m:sty m:val="p"/>
              </m:rPr>
              <w:rPr>
                <w:rFonts w:ascii="Cambria Math" w:hAnsi="Cambria Math" w:cs="Times New Roman"/>
              </w:rPr>
              <m:t>Y</m:t>
            </m:r>
          </m:e>
          <m:e>
            <m:r>
              <m:rPr>
                <m:sty m:val="p"/>
              </m:rPr>
              <w:rPr>
                <w:rFonts w:ascii="Cambria Math" w:hAnsi="Cambria Math" w:cs="Times New Roman"/>
              </w:rPr>
              <m:t>X</m:t>
            </m:r>
          </m:e>
        </m:d>
      </m:oMath>
      <w:r w:rsidRPr="007A1B5D">
        <w:rPr>
          <w:rFonts w:ascii="Times New Roman" w:hAnsi="Times New Roman" w:cs="Times New Roman"/>
        </w:rPr>
        <w:t xml:space="preserve"> and </w:t>
      </w:r>
      <m:oMath>
        <m:r>
          <m:rPr>
            <m:sty m:val="p"/>
          </m:rPr>
          <w:rPr>
            <w:rFonts w:ascii="Cambria Math" w:hAnsi="Cambria Math" w:cs="Times New Roman"/>
          </w:rPr>
          <m:t>E</m:t>
        </m:r>
        <m:d>
          <m:dPr>
            <m:begChr m:val="["/>
            <m:endChr m:val="]"/>
            <m:ctrlPr>
              <w:rPr>
                <w:rFonts w:ascii="Cambria Math" w:hAnsi="Cambria Math" w:cs="Times New Roman"/>
              </w:rPr>
            </m:ctrlPr>
          </m:dPr>
          <m:e>
            <m:r>
              <m:rPr>
                <m:sty m:val="p"/>
              </m:rPr>
              <w:rPr>
                <w:rFonts w:ascii="Cambria Math" w:hAnsi="Cambria Math" w:cs="Times New Roman"/>
              </w:rPr>
              <m:t>D</m:t>
            </m:r>
          </m:e>
          <m:e>
            <m:r>
              <m:rPr>
                <m:sty m:val="p"/>
              </m:rPr>
              <w:rPr>
                <w:rFonts w:ascii="Cambria Math" w:hAnsi="Cambria Math" w:cs="Times New Roman"/>
              </w:rPr>
              <m:t>X</m:t>
            </m:r>
          </m:e>
        </m:d>
      </m:oMath>
      <w:r w:rsidRPr="007A1B5D">
        <w:rPr>
          <w:rFonts w:ascii="Times New Roman" w:hAnsi="Times New Roman" w:cs="Times New Roman"/>
        </w:rPr>
        <w:t xml:space="preserve"> are unknown in practice and may exhibit complex, nonlinear relationships with the covariates. The key innovation of Double Machine Learning is to estimate these nuisance functions using flexible machine learning algorithms designed for predictive accuracy.</w:t>
      </w:r>
    </w:p>
    <w:p w14:paraId="1DC42198" w14:textId="1BE87FD7" w:rsidR="007A1B5D" w:rsidRPr="007A1B5D" w:rsidRDefault="007A1B5D" w:rsidP="00B83798">
      <w:pPr>
        <w:pStyle w:val="BodyText"/>
        <w:spacing w:line="360" w:lineRule="auto"/>
        <w:ind w:firstLine="708"/>
        <w:jc w:val="both"/>
      </w:pPr>
      <w:r w:rsidRPr="007A1B5D">
        <w:t xml:space="preserve">Specifically, </w:t>
      </w:r>
      <m:oMath>
        <m:acc>
          <m:accPr>
            <m:ctrlPr>
              <w:rPr>
                <w:rFonts w:ascii="Cambria Math" w:hAnsi="Cambria Math"/>
              </w:rPr>
            </m:ctrlPr>
          </m:accPr>
          <m:e>
            <m:r>
              <w:rPr>
                <w:rFonts w:ascii="Cambria Math" w:hAnsi="Cambria Math"/>
              </w:rPr>
              <m:t>l</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is estimated as a machine learning approximation of </w:t>
      </w:r>
      <m:oMath>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typically framed as a regression task since outcomes are often continuous. Similarly, </w:t>
      </w:r>
      <m:oMath>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is estimated as an approximation of </w:t>
      </w:r>
      <m:oMath>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which represents the propensity score </w:t>
      </w:r>
      <m:oMath>
        <m:r>
          <m:rPr>
            <m:sty m:val="p"/>
          </m:rP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rsidRPr="007A1B5D">
        <w:t xml:space="preserve"> and is typically framed as a classification task when treatment is binary.</w:t>
      </w:r>
    </w:p>
    <w:p w14:paraId="08497EAB" w14:textId="77777777" w:rsidR="007A1B5D" w:rsidRPr="007A1B5D" w:rsidRDefault="007A1B5D" w:rsidP="00B83798">
      <w:pPr>
        <w:pStyle w:val="BodyText"/>
        <w:spacing w:line="360" w:lineRule="auto"/>
        <w:ind w:firstLine="708"/>
        <w:jc w:val="both"/>
      </w:pPr>
      <w:r w:rsidRPr="007A1B5D">
        <w:t xml:space="preserve">The term “double” in Double Machine Learning refers to this dual use of machine learning: once for modeling the outcome and once for modeling the treatment assignment. The framework is agnostic to the specific machine learning algorithm employed, allowing </w:t>
      </w:r>
      <w:r w:rsidRPr="007A1B5D">
        <w:lastRenderedPageBreak/>
        <w:t>researchers to use Random Forests, Gradient Boosting, Neural Networks, or any other suitable method depending on the data structure and performance considerations.</w:t>
      </w:r>
    </w:p>
    <w:p w14:paraId="068D0D50" w14:textId="77777777" w:rsidR="007A1B5D" w:rsidRPr="007A1B5D" w:rsidRDefault="007A1B5D" w:rsidP="00B83798">
      <w:pPr>
        <w:pStyle w:val="BodyText"/>
        <w:spacing w:line="360" w:lineRule="auto"/>
        <w:ind w:firstLine="708"/>
        <w:jc w:val="both"/>
      </w:pPr>
      <w:r w:rsidRPr="007A1B5D">
        <w:t>The estimated residuals are then computed:</w:t>
      </w:r>
    </w:p>
    <w:p w14:paraId="60CDA706" w14:textId="47E7C50A" w:rsidR="00DC6026" w:rsidRPr="00DC6026" w:rsidRDefault="00000000" w:rsidP="007A1B5D">
      <w:pPr>
        <w:pStyle w:val="BodyText"/>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l</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m:t>
              </m:r>
              <m:r>
                <m:rPr>
                  <m:nor/>
                </m:rPr>
                <m:t>and</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3.9</m:t>
                  </m:r>
                </m:e>
              </m:d>
            </m:e>
          </m:eqArr>
        </m:oMath>
      </m:oMathPara>
    </w:p>
    <w:p w14:paraId="178EC4F0" w14:textId="04C811A9" w:rsidR="007A1B5D" w:rsidRPr="007A1B5D" w:rsidRDefault="00B83798" w:rsidP="007A1B5D">
      <w:pPr>
        <w:pStyle w:val="FirstParagraph"/>
        <w:spacing w:line="360" w:lineRule="auto"/>
        <w:jc w:val="both"/>
        <w:rPr>
          <w:rFonts w:ascii="Times New Roman" w:hAnsi="Times New Roman" w:cs="Times New Roman"/>
        </w:rPr>
      </w:pPr>
      <w:r>
        <w:rPr>
          <w:rFonts w:ascii="Times New Roman" w:hAnsi="Times New Roman" w:cs="Times New Roman"/>
        </w:rPr>
        <w:t>a</w:t>
      </w:r>
      <w:r w:rsidR="007A1B5D" w:rsidRPr="007A1B5D">
        <w:rPr>
          <w:rFonts w:ascii="Times New Roman" w:hAnsi="Times New Roman" w:cs="Times New Roman"/>
        </w:rPr>
        <w:t xml:space="preserve">nd finally, </w:t>
      </w:r>
      <m:oMath>
        <m:r>
          <m:rPr>
            <m:sty m:val="p"/>
          </m:rPr>
          <w:rPr>
            <w:rFonts w:ascii="Cambria Math" w:hAnsi="Cambria Math" w:cs="Times New Roman"/>
          </w:rPr>
          <m:t>θ</m:t>
        </m:r>
      </m:oMath>
      <w:r w:rsidR="007A1B5D" w:rsidRPr="007A1B5D">
        <w:rPr>
          <w:rFonts w:ascii="Times New Roman" w:hAnsi="Times New Roman" w:cs="Times New Roman"/>
        </w:rPr>
        <w:t xml:space="preserve"> is estimated using the simple linear regression:</w:t>
      </w:r>
    </w:p>
    <w:p w14:paraId="5CD39134" w14:textId="1A8A9F7B"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r>
                <m:rPr>
                  <m:sty m:val="p"/>
                </m:rPr>
                <w:rPr>
                  <w:rFonts w:ascii="Cambria Math" w:hAnsi="Cambria Math"/>
                </w:rPr>
                <m:t>=θ</m:t>
              </m:r>
              <m:sSub>
                <m:sSubPr>
                  <m:ctrlPr>
                    <w:rPr>
                      <w:rFonts w:ascii="Cambria Math" w:hAnsi="Cambria Math"/>
                    </w:rPr>
                  </m:ctrlPr>
                </m:sSubPr>
                <m:e>
                  <m:acc>
                    <m:accPr>
                      <m:ctrlPr>
                        <w:rPr>
                          <w:rFonts w:ascii="Cambria Math" w:hAnsi="Cambria Math"/>
                        </w:rPr>
                      </m:ctrlPr>
                    </m:accPr>
                    <m:e>
                      <m:r>
                        <w:rPr>
                          <w:rFonts w:ascii="Cambria Math" w:hAnsi="Cambria Math"/>
                        </w:rPr>
                        <m:t>D</m:t>
                      </m:r>
                    </m:e>
                  </m:acc>
                  <m:ctrlPr>
                    <w:rPr>
                      <w:rFonts w:ascii="Cambria Math" w:hAnsi="Cambria Math"/>
                      <w:i/>
                    </w:rPr>
                  </m:ctrlP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ϵ</m:t>
                      </m:r>
                    </m:e>
                  </m:acc>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3.10</m:t>
                  </m:r>
                </m:e>
              </m:d>
            </m:e>
          </m:eqArr>
        </m:oMath>
      </m:oMathPara>
    </w:p>
    <w:p w14:paraId="576BAAF6"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While this procedure is conceptually straightforward, using machine learning for nuisance function estimation introduces statistical complications that must be addressed to ensure valid inference. The following two subsections explain how the DML framework overcomes these challenges through cross-fitting and Neyman orthogonality.</w:t>
      </w:r>
    </w:p>
    <w:p w14:paraId="588A90E2" w14:textId="174A9A37" w:rsidR="007A1B5D" w:rsidRPr="00404256" w:rsidRDefault="00404256" w:rsidP="00BF697B">
      <w:pPr>
        <w:pStyle w:val="Heading3"/>
      </w:pPr>
      <w:bookmarkStart w:id="35" w:name="_Toc227873386"/>
      <w:bookmarkStart w:id="36" w:name="X8f9a5db641adbfac5ca534d93939efea8d6af7e"/>
      <w:r>
        <w:t xml:space="preserve">3.3.1. </w:t>
      </w:r>
      <w:r w:rsidR="007A1B5D" w:rsidRPr="00404256">
        <w:t>Cross-Fitting: Addressing Overfitting Bias</w:t>
      </w:r>
      <w:bookmarkEnd w:id="35"/>
    </w:p>
    <w:p w14:paraId="56E50F0F" w14:textId="6B957BA8"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Using the same observations to both train the machine learning models and estimate the final parameter </w:t>
      </w:r>
      <m:oMath>
        <m:r>
          <m:rPr>
            <m:sty m:val="p"/>
          </m:rPr>
          <w:rPr>
            <w:rFonts w:ascii="Cambria Math" w:hAnsi="Cambria Math" w:cs="Times New Roman"/>
          </w:rPr>
          <m:t>θ</m:t>
        </m:r>
      </m:oMath>
      <w:r w:rsidRPr="007A1B5D">
        <w:rPr>
          <w:rFonts w:ascii="Times New Roman" w:hAnsi="Times New Roman" w:cs="Times New Roman"/>
        </w:rPr>
        <w:t xml:space="preserve"> would introduce overfitting bias. The generated residuals would exhibit spurious correlation because the models were optimized using the very same observations for which residuals are being computed.</w:t>
      </w:r>
    </w:p>
    <w:p w14:paraId="2C7F8DF0" w14:textId="77777777" w:rsidR="007A1B5D" w:rsidRPr="007A1B5D" w:rsidRDefault="007A1B5D" w:rsidP="00B83798">
      <w:pPr>
        <w:pStyle w:val="BodyText"/>
        <w:spacing w:line="360" w:lineRule="auto"/>
        <w:ind w:firstLine="708"/>
        <w:jc w:val="both"/>
      </w:pPr>
      <w:r w:rsidRPr="007A1B5D">
        <w:t>Cross-fitting solves this problem through sample splitting. The procedure ensures that residuals for any observation are computed using models trained exclusively on different observations, thereby eliminating the overfitting link.</w:t>
      </w:r>
    </w:p>
    <w:p w14:paraId="347501B6" w14:textId="58C22507" w:rsidR="007A1B5D" w:rsidRPr="007A1B5D" w:rsidRDefault="007A1B5D" w:rsidP="00B83798">
      <w:pPr>
        <w:pStyle w:val="BodyText"/>
        <w:spacing w:line="360" w:lineRule="auto"/>
        <w:ind w:firstLine="708"/>
        <w:jc w:val="both"/>
      </w:pPr>
      <w:r w:rsidRPr="007A1B5D">
        <w:t xml:space="preserve">The procedure is most easily understood through a two-fold split, though K-fold cross-fitting generalizes naturally. First, randomly partition the dataset into two equal subsets. Second, train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ctrlPr>
              <w:rPr>
                <w:rFonts w:ascii="Cambria Math" w:hAnsi="Cambria Math"/>
                <w:i/>
              </w:rPr>
            </m:ctrlPr>
          </m:e>
          <m:sub>
            <m:r>
              <w:rPr>
                <w:rFonts w:ascii="Cambria Math" w:hAnsi="Cambria Math"/>
              </w:rPr>
              <m:t>1</m:t>
            </m:r>
          </m:sub>
        </m:sSub>
      </m:oMath>
      <w:r w:rsidRPr="007A1B5D">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ctrlPr>
              <w:rPr>
                <w:rFonts w:ascii="Cambria Math" w:hAnsi="Cambria Math"/>
                <w:i/>
              </w:rPr>
            </m:ctrlPr>
          </m:e>
          <m:sub>
            <m:r>
              <w:rPr>
                <w:rFonts w:ascii="Cambria Math" w:hAnsi="Cambria Math"/>
              </w:rPr>
              <m:t>1</m:t>
            </m:r>
          </m:sub>
        </m:sSub>
      </m:oMath>
      <w:r w:rsidRPr="007A1B5D">
        <w:t xml:space="preserve"> using only the first fold, then use these models to generate residuals for observations in the second fold. Third, train new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ctrlPr>
              <w:rPr>
                <w:rFonts w:ascii="Cambria Math" w:hAnsi="Cambria Math"/>
                <w:i/>
              </w:rPr>
            </m:ctrlPr>
          </m:e>
          <m:sub>
            <m:r>
              <w:rPr>
                <w:rFonts w:ascii="Cambria Math" w:hAnsi="Cambria Math"/>
              </w:rPr>
              <m:t>2</m:t>
            </m:r>
          </m:sub>
        </m:sSub>
      </m:oMath>
      <w:r w:rsidRPr="007A1B5D">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ctrlPr>
              <w:rPr>
                <w:rFonts w:ascii="Cambria Math" w:hAnsi="Cambria Math"/>
                <w:i/>
              </w:rPr>
            </m:ctrlPr>
          </m:e>
          <m:sub>
            <m:r>
              <w:rPr>
                <w:rFonts w:ascii="Cambria Math" w:hAnsi="Cambria Math"/>
              </w:rPr>
              <m:t>2</m:t>
            </m:r>
          </m:sub>
        </m:sSub>
      </m:oMath>
      <w:r w:rsidRPr="007A1B5D">
        <w:t xml:space="preserve"> using only the second fold, then generate residuals for observations in the first fold. Fourth, combine all residuals into a single dataset. Finally, estimate </w:t>
      </w:r>
      <m:oMath>
        <m:r>
          <m:rPr>
            <m:sty m:val="p"/>
          </m:rPr>
          <w:rPr>
            <w:rFonts w:ascii="Cambria Math" w:hAnsi="Cambria Math"/>
          </w:rPr>
          <m:t>θ</m:t>
        </m:r>
      </m:oMath>
      <w:r w:rsidRPr="007A1B5D">
        <w:t xml:space="preserve"> via ordinary least squares regression of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oMath>
      <w:r w:rsidRPr="007A1B5D">
        <w:t xml:space="preserve"> on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ctrlPr>
              <w:rPr>
                <w:rFonts w:ascii="Cambria Math" w:hAnsi="Cambria Math"/>
                <w:i/>
              </w:rPr>
            </m:ctrlPr>
          </m:e>
          <m:sub>
            <m:r>
              <w:rPr>
                <w:rFonts w:ascii="Cambria Math" w:hAnsi="Cambria Math"/>
              </w:rPr>
              <m:t>i</m:t>
            </m:r>
          </m:sub>
        </m:sSub>
      </m:oMath>
      <w:r w:rsidRPr="007A1B5D">
        <w:t xml:space="preserve"> using this complete set of residuals. This ensures that no observation contributes to both the training of its prediction model and the final parameter estimation, eliminating overfitting bias.</w:t>
      </w:r>
    </w:p>
    <w:p w14:paraId="07CF6E93" w14:textId="1F3CBC57" w:rsidR="007A1B5D" w:rsidRPr="00404256" w:rsidRDefault="00404256" w:rsidP="00BF697B">
      <w:pPr>
        <w:pStyle w:val="Heading3"/>
      </w:pPr>
      <w:bookmarkStart w:id="37" w:name="_Toc227873387"/>
      <w:bookmarkStart w:id="38" w:name="X9c0ab19f984da9832d338f387a26c655fc1b306"/>
      <w:bookmarkEnd w:id="36"/>
      <w:r>
        <w:lastRenderedPageBreak/>
        <w:t xml:space="preserve">3.3.2. </w:t>
      </w:r>
      <w:r w:rsidR="007A1B5D" w:rsidRPr="00404256">
        <w:t>Neyman Orthogonality: Addressing Estimation Bias</w:t>
      </w:r>
      <w:bookmarkEnd w:id="37"/>
    </w:p>
    <w:p w14:paraId="3BD1AD82" w14:textId="60828040"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Machine learning models optimize prediction accuracy rather than unbiased estimation of the true functions </w:t>
      </w:r>
      <m:oMath>
        <m:r>
          <m:rPr>
            <m:sty m:val="p"/>
          </m:rPr>
          <w:rPr>
            <w:rFonts w:ascii="Cambria Math" w:hAnsi="Cambria Math" w:cs="Times New Roman"/>
          </w:rPr>
          <m:t>l</m:t>
        </m:r>
        <m:d>
          <m:dPr>
            <m:ctrlPr>
              <w:rPr>
                <w:rFonts w:ascii="Cambria Math" w:hAnsi="Cambria Math" w:cs="Times New Roman"/>
              </w:rPr>
            </m:ctrlPr>
          </m:dPr>
          <m:e>
            <m:r>
              <m:rPr>
                <m:sty m:val="p"/>
              </m:rPr>
              <w:rPr>
                <w:rFonts w:ascii="Cambria Math" w:hAnsi="Cambria Math" w:cs="Times New Roman"/>
              </w:rPr>
              <m:t>X</m:t>
            </m:r>
          </m:e>
        </m:d>
      </m:oMath>
      <w:r w:rsidRPr="007A1B5D">
        <w:rPr>
          <w:rFonts w:ascii="Times New Roman" w:hAnsi="Times New Roman" w:cs="Times New Roman"/>
        </w:rPr>
        <w:t xml:space="preserve"> and </w:t>
      </w:r>
      <m:oMath>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X</m:t>
            </m:r>
          </m:e>
        </m:d>
      </m:oMath>
      <w:r w:rsidRPr="007A1B5D">
        <w:rPr>
          <w:rFonts w:ascii="Times New Roman" w:hAnsi="Times New Roman" w:cs="Times New Roman"/>
        </w:rPr>
        <w:t xml:space="preserve">. Regularization and other aspects of these algorithms inevitably introduce estimation bias in </w:t>
      </w:r>
      <m:oMath>
        <m:acc>
          <m:accPr>
            <m:ctrlPr>
              <w:rPr>
                <w:rFonts w:ascii="Cambria Math" w:hAnsi="Cambria Math" w:cs="Times New Roman"/>
              </w:rPr>
            </m:ctrlPr>
          </m:accPr>
          <m:e>
            <m:r>
              <w:rPr>
                <w:rFonts w:ascii="Cambria Math" w:hAnsi="Cambria Math" w:cs="Times New Roman"/>
              </w:rPr>
              <m:t>l</m:t>
            </m:r>
          </m:e>
        </m:acc>
      </m:oMath>
      <w:r w:rsidRPr="007A1B5D">
        <w:rPr>
          <w:rFonts w:ascii="Times New Roman" w:hAnsi="Times New Roman" w:cs="Times New Roman"/>
        </w:rPr>
        <w:t xml:space="preserve"> and </w:t>
      </w:r>
      <m:oMath>
        <m:acc>
          <m:accPr>
            <m:ctrlPr>
              <w:rPr>
                <w:rFonts w:ascii="Cambria Math" w:hAnsi="Cambria Math" w:cs="Times New Roman"/>
              </w:rPr>
            </m:ctrlPr>
          </m:accPr>
          <m:e>
            <m:r>
              <w:rPr>
                <w:rFonts w:ascii="Cambria Math" w:hAnsi="Cambria Math" w:cs="Times New Roman"/>
              </w:rPr>
              <m:t>m</m:t>
            </m:r>
          </m:e>
        </m:acc>
      </m:oMath>
      <w:r w:rsidRPr="007A1B5D">
        <w:rPr>
          <w:rFonts w:ascii="Times New Roman" w:hAnsi="Times New Roman" w:cs="Times New Roman"/>
        </w:rPr>
        <w:t xml:space="preserve">. A critical requirement is that this bias in the nuisance function estimates must not propagate into the final estimate of </w:t>
      </w:r>
      <m:oMath>
        <m:r>
          <m:rPr>
            <m:sty m:val="p"/>
          </m:rPr>
          <w:rPr>
            <w:rFonts w:ascii="Cambria Math" w:hAnsi="Cambria Math" w:cs="Times New Roman"/>
          </w:rPr>
          <m:t>θ</m:t>
        </m:r>
      </m:oMath>
      <w:r w:rsidRPr="007A1B5D">
        <w:rPr>
          <w:rFonts w:ascii="Times New Roman" w:hAnsi="Times New Roman" w:cs="Times New Roman"/>
        </w:rPr>
        <w:t>.</w:t>
      </w:r>
    </w:p>
    <w:p w14:paraId="75FA1F3A" w14:textId="422A6954" w:rsidR="007A1B5D" w:rsidRPr="007A1B5D" w:rsidRDefault="007A1B5D" w:rsidP="00B83798">
      <w:pPr>
        <w:pStyle w:val="BodyText"/>
        <w:spacing w:line="360" w:lineRule="auto"/>
        <w:ind w:firstLine="708"/>
        <w:jc w:val="both"/>
      </w:pPr>
      <w:r w:rsidRPr="007A1B5D">
        <w:t xml:space="preserve">Protection against this bias contamination comes from the structure of the estimating equation itself. The equation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r>
          <m:rPr>
            <m:sty m:val="p"/>
          </m:rP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ctrlPr>
              <w:rPr>
                <w:rFonts w:ascii="Cambria Math" w:hAnsi="Cambria Math"/>
                <w:i/>
              </w:rPr>
            </m:ctrlP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m:t>
            </m:r>
          </m:sub>
        </m:sSub>
      </m:oMath>
      <w:r w:rsidRPr="007A1B5D">
        <w:t xml:space="preserve">, derived through the Frisch-Waugh-Lovell approach, possesses a property called Neyman orthogonality. This means the estimate of </w:t>
      </w:r>
      <m:oMath>
        <m:r>
          <m:rPr>
            <m:sty m:val="p"/>
          </m:rPr>
          <w:rPr>
            <w:rFonts w:ascii="Cambria Math" w:hAnsi="Cambria Math"/>
          </w:rPr>
          <m:t>θ</m:t>
        </m:r>
      </m:oMath>
      <w:r w:rsidRPr="007A1B5D">
        <w:t xml:space="preserve"> is first-order insensitive to estimation errors in the nuisance functions. Because both the outcome and treatment have been residualized with respect to their conditional expectations, errors in estimating </w:t>
      </w:r>
      <m:oMath>
        <m:r>
          <m:rPr>
            <m:sty m:val="p"/>
          </m:rPr>
          <w:rPr>
            <w:rFonts w:ascii="Cambria Math" w:hAnsi="Cambria Math"/>
          </w:rPr>
          <m:t>l</m:t>
        </m:r>
        <m:d>
          <m:dPr>
            <m:ctrlPr>
              <w:rPr>
                <w:rFonts w:ascii="Cambria Math" w:hAnsi="Cambria Math"/>
              </w:rPr>
            </m:ctrlPr>
          </m:dPr>
          <m:e>
            <m:r>
              <m:rPr>
                <m:sty m:val="p"/>
              </m:rPr>
              <w:rPr>
                <w:rFonts w:ascii="Cambria Math" w:hAnsi="Cambria Math"/>
              </w:rPr>
              <m:t>X</m:t>
            </m:r>
          </m:e>
        </m:d>
      </m:oMath>
      <w:r w:rsidRPr="007A1B5D">
        <w:t xml:space="preserve"> and </w:t>
      </w:r>
      <m:oMath>
        <m:r>
          <m:rPr>
            <m:sty m:val="p"/>
          </m:rPr>
          <w:rPr>
            <w:rFonts w:ascii="Cambria Math" w:hAnsi="Cambria Math"/>
          </w:rPr>
          <m:t>m</m:t>
        </m:r>
        <m:d>
          <m:dPr>
            <m:ctrlPr>
              <w:rPr>
                <w:rFonts w:ascii="Cambria Math" w:hAnsi="Cambria Math"/>
              </w:rPr>
            </m:ctrlPr>
          </m:dPr>
          <m:e>
            <m:r>
              <m:rPr>
                <m:sty m:val="p"/>
              </m:rPr>
              <w:rPr>
                <w:rFonts w:ascii="Cambria Math" w:hAnsi="Cambria Math"/>
              </w:rPr>
              <m:t>X</m:t>
            </m:r>
          </m:e>
        </m:d>
      </m:oMath>
      <w:r w:rsidRPr="007A1B5D">
        <w:t xml:space="preserve"> effectively offset one another, leaving the estimate of </w:t>
      </w:r>
      <m:oMath>
        <m:r>
          <m:rPr>
            <m:sty m:val="p"/>
          </m:rPr>
          <w:rPr>
            <w:rFonts w:ascii="Cambria Math" w:hAnsi="Cambria Math"/>
          </w:rPr>
          <m:t>θ</m:t>
        </m:r>
      </m:oMath>
      <w:r w:rsidRPr="007A1B5D">
        <w:t xml:space="preserve"> asymptotically unbiased.</w:t>
      </w:r>
    </w:p>
    <w:p w14:paraId="178CED75" w14:textId="1BBB908B" w:rsidR="007A1B5D" w:rsidRPr="007A1B5D" w:rsidRDefault="007A1B5D" w:rsidP="00B83798">
      <w:pPr>
        <w:pStyle w:val="BodyText"/>
        <w:spacing w:line="360" w:lineRule="auto"/>
        <w:ind w:firstLine="708"/>
        <w:jc w:val="both"/>
      </w:pPr>
      <w:r w:rsidRPr="007A1B5D">
        <w:t xml:space="preserve">Neyman orthogonality is the theoretical foundation that enables the DML framework to combine flexible machine learning prediction with rigorous causal inference. It allows researchers to employ powerful but imperfect machine learning models for the nuisance functions while still obtaining statistically valid estimates of the causal parameter </w:t>
      </w:r>
      <m:oMath>
        <m:r>
          <m:rPr>
            <m:sty m:val="p"/>
          </m:rPr>
          <w:rPr>
            <w:rFonts w:ascii="Cambria Math" w:hAnsi="Cambria Math"/>
          </w:rPr>
          <m:t>θ</m:t>
        </m:r>
      </m:oMath>
      <w:r w:rsidRPr="007A1B5D">
        <w:t xml:space="preserve"> with proper asymptotic properties including consistency and asymptotic normality.</w:t>
      </w:r>
    </w:p>
    <w:p w14:paraId="147E5EE0" w14:textId="77777777" w:rsidR="007A1B5D" w:rsidRPr="007A1B5D" w:rsidRDefault="007A1B5D" w:rsidP="00B83798">
      <w:pPr>
        <w:pStyle w:val="BodyText"/>
        <w:spacing w:line="360" w:lineRule="auto"/>
        <w:ind w:firstLine="708"/>
        <w:jc w:val="both"/>
      </w:pPr>
      <w:r w:rsidRPr="007A1B5D">
        <w:t>Having established the general framework and the techniques that ensure valid inference, the discussion now turns to adapting this approach for Difference-in-Differences settings.</w:t>
      </w:r>
    </w:p>
    <w:p w14:paraId="4F0A61C9" w14:textId="32B4DC30" w:rsidR="007A1B5D" w:rsidRPr="00385CC7" w:rsidRDefault="00404256" w:rsidP="00EB6242">
      <w:pPr>
        <w:pStyle w:val="Heading2"/>
      </w:pPr>
      <w:bookmarkStart w:id="39" w:name="_Toc227873388"/>
      <w:bookmarkStart w:id="40" w:name="dml-for-difference-in-differences"/>
      <w:bookmarkEnd w:id="34"/>
      <w:bookmarkEnd w:id="38"/>
      <w:r w:rsidRPr="00385CC7">
        <w:t xml:space="preserve">3.4. </w:t>
      </w:r>
      <w:r w:rsidR="007A1B5D" w:rsidRPr="00385CC7">
        <w:t>DML for Difference-in-Differences</w:t>
      </w:r>
      <w:bookmarkEnd w:id="39"/>
    </w:p>
    <w:p w14:paraId="5C562E84"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DML framework extends naturally to Difference-in-Differences settings, where the goal is to estimate the Average Treatment Effect on the Treated in panel data with treatment and control groups observed over time. The core principles of orthogonalization, cross-fitting, and Neyman orthogonality remain central, but the specific implementation adapts to the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context where identification relies on parallel trends assumptions rather than selection on observables alone.</w:t>
      </w:r>
    </w:p>
    <w:p w14:paraId="71435744" w14:textId="77777777" w:rsidR="007A1B5D" w:rsidRPr="007A1B5D" w:rsidRDefault="007A1B5D" w:rsidP="00B83798">
      <w:pPr>
        <w:pStyle w:val="BodyText"/>
        <w:spacing w:line="360" w:lineRule="auto"/>
        <w:ind w:firstLine="708"/>
        <w:jc w:val="both"/>
      </w:pPr>
      <w:r w:rsidRPr="007A1B5D">
        <w:lastRenderedPageBreak/>
        <w:t xml:space="preserve">This section presents two applications of DML to </w:t>
      </w:r>
      <w:proofErr w:type="spellStart"/>
      <w:r w:rsidRPr="007A1B5D">
        <w:t>DiD</w:t>
      </w:r>
      <w:proofErr w:type="spellEnd"/>
      <w:r w:rsidRPr="007A1B5D">
        <w:t xml:space="preserve"> designs. The discussion begins with the canonical two-period case where all treated units receive treatment at the same time. The framework is then extended to handle staggered treatment adoption, where different units may begin treatment at different time periods, addressing the complications this introduces for estimation and aggregation.</w:t>
      </w:r>
    </w:p>
    <w:p w14:paraId="3F77B953" w14:textId="77965375" w:rsidR="007A1B5D" w:rsidRPr="00404256" w:rsidRDefault="00404256" w:rsidP="00BF697B">
      <w:pPr>
        <w:pStyle w:val="Heading3"/>
      </w:pPr>
      <w:bookmarkStart w:id="41" w:name="_Toc227873389"/>
      <w:bookmarkStart w:id="42" w:name="two-period-difference-in-differences"/>
      <w:r>
        <w:t xml:space="preserve">3.4.1. </w:t>
      </w:r>
      <w:r w:rsidR="007A1B5D" w:rsidRPr="00404256">
        <w:t>Two-Period Difference-in-Differences</w:t>
      </w:r>
      <w:bookmarkEnd w:id="41"/>
    </w:p>
    <w:p w14:paraId="6F0D7519" w14:textId="4E1E5BDC"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For the canonical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setting with a single treatment period, Chang </w:t>
      </w:r>
      <w:r w:rsidR="00B7140F">
        <w:rPr>
          <w:rFonts w:ascii="Times New Roman" w:hAnsi="Times New Roman" w:cs="Times New Roman"/>
        </w:rPr>
        <w:fldChar w:fldCharType="begin"/>
      </w:r>
      <w:r w:rsidR="00B7140F">
        <w:rPr>
          <w:rFonts w:ascii="Times New Roman" w:hAnsi="Times New Roman" w:cs="Times New Roman"/>
        </w:rPr>
        <w:instrText xml:space="preserve"> ADDIN ZOTERO_ITEM CSL_CITATION {"citationID":"1MuV2Bh8","properties":{"unsorted":false,"formattedCitation":"(2020)","plainCitation":"(2020)","noteIndex":0},"citationItems":[{"id":29,"uris":["http://zotero.org/users/local/ik3vdrlJ/items/UR75CMTC"],"itemData":{"id":29,"type":"article-journal","abstract":"This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B7140F">
        <w:rPr>
          <w:rFonts w:ascii="Times New Roman" w:hAnsi="Times New Roman" w:cs="Times New Roman"/>
        </w:rPr>
        <w:fldChar w:fldCharType="separate"/>
      </w:r>
      <w:r w:rsidR="00B7140F">
        <w:rPr>
          <w:rFonts w:ascii="Times New Roman" w:hAnsi="Times New Roman" w:cs="Times New Roman"/>
          <w:noProof/>
        </w:rPr>
        <w:t>(2020)</w:t>
      </w:r>
      <w:r w:rsidR="00B7140F">
        <w:rPr>
          <w:rFonts w:ascii="Times New Roman" w:hAnsi="Times New Roman" w:cs="Times New Roman"/>
        </w:rPr>
        <w:fldChar w:fldCharType="end"/>
      </w:r>
      <w:r w:rsidRPr="007A1B5D">
        <w:rPr>
          <w:rFonts w:ascii="Times New Roman" w:hAnsi="Times New Roman" w:cs="Times New Roman"/>
        </w:rPr>
        <w:t xml:space="preserve"> developed a doubly robust estimation approach built on a Neyman-orthogonal score function. The framework requires panel data with pre-treatment and post-treatment periods and permits flexible control for covariates through machine learning.</w:t>
      </w:r>
    </w:p>
    <w:p w14:paraId="1D0D787F" w14:textId="28D46FF0" w:rsidR="00002FB9" w:rsidRDefault="007A1B5D" w:rsidP="00002FB9">
      <w:pPr>
        <w:pStyle w:val="BodyText"/>
        <w:spacing w:line="360" w:lineRule="auto"/>
        <w:ind w:firstLine="708"/>
        <w:jc w:val="both"/>
      </w:pPr>
      <w:r w:rsidRPr="007A1B5D">
        <w:t xml:space="preserve">Consider panel data where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i0</m:t>
            </m:r>
          </m:sub>
        </m:sSub>
      </m:oMath>
      <w:r w:rsidRPr="007A1B5D">
        <w:t xml:space="preserve"> denotes the pre-treatment outcome, </w:t>
      </w:r>
      <m:oMath>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i1</m:t>
            </m:r>
          </m:sub>
        </m:sSub>
      </m:oMath>
      <w:r w:rsidRPr="007A1B5D">
        <w:t xml:space="preserve"> denotes the post-treatment outcome,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m:t>
            </m:r>
          </m:sub>
        </m:sSub>
      </m:oMath>
      <w:r w:rsidRPr="007A1B5D">
        <w:t xml:space="preserve"> indicates treatment status, and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oMath>
      <w:r w:rsidRPr="007A1B5D">
        <w:t xml:space="preserve"> represents a vector of covariates. The Neyman-orthogonal score function for unit </w:t>
      </w:r>
      <m:oMath>
        <m:r>
          <m:rPr>
            <m:sty m:val="p"/>
          </m:rPr>
          <w:rPr>
            <w:rFonts w:ascii="Cambria Math" w:hAnsi="Cambria Math"/>
          </w:rPr>
          <m:t>i</m:t>
        </m:r>
      </m:oMath>
      <w:r w:rsidRPr="007A1B5D">
        <w:t xml:space="preserve"> takes the form:</w:t>
      </w:r>
    </w:p>
    <w:p w14:paraId="2E4D3833" w14:textId="78D70ED2" w:rsidR="00002FB9" w:rsidRPr="00002FB9" w:rsidRDefault="00000000" w:rsidP="007A1B5D">
      <w:pPr>
        <w:pStyle w:val="BodyText"/>
        <w:spacing w:line="360" w:lineRule="auto"/>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3.11</m:t>
                  </m:r>
                </m:e>
              </m:d>
              <m:ctrlPr>
                <w:rPr>
                  <w:rFonts w:ascii="Cambria Math" w:hAnsi="Cambria Math"/>
                  <w:i/>
                </w:rPr>
              </m:ctrlPr>
            </m:e>
          </m:eqArr>
        </m:oMath>
      </m:oMathPara>
    </w:p>
    <w:p w14:paraId="6CA7CBDE"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Average Treatment Effect on the Treated is then estimated as the sample average of these individual scores:</w:t>
      </w:r>
    </w:p>
    <w:p w14:paraId="1408070E" w14:textId="68B7A786"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acc>
                <m:accPr>
                  <m:ctrlPr>
                    <w:rPr>
                      <w:rFonts w:ascii="Cambria Math" w:hAnsi="Cambria Math"/>
                    </w:rPr>
                  </m:ctrlPr>
                </m:accPr>
                <m:e>
                  <m:r>
                    <m:rPr>
                      <m:sty m:val="p"/>
                    </m:rPr>
                    <w:rPr>
                      <w:rFonts w:ascii="Cambria Math" w:hAnsi="Cambria Math"/>
                    </w:rPr>
                    <m:t>ψ</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ψ</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3.12</m:t>
                  </m:r>
                </m:e>
              </m:d>
            </m:e>
          </m:eqArr>
        </m:oMath>
      </m:oMathPara>
    </w:p>
    <w:p w14:paraId="7E4CF864" w14:textId="52C27B5C"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score function comprises two multiplicative components. The first is the </w:t>
      </w:r>
      <w:proofErr w:type="spellStart"/>
      <w:r w:rsidRPr="007A1B5D">
        <w:rPr>
          <w:rFonts w:ascii="Times New Roman" w:hAnsi="Times New Roman" w:cs="Times New Roman"/>
        </w:rPr>
        <w:t>residualized</w:t>
      </w:r>
      <w:proofErr w:type="spellEnd"/>
      <w:r w:rsidRPr="007A1B5D">
        <w:rPr>
          <w:rFonts w:ascii="Times New Roman" w:hAnsi="Times New Roman" w:cs="Times New Roman"/>
        </w:rPr>
        <w:t xml:space="preserve"> outcome change: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i0</m:t>
            </m:r>
          </m:sub>
        </m:sSub>
        <m:r>
          <m:rPr>
            <m:sty m:val="p"/>
          </m:rP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i0</m:t>
            </m:r>
          </m:sub>
        </m:sSub>
        <m:r>
          <m:rPr>
            <m:sty m:val="p"/>
          </m:rPr>
          <w:rPr>
            <w:rFonts w:ascii="Cambria Math" w:hAnsi="Cambria Math" w:cs="Times New Roman"/>
          </w:rPr>
          <m:t>|D=</m:t>
        </m:r>
        <m:r>
          <w:rPr>
            <w:rFonts w:ascii="Cambria Math" w:hAnsi="Cambria Math" w:cs="Times New Roman"/>
          </w:rPr>
          <m:t>0</m:t>
        </m:r>
        <m:r>
          <m:rPr>
            <m:sty m:val="p"/>
          </m:rPr>
          <w:rPr>
            <w:rFonts w:ascii="Cambria Math" w:hAnsi="Cambria Math" w:cs="Times New Roman"/>
          </w:rPr>
          <m:t>,X]</m:t>
        </m:r>
      </m:oMath>
      <w:r w:rsidRPr="007A1B5D">
        <w:rPr>
          <w:rFonts w:ascii="Times New Roman" w:hAnsi="Times New Roman" w:cs="Times New Roman"/>
        </w:rPr>
        <w:t xml:space="preserve">. This represents the observed outcome change for unit </w:t>
      </w:r>
      <m:oMath>
        <m:r>
          <m:rPr>
            <m:sty m:val="p"/>
          </m:rPr>
          <w:rPr>
            <w:rFonts w:ascii="Cambria Math" w:hAnsi="Cambria Math" w:cs="Times New Roman"/>
          </w:rPr>
          <m:t>i</m:t>
        </m:r>
      </m:oMath>
      <w:r w:rsidRPr="007A1B5D">
        <w:rPr>
          <w:rFonts w:ascii="Times New Roman" w:hAnsi="Times New Roman" w:cs="Times New Roman"/>
        </w:rPr>
        <w:t xml:space="preserve"> minus the predicted outcome change based on the control group’s evolution among units with similar covariates. The conditional expectation </w:t>
      </w:r>
      <m:oMath>
        <m:r>
          <m:rPr>
            <m:sty m:val="p"/>
          </m:rP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i0</m:t>
            </m:r>
          </m:sub>
        </m:sSub>
        <m:r>
          <m:rPr>
            <m:sty m:val="p"/>
          </m:rPr>
          <w:rPr>
            <w:rFonts w:ascii="Cambria Math" w:hAnsi="Cambria Math" w:cs="Times New Roman"/>
          </w:rPr>
          <m:t>|D=</m:t>
        </m:r>
        <m:r>
          <w:rPr>
            <w:rFonts w:ascii="Cambria Math" w:hAnsi="Cambria Math" w:cs="Times New Roman"/>
          </w:rPr>
          <m:t>0</m:t>
        </m:r>
        <m:r>
          <m:rPr>
            <m:sty m:val="p"/>
          </m:rPr>
          <w:rPr>
            <w:rFonts w:ascii="Cambria Math" w:hAnsi="Cambria Math" w:cs="Times New Roman"/>
          </w:rPr>
          <m:t>,X]</m:t>
        </m:r>
      </m:oMath>
      <w:r w:rsidRPr="007A1B5D">
        <w:rPr>
          <w:rFonts w:ascii="Times New Roman" w:hAnsi="Times New Roman" w:cs="Times New Roman"/>
        </w:rPr>
        <w:t xml:space="preserve"> is a nuisance function estimated via machine learning, capturing the counterfactual trend under parallel trends assumptions adjusted for covariates.</w:t>
      </w:r>
    </w:p>
    <w:p w14:paraId="69E20AF0" w14:textId="564754F9" w:rsidR="007A1B5D" w:rsidRPr="007A1B5D" w:rsidRDefault="007A1B5D" w:rsidP="00B83798">
      <w:pPr>
        <w:pStyle w:val="BodyText"/>
        <w:spacing w:line="360" w:lineRule="auto"/>
        <w:ind w:firstLine="708"/>
        <w:jc w:val="both"/>
      </w:pPr>
      <w:r w:rsidRPr="007A1B5D">
        <w:t xml:space="preserve">The second component is the propensity score weight: </w:t>
      </w:r>
      <m:oMath>
        <m:r>
          <m:rPr>
            <m:sty m:val="p"/>
          </m:rPr>
          <w:rPr>
            <w:rFonts w:ascii="Cambria Math" w:hAnsi="Cambria Math"/>
          </w:rPr>
          <m:t>(</m:t>
        </m:r>
        <m:sSub>
          <m:sSubPr>
            <m:ctrlPr>
              <w:rPr>
                <w:rFonts w:ascii="Cambria Math" w:eastAsiaTheme="minorEastAsia" w:hAnsi="Cambria Math"/>
                <w:lang w:eastAsia="zh-CN"/>
              </w:rPr>
            </m:ctrlPr>
          </m:sSubPr>
          <m:e>
            <m:r>
              <w:rPr>
                <w:rFonts w:ascii="Cambria Math" w:hAnsi="Cambria Math"/>
              </w:rPr>
              <m:t>D</m:t>
            </m:r>
          </m:e>
          <m:sub>
            <m:r>
              <w:rPr>
                <w:rFonts w:ascii="Cambria Math" w:hAnsi="Cambria Math"/>
              </w:rPr>
              <m:t>i</m:t>
            </m:r>
          </m:sub>
        </m:sSub>
        <m:r>
          <m:rPr>
            <m:sty m:val="p"/>
          </m:rPr>
          <w:rPr>
            <w:rFonts w:ascii="Cambria Math" w:hAnsi="Cambria Math"/>
          </w:rPr>
          <m:t>-E[D=</m:t>
        </m:r>
        <m:r>
          <w:rPr>
            <w:rFonts w:ascii="Cambria Math" w:hAnsi="Cambria Math"/>
          </w:rPr>
          <m:t>1</m:t>
        </m:r>
        <m:r>
          <m:rPr>
            <m:sty m:val="p"/>
          </m:rPr>
          <w:rPr>
            <w:rFonts w:ascii="Cambria Math" w:hAnsi="Cambria Math"/>
          </w:rPr>
          <m:t>|X])</m:t>
        </m:r>
        <m:r>
          <m:rPr>
            <m:lit/>
            <m:sty m:val="p"/>
          </m:rP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rsidRPr="007A1B5D">
        <w:t xml:space="preserve">. This reweights observations to account for treatment assignment patterns, using the propensity score </w:t>
      </w:r>
      <m:oMath>
        <m:r>
          <m:rPr>
            <m:sty m:val="p"/>
          </m:rPr>
          <w:rPr>
            <w:rFonts w:ascii="Cambria Math" w:hAnsi="Cambria Math"/>
          </w:rPr>
          <m:t>E[D=</m:t>
        </m:r>
        <m:r>
          <w:rPr>
            <w:rFonts w:ascii="Cambria Math" w:hAnsi="Cambria Math"/>
          </w:rPr>
          <m:t>1</m:t>
        </m:r>
        <m:r>
          <m:rPr>
            <m:sty m:val="p"/>
          </m:rPr>
          <w:rPr>
            <w:rFonts w:ascii="Cambria Math" w:hAnsi="Cambria Math"/>
          </w:rPr>
          <m:t>|X]</m:t>
        </m:r>
      </m:oMath>
      <w:r w:rsidRPr="007A1B5D">
        <w:t xml:space="preserve"> and the marginal treatment probability </w:t>
      </w: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D</m:t>
            </m:r>
          </m:e>
        </m:d>
      </m:oMath>
      <w:r w:rsidRPr="007A1B5D">
        <w:t xml:space="preserve">. </w:t>
      </w:r>
      <w:r w:rsidRPr="007A1B5D">
        <w:lastRenderedPageBreak/>
        <w:t>This weighting ensures the score function achieves Neyman orthogonality and provides the doubly robust property: consistency obtains if either the outcome model or the propensity score model is correctly specified.</w:t>
      </w:r>
    </w:p>
    <w:p w14:paraId="1FCA87B6" w14:textId="02F1B927" w:rsidR="007A1B5D" w:rsidRPr="007A1B5D" w:rsidRDefault="007A1B5D" w:rsidP="00B83798">
      <w:pPr>
        <w:pStyle w:val="BodyText"/>
        <w:spacing w:line="360" w:lineRule="auto"/>
        <w:ind w:firstLine="708"/>
        <w:jc w:val="both"/>
      </w:pPr>
      <w:r w:rsidRPr="007A1B5D">
        <w:t xml:space="preserve">As in the general DML framework, the nuisance functions must be estimated using cross-fitting to avoid overfitting bias. Specifically, </w:t>
      </w:r>
      <m:oMath>
        <m:r>
          <m:rPr>
            <m:sty m:val="p"/>
          </m:rPr>
          <w:rPr>
            <w:rFonts w:ascii="Cambria Math" w:hAnsi="Cambria Math"/>
          </w:rPr>
          <m:t>E[D=</m:t>
        </m:r>
        <m:r>
          <w:rPr>
            <w:rFonts w:ascii="Cambria Math" w:hAnsi="Cambria Math"/>
          </w:rPr>
          <m:t>1</m:t>
        </m:r>
        <m:r>
          <m:rPr>
            <m:sty m:val="p"/>
          </m:rPr>
          <w:rPr>
            <w:rFonts w:ascii="Cambria Math" w:hAnsi="Cambria Math"/>
          </w:rPr>
          <m:t>|X]</m:t>
        </m:r>
      </m:oMath>
      <w:r w:rsidRPr="007A1B5D">
        <w:t xml:space="preserve">, </w:t>
      </w: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D</m:t>
            </m:r>
          </m:e>
        </m:d>
      </m:oMath>
      <w:r w:rsidRPr="007A1B5D">
        <w:t xml:space="preserve">, and </w:t>
      </w:r>
      <m:oMath>
        <m:r>
          <m:rPr>
            <m:sty m:val="p"/>
          </m:rPr>
          <w:rPr>
            <w:rFonts w:ascii="Cambria Math" w:hAnsi="Cambria Math"/>
          </w:rPr>
          <m:t>E[</m:t>
        </m:r>
        <m:sSub>
          <m:sSubPr>
            <m:ctrlPr>
              <w:rPr>
                <w:rFonts w:ascii="Cambria Math" w:eastAsiaTheme="minorEastAsia" w:hAnsi="Cambria Math"/>
                <w:lang w:eastAsia="zh-CN"/>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eastAsiaTheme="minorEastAsia" w:hAnsi="Cambria Math"/>
                <w:lang w:eastAsia="zh-CN"/>
              </w:rPr>
            </m:ctrlPr>
          </m:sSubPr>
          <m:e>
            <m:r>
              <w:rPr>
                <w:rFonts w:ascii="Cambria Math" w:hAnsi="Cambria Math"/>
              </w:rPr>
              <m:t>Y</m:t>
            </m:r>
          </m:e>
          <m:sub>
            <m:r>
              <w:rPr>
                <w:rFonts w:ascii="Cambria Math" w:hAnsi="Cambria Math"/>
              </w:rPr>
              <m:t>i0</m:t>
            </m:r>
          </m:sub>
        </m:sSub>
        <m:r>
          <m:rPr>
            <m:sty m:val="p"/>
          </m:rPr>
          <w:rPr>
            <w:rFonts w:ascii="Cambria Math" w:hAnsi="Cambria Math"/>
          </w:rPr>
          <m:t>|D=</m:t>
        </m:r>
        <m:r>
          <w:rPr>
            <w:rFonts w:ascii="Cambria Math" w:hAnsi="Cambria Math"/>
          </w:rPr>
          <m:t>0</m:t>
        </m:r>
        <m:r>
          <m:rPr>
            <m:sty m:val="p"/>
          </m:rPr>
          <w:rPr>
            <w:rFonts w:ascii="Cambria Math" w:hAnsi="Cambria Math"/>
          </w:rPr>
          <m:t>,X]</m:t>
        </m:r>
      </m:oMath>
      <w:r w:rsidRPr="007A1B5D">
        <w:t xml:space="preserve"> are estimated on separate folds, and scores are computed using predictions from models trained on different observations.</w:t>
      </w:r>
    </w:p>
    <w:p w14:paraId="37C50186" w14:textId="0DA58F1D" w:rsidR="007A1B5D" w:rsidRPr="007A1B5D" w:rsidRDefault="00404256" w:rsidP="00BF697B">
      <w:pPr>
        <w:pStyle w:val="Heading3"/>
      </w:pPr>
      <w:bookmarkStart w:id="43" w:name="_Toc227873390"/>
      <w:bookmarkStart w:id="44" w:name="staggered-treatment-adoption"/>
      <w:bookmarkEnd w:id="42"/>
      <w:r>
        <w:t xml:space="preserve">3.4.2. </w:t>
      </w:r>
      <w:r w:rsidR="007A1B5D" w:rsidRPr="00404256">
        <w:t>Staggered Treatment Adoption</w:t>
      </w:r>
      <w:bookmarkEnd w:id="43"/>
    </w:p>
    <w:p w14:paraId="1BD83232" w14:textId="563C349A"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Many empirical applications feature staggered treatment adoption, where different units begin treatment at different time periods. As discussed in the previous chapter, this introduces complications for traditional two-way fixed effects estimators. The DML framework can be extended to handle this setting through the approach developed by Callaway and </w:t>
      </w:r>
      <w:proofErr w:type="spellStart"/>
      <w:r w:rsidRPr="007A1B5D">
        <w:rPr>
          <w:rFonts w:ascii="Times New Roman" w:hAnsi="Times New Roman" w:cs="Times New Roman"/>
        </w:rPr>
        <w:t>Santa’Anna</w:t>
      </w:r>
      <w:proofErr w:type="spellEnd"/>
      <w:r w:rsidRPr="007A1B5D">
        <w:rPr>
          <w:rFonts w:ascii="Times New Roman" w:hAnsi="Times New Roman" w:cs="Times New Roman"/>
        </w:rPr>
        <w:t xml:space="preserve"> </w:t>
      </w:r>
      <w:r w:rsidR="009610A9">
        <w:rPr>
          <w:rFonts w:ascii="Times New Roman" w:hAnsi="Times New Roman" w:cs="Times New Roman"/>
        </w:rPr>
        <w:fldChar w:fldCharType="begin"/>
      </w:r>
      <w:r w:rsidR="009610A9">
        <w:rPr>
          <w:rFonts w:ascii="Times New Roman" w:hAnsi="Times New Roman" w:cs="Times New Roman"/>
        </w:rPr>
        <w:instrText xml:space="preserve"> ADDIN ZOTERO_ITEM CSL_CITATION {"citationID":"AZmz6pC6","properties":{"unsorted":false,"formattedCitation":"(2021)","plainCitation":"(2021)","noteIndex":0},"citationItems":[{"id":25,"uris":["http://zotero.org/users/local/ik3vdrlJ/items/JBF2LLR6"],"itemData":{"id":25,"type":"article-journal","abstract":"In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9610A9">
        <w:rPr>
          <w:rFonts w:ascii="Times New Roman" w:hAnsi="Times New Roman" w:cs="Times New Roman"/>
        </w:rPr>
        <w:fldChar w:fldCharType="separate"/>
      </w:r>
      <w:r w:rsidR="009610A9">
        <w:rPr>
          <w:rFonts w:ascii="Times New Roman" w:hAnsi="Times New Roman" w:cs="Times New Roman"/>
          <w:noProof/>
        </w:rPr>
        <w:t>(2021)</w:t>
      </w:r>
      <w:r w:rsidR="009610A9">
        <w:rPr>
          <w:rFonts w:ascii="Times New Roman" w:hAnsi="Times New Roman" w:cs="Times New Roman"/>
        </w:rPr>
        <w:fldChar w:fldCharType="end"/>
      </w:r>
      <w:r w:rsidRPr="007A1B5D">
        <w:rPr>
          <w:rFonts w:ascii="Times New Roman" w:hAnsi="Times New Roman" w:cs="Times New Roman"/>
        </w:rPr>
        <w:t>.</w:t>
      </w:r>
    </w:p>
    <w:p w14:paraId="500A6AB3" w14:textId="17C0985B" w:rsidR="007A1B5D" w:rsidRPr="007A1B5D" w:rsidRDefault="007A1B5D" w:rsidP="00B83798">
      <w:pPr>
        <w:pStyle w:val="BodyText"/>
        <w:spacing w:line="360" w:lineRule="auto"/>
        <w:ind w:firstLine="708"/>
        <w:jc w:val="both"/>
      </w:pPr>
      <w:r w:rsidRPr="007A1B5D">
        <w:t xml:space="preserve">The key innovation is to estimate cohort-specific treatment effects </w:t>
      </w:r>
      <m:oMath>
        <m:r>
          <m:rPr>
            <m:sty m:val="p"/>
          </m:rPr>
          <w:rPr>
            <w:rFonts w:ascii="Cambria Math" w:hAnsi="Cambria Math"/>
          </w:rPr>
          <m:t>AT</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g</m:t>
            </m:r>
            <m:r>
              <m:rPr>
                <m:sty m:val="p"/>
              </m:rPr>
              <w:rPr>
                <w:rFonts w:ascii="Cambria Math" w:hAnsi="Cambria Math"/>
              </w:rPr>
              <m:t>,</m:t>
            </m:r>
            <m:r>
              <w:rPr>
                <w:rFonts w:ascii="Cambria Math" w:hAnsi="Cambria Math"/>
              </w:rPr>
              <m:t>t</m:t>
            </m:r>
          </m:sub>
        </m:sSub>
      </m:oMath>
      <w:r w:rsidRPr="007A1B5D">
        <w:t xml:space="preserve">, where </w:t>
      </w:r>
      <m:oMath>
        <m:r>
          <m:rPr>
            <m:sty m:val="p"/>
          </m:rPr>
          <w:rPr>
            <w:rFonts w:ascii="Cambria Math" w:hAnsi="Cambria Math"/>
          </w:rPr>
          <m:t>g</m:t>
        </m:r>
      </m:oMath>
      <w:r w:rsidRPr="007A1B5D">
        <w:t xml:space="preserve"> denotes the cohort defined by the period of initial treatment and </w:t>
      </w:r>
      <m:oMath>
        <m:r>
          <m:rPr>
            <m:sty m:val="p"/>
          </m:rPr>
          <w:rPr>
            <w:rFonts w:ascii="Cambria Math" w:hAnsi="Cambria Math"/>
          </w:rPr>
          <m:t>t</m:t>
        </m:r>
      </m:oMath>
      <w:r w:rsidRPr="007A1B5D">
        <w:t xml:space="preserve"> denotes the post-treatment period for which the effect is estimated. For each cohort </w:t>
      </w:r>
      <m:oMath>
        <m:r>
          <m:rPr>
            <m:sty m:val="p"/>
          </m:rPr>
          <w:rPr>
            <w:rFonts w:ascii="Cambria Math" w:hAnsi="Cambria Math"/>
          </w:rPr>
          <m:t>g</m:t>
        </m:r>
      </m:oMath>
      <w:r w:rsidRPr="007A1B5D">
        <w:t>, treated units are compared against a control group consisting of never-treated and not-yet-treated units. This yields multiple cohort-time specific estimates that must subsequently be aggregated to produce an overall average treatment effect.</w:t>
      </w:r>
    </w:p>
    <w:p w14:paraId="3AAC3A42" w14:textId="77777777" w:rsidR="007A1B5D" w:rsidRPr="007A1B5D" w:rsidRDefault="007A1B5D" w:rsidP="00B83798">
      <w:pPr>
        <w:pStyle w:val="BodyText"/>
        <w:spacing w:line="360" w:lineRule="auto"/>
        <w:ind w:firstLine="708"/>
        <w:jc w:val="both"/>
      </w:pPr>
      <w:r w:rsidRPr="007A1B5D">
        <w:t>Formally, the aggregate ATT is computed as a weighted average:</w:t>
      </w:r>
    </w:p>
    <w:p w14:paraId="738F5D91" w14:textId="53073BF7" w:rsidR="007E6793" w:rsidRPr="007E6793" w:rsidRDefault="00000000" w:rsidP="007A1B5D">
      <w:pPr>
        <w:pStyle w:val="BodyText"/>
        <w:spacing w:line="360" w:lineRule="auto"/>
        <w:jc w:val="both"/>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ATT</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e>
              </m:nary>
              <m:r>
                <w:rPr>
                  <w:rFonts w:ascii="Cambria Math" w:hAnsi="Cambria Math"/>
                </w:rPr>
                <m:t>ATT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3.13</m:t>
                  </m:r>
                </m:e>
              </m:d>
            </m:e>
          </m:eqArr>
        </m:oMath>
      </m:oMathPara>
    </w:p>
    <w:p w14:paraId="4D101E8F" w14:textId="3DCA45D7"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the weights </w:t>
      </w:r>
      <m:oMath>
        <m:sSub>
          <m:sSubPr>
            <m:ctrlPr>
              <w:rPr>
                <w:rFonts w:ascii="Cambria Math" w:hAnsi="Cambria Math" w:cs="Times New Roman"/>
              </w:rPr>
            </m:ctrlPr>
          </m:sSubPr>
          <m:e>
            <m:r>
              <w:rPr>
                <w:rFonts w:ascii="Cambria Math" w:hAnsi="Cambria Math" w:cs="Times New Roman"/>
              </w:rPr>
              <m:t>w</m:t>
            </m:r>
            <m:ctrlPr>
              <w:rPr>
                <w:rFonts w:ascii="Cambria Math" w:hAnsi="Cambria Math" w:cs="Times New Roman"/>
                <w:i/>
              </w:rPr>
            </m:ctrlPr>
          </m:e>
          <m:sub>
            <m:r>
              <w:rPr>
                <w:rFonts w:ascii="Cambria Math" w:hAnsi="Cambria Math" w:cs="Times New Roman"/>
              </w:rPr>
              <m:t>g</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g</m:t>
                </m:r>
                <m:r>
                  <m:rPr>
                    <m:sty m:val="p"/>
                  </m:rPr>
                  <w:rPr>
                    <w:rFonts w:ascii="Cambria Math" w:hAnsi="Cambria Math" w:cs="Times New Roman"/>
                  </w:rPr>
                  <m:t>,</m:t>
                </m:r>
                <m:r>
                  <w:rPr>
                    <w:rFonts w:ascii="Cambria Math" w:hAnsi="Cambria Math" w:cs="Times New Roman"/>
                  </w:rPr>
                  <m:t>t</m:t>
                </m:r>
              </m:sub>
            </m:sSub>
          </m:num>
          <m:den>
            <m:nary>
              <m:naryPr>
                <m:chr m:val="∑"/>
                <m:limLoc m:val="undOvr"/>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sub>
                </m:sSub>
              </m:e>
            </m:nary>
          </m:den>
        </m:f>
      </m:oMath>
      <w:r w:rsidRPr="007A1B5D">
        <w:rPr>
          <w:rFonts w:ascii="Times New Roman" w:hAnsi="Times New Roman" w:cs="Times New Roman"/>
        </w:rPr>
        <w:t xml:space="preserve"> reflect the relative size of each cohort-time cell, ensuring that larger groups receive appropriate weight in the aggregate estimate.</w:t>
      </w:r>
    </w:p>
    <w:p w14:paraId="7E7134D4" w14:textId="47987C2E" w:rsidR="007A1B5D" w:rsidRPr="00404256" w:rsidRDefault="00404256" w:rsidP="00BF697B">
      <w:pPr>
        <w:pStyle w:val="Heading3"/>
      </w:pPr>
      <w:bookmarkStart w:id="45" w:name="_Toc227873391"/>
      <w:bookmarkStart w:id="46" w:name="X548c88963a63449c2000dd3d2e85ff23582c51d"/>
      <w:r>
        <w:t xml:space="preserve">3.4.3. </w:t>
      </w:r>
      <w:r w:rsidR="007A1B5D" w:rsidRPr="00404256">
        <w:t>Doubly Robust Estimation of Cohort Effects</w:t>
      </w:r>
      <w:bookmarkEnd w:id="45"/>
    </w:p>
    <w:p w14:paraId="5804A3E6" w14:textId="1099EC46"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Each cohort-specific effect </w:t>
      </w:r>
      <m:oMath>
        <m:r>
          <m:rPr>
            <m:sty m:val="p"/>
          </m:rPr>
          <w:rPr>
            <w:rFonts w:ascii="Cambria Math" w:hAnsi="Cambria Math" w:cs="Times New Roman"/>
          </w:rPr>
          <m:t>ATT</m:t>
        </m:r>
        <m:d>
          <m:dPr>
            <m:ctrlPr>
              <w:rPr>
                <w:rFonts w:ascii="Cambria Math" w:hAnsi="Cambria Math" w:cs="Times New Roman"/>
              </w:rPr>
            </m:ctrlPr>
          </m:dPr>
          <m:e>
            <m:r>
              <m:rPr>
                <m:sty m:val="p"/>
              </m:rPr>
              <w:rPr>
                <w:rFonts w:ascii="Cambria Math" w:hAnsi="Cambria Math" w:cs="Times New Roman"/>
              </w:rPr>
              <m:t>g,t</m:t>
            </m:r>
          </m:e>
        </m:d>
      </m:oMath>
      <w:r w:rsidRPr="007A1B5D">
        <w:rPr>
          <w:rFonts w:ascii="Times New Roman" w:hAnsi="Times New Roman" w:cs="Times New Roman"/>
        </w:rPr>
        <w:t xml:space="preserve"> is estimated using a doubly robust approach that combines outcome regression and inverse propensity score weighting:</w:t>
      </w:r>
    </w:p>
    <w:p w14:paraId="61DFA14F" w14:textId="3DE02FF7" w:rsidR="00DC6026" w:rsidRPr="00DC6026"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eqArr>
                <m:eqArrPr>
                  <m:ctrlPr>
                    <w:rPr>
                      <w:rFonts w:ascii="Cambria Math" w:hAnsi="Cambria Math"/>
                    </w:rPr>
                  </m:ctrlPr>
                </m:eqArrPr>
                <m:e>
                  <m:r>
                    <m:rPr>
                      <m:nor/>
                    </m: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r>
                        <m:rPr>
                          <m:sty m:val="p"/>
                        </m:rPr>
                        <w:rPr>
                          <w:rFonts w:ascii="Cambria Math" w:hAnsi="Cambria Math"/>
                        </w:rPr>
                        <m:t>=</m:t>
                      </m:r>
                      <m:r>
                        <w:rPr>
                          <w:rFonts w:ascii="Cambria Math" w:hAnsi="Cambria Math"/>
                        </w:rPr>
                        <m:t>1</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m:t>
                      </m:r>
                    </m:sup>
                    <m:e>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3.14</m:t>
                  </m:r>
                </m:e>
              </m:d>
            </m:e>
          </m:eqArr>
        </m:oMath>
      </m:oMathPara>
    </w:p>
    <w:p w14:paraId="4AA50871" w14:textId="2A82ADD3" w:rsidR="00AF389B" w:rsidRDefault="00000000" w:rsidP="007A1B5D">
      <w:pPr>
        <w:pStyle w:val="FirstParagraph"/>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=g</m:t>
        </m:r>
      </m:oMath>
      <w:r w:rsidR="007A1B5D" w:rsidRPr="007A1B5D">
        <w:rPr>
          <w:rFonts w:ascii="Times New Roman" w:hAnsi="Times New Roman" w:cs="Times New Roman"/>
        </w:rPr>
        <w:t xml:space="preserve"> identifies units in cohort </w:t>
      </w:r>
      <m:oMath>
        <m:r>
          <m:rPr>
            <m:sty m:val="p"/>
          </m:rPr>
          <w:rPr>
            <w:rFonts w:ascii="Cambria Math" w:hAnsi="Cambria Math" w:cs="Times New Roman"/>
          </w:rPr>
          <m:t>g</m:t>
        </m:r>
      </m:oMath>
      <w:r w:rsidR="007A1B5D" w:rsidRPr="007A1B5D">
        <w:rPr>
          <w:rFonts w:ascii="Times New Roman" w:hAnsi="Times New Roman" w:cs="Times New Roman"/>
        </w:rPr>
        <w:t xml:space="preserve"> (those first treated at time </w:t>
      </w:r>
      <m:oMath>
        <m:r>
          <m:rPr>
            <m:sty m:val="p"/>
          </m:rPr>
          <w:rPr>
            <w:rFonts w:ascii="Cambria Math" w:hAnsi="Cambria Math" w:cs="Times New Roman"/>
          </w:rPr>
          <m:t>g</m:t>
        </m:r>
      </m:oMath>
      <w:r w:rsidR="007A1B5D" w:rsidRPr="007A1B5D">
        <w:rPr>
          <w:rFonts w:ascii="Times New Roman" w:hAnsi="Times New Roman" w:cs="Times New Roman"/>
        </w:rPr>
        <w:t xml:space="preserve">), </w:t>
      </w:r>
      <m:oMath>
        <m:r>
          <m:rPr>
            <m:sty m:val="p"/>
          </m:rPr>
          <w:rPr>
            <w:rFonts w:ascii="Cambria Math" w:hAnsi="Cambria Math" w:cs="Times New Roman"/>
          </w:rPr>
          <m:t>C=</m:t>
        </m:r>
        <m:r>
          <w:rPr>
            <w:rFonts w:ascii="Cambria Math" w:hAnsi="Cambria Math" w:cs="Times New Roman"/>
          </w:rPr>
          <m:t>1</m:t>
        </m:r>
      </m:oMath>
      <w:r w:rsidR="007A1B5D" w:rsidRPr="007A1B5D">
        <w:rPr>
          <w:rFonts w:ascii="Times New Roman" w:hAnsi="Times New Roman" w:cs="Times New Roman"/>
        </w:rPr>
        <w:t xml:space="preserve"> identifies control units (never-treated or not-yet-treated at time </w:t>
      </w:r>
      <m:oMath>
        <m:r>
          <m:rPr>
            <m:sty m:val="p"/>
          </m:rPr>
          <w:rPr>
            <w:rFonts w:ascii="Cambria Math" w:hAnsi="Cambria Math" w:cs="Times New Roman"/>
          </w:rPr>
          <m:t>t</m:t>
        </m:r>
      </m:oMath>
      <w:r w:rsidR="007A1B5D" w:rsidRPr="007A1B5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ctrlPr>
              <w:rPr>
                <w:rFonts w:ascii="Cambria Math" w:hAnsi="Cambria Math" w:cs="Times New Roman"/>
                <w:i/>
              </w:rPr>
            </m:ctrlPr>
          </m:e>
          <m:sub>
            <m:r>
              <w:rPr>
                <w:rFonts w:ascii="Cambria Math" w:hAnsi="Cambria Math" w:cs="Times New Roman"/>
              </w:rPr>
              <m:t>g</m:t>
            </m:r>
          </m:sub>
        </m:sSub>
      </m:oMath>
      <w:r w:rsidR="007A1B5D" w:rsidRPr="007A1B5D">
        <w:rPr>
          <w:rFonts w:ascii="Times New Roman" w:hAnsi="Times New Roman" w:cs="Times New Roman"/>
        </w:rPr>
        <w:t xml:space="preserve"> denotes the cohort size. The notation can be simplified by defining </w:t>
      </w:r>
      <w:r w:rsidR="00AF389B">
        <w:rPr>
          <w:rFonts w:ascii="Times New Roman" w:hAnsi="Times New Roman" w:cs="Times New Roman"/>
        </w:rPr>
        <w:t> </w:t>
      </w:r>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,t)=E[</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g-1</m:t>
            </m:r>
          </m:sub>
        </m:sSub>
        <m:r>
          <w:rPr>
            <w:rFonts w:ascii="Cambria Math" w:hAnsi="Cambria Math" w:cs="Times New Roman"/>
          </w:rPr>
          <m:t>|D=0,X]</m:t>
        </m:r>
      </m:oMath>
      <w:r w:rsidR="00AF389B">
        <w:rPr>
          <w:rFonts w:ascii="Times New Roman" w:hAnsi="Times New Roman" w:cs="Times New Roman"/>
        </w:rPr>
        <w:t xml:space="preserve"> and </w:t>
      </w:r>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g</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)=E[D=1,X]</m:t>
        </m:r>
      </m:oMath>
      <w:r w:rsidR="00AF389B">
        <w:rPr>
          <w:rFonts w:ascii="Times New Roman" w:hAnsi="Times New Roman" w:cs="Times New Roman"/>
        </w:rPr>
        <w:t>.</w:t>
      </w:r>
    </w:p>
    <w:p w14:paraId="61760B4C" w14:textId="643A15F4" w:rsidR="007A1B5D" w:rsidRPr="007A1B5D" w:rsidRDefault="007A1B5D" w:rsidP="00B83798">
      <w:pPr>
        <w:pStyle w:val="BodyText"/>
        <w:spacing w:line="360" w:lineRule="auto"/>
        <w:ind w:firstLine="708"/>
        <w:jc w:val="both"/>
      </w:pPr>
      <w:r w:rsidRPr="007A1B5D">
        <w:t xml:space="preserve">The nuisance function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μ</m:t>
                </m:r>
              </m:e>
            </m:acc>
            <m:ctrlPr>
              <w:rPr>
                <w:rFonts w:ascii="Cambria Math" w:hAnsi="Cambria Math"/>
                <w:i/>
              </w:rPr>
            </m:ctrlP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,t</m:t>
            </m:r>
          </m:e>
        </m:d>
      </m:oMath>
      <w:r w:rsidRPr="007A1B5D">
        <w:t xml:space="preserve"> represents the machine learning estimate of the expected outcome at time </w:t>
      </w:r>
      <m:oMath>
        <m:r>
          <m:rPr>
            <m:sty m:val="p"/>
          </m:rPr>
          <w:rPr>
            <w:rFonts w:ascii="Cambria Math" w:hAnsi="Cambria Math"/>
          </w:rPr>
          <m:t>t</m:t>
        </m:r>
      </m:oMath>
      <w:r w:rsidRPr="007A1B5D">
        <w:t xml:space="preserve"> for a unit with covariates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oMath>
      <w:r w:rsidRPr="007A1B5D">
        <w:t xml:space="preserve"> had it remained in the control state, estimated using observed control group outcomes. The nuisance function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ctrlPr>
              <w:rPr>
                <w:rFonts w:ascii="Cambria Math" w:hAnsi="Cambria Math"/>
                <w:i/>
              </w:rPr>
            </m:ctrlP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represents the probability that a unit with covariates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oMath>
      <w:r w:rsidRPr="007A1B5D">
        <w:t xml:space="preserve"> belongs to treatment cohort </w:t>
      </w:r>
      <m:oMath>
        <m:r>
          <m:rPr>
            <m:sty m:val="p"/>
          </m:rPr>
          <w:rPr>
            <w:rFonts w:ascii="Cambria Math" w:hAnsi="Cambria Math"/>
          </w:rPr>
          <m:t>g</m:t>
        </m:r>
      </m:oMath>
      <w:r w:rsidRPr="007A1B5D">
        <w:t xml:space="preserve"> rather than the control group.</w:t>
      </w:r>
    </w:p>
    <w:p w14:paraId="089C4239" w14:textId="7778D2C4" w:rsidR="007A1B5D" w:rsidRPr="007A1B5D" w:rsidRDefault="007A1B5D" w:rsidP="00B83798">
      <w:pPr>
        <w:pStyle w:val="BodyText"/>
        <w:spacing w:line="360" w:lineRule="auto"/>
        <w:ind w:firstLine="708"/>
        <w:jc w:val="both"/>
      </w:pPr>
      <w:r w:rsidRPr="007A1B5D">
        <w:t xml:space="preserve">The estimator has two components. The first averages the difference between observed outcomes and predicted counterfactual outcomes across treated cohort </w:t>
      </w:r>
      <m:oMath>
        <m:r>
          <m:rPr>
            <m:sty m:val="p"/>
          </m:rPr>
          <w:rPr>
            <w:rFonts w:ascii="Cambria Math" w:hAnsi="Cambria Math"/>
          </w:rPr>
          <m:t>g</m:t>
        </m:r>
      </m:oMath>
      <w:r w:rsidRPr="007A1B5D">
        <w:t xml:space="preserve"> units. The second applies inverse propensity score weighting to the control group, with weights </w:t>
      </w: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rsidRPr="007A1B5D">
        <w:t xml:space="preserve"> that rebalance the control group to match the covariate distribution of the treated cohort.</w:t>
      </w:r>
    </w:p>
    <w:p w14:paraId="6DA52F7D" w14:textId="2E38BDA3" w:rsidR="007A1B5D" w:rsidRPr="007A1B5D" w:rsidRDefault="007A1B5D" w:rsidP="00B83798">
      <w:pPr>
        <w:pStyle w:val="BodyText"/>
        <w:spacing w:line="360" w:lineRule="auto"/>
        <w:ind w:firstLine="708"/>
        <w:jc w:val="both"/>
      </w:pPr>
      <w:r w:rsidRPr="007A1B5D">
        <w:t xml:space="preserve">Double robustness ensures consistent estimation if either the outcome model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μ</m:t>
                </m:r>
              </m:e>
            </m:acc>
            <m:ctrlPr>
              <w:rPr>
                <w:rFonts w:ascii="Cambria Math" w:hAnsi="Cambria Math"/>
                <w:i/>
              </w:rPr>
            </m:ctrlPr>
          </m:e>
          <m:sub>
            <m:r>
              <w:rPr>
                <w:rFonts w:ascii="Cambria Math" w:hAnsi="Cambria Math"/>
              </w:rPr>
              <m:t>0</m:t>
            </m:r>
          </m:sub>
        </m:sSub>
        <m:d>
          <m:dPr>
            <m:ctrlPr>
              <w:rPr>
                <w:rFonts w:ascii="Cambria Math" w:hAnsi="Cambria Math"/>
              </w:rPr>
            </m:ctrlPr>
          </m:dPr>
          <m:e>
            <m:r>
              <m:rPr>
                <m:sty m:val="p"/>
              </m:rPr>
              <w:rPr>
                <w:rFonts w:ascii="Cambria Math" w:hAnsi="Cambria Math"/>
              </w:rPr>
              <m:t>X,t</m:t>
            </m:r>
          </m:e>
        </m:d>
      </m:oMath>
      <w:r w:rsidRPr="007A1B5D">
        <w:t xml:space="preserve"> correctly predicts untreated outcomes or the propensity score model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ctrlPr>
              <w:rPr>
                <w:rFonts w:ascii="Cambria Math" w:hAnsi="Cambria Math"/>
                <w:i/>
              </w:rPr>
            </m:ctrlPr>
          </m:e>
          <m:sub>
            <m:r>
              <w:rPr>
                <w:rFonts w:ascii="Cambria Math" w:hAnsi="Cambria Math"/>
              </w:rPr>
              <m:t>g</m:t>
            </m:r>
          </m:sub>
        </m:sSub>
        <m:d>
          <m:dPr>
            <m:ctrlPr>
              <w:rPr>
                <w:rFonts w:ascii="Cambria Math" w:hAnsi="Cambria Math"/>
              </w:rPr>
            </m:ctrlPr>
          </m:dPr>
          <m:e>
            <m:r>
              <m:rPr>
                <m:sty m:val="p"/>
              </m:rPr>
              <w:rPr>
                <w:rFonts w:ascii="Cambria Math" w:hAnsi="Cambria Math"/>
              </w:rPr>
              <m:t>X</m:t>
            </m:r>
          </m:e>
        </m:d>
      </m:oMath>
      <w:r w:rsidRPr="007A1B5D">
        <w:t xml:space="preserve"> correctly predicts cohort membership. As with all DML applications, these nuisance functions must be estimated using cross-fitting to maintain valid inference properties.</w:t>
      </w:r>
    </w:p>
    <w:p w14:paraId="751BC3BF" w14:textId="6CF559E2" w:rsidR="007A1B5D" w:rsidRPr="00404256" w:rsidRDefault="00404256" w:rsidP="00BF697B">
      <w:pPr>
        <w:pStyle w:val="Heading3"/>
      </w:pPr>
      <w:bookmarkStart w:id="47" w:name="_Toc227873392"/>
      <w:bookmarkStart w:id="48" w:name="event-study-aggregation"/>
      <w:bookmarkEnd w:id="46"/>
      <w:r>
        <w:t xml:space="preserve">3.4.4. </w:t>
      </w:r>
      <w:r w:rsidR="007A1B5D" w:rsidRPr="00404256">
        <w:t>Event Study Aggregation</w:t>
      </w:r>
      <w:bookmarkEnd w:id="47"/>
    </w:p>
    <w:p w14:paraId="45316176" w14:textId="710F1F7C"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While the weighted average aggregation described above produces a single summary measure of the treatment effect, researchers often want to understand how effects evolve over time relative to treatment adoption. Event study aggregation addresses this by organizing cohort-time effects according to </w:t>
      </w:r>
      <w:r w:rsidRPr="007A1B5D">
        <w:rPr>
          <w:rFonts w:ascii="Times New Roman" w:hAnsi="Times New Roman" w:cs="Times New Roman"/>
          <w:i/>
          <w:iCs/>
        </w:rPr>
        <w:t>relative time</w:t>
      </w:r>
      <w:r w:rsidRPr="007A1B5D">
        <w:rPr>
          <w:rFonts w:ascii="Times New Roman" w:hAnsi="Times New Roman" w:cs="Times New Roman"/>
        </w:rPr>
        <w:t xml:space="preserve"> </w:t>
      </w:r>
      <m:oMath>
        <m:r>
          <m:rPr>
            <m:sty m:val="p"/>
          </m:rPr>
          <w:rPr>
            <w:rFonts w:ascii="Cambria Math" w:hAnsi="Cambria Math" w:cs="Times New Roman"/>
          </w:rPr>
          <m:t>e=t-g</m:t>
        </m:r>
      </m:oMath>
      <w:r w:rsidRPr="007A1B5D">
        <w:rPr>
          <w:rFonts w:ascii="Times New Roman" w:hAnsi="Times New Roman" w:cs="Times New Roman"/>
        </w:rPr>
        <w:t xml:space="preserve">, where </w:t>
      </w:r>
      <m:oMath>
        <m:r>
          <m:rPr>
            <m:sty m:val="p"/>
          </m:rPr>
          <w:rPr>
            <w:rFonts w:ascii="Cambria Math" w:hAnsi="Cambria Math" w:cs="Times New Roman"/>
          </w:rPr>
          <m:t>e</m:t>
        </m:r>
      </m:oMath>
      <w:r w:rsidRPr="007A1B5D">
        <w:rPr>
          <w:rFonts w:ascii="Times New Roman" w:hAnsi="Times New Roman" w:cs="Times New Roman"/>
        </w:rPr>
        <w:t xml:space="preserve"> represents the number of periods before (</w:t>
      </w:r>
      <m:oMath>
        <m:r>
          <m:rPr>
            <m:sty m:val="p"/>
          </m:rPr>
          <w:rPr>
            <w:rFonts w:ascii="Cambria Math" w:hAnsi="Cambria Math" w:cs="Times New Roman"/>
          </w:rPr>
          <m:t>e&lt;</m:t>
        </m:r>
        <m:r>
          <w:rPr>
            <w:rFonts w:ascii="Cambria Math" w:hAnsi="Cambria Math" w:cs="Times New Roman"/>
          </w:rPr>
          <m:t>0</m:t>
        </m:r>
      </m:oMath>
      <w:r w:rsidRPr="007A1B5D">
        <w:rPr>
          <w:rFonts w:ascii="Times New Roman" w:hAnsi="Times New Roman" w:cs="Times New Roman"/>
        </w:rPr>
        <w:t>) or after (</w:t>
      </w:r>
      <m:oMath>
        <m:r>
          <m:rPr>
            <m:sty m:val="p"/>
          </m:rPr>
          <w:rPr>
            <w:rFonts w:ascii="Cambria Math" w:hAnsi="Cambria Math" w:cs="Times New Roman"/>
          </w:rPr>
          <m:t>e≥</m:t>
        </m:r>
        <m:r>
          <w:rPr>
            <w:rFonts w:ascii="Cambria Math" w:hAnsi="Cambria Math" w:cs="Times New Roman"/>
          </w:rPr>
          <m:t>0</m:t>
        </m:r>
      </m:oMath>
      <w:r w:rsidRPr="007A1B5D">
        <w:rPr>
          <w:rFonts w:ascii="Times New Roman" w:hAnsi="Times New Roman" w:cs="Times New Roman"/>
        </w:rPr>
        <w:t>) initial treatment.</w:t>
      </w:r>
    </w:p>
    <w:p w14:paraId="1274B513" w14:textId="354B194C" w:rsidR="007A1B5D" w:rsidRPr="007A1B5D" w:rsidRDefault="007A1B5D" w:rsidP="00B83798">
      <w:pPr>
        <w:pStyle w:val="BodyText"/>
        <w:spacing w:line="360" w:lineRule="auto"/>
        <w:ind w:firstLine="708"/>
        <w:jc w:val="both"/>
      </w:pPr>
      <w:r w:rsidRPr="007A1B5D">
        <w:lastRenderedPageBreak/>
        <w:t xml:space="preserve">For each event time </w:t>
      </w:r>
      <m:oMath>
        <m:r>
          <m:rPr>
            <m:sty m:val="p"/>
          </m:rPr>
          <w:rPr>
            <w:rFonts w:ascii="Cambria Math" w:hAnsi="Cambria Math"/>
          </w:rPr>
          <m:t>e</m:t>
        </m:r>
      </m:oMath>
      <w:r w:rsidRPr="007A1B5D">
        <w:t>, the event study estimator aggregates across all cohorts that contribute an observation at that relative time:</w:t>
      </w:r>
    </w:p>
    <w:p w14:paraId="0204D819" w14:textId="0EB8D8EA" w:rsidR="00DC6026" w:rsidRPr="00DC6026" w:rsidRDefault="00000000" w:rsidP="007A1B5D">
      <w:pPr>
        <w:pStyle w:val="BodyText"/>
        <w:spacing w:line="360" w:lineRule="auto"/>
        <w:jc w:val="both"/>
      </w:pPr>
      <m:oMathPara>
        <m:oMath>
          <m:eqArr>
            <m:eqArrPr>
              <m:maxDist m:val="1"/>
              <m:ctrlPr>
                <w:rPr>
                  <w:rFonts w:ascii="Cambria Math" w:hAnsi="Cambria Math"/>
                  <w:i/>
                </w:rPr>
              </m:ctrlPr>
            </m:eqArrPr>
            <m:e>
              <m:r>
                <m:rPr>
                  <m:sty m:val="p"/>
                </m:rPr>
                <w:rPr>
                  <w:rFonts w:ascii="Cambria Math" w:hAnsi="Cambria Math"/>
                </w:rPr>
                <m:t>ATT</m:t>
              </m:r>
              <m:d>
                <m:dPr>
                  <m:ctrlPr>
                    <w:rPr>
                      <w:rFonts w:ascii="Cambria Math" w:hAnsi="Cambria Math"/>
                    </w:rPr>
                  </m:ctrlPr>
                </m:dPr>
                <m:e>
                  <m:r>
                    <m:rPr>
                      <m:sty m:val="p"/>
                    </m:rPr>
                    <w:rPr>
                      <w:rFonts w:ascii="Cambria Math" w:hAnsi="Cambria Math"/>
                    </w:rPr>
                    <m:t>e</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e</m:t>
                      </m:r>
                    </m:sup>
                  </m:sSubSup>
                </m:e>
              </m:nary>
              <m:r>
                <m:rPr>
                  <m:sty m:val="p"/>
                </m:rPr>
                <w:rPr>
                  <w:rFonts w:ascii="Cambria Math" w:hAnsi="Cambria Math"/>
                </w:rPr>
                <m:t>⋅</m:t>
              </m:r>
              <m:r>
                <w:rPr>
                  <w:rFonts w:ascii="Cambria Math" w:hAnsi="Cambria Math"/>
                </w:rPr>
                <m:t>ATT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e</m:t>
                  </m:r>
                </m:e>
              </m:d>
              <m:r>
                <w:rPr>
                  <w:rFonts w:ascii="Cambria Math" w:hAnsi="Cambria Math"/>
                </w:rPr>
                <m:t>#</m:t>
              </m:r>
              <m:d>
                <m:dPr>
                  <m:ctrlPr>
                    <w:rPr>
                      <w:rFonts w:ascii="Cambria Math" w:hAnsi="Cambria Math"/>
                      <w:i/>
                    </w:rPr>
                  </m:ctrlPr>
                </m:dPr>
                <m:e>
                  <m:r>
                    <w:rPr>
                      <w:rFonts w:ascii="Cambria Math" w:hAnsi="Cambria Math"/>
                    </w:rPr>
                    <m:t>3.15</m:t>
                  </m:r>
                </m:e>
              </m:d>
            </m:e>
          </m:eqArr>
        </m:oMath>
      </m:oMathPara>
    </w:p>
    <w:p w14:paraId="73759542" w14:textId="462B2EE2"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w</m:t>
            </m:r>
            <m:ctrlPr>
              <w:rPr>
                <w:rFonts w:ascii="Cambria Math" w:hAnsi="Cambria Math" w:cs="Times New Roman"/>
                <w:i/>
              </w:rPr>
            </m:ctrlPr>
          </m:e>
          <m:sub>
            <m:r>
              <w:rPr>
                <w:rFonts w:ascii="Cambria Math" w:hAnsi="Cambria Math" w:cs="Times New Roman"/>
              </w:rPr>
              <m:t>g</m:t>
            </m:r>
          </m:sub>
          <m:sup>
            <m:r>
              <w:rPr>
                <w:rFonts w:ascii="Cambria Math" w:hAnsi="Cambria Math" w:cs="Times New Roman"/>
              </w:rPr>
              <m:t>e</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g</m:t>
                </m:r>
              </m:sub>
            </m:sSub>
          </m:num>
          <m:den>
            <m:nary>
              <m:naryPr>
                <m:chr m:val="∑"/>
                <m:limLoc m:val="undOvr"/>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sub>
                </m:sSub>
              </m:e>
            </m:nary>
          </m:den>
        </m:f>
      </m:oMath>
      <w:r w:rsidRPr="007A1B5D">
        <w:rPr>
          <w:rFonts w:ascii="Times New Roman" w:hAnsi="Times New Roman" w:cs="Times New Roman"/>
        </w:rPr>
        <w:t xml:space="preserve"> weights each cohort by its relative size among cohorts observed at event time </w:t>
      </w:r>
      <m:oMath>
        <m:r>
          <m:rPr>
            <m:sty m:val="p"/>
          </m:rPr>
          <w:rPr>
            <w:rFonts w:ascii="Cambria Math" w:hAnsi="Cambria Math" w:cs="Times New Roman"/>
          </w:rPr>
          <m:t>e</m:t>
        </m:r>
      </m:oMath>
      <w:r w:rsidRPr="007A1B5D">
        <w:rPr>
          <w:rFonts w:ascii="Times New Roman" w:hAnsi="Times New Roman" w:cs="Times New Roman"/>
        </w:rPr>
        <w:t xml:space="preserve">. This produces a sequence of estimates </w:t>
      </w:r>
      <m:oMath>
        <m:r>
          <m:rPr>
            <m:sty m:val="p"/>
          </m:rPr>
          <w:rPr>
            <w:rFonts w:ascii="Cambria Math" w:hAnsi="Cambria Math" w:cs="Times New Roman"/>
          </w:rPr>
          <m:t>ATT</m:t>
        </m:r>
        <m:d>
          <m:dPr>
            <m:ctrlPr>
              <w:rPr>
                <w:rFonts w:ascii="Cambria Math" w:hAnsi="Cambria Math" w:cs="Times New Roman"/>
              </w:rPr>
            </m:ctrlPr>
          </m:dPr>
          <m:e>
            <m:r>
              <m:rPr>
                <m:sty m:val="p"/>
              </m:rPr>
              <w:rPr>
                <w:rFonts w:ascii="Cambria Math" w:hAnsi="Cambria Math" w:cs="Times New Roman"/>
              </w:rPr>
              <m:t>e</m:t>
            </m:r>
          </m:e>
        </m:d>
      </m:oMath>
      <w:r w:rsidRPr="007A1B5D">
        <w:rPr>
          <w:rFonts w:ascii="Times New Roman" w:hAnsi="Times New Roman" w:cs="Times New Roman"/>
        </w:rPr>
        <w:t xml:space="preserve"> for </w:t>
      </w:r>
      <m:oMath>
        <m:r>
          <m:rPr>
            <m:sty m:val="p"/>
          </m:rP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max</m:t>
            </m:r>
          </m:sub>
        </m:sSub>
      </m:oMath>
      <w:r w:rsidRPr="007A1B5D">
        <w:rPr>
          <w:rFonts w:ascii="Times New Roman" w:hAnsi="Times New Roman" w:cs="Times New Roman"/>
        </w:rPr>
        <w:t>.</w:t>
      </w:r>
    </w:p>
    <w:p w14:paraId="00EBF320" w14:textId="0C222557" w:rsidR="007A1B5D" w:rsidRPr="007A1B5D" w:rsidRDefault="007A1B5D" w:rsidP="00B83798">
      <w:pPr>
        <w:pStyle w:val="BodyText"/>
        <w:spacing w:line="360" w:lineRule="auto"/>
        <w:ind w:firstLine="708"/>
        <w:jc w:val="both"/>
      </w:pPr>
      <w:r w:rsidRPr="007A1B5D">
        <w:t xml:space="preserve">The event study representation serves two important purposes. First, estimates for </w:t>
      </w:r>
      <m:oMath>
        <m:r>
          <m:rPr>
            <m:sty m:val="p"/>
          </m:rPr>
          <w:rPr>
            <w:rFonts w:ascii="Cambria Math" w:hAnsi="Cambria Math"/>
          </w:rPr>
          <m:t>e&lt;</m:t>
        </m:r>
        <m:r>
          <w:rPr>
            <w:rFonts w:ascii="Cambria Math" w:hAnsi="Cambria Math"/>
          </w:rPr>
          <m:t>0</m:t>
        </m:r>
      </m:oMath>
      <w:r w:rsidRPr="007A1B5D">
        <w:t xml:space="preserve"> (pre-treatment periods) provide a diagnostic check of the parallel </w:t>
      </w:r>
      <w:proofErr w:type="gramStart"/>
      <w:r w:rsidRPr="007A1B5D">
        <w:t>trends</w:t>
      </w:r>
      <w:proofErr w:type="gramEnd"/>
      <w:r w:rsidRPr="007A1B5D">
        <w:t xml:space="preserve"> assumption. If the identifying assumption holds, one expects </w:t>
      </w:r>
      <m:oMath>
        <m:r>
          <m:rPr>
            <m:sty m:val="p"/>
          </m:rPr>
          <w:rPr>
            <w:rFonts w:ascii="Cambria Math" w:hAnsi="Cambria Math"/>
          </w:rPr>
          <m:t>ATT</m:t>
        </m:r>
        <m:d>
          <m:dPr>
            <m:ctrlPr>
              <w:rPr>
                <w:rFonts w:ascii="Cambria Math" w:hAnsi="Cambria Math"/>
              </w:rPr>
            </m:ctrlPr>
          </m:dPr>
          <m:e>
            <m:r>
              <m:rPr>
                <m:sty m:val="p"/>
              </m:rPr>
              <w:rPr>
                <w:rFonts w:ascii="Cambria Math" w:hAnsi="Cambria Math"/>
              </w:rPr>
              <m:t>e</m:t>
            </m:r>
          </m:e>
        </m:d>
        <m:r>
          <m:rPr>
            <m:sty m:val="p"/>
          </m:rPr>
          <w:rPr>
            <w:rFonts w:ascii="Cambria Math" w:hAnsi="Cambria Math"/>
          </w:rPr>
          <m:t>≈</m:t>
        </m:r>
        <m:r>
          <w:rPr>
            <w:rFonts w:ascii="Cambria Math" w:hAnsi="Cambria Math"/>
          </w:rPr>
          <m:t>0</m:t>
        </m:r>
      </m:oMath>
      <w:r w:rsidRPr="007A1B5D">
        <w:t xml:space="preserve"> for all </w:t>
      </w:r>
      <m:oMath>
        <m:r>
          <m:rPr>
            <m:sty m:val="p"/>
          </m:rPr>
          <w:rPr>
            <w:rFonts w:ascii="Cambria Math" w:hAnsi="Cambria Math"/>
          </w:rPr>
          <m:t>e&lt;</m:t>
        </m:r>
        <m:r>
          <w:rPr>
            <w:rFonts w:ascii="Cambria Math" w:hAnsi="Cambria Math"/>
          </w:rPr>
          <m:t>0</m:t>
        </m:r>
      </m:oMath>
      <w:r w:rsidRPr="007A1B5D">
        <w:t xml:space="preserve">, since treatment has not yet occurred. Significant pre-treatment effects suggest potential violations of parallel trends. Second, estimates for </w:t>
      </w:r>
      <m:oMath>
        <m:r>
          <m:rPr>
            <m:sty m:val="p"/>
          </m:rPr>
          <w:rPr>
            <w:rFonts w:ascii="Cambria Math" w:hAnsi="Cambria Math"/>
          </w:rPr>
          <m:t>e≥</m:t>
        </m:r>
        <m:r>
          <w:rPr>
            <w:rFonts w:ascii="Cambria Math" w:hAnsi="Cambria Math"/>
          </w:rPr>
          <m:t>0</m:t>
        </m:r>
      </m:oMath>
      <w:r w:rsidRPr="007A1B5D">
        <w:t xml:space="preserve"> reveal the dynamic path of treatment effects, showing whether impacts are immediate or gradual, persistent or transitory.</w:t>
      </w:r>
    </w:p>
    <w:p w14:paraId="76DAC68C" w14:textId="77777777" w:rsidR="007A1B5D" w:rsidRPr="007A1B5D" w:rsidRDefault="007A1B5D" w:rsidP="00B83798">
      <w:pPr>
        <w:pStyle w:val="BodyText"/>
        <w:spacing w:line="360" w:lineRule="auto"/>
        <w:ind w:firstLine="708"/>
        <w:jc w:val="both"/>
      </w:pPr>
      <w:r w:rsidRPr="007A1B5D">
        <w:t>This event study structure is particularly valuable for policy evaluation, as it allows researchers to assess both the validity of the identification strategy and the temporal pattern of causal effects within a unified framework.</w:t>
      </w:r>
    </w:p>
    <w:p w14:paraId="41FFE458" w14:textId="77777777" w:rsidR="007A1B5D" w:rsidRDefault="007A1B5D" w:rsidP="00B83798">
      <w:pPr>
        <w:pStyle w:val="BodyText"/>
        <w:spacing w:line="360" w:lineRule="auto"/>
        <w:ind w:firstLine="708"/>
        <w:jc w:val="both"/>
      </w:pPr>
      <w:r w:rsidRPr="007A1B5D">
        <w:t>This completes our presentation of the DML framework and its application to Difference-in-Differences settings. The following chapter demonstrates these methods using real empirical applications.</w:t>
      </w:r>
    </w:p>
    <w:p w14:paraId="70124BA7" w14:textId="77777777" w:rsidR="00492577" w:rsidRDefault="00492577" w:rsidP="007A1B5D">
      <w:pPr>
        <w:pStyle w:val="BodyText"/>
        <w:spacing w:line="360" w:lineRule="auto"/>
        <w:jc w:val="both"/>
      </w:pPr>
    </w:p>
    <w:p w14:paraId="469C7B8F" w14:textId="77777777" w:rsidR="00492577" w:rsidRDefault="00492577" w:rsidP="007A1B5D">
      <w:pPr>
        <w:pStyle w:val="BodyText"/>
        <w:spacing w:line="360" w:lineRule="auto"/>
        <w:jc w:val="both"/>
      </w:pPr>
    </w:p>
    <w:p w14:paraId="227A21F3" w14:textId="77777777" w:rsidR="00492577" w:rsidRDefault="00492577" w:rsidP="007A1B5D">
      <w:pPr>
        <w:pStyle w:val="BodyText"/>
        <w:spacing w:line="360" w:lineRule="auto"/>
        <w:jc w:val="both"/>
      </w:pPr>
    </w:p>
    <w:p w14:paraId="1A62BADD" w14:textId="77777777" w:rsidR="00492577" w:rsidRDefault="00492577" w:rsidP="007A1B5D">
      <w:pPr>
        <w:pStyle w:val="BodyText"/>
        <w:spacing w:line="360" w:lineRule="auto"/>
        <w:jc w:val="both"/>
      </w:pPr>
    </w:p>
    <w:p w14:paraId="3EA5378A" w14:textId="77777777" w:rsidR="00492577" w:rsidRDefault="00492577" w:rsidP="007A1B5D">
      <w:pPr>
        <w:pStyle w:val="BodyText"/>
        <w:spacing w:line="360" w:lineRule="auto"/>
        <w:jc w:val="both"/>
      </w:pPr>
    </w:p>
    <w:p w14:paraId="7997939D" w14:textId="77777777" w:rsidR="00492577" w:rsidRDefault="00492577" w:rsidP="007A1B5D">
      <w:pPr>
        <w:pStyle w:val="BodyText"/>
        <w:spacing w:line="360" w:lineRule="auto"/>
        <w:jc w:val="both"/>
      </w:pPr>
    </w:p>
    <w:p w14:paraId="1D28FB07" w14:textId="77777777" w:rsidR="00492577" w:rsidRDefault="00492577" w:rsidP="007A1B5D">
      <w:pPr>
        <w:pStyle w:val="BodyText"/>
        <w:spacing w:line="360" w:lineRule="auto"/>
        <w:jc w:val="both"/>
      </w:pPr>
    </w:p>
    <w:p w14:paraId="35F96A6B" w14:textId="77777777" w:rsidR="00492577" w:rsidRDefault="00492577" w:rsidP="007A1B5D">
      <w:pPr>
        <w:pStyle w:val="BodyText"/>
        <w:spacing w:line="360" w:lineRule="auto"/>
        <w:jc w:val="both"/>
      </w:pPr>
    </w:p>
    <w:p w14:paraId="78748326" w14:textId="77777777" w:rsidR="00492577" w:rsidRPr="007A1B5D" w:rsidRDefault="00492577" w:rsidP="007A1B5D">
      <w:pPr>
        <w:pStyle w:val="BodyText"/>
        <w:spacing w:line="360" w:lineRule="auto"/>
        <w:jc w:val="both"/>
      </w:pPr>
    </w:p>
    <w:p w14:paraId="7D5A43BC" w14:textId="5457AD07" w:rsidR="007A1B5D" w:rsidRPr="007D6ADF" w:rsidRDefault="007A1B5D" w:rsidP="00EB6242">
      <w:pPr>
        <w:pStyle w:val="Heading1"/>
        <w:rPr>
          <w:rFonts w:eastAsia="Times New Roman"/>
        </w:rPr>
      </w:pPr>
      <w:bookmarkStart w:id="49" w:name="_Toc227873393"/>
      <w:bookmarkStart w:id="50" w:name="chapter-4-simulations"/>
      <w:r w:rsidRPr="007A1B5D">
        <w:t>4</w:t>
      </w:r>
      <w:r>
        <w:t>.</w:t>
      </w:r>
      <w:r w:rsidRPr="007A1B5D">
        <w:t xml:space="preserve"> Simulations</w:t>
      </w:r>
      <w:bookmarkEnd w:id="49"/>
    </w:p>
    <w:p w14:paraId="0AE5908A" w14:textId="66254413"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This chapter presents a Monte Carlo simulation exercise designed to illustrate when DML estimators offer meaningful advantages over classical approaches in Difference-in-Differences settings, and when a simpler Two-Way Fixed Effects (TWFE) specification is preferred. The simulation procedure builds on the framework introduced by </w:t>
      </w:r>
      <w:proofErr w:type="spellStart"/>
      <w:r w:rsidRPr="007A1B5D">
        <w:rPr>
          <w:rFonts w:ascii="Times New Roman" w:hAnsi="Times New Roman" w:cs="Times New Roman"/>
        </w:rPr>
        <w:t>Hatamyar</w:t>
      </w:r>
      <w:proofErr w:type="spellEnd"/>
      <w:r w:rsidRPr="007A1B5D">
        <w:rPr>
          <w:rFonts w:ascii="Times New Roman" w:hAnsi="Times New Roman" w:cs="Times New Roman"/>
        </w:rPr>
        <w:t xml:space="preserve"> et al. </w:t>
      </w:r>
      <w:r w:rsidRPr="007A1B5D">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{"citationID":"fPxPMxRX","properties":{"unsorted":false,"formattedCitation":"(2023)","plainCitation":"(2023)","noteIndex":0},"citationItems":[{"id":38,"uris":["http://zotero.org/users/local/ik3vdrlJ/items/FM765QV3"],"itemData":{"id":38,"type":"article","abstract":"We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(2023)</w:t>
      </w:r>
      <w:r w:rsidRPr="007A1B5D">
        <w:rPr>
          <w:rFonts w:ascii="Times New Roman" w:hAnsi="Times New Roman" w:cs="Times New Roman"/>
        </w:rPr>
        <w:fldChar w:fldCharType="end"/>
      </w:r>
      <w:r w:rsidRPr="007A1B5D">
        <w:rPr>
          <w:rFonts w:ascii="Times New Roman" w:hAnsi="Times New Roman" w:cs="Times New Roman"/>
        </w:rPr>
        <w:t xml:space="preserve">, which itself extended the staggered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design of Callaway and Sant’Anna </w:t>
      </w:r>
      <w:r w:rsidRPr="007A1B5D">
        <w:rPr>
          <w:rFonts w:ascii="Times New Roman" w:hAnsi="Times New Roman" w:cs="Times New Roman"/>
        </w:rPr>
        <w:fldChar w:fldCharType="begin"/>
      </w:r>
      <w:r w:rsidRPr="007A1B5D">
        <w:rPr>
          <w:rFonts w:ascii="Times New Roman" w:hAnsi="Times New Roman" w:cs="Times New Roman"/>
        </w:rPr>
        <w:instrText xml:space="preserve"> ADDIN ZOTERO_ITEM CSL_CITATION {"citationID":"wmvbbkW3","properties":{"unsorted":false,"formattedCitation":"(2021)","plainCitation":"(2021)","noteIndex":0},"citationItems":[{"id":25,"uris":["http://zotero.org/users/local/ik3vdrlJ/items/JBF2LLR6"],"itemData":{"id":25,"type":"article-journal","abstract":"In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(2021)</w:t>
      </w:r>
      <w:r w:rsidRPr="007A1B5D">
        <w:rPr>
          <w:rFonts w:ascii="Times New Roman" w:hAnsi="Times New Roman" w:cs="Times New Roman"/>
        </w:rPr>
        <w:fldChar w:fldCharType="end"/>
      </w:r>
      <w:r w:rsidRPr="007A1B5D">
        <w:rPr>
          <w:rFonts w:ascii="Times New Roman" w:hAnsi="Times New Roman" w:cs="Times New Roman"/>
        </w:rPr>
        <w:t xml:space="preserve">. The present work adapts and extends the </w:t>
      </w:r>
      <w:proofErr w:type="spellStart"/>
      <w:r w:rsidRPr="007A1B5D">
        <w:rPr>
          <w:rFonts w:ascii="Times New Roman" w:hAnsi="Times New Roman" w:cs="Times New Roman"/>
        </w:rPr>
        <w:t>Hatamyar</w:t>
      </w:r>
      <w:proofErr w:type="spellEnd"/>
      <w:r w:rsidRPr="007A1B5D">
        <w:rPr>
          <w:rFonts w:ascii="Times New Roman" w:hAnsi="Times New Roman" w:cs="Times New Roman"/>
        </w:rPr>
        <w:t xml:space="preserve"> et al. </w:t>
      </w:r>
      <w:r w:rsidRPr="007A1B5D">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{"citationID":"uHrWoga4","properties":{"unsorted":false,"formattedCitation":"(2023)","plainCitation":"(2023)","noteIndex":0},"citationItems":[{"id":38,"uris":["http://zotero.org/users/local/ik3vdrlJ/items/FM765QV3"],"itemData":{"id":38,"type":"article","abstract":"We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(2023)</w:t>
      </w:r>
      <w:r w:rsidRPr="007A1B5D">
        <w:rPr>
          <w:rFonts w:ascii="Times New Roman" w:hAnsi="Times New Roman" w:cs="Times New Roman"/>
        </w:rPr>
        <w:fldChar w:fldCharType="end"/>
      </w:r>
      <w:r w:rsidRPr="007A1B5D">
        <w:rPr>
          <w:rFonts w:ascii="Times New Roman" w:hAnsi="Times New Roman" w:cs="Times New Roman"/>
        </w:rPr>
        <w:t xml:space="preserve"> DGP in several directions: it introduces multiple tiers of confounding complexity (beyond the original linear specification), adds nonlinear outcome models that create conditional parallel trends, varies the propensity score strength parameter across scenarios, and includes noise covariates to test estimator robustness.</w:t>
      </w:r>
    </w:p>
    <w:p w14:paraId="23E6C0BF" w14:textId="77777777" w:rsidR="007A1B5D" w:rsidRPr="007A1B5D" w:rsidRDefault="007A1B5D" w:rsidP="00B83798">
      <w:pPr>
        <w:pStyle w:val="BodyText"/>
        <w:spacing w:line="360" w:lineRule="auto"/>
        <w:ind w:firstLine="708"/>
        <w:jc w:val="both"/>
      </w:pPr>
      <w:r w:rsidRPr="007A1B5D">
        <w:t>The chapter is organized as follows. First, the data generating process (DGP) is described, covering the construction of covariates, treatment assignment, potential outcomes, and observed outcomes. Second, the simulation scenarios are defined, varying the complexity of confounding and outcome models across three tiers. Third, the estimation procedures and Monte Carlo design are outlined.</w:t>
      </w:r>
    </w:p>
    <w:p w14:paraId="667D2538" w14:textId="2D4C41EE" w:rsidR="007A1B5D" w:rsidRPr="00385CC7" w:rsidRDefault="00404256" w:rsidP="00EB6242">
      <w:pPr>
        <w:pStyle w:val="Heading2"/>
      </w:pPr>
      <w:bookmarkStart w:id="51" w:name="_Toc227873394"/>
      <w:bookmarkStart w:id="52" w:name="data-generating-process"/>
      <w:r w:rsidRPr="00385CC7">
        <w:t xml:space="preserve">4.1. </w:t>
      </w:r>
      <w:r w:rsidR="007A1B5D" w:rsidRPr="00385CC7">
        <w:t>Data Generating Process</w:t>
      </w:r>
      <w:bookmarkEnd w:id="51"/>
    </w:p>
    <w:p w14:paraId="6A09BA45" w14:textId="62517D43"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simulation framework generates panel data for </w:t>
      </w:r>
      <m:oMath>
        <m:r>
          <m:rPr>
            <m:sty m:val="p"/>
          </m:rPr>
          <w:rPr>
            <w:rFonts w:ascii="Cambria Math" w:hAnsi="Cambria Math" w:cs="Times New Roman"/>
          </w:rPr>
          <m:t>n</m:t>
        </m:r>
      </m:oMath>
      <w:r w:rsidRPr="007A1B5D">
        <w:rPr>
          <w:rFonts w:ascii="Times New Roman" w:hAnsi="Times New Roman" w:cs="Times New Roman"/>
        </w:rPr>
        <w:t xml:space="preserve"> units observed over </w:t>
      </w:r>
      <m:oMath>
        <m:r>
          <m:rPr>
            <m:sty m:val="p"/>
          </m:rPr>
          <w:rPr>
            <w:rFonts w:ascii="Cambria Math" w:hAnsi="Cambria Math" w:cs="Times New Roman"/>
          </w:rPr>
          <m:t>T</m:t>
        </m:r>
      </m:oMath>
      <w:r w:rsidRPr="007A1B5D">
        <w:rPr>
          <w:rFonts w:ascii="Times New Roman" w:hAnsi="Times New Roman" w:cs="Times New Roman"/>
        </w:rPr>
        <w:t xml:space="preserve"> periods. Each unit </w:t>
      </w:r>
      <m:oMath>
        <m:r>
          <m:rPr>
            <m:sty m:val="p"/>
          </m:rPr>
          <w:rPr>
            <w:rFonts w:ascii="Cambria Math" w:hAnsi="Cambria Math" w:cs="Times New Roman"/>
          </w:rPr>
          <m:t>i</m:t>
        </m:r>
      </m:oMath>
      <w:r w:rsidRPr="007A1B5D">
        <w:rPr>
          <w:rFonts w:ascii="Times New Roman" w:hAnsi="Times New Roman" w:cs="Times New Roman"/>
        </w:rPr>
        <w:t xml:space="preserve"> is assigned to a treatment cohort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,…,T</m:t>
        </m:r>
      </m:oMath>
      <w:r w:rsidRPr="007A1B5D">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7A1B5D">
        <w:rPr>
          <w:rFonts w:ascii="Times New Roman" w:hAnsi="Times New Roman" w:cs="Times New Roman"/>
        </w:rPr>
        <w:t xml:space="preserve"> indicates a never-treated unit and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=g&gt;</m:t>
        </m:r>
        <m:r>
          <w:rPr>
            <w:rFonts w:ascii="Cambria Math" w:hAnsi="Cambria Math" w:cs="Times New Roman"/>
          </w:rPr>
          <m:t>0</m:t>
        </m:r>
      </m:oMath>
      <w:r w:rsidRPr="007A1B5D">
        <w:rPr>
          <w:rFonts w:ascii="Times New Roman" w:hAnsi="Times New Roman" w:cs="Times New Roman"/>
        </w:rPr>
        <w:t xml:space="preserve"> indicates that unit </w:t>
      </w:r>
      <m:oMath>
        <m:r>
          <m:rPr>
            <m:sty m:val="p"/>
          </m:rPr>
          <w:rPr>
            <w:rFonts w:ascii="Cambria Math" w:hAnsi="Cambria Math" w:cs="Times New Roman"/>
          </w:rPr>
          <m:t>i</m:t>
        </m:r>
      </m:oMath>
      <w:r w:rsidRPr="007A1B5D">
        <w:rPr>
          <w:rFonts w:ascii="Times New Roman" w:hAnsi="Times New Roman" w:cs="Times New Roman"/>
        </w:rPr>
        <w:t xml:space="preserve"> first receives treatment at period </w:t>
      </w:r>
      <m:oMath>
        <m:r>
          <m:rPr>
            <m:sty m:val="p"/>
          </m:rPr>
          <w:rPr>
            <w:rFonts w:ascii="Cambria Math" w:hAnsi="Cambria Math" w:cs="Times New Roman"/>
          </w:rPr>
          <m:t>g</m:t>
        </m:r>
      </m:oMath>
      <w:r w:rsidRPr="007A1B5D">
        <w:rPr>
          <w:rFonts w:ascii="Times New Roman" w:hAnsi="Times New Roman" w:cs="Times New Roman"/>
        </w:rPr>
        <w:t>.</w:t>
      </w:r>
    </w:p>
    <w:p w14:paraId="123BDC9C" w14:textId="61C3107A" w:rsidR="007A1B5D" w:rsidRPr="007A1B5D" w:rsidRDefault="007A1B5D" w:rsidP="00B83798">
      <w:pPr>
        <w:pStyle w:val="BodyText"/>
        <w:spacing w:line="360" w:lineRule="auto"/>
        <w:ind w:firstLine="708"/>
        <w:jc w:val="both"/>
      </w:pPr>
      <w:r w:rsidRPr="007A1B5D">
        <w:t xml:space="preserve">The core of the DGP is defined by two potential outcome equations. The untreated potential outcome for unit </w:t>
      </w:r>
      <m:oMath>
        <m:r>
          <m:rPr>
            <m:sty m:val="p"/>
          </m:rPr>
          <w:rPr>
            <w:rFonts w:ascii="Cambria Math" w:hAnsi="Cambria Math"/>
          </w:rPr>
          <m:t>i</m:t>
        </m:r>
      </m:oMath>
      <w:r w:rsidRPr="007A1B5D">
        <w:t xml:space="preserve"> at period </w:t>
      </w:r>
      <m:oMath>
        <m:r>
          <m:rPr>
            <m:sty m:val="p"/>
          </m:rPr>
          <w:rPr>
            <w:rFonts w:ascii="Cambria Math" w:hAnsi="Cambria Math"/>
          </w:rPr>
          <m:t>t</m:t>
        </m:r>
      </m:oMath>
      <w:r w:rsidRPr="007A1B5D">
        <w:t xml:space="preserve"> is:</w:t>
      </w:r>
    </w:p>
    <w:p w14:paraId="0A18D69E" w14:textId="75EE2564" w:rsidR="00B83798" w:rsidRPr="00B83798" w:rsidRDefault="00000000" w:rsidP="007A1B5D">
      <w:pPr>
        <w:pStyle w:val="BodyText"/>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i</m:t>
                  </m:r>
                </m:sub>
              </m:sSub>
              <m:r>
                <m:rPr>
                  <m:sty m:val="p"/>
                </m:rP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4.1</m:t>
                  </m:r>
                </m:e>
              </m:d>
            </m:e>
          </m:eqArr>
        </m:oMath>
      </m:oMathPara>
    </w:p>
    <w:p w14:paraId="7915BD86" w14:textId="77777777"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and the treated potential outcome is:</w:t>
      </w:r>
    </w:p>
    <w:p w14:paraId="3728EF74" w14:textId="387707F0" w:rsidR="00B83798" w:rsidRPr="00B83798"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β</m:t>
                  </m:r>
                </m:e>
                <m:sub>
                  <m:r>
                    <w:rPr>
                      <w:rFonts w:ascii="Cambria Math" w:hAnsi="Cambria Math"/>
                    </w:rPr>
                    <m:t>t</m:t>
                  </m:r>
                </m:sub>
                <m:sup>
                  <m:r>
                    <w:rPr>
                      <w:rFonts w:ascii="Cambria Math" w:hAnsi="Cambria Math"/>
                    </w:rPr>
                    <m:t>X</m:t>
                  </m:r>
                </m:sup>
              </m:sSubSup>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4.2</m:t>
                  </m:r>
                </m:e>
              </m:d>
            </m:e>
          </m:eqArr>
        </m:oMath>
      </m:oMathPara>
    </w:p>
    <w:p w14:paraId="010A55C0" w14:textId="0DC77D9C"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lastRenderedPageBreak/>
        <w:t xml:space="preserve">where </w:t>
      </w:r>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=t</m:t>
        </m:r>
      </m:oMath>
      <w:r w:rsidRPr="007A1B5D">
        <w:rPr>
          <w:rFonts w:ascii="Times New Roman" w:hAnsi="Times New Roman" w:cs="Times New Roman"/>
        </w:rPr>
        <w:t xml:space="preserve"> is a shared time trend, </w:t>
      </w:r>
      <m:oMath>
        <m:sSub>
          <m:sSubPr>
            <m:ctrlPr>
              <w:rPr>
                <w:rFonts w:ascii="Cambria Math" w:hAnsi="Cambria Math" w:cs="Times New Roman"/>
              </w:rPr>
            </m:ctrlPr>
          </m:sSubPr>
          <m:e>
            <m:r>
              <m:rPr>
                <m:sty m:val="p"/>
              </m:rPr>
              <w:rPr>
                <w:rFonts w:ascii="Cambria Math" w:hAnsi="Cambria Math" w:cs="Times New Roman"/>
              </w:rPr>
              <m:t>α</m:t>
            </m:r>
          </m:e>
          <m:sub>
            <m:r>
              <w:rPr>
                <w:rFonts w:ascii="Cambria Math" w:hAnsi="Cambria Math" w:cs="Times New Roman"/>
              </w:rPr>
              <m:t>i</m:t>
            </m:r>
          </m:sub>
        </m:sSub>
      </m:oMath>
      <w:r w:rsidRPr="007A1B5D">
        <w:rPr>
          <w:rFonts w:ascii="Times New Roman" w:hAnsi="Times New Roman" w:cs="Times New Roman"/>
        </w:rPr>
        <w:t xml:space="preserve"> is a unit-specific fixed effect, </w:t>
      </w:r>
      <m:oMath>
        <m:sSub>
          <m:sSubPr>
            <m:ctrlPr>
              <w:rPr>
                <w:rFonts w:ascii="Cambria Math" w:hAnsi="Cambria Math" w:cs="Times New Roman"/>
              </w:rPr>
            </m:ctrlPr>
          </m:sSubPr>
          <m:e>
            <m:r>
              <m:rPr>
                <m:sty m:val="p"/>
              </m:rP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7A1B5D">
        <w:rPr>
          <w:rFonts w:ascii="Times New Roman" w:hAnsi="Times New Roman" w:cs="Times New Roman"/>
        </w:rPr>
        <w:t xml:space="preserve"> is an idiosyncratic error, </w:t>
      </w:r>
      <m:oMath>
        <m:r>
          <m:rPr>
            <m:sty m:val="p"/>
          </m:rP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Pr="007A1B5D">
        <w:rPr>
          <w:rFonts w:ascii="Times New Roman" w:hAnsi="Times New Roman" w:cs="Times New Roman"/>
        </w:rPr>
        <w:t xml:space="preserve"> is a function of covariates whose complexity varies across scenarios, </w:t>
      </w:r>
      <m:oMath>
        <m:sSubSup>
          <m:sSubSupPr>
            <m:ctrlPr>
              <w:rPr>
                <w:rFonts w:ascii="Cambria Math" w:hAnsi="Cambria Math" w:cs="Times New Roman"/>
              </w:rPr>
            </m:ctrlPr>
          </m:sSubSupPr>
          <m:e>
            <m:r>
              <w:rPr>
                <w:rFonts w:ascii="Cambria Math" w:hAnsi="Cambria Math" w:cs="Times New Roman"/>
              </w:rPr>
              <m:t>X</m:t>
            </m:r>
            <m:ctrlPr>
              <w:rPr>
                <w:rFonts w:ascii="Cambria Math" w:hAnsi="Cambria Math" w:cs="Times New Roman"/>
                <w:i/>
              </w:rPr>
            </m:ctrlPr>
          </m:e>
          <m:sub>
            <m:r>
              <w:rPr>
                <w:rFonts w:ascii="Cambria Math" w:hAnsi="Cambria Math" w:cs="Times New Roman"/>
              </w:rPr>
              <m:t>i</m:t>
            </m:r>
          </m:sub>
          <m:sup>
            <m:r>
              <m:rPr>
                <m:sty m:val="p"/>
              </m:rPr>
              <w:rPr>
                <w:rFonts w:ascii="Cambria Math" w:hAnsi="Cambria Math" w:cs="Times New Roman"/>
              </w:rPr>
              <m:t>*</m:t>
            </m:r>
          </m:sup>
        </m:sSubSup>
      </m:oMath>
      <w:r w:rsidRPr="007A1B5D">
        <w:rPr>
          <w:rFonts w:ascii="Times New Roman" w:hAnsi="Times New Roman" w:cs="Times New Roman"/>
        </w:rPr>
        <w:t xml:space="preserve"> is a covariate index entering </w:t>
      </w:r>
      <m:oMath>
        <m:r>
          <m:rPr>
            <m:sty m:val="p"/>
          </m:rPr>
          <w:rPr>
            <w:rFonts w:ascii="Cambria Math" w:hAnsi="Cambria Math" w:cs="Times New Roman"/>
          </w:rPr>
          <m:t>Y</m:t>
        </m:r>
        <m:d>
          <m:dPr>
            <m:ctrlPr>
              <w:rPr>
                <w:rFonts w:ascii="Cambria Math" w:hAnsi="Cambria Math" w:cs="Times New Roman"/>
              </w:rPr>
            </m:ctrlPr>
          </m:dPr>
          <m:e>
            <m:r>
              <w:rPr>
                <w:rFonts w:ascii="Cambria Math" w:hAnsi="Cambria Math" w:cs="Times New Roman"/>
              </w:rPr>
              <m:t>1</m:t>
            </m:r>
          </m:e>
        </m:d>
      </m:oMath>
      <w:r w:rsidRPr="007A1B5D">
        <w:rPr>
          <w:rFonts w:ascii="Times New Roman" w:hAnsi="Times New Roman" w:cs="Times New Roman"/>
        </w:rPr>
        <w:t xml:space="preserve">, </w:t>
      </w:r>
      <m:oMath>
        <m:sSubSup>
          <m:sSubSupPr>
            <m:ctrlPr>
              <w:rPr>
                <w:rFonts w:ascii="Cambria Math" w:hAnsi="Cambria Math" w:cs="Times New Roman"/>
              </w:rPr>
            </m:ctrlPr>
          </m:sSubSupPr>
          <m:e>
            <m:r>
              <m:rPr>
                <m:sty m:val="p"/>
              </m:rPr>
              <w:rPr>
                <w:rFonts w:ascii="Cambria Math" w:hAnsi="Cambria Math" w:cs="Times New Roman"/>
              </w:rPr>
              <m:t>β</m:t>
            </m:r>
          </m:e>
          <m:sub>
            <m:r>
              <w:rPr>
                <w:rFonts w:ascii="Cambria Math" w:hAnsi="Cambria Math" w:cs="Times New Roman"/>
              </w:rPr>
              <m:t>t</m:t>
            </m:r>
          </m:sub>
          <m:sup>
            <m:r>
              <w:rPr>
                <w:rFonts w:ascii="Cambria Math" w:hAnsi="Cambria Math" w:cs="Times New Roman"/>
              </w:rPr>
              <m:t>X</m:t>
            </m:r>
          </m:sup>
        </m:sSubSup>
      </m:oMath>
      <w:r w:rsidRPr="007A1B5D">
        <w:rPr>
          <w:rFonts w:ascii="Times New Roman" w:hAnsi="Times New Roman" w:cs="Times New Roman"/>
        </w:rPr>
        <w:t xml:space="preserve"> is a time-varying coefficient on covariates in the treated outcome,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e</m:t>
            </m:r>
          </m:sub>
        </m:sSub>
      </m:oMath>
      <w:r w:rsidRPr="007A1B5D">
        <w:rPr>
          <w:rFonts w:ascii="Times New Roman" w:hAnsi="Times New Roman" w:cs="Times New Roman"/>
        </w:rPr>
        <w:t xml:space="preserve"> is a dynamic treatment effect component that depends on event time </w:t>
      </w:r>
      <m:oMath>
        <m:r>
          <m:rPr>
            <m:sty m:val="p"/>
          </m:rP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7A1B5D">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τ</m:t>
            </m:r>
          </m:e>
          <m:sub>
            <m:r>
              <w:rPr>
                <w:rFonts w:ascii="Cambria Math" w:hAnsi="Cambria Math" w:cs="Times New Roman"/>
              </w:rPr>
              <m:t>i</m:t>
            </m:r>
          </m:sub>
        </m:sSub>
      </m:oMath>
      <w:r w:rsidRPr="007A1B5D">
        <w:rPr>
          <w:rFonts w:ascii="Times New Roman" w:hAnsi="Times New Roman" w:cs="Times New Roman"/>
        </w:rPr>
        <w:t xml:space="preserve"> is a unit-specific treatment effect modifier. The observed outcome switches between these two equations based on treatment status:</w:t>
      </w:r>
    </w:p>
    <w:p w14:paraId="356D9A80" w14:textId="48CCF7CB" w:rsidR="00B83798" w:rsidRPr="00B83798"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cr m:val="double-struck"/>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cr m:val="double-struck"/>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d>
                <m:dPr>
                  <m:ctrlPr>
                    <w:rPr>
                      <w:rFonts w:ascii="Cambria Math" w:hAnsi="Cambria Math"/>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7BA16FC5" w14:textId="17243AB9"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In </w:t>
      </w:r>
      <w:proofErr w:type="spellStart"/>
      <w:r w:rsidRPr="007A1B5D">
        <w:rPr>
          <w:rFonts w:ascii="Times New Roman" w:hAnsi="Times New Roman" w:cs="Times New Roman"/>
        </w:rPr>
        <w:t>Hatamyar</w:t>
      </w:r>
      <w:proofErr w:type="spellEnd"/>
      <w:r w:rsidRPr="007A1B5D">
        <w:rPr>
          <w:rFonts w:ascii="Times New Roman" w:hAnsi="Times New Roman" w:cs="Times New Roman"/>
        </w:rPr>
        <w:t xml:space="preserve"> et al. </w:t>
      </w:r>
      <w:r w:rsidRPr="007A1B5D">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{"citationID":"LB47dmtn","properties":{"unsorted":false,"formattedCitation":"(2023)","plainCitation":"(2023)","noteIndex":0},"citationItems":[{"id":38,"uris":["http://zotero.org/users/local/ik3vdrlJ/items/FM765QV3"],"itemData":{"id":38,"type":"article","abstract":"We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(2023)</w:t>
      </w:r>
      <w:r w:rsidRPr="007A1B5D">
        <w:rPr>
          <w:rFonts w:ascii="Times New Roman" w:hAnsi="Times New Roman" w:cs="Times New Roman"/>
        </w:rPr>
        <w:fldChar w:fldCharType="end"/>
      </w:r>
      <w:r w:rsidRPr="007A1B5D">
        <w:rPr>
          <w:rFonts w:ascii="Times New Roman" w:hAnsi="Times New Roman" w:cs="Times New Roman"/>
        </w:rPr>
        <w:t xml:space="preserve">, the untreated outcome did not depend on covariates (equivalent to </w:t>
      </w:r>
      <m:oMath>
        <m:r>
          <m:rPr>
            <m:sty m:val="p"/>
          </m:rP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0</m:t>
        </m:r>
      </m:oMath>
      <w:r w:rsidRPr="007A1B5D">
        <w:rPr>
          <w:rFonts w:ascii="Times New Roman" w:hAnsi="Times New Roman" w:cs="Times New Roman"/>
        </w:rPr>
        <w:t>), confounding was limited to a single linear specification, and the propensity score strength was fixed. The present design extends each of these dimensions, as described in the subsections that follow.</w:t>
      </w:r>
    </w:p>
    <w:p w14:paraId="43456B79" w14:textId="1F1B89D4" w:rsidR="00404256" w:rsidRPr="00404256" w:rsidRDefault="00404256" w:rsidP="00BF697B">
      <w:pPr>
        <w:pStyle w:val="Heading3"/>
      </w:pPr>
      <w:bookmarkStart w:id="53" w:name="_Toc227873395"/>
      <w:bookmarkStart w:id="54" w:name="covariates"/>
      <w:r>
        <w:t>4.1.1. Covariates</w:t>
      </w:r>
      <w:bookmarkEnd w:id="53"/>
    </w:p>
    <w:p w14:paraId="598E108A" w14:textId="225357D0"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Five types of covariates are generated for each unit. Two continuous covariates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1</m:t>
            </m:r>
          </m:sub>
        </m:sSub>
      </m:oMath>
      <w:r w:rsidRPr="007A1B5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2</m:t>
            </m:r>
          </m:sub>
        </m:sSub>
      </m:oMath>
      <w:r w:rsidRPr="007A1B5D">
        <w:rPr>
          <w:rFonts w:ascii="Times New Roman" w:hAnsi="Times New Roman" w:cs="Times New Roman"/>
        </w:rPr>
        <w:t xml:space="preserve"> are drawn independently from a standard normal distribution. A binary covariate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3</m:t>
            </m:r>
          </m:sub>
        </m:sSub>
      </m:oMath>
      <w:r w:rsidRPr="007A1B5D">
        <w:rPr>
          <w:rFonts w:ascii="Times New Roman" w:hAnsi="Times New Roman" w:cs="Times New Roman"/>
        </w:rPr>
        <w:t xml:space="preserve"> is drawn from a Bernoulli distribution with probability 0.5. These three covariates mirror the covariate structure used in Hatamyar et al. (2023). An additional binary covariate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4</m:t>
            </m:r>
          </m:sub>
        </m:sSub>
      </m:oMath>
      <w:r w:rsidRPr="007A1B5D">
        <w:rPr>
          <w:rFonts w:ascii="Times New Roman" w:hAnsi="Times New Roman" w:cs="Times New Roman"/>
        </w:rPr>
        <w:t>, also drawn from a Bernoulli (0.5) distribution, is included as a pure noise variable that does not enter any model equation.</w:t>
      </w:r>
    </w:p>
    <w:p w14:paraId="3A1D6828" w14:textId="5CB4CE0B" w:rsidR="007A1B5D" w:rsidRPr="007A1B5D" w:rsidRDefault="007A1B5D" w:rsidP="00B83798">
      <w:pPr>
        <w:pStyle w:val="BodyText"/>
        <w:spacing w:line="360" w:lineRule="auto"/>
        <w:ind w:firstLine="708"/>
        <w:jc w:val="both"/>
      </w:pPr>
      <w:r w:rsidRPr="007A1B5D">
        <w:t xml:space="preserve">An optional time-varying covariate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5</m:t>
            </m:r>
          </m:sub>
        </m:sSub>
      </m:oMath>
      <w:r w:rsidRPr="007A1B5D">
        <w:t xml:space="preserve">, not present in Hatamyar et al. (2023), can also be generated. For each period </w:t>
      </w:r>
      <m:oMath>
        <m:r>
          <m:rPr>
            <m:sty m:val="p"/>
          </m:rPr>
          <w:rPr>
            <w:rFonts w:ascii="Cambria Math" w:hAnsi="Cambria Math"/>
          </w:rPr>
          <m:t>t</m:t>
        </m:r>
      </m:oMath>
      <w:r w:rsidRPr="007A1B5D">
        <w:t xml:space="preserve">,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5</m:t>
            </m:r>
            <m:r>
              <m:rPr>
                <m:sty m:val="p"/>
              </m:rPr>
              <w:rPr>
                <w:rFonts w:ascii="Cambria Math" w:hAnsi="Cambria Math"/>
              </w:rPr>
              <m:t>,</m:t>
            </m:r>
            <m:r>
              <w:rPr>
                <w:rFonts w:ascii="Cambria Math" w:hAnsi="Cambria Math"/>
              </w:rPr>
              <m:t>it</m:t>
            </m:r>
          </m:sub>
        </m:sSub>
      </m:oMath>
      <w:r w:rsidRPr="007A1B5D">
        <w:t xml:space="preserve"> follows a sine wave pattern plus noise:</w:t>
      </w:r>
    </w:p>
    <w:p w14:paraId="1F1B87D3" w14:textId="7E36684A" w:rsidR="00B83798" w:rsidRPr="00B83798" w:rsidRDefault="00000000" w:rsidP="007A1B5D">
      <w:pPr>
        <w:pStyle w:val="BodyText"/>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5</m:t>
                  </m:r>
                  <m:r>
                    <m:rPr>
                      <m:sty m:val="p"/>
                    </m:rPr>
                    <w:rPr>
                      <w:rFonts w:ascii="Cambria Math" w:hAnsi="Cambria Math"/>
                    </w:rPr>
                    <m:t>,</m:t>
                  </m:r>
                  <m:r>
                    <w:rPr>
                      <w:rFonts w:ascii="Cambria Math" w:hAnsi="Cambria Math"/>
                    </w:rPr>
                    <m:t>it</m:t>
                  </m:r>
                </m:sub>
              </m:sSub>
              <m:r>
                <m:rPr>
                  <m:sty m:val="p"/>
                </m:rPr>
                <w:rPr>
                  <w:rFonts w:ascii="Cambria Math" w:hAnsi="Cambria Math"/>
                </w:rPr>
                <m:t>=sin</m:t>
              </m:r>
              <m:d>
                <m:dPr>
                  <m:ctrlPr>
                    <w:rPr>
                      <w:rFonts w:ascii="Cambria Math" w:hAnsi="Cambria Math"/>
                    </w:rPr>
                  </m:ctrlPr>
                </m:dPr>
                <m:e>
                  <m:r>
                    <w:rPr>
                      <w:rFonts w:ascii="Cambria Math" w:hAnsi="Cambria Math"/>
                    </w:rPr>
                    <m:t>2</m:t>
                  </m:r>
                  <m:r>
                    <m:rPr>
                      <m:sty m:val="p"/>
                    </m:rPr>
                    <w:rPr>
                      <w:rFonts w:ascii="Cambria Math" w:hAnsi="Cambria Math"/>
                    </w:rPr>
                    <m:t>π</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w:rPr>
                      <w:rFonts w:ascii="Cambria Math" w:hAnsi="Cambria Math"/>
                    </w:rPr>
                    <m:t>it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4.4</m:t>
                  </m:r>
                </m:e>
              </m:d>
            </m:e>
          </m:eqArr>
        </m:oMath>
      </m:oMathPara>
    </w:p>
    <w:p w14:paraId="2C01CCC3" w14:textId="1B016B70"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rPr>
              <m:t>p</m:t>
            </m:r>
          </m:sub>
        </m:sSub>
      </m:oMath>
      <w:r w:rsidRPr="007A1B5D">
        <w:rPr>
          <w:rFonts w:ascii="Times New Roman" w:hAnsi="Times New Roman" w:cs="Times New Roman"/>
        </w:rPr>
        <w:t xml:space="preserve"> represents an evenly spaced grid over </w:t>
      </w:r>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7A1B5D">
        <w:rPr>
          <w:rFonts w:ascii="Times New Roman" w:hAnsi="Times New Roman" w:cs="Times New Roman"/>
        </w:rPr>
        <w:t>. This covariate introduces temporal variation in the covariate structure, which is relevant for testing estimators in settings where conditioning variables evolve over time.</w:t>
      </w:r>
    </w:p>
    <w:p w14:paraId="5C192742" w14:textId="38F4CA39" w:rsidR="007A1B5D" w:rsidRPr="00404256" w:rsidRDefault="00404256" w:rsidP="00BF697B">
      <w:pPr>
        <w:pStyle w:val="Heading3"/>
      </w:pPr>
      <w:bookmarkStart w:id="55" w:name="_Toc227873396"/>
      <w:bookmarkStart w:id="56" w:name="treatment-assignment"/>
      <w:bookmarkEnd w:id="54"/>
      <w:r>
        <w:lastRenderedPageBreak/>
        <w:t xml:space="preserve">4.1.2. </w:t>
      </w:r>
      <w:r w:rsidR="007A1B5D" w:rsidRPr="00404256">
        <w:t>Treatment Assignment</w:t>
      </w:r>
      <w:bookmarkEnd w:id="55"/>
    </w:p>
    <w:p w14:paraId="4C0407B0" w14:textId="02924A95"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Treatment assignment is governed by a multinomial model that determines each unit’s cohort membership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oMath>
      <w:r w:rsidRPr="007A1B5D">
        <w:rPr>
          <w:rFonts w:ascii="Times New Roman" w:hAnsi="Times New Roman" w:cs="Times New Roman"/>
        </w:rPr>
        <w:t xml:space="preserve">. Under random assignment, each cohort (including the never-treated group) is equally likely, so </w:t>
      </w:r>
      <m:oMath>
        <m:r>
          <m:rPr>
            <m:sty m:val="p"/>
          </m:rPr>
          <w:rPr>
            <w:rFonts w:ascii="Cambria Math" w:hAnsi="Cambria Math" w:cs="Times New Roman"/>
          </w:rPr>
          <m:t>Pr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=g</m:t>
            </m:r>
          </m:e>
        </m:d>
        <m:r>
          <m:rPr>
            <m:sty m:val="p"/>
          </m:rPr>
          <w:rPr>
            <w:rFonts w:ascii="Cambria Math" w:hAnsi="Cambria Math" w:cs="Times New Roman"/>
          </w:rPr>
          <m:t>=</m:t>
        </m:r>
        <m:r>
          <w:rPr>
            <w:rFonts w:ascii="Cambria Math" w:hAnsi="Cambria Math" w:cs="Times New Roman"/>
          </w:rPr>
          <m:t>1</m:t>
        </m:r>
        <m:r>
          <m:rPr>
            <m:lit/>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T+</m:t>
            </m:r>
            <m:r>
              <w:rPr>
                <w:rFonts w:ascii="Cambria Math" w:hAnsi="Cambria Math" w:cs="Times New Roman"/>
              </w:rPr>
              <m:t>1</m:t>
            </m:r>
          </m:e>
        </m:d>
      </m:oMath>
      <w:r w:rsidRPr="007A1B5D">
        <w:rPr>
          <w:rFonts w:ascii="Times New Roman" w:hAnsi="Times New Roman" w:cs="Times New Roman"/>
        </w:rPr>
        <w:t xml:space="preserve"> for all </w:t>
      </w:r>
      <m:oMath>
        <m:r>
          <m:rPr>
            <m:sty m:val="p"/>
          </m:rPr>
          <w:rPr>
            <w:rFonts w:ascii="Cambria Math" w:hAnsi="Cambria Math" w:cs="Times New Roman"/>
          </w:rPr>
          <m:t>g∈</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,…,T</m:t>
        </m:r>
      </m:oMath>
      <w:r w:rsidRPr="007A1B5D">
        <w:rPr>
          <w:rFonts w:ascii="Times New Roman" w:hAnsi="Times New Roman" w:cs="Times New Roman"/>
        </w:rPr>
        <w:t>.</w:t>
      </w:r>
    </w:p>
    <w:p w14:paraId="51A7B651" w14:textId="77777777" w:rsidR="007A1B5D" w:rsidRPr="007A1B5D" w:rsidRDefault="007A1B5D" w:rsidP="00B83798">
      <w:pPr>
        <w:pStyle w:val="BodyText"/>
        <w:spacing w:line="360" w:lineRule="auto"/>
        <w:ind w:firstLine="708"/>
        <w:jc w:val="both"/>
      </w:pPr>
      <w:r w:rsidRPr="007A1B5D">
        <w:t>Under confounded assignment, the probability of belonging to each cohort depends on the covariates through a multinomial logit model:</w:t>
      </w:r>
    </w:p>
    <w:p w14:paraId="3F1BF968" w14:textId="2F3BDF14" w:rsidR="00B83798" w:rsidRPr="00B83798" w:rsidRDefault="00000000" w:rsidP="007A1B5D">
      <w:pPr>
        <w:pStyle w:val="BodyText"/>
        <w:spacing w:line="360" w:lineRule="auto"/>
        <w:jc w:val="both"/>
      </w:pPr>
      <m:oMathPara>
        <m:oMath>
          <m:eqArr>
            <m:eqArrPr>
              <m:maxDist m:val="1"/>
              <m:ctrlPr>
                <w:rPr>
                  <w:rFonts w:ascii="Cambria Math" w:hAnsi="Cambria Math"/>
                  <w:i/>
                </w:rPr>
              </m:ctrlPr>
            </m:eqArrPr>
            <m:e>
              <m:r>
                <m:rPr>
                  <m:sty m:val="p"/>
                </m:rPr>
                <w:rPr>
                  <w:rFonts w:ascii="Cambria Math" w:hAnsi="Cambria Math"/>
                </w:rPr>
                <m:t>Pr</m:t>
              </m:r>
              <m:d>
                <m:dPr>
                  <m:sep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m:t>
                  </m:r>
                </m:e>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g</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nary>
                    <m:naryPr>
                      <m:chr m:val="∑"/>
                      <m:ctrlPr>
                        <w:rPr>
                          <w:rFonts w:ascii="Cambria Math" w:hAnsi="Cambria Math"/>
                        </w:rPr>
                      </m:ctrlPr>
                    </m:naryPr>
                    <m: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0</m:t>
                      </m:r>
                    </m:sub>
                    <m:sup>
                      <m:r>
                        <w:rPr>
                          <w:rFonts w:ascii="Cambria Math" w:hAnsi="Cambria Math"/>
                        </w:rPr>
                        <m:t>T</m:t>
                      </m:r>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5F382338" w14:textId="022FBB62"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g</m:t>
            </m:r>
          </m:sub>
        </m:sSub>
        <m:r>
          <m:rPr>
            <m:sty m:val="p"/>
          </m:rPr>
          <w:rPr>
            <w:rFonts w:ascii="Cambria Math" w:hAnsi="Cambria Math" w:cs="Times New Roman"/>
          </w:rPr>
          <m:t>=λ⋅</m:t>
        </m:r>
        <m:r>
          <w:rPr>
            <w:rFonts w:ascii="Cambria Math" w:hAnsi="Cambria Math" w:cs="Times New Roman"/>
          </w:rPr>
          <m:t>g</m:t>
        </m:r>
        <m:r>
          <m:rPr>
            <m:lit/>
            <m:sty m:val="p"/>
          </m:rPr>
          <w:rPr>
            <w:rFonts w:ascii="Cambria Math" w:hAnsi="Cambria Math" w:cs="Times New Roman"/>
          </w:rPr>
          <m:t>/</m:t>
        </m:r>
        <m:r>
          <m:rPr>
            <m:sty m:val="p"/>
          </m:rPr>
          <w:rPr>
            <w:rFonts w:ascii="Cambria Math" w:hAnsi="Cambria Math" w:cs="Times New Roman"/>
          </w:rPr>
          <m:t>T</m:t>
        </m:r>
      </m:oMath>
      <w:r w:rsidRPr="007A1B5D">
        <w:rPr>
          <w:rFonts w:ascii="Times New Roman" w:hAnsi="Times New Roman" w:cs="Times New Roman"/>
        </w:rPr>
        <w:t xml:space="preserve"> is a cohort-specific parameter that scales with the propensity score strength </w:t>
      </w:r>
      <m:oMath>
        <m:r>
          <m:rPr>
            <m:sty m:val="p"/>
          </m:rPr>
          <w:rPr>
            <w:rFonts w:ascii="Cambria Math" w:hAnsi="Cambria Math" w:cs="Times New Roman"/>
          </w:rPr>
          <m:t>λ</m:t>
        </m:r>
      </m:oMath>
      <w:r w:rsidRPr="007A1B5D">
        <w:rPr>
          <w:rFonts w:ascii="Times New Roman" w:hAnsi="Times New Roman" w:cs="Times New Roman"/>
        </w:rPr>
        <w:t xml:space="preserve">, and </w:t>
      </w:r>
      <m:oMath>
        <m:r>
          <m:rPr>
            <m:sty m:val="p"/>
          </m:rP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Pr="007A1B5D">
        <w:rPr>
          <w:rFonts w:ascii="Times New Roman" w:hAnsi="Times New Roman" w:cs="Times New Roman"/>
        </w:rPr>
        <w:t xml:space="preserve"> is a confounding index that depends on the covariates according to a specified complexity level. Three levels of confounding complexity are considered. Under the simple specification, </w:t>
      </w:r>
      <m:oMath>
        <m:r>
          <m:rPr>
            <m:sty m:val="p"/>
          </m:rP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7A1B5D">
        <w:rPr>
          <w:rFonts w:ascii="Times New Roman" w:hAnsi="Times New Roman" w:cs="Times New Roman"/>
        </w:rPr>
        <w:t xml:space="preserve">, creating a linear, additive confounding structure that is straightforward for any estimator to model. The mid specification adds an interaction term, </w:t>
      </w:r>
      <m:oMath>
        <m:r>
          <m:rPr>
            <m:sty m:val="p"/>
          </m:rP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7A1B5D">
        <w:rPr>
          <w:rFonts w:ascii="Times New Roman" w:hAnsi="Times New Roman" w:cs="Times New Roman"/>
        </w:rPr>
        <w:t xml:space="preserve">. The complex specification introduces squared terms, indicator functions, and trigonometric transformations, </w:t>
      </w:r>
      <m:oMath>
        <m:r>
          <m:rPr>
            <m:sty m:val="p"/>
          </m:rP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cr m:val="double-struck"/>
            <m:sty m:val="p"/>
          </m:rPr>
          <w:rPr>
            <w:rFonts w:ascii="Cambria Math" w:hAnsi="Cambria Math" w:cs="Times New Roman"/>
          </w:rPr>
          <m:t>+1</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&gt;</m:t>
            </m:r>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d>
      </m:oMath>
      <w:r w:rsidRPr="007A1B5D">
        <w:rPr>
          <w:rFonts w:ascii="Times New Roman" w:hAnsi="Times New Roman" w:cs="Times New Roman"/>
        </w:rPr>
        <w:t xml:space="preserve">, creating a confounding structure that is difficult for linear models to approximate. This is one of the differences when comparing against Callaway and Sant’Anna </w:t>
      </w:r>
      <w:r w:rsidRPr="007A1B5D">
        <w:rPr>
          <w:rFonts w:ascii="Times New Roman" w:hAnsi="Times New Roman" w:cs="Times New Roman"/>
        </w:rPr>
        <w:fldChar w:fldCharType="begin"/>
      </w:r>
      <w:r w:rsidRPr="007A1B5D">
        <w:rPr>
          <w:rFonts w:ascii="Times New Roman" w:hAnsi="Times New Roman" w:cs="Times New Roman"/>
        </w:rPr>
        <w:instrText xml:space="preserve"> ADDIN ZOTERO_ITEM CSL_CITATION {"citationID":"3LK71B8p","properties":{"unsorted":false,"formattedCitation":"(2021)","plainCitation":"(2021)","noteIndex":0},"citationItems":[{"id":25,"uris":["http://zotero.org/users/local/ik3vdrlJ/items/JBF2LLR6"],"itemData":{"id":25,"type":"article-journal","abstract":"In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(2021)</w:t>
      </w:r>
      <w:r w:rsidRPr="007A1B5D">
        <w:rPr>
          <w:rFonts w:ascii="Times New Roman" w:hAnsi="Times New Roman" w:cs="Times New Roman"/>
        </w:rPr>
        <w:fldChar w:fldCharType="end"/>
      </w:r>
      <w:r w:rsidRPr="007A1B5D">
        <w:rPr>
          <w:rFonts w:ascii="Times New Roman" w:hAnsi="Times New Roman" w:cs="Times New Roman"/>
        </w:rPr>
        <w:t xml:space="preserve"> where covariates weren’t included and </w:t>
      </w:r>
      <w:proofErr w:type="spellStart"/>
      <w:r w:rsidRPr="007A1B5D">
        <w:rPr>
          <w:rFonts w:ascii="Times New Roman" w:hAnsi="Times New Roman" w:cs="Times New Roman"/>
        </w:rPr>
        <w:t>Hatamyar</w:t>
      </w:r>
      <w:proofErr w:type="spellEnd"/>
      <w:r w:rsidRPr="007A1B5D">
        <w:rPr>
          <w:rFonts w:ascii="Times New Roman" w:hAnsi="Times New Roman" w:cs="Times New Roman"/>
        </w:rPr>
        <w:t xml:space="preserve"> et al. </w:t>
      </w:r>
      <w:r w:rsidRPr="007A1B5D">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{"citationID":"udQLft2T","properties":{"unsorted":false,"formattedCitation":"(2023)","plainCitation":"(2023)","noteIndex":0},"citationItems":[{"id":38,"uris":["http://zotero.org/users/local/ik3vdrlJ/items/FM765QV3"],"itemData":{"id":38,"type":"article","abstract":"We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(2023)</w:t>
      </w:r>
      <w:r w:rsidRPr="007A1B5D">
        <w:rPr>
          <w:rFonts w:ascii="Times New Roman" w:hAnsi="Times New Roman" w:cs="Times New Roman"/>
        </w:rPr>
        <w:fldChar w:fldCharType="end"/>
      </w:r>
      <w:r w:rsidRPr="007A1B5D">
        <w:rPr>
          <w:rFonts w:ascii="Times New Roman" w:hAnsi="Times New Roman" w:cs="Times New Roman"/>
        </w:rPr>
        <w:t xml:space="preserve"> where only the simple structure was included.</w:t>
      </w:r>
    </w:p>
    <w:p w14:paraId="07AC145B" w14:textId="1EBEFBF4" w:rsidR="007A1B5D" w:rsidRPr="007A1B5D" w:rsidRDefault="007A1B5D" w:rsidP="00B83798">
      <w:pPr>
        <w:pStyle w:val="BodyText"/>
        <w:spacing w:line="360" w:lineRule="auto"/>
        <w:ind w:firstLine="708"/>
        <w:jc w:val="both"/>
      </w:pPr>
      <w:r w:rsidRPr="007A1B5D">
        <w:t xml:space="preserve">The propensity score strength parameter </w:t>
      </w:r>
      <m:oMath>
        <m:r>
          <m:rPr>
            <m:sty m:val="p"/>
          </m:rPr>
          <w:rPr>
            <w:rFonts w:ascii="Cambria Math" w:hAnsi="Cambria Math"/>
          </w:rPr>
          <m:t>λ</m:t>
        </m:r>
      </m:oMath>
      <w:r w:rsidRPr="007A1B5D">
        <w:t xml:space="preserve"> controls how strongly the covariates influence treatment assignment. Higher values of </w:t>
      </w:r>
      <m:oMath>
        <m:r>
          <m:rPr>
            <m:sty m:val="p"/>
          </m:rPr>
          <w:rPr>
            <w:rFonts w:ascii="Cambria Math" w:hAnsi="Cambria Math"/>
          </w:rPr>
          <m:t>λ</m:t>
        </m:r>
      </m:oMath>
      <w:r w:rsidRPr="007A1B5D">
        <w:t xml:space="preserve"> create greater imbalance between treated and control groups, making the confounding bias more severe when covariates are not properly adjusted for. In Hatamyar et al. </w:t>
      </w:r>
      <w:r w:rsidRPr="007A1B5D">
        <w:fldChar w:fldCharType="begin"/>
      </w:r>
      <w:r w:rsidR="00277956">
        <w:instrText xml:space="preserve"> ADDIN ZOTERO_ITEM CSL_CITATION {"citationID":"ekSF8ZEY","properties":{"unsorted":false,"formattedCitation":"(2023)","plainCitation":"(2023)","noteIndex":0},"citationItems":[{"id":38,"uris":["http://zotero.org/users/local/ik3vdrlJ/items/FM765QV3"],"itemData":{"id":38,"type":"article","abstract":"We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fldChar w:fldCharType="separate"/>
      </w:r>
      <w:r w:rsidRPr="007A1B5D">
        <w:rPr>
          <w:noProof/>
        </w:rPr>
        <w:t>(2023)</w:t>
      </w:r>
      <w:r w:rsidRPr="007A1B5D">
        <w:fldChar w:fldCharType="end"/>
      </w:r>
      <w:r w:rsidRPr="007A1B5D">
        <w:t xml:space="preserve">, this parameter was fixed; the present design varies </w:t>
      </w:r>
      <m:oMath>
        <m:r>
          <m:rPr>
            <m:sty m:val="p"/>
          </m:rPr>
          <w:rPr>
            <w:rFonts w:ascii="Cambria Math" w:hAnsi="Cambria Math"/>
          </w:rPr>
          <m:t>λ</m:t>
        </m:r>
      </m:oMath>
      <w:r w:rsidRPr="007A1B5D">
        <w:t xml:space="preserve"> across scenarios (from 0.25 to 1.0) to examine how increasing confounding strength affects estimator performance.</w:t>
      </w:r>
    </w:p>
    <w:p w14:paraId="6F95A7F2" w14:textId="77777777" w:rsidR="007A1B5D" w:rsidRPr="007A1B5D" w:rsidRDefault="007A1B5D" w:rsidP="00B83798">
      <w:pPr>
        <w:pStyle w:val="BodyText"/>
        <w:spacing w:line="360" w:lineRule="auto"/>
        <w:ind w:firstLine="708"/>
        <w:jc w:val="both"/>
      </w:pPr>
      <w:r w:rsidRPr="007A1B5D">
        <w:t>In the non-staggered case, all treated units are collapsed into a single cohort that begins treatment at period 2, simplifying the design to one with a single treatment group and a clean pre-treatment period.</w:t>
      </w:r>
    </w:p>
    <w:p w14:paraId="5B58D44A" w14:textId="57E7071F" w:rsidR="007A1B5D" w:rsidRPr="00404256" w:rsidRDefault="00404256" w:rsidP="00BF697B">
      <w:pPr>
        <w:pStyle w:val="Heading3"/>
      </w:pPr>
      <w:bookmarkStart w:id="57" w:name="_Toc227873397"/>
      <w:bookmarkStart w:id="58" w:name="fixed-effects"/>
      <w:bookmarkEnd w:id="56"/>
      <w:r>
        <w:lastRenderedPageBreak/>
        <w:t xml:space="preserve">4.1.3. </w:t>
      </w:r>
      <w:r w:rsidR="007A1B5D" w:rsidRPr="00404256">
        <w:t>Fixed Effects</w:t>
      </w:r>
      <w:bookmarkEnd w:id="57"/>
    </w:p>
    <w:p w14:paraId="79D511F1" w14:textId="421A3C09"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Each unit receives an individual-specific fixed effect </w:t>
      </w:r>
      <m:oMath>
        <m:sSub>
          <m:sSubPr>
            <m:ctrlPr>
              <w:rPr>
                <w:rFonts w:ascii="Cambria Math" w:hAnsi="Cambria Math" w:cs="Times New Roman"/>
              </w:rPr>
            </m:ctrlPr>
          </m:sSubPr>
          <m:e>
            <m:r>
              <m:rPr>
                <m:sty m:val="p"/>
              </m:rPr>
              <w:rPr>
                <w:rFonts w:ascii="Cambria Math" w:hAnsi="Cambria Math" w:cs="Times New Roman"/>
              </w:rPr>
              <m:t>α</m:t>
            </m:r>
          </m:e>
          <m:sub>
            <m:r>
              <w:rPr>
                <w:rFonts w:ascii="Cambria Math" w:hAnsi="Cambria Math" w:cs="Times New Roman"/>
              </w:rPr>
              <m:t>i</m:t>
            </m:r>
          </m:sub>
        </m:sSub>
      </m:oMath>
      <w:r w:rsidRPr="007A1B5D">
        <w:rPr>
          <w:rFonts w:ascii="Times New Roman" w:hAnsi="Times New Roman" w:cs="Times New Roman"/>
        </w:rPr>
        <w:t xml:space="preserve"> that captures permanent level differences between units. For treated units, the fixed effect is drawn as </w:t>
      </w:r>
      <m:oMath>
        <m:sSub>
          <m:sSubPr>
            <m:ctrlPr>
              <w:rPr>
                <w:rFonts w:ascii="Cambria Math" w:hAnsi="Cambria Math" w:cs="Times New Roman"/>
              </w:rPr>
            </m:ctrlPr>
          </m:sSubPr>
          <m:e>
            <m:r>
              <m:rPr>
                <m:sty m:val="p"/>
              </m:rP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e>
        </m:d>
      </m:oMath>
      <w:r w:rsidRPr="007A1B5D">
        <w:rPr>
          <w:rFonts w:ascii="Times New Roman" w:hAnsi="Times New Roman" w:cs="Times New Roman"/>
        </w:rPr>
        <w:t xml:space="preserve">, so units in later treatment cohorts tend to have higher baseline levels. For untreated units, </w:t>
      </w:r>
      <m:oMath>
        <m:sSub>
          <m:sSubPr>
            <m:ctrlPr>
              <w:rPr>
                <w:rFonts w:ascii="Cambria Math" w:hAnsi="Cambria Math" w:cs="Times New Roman"/>
              </w:rPr>
            </m:ctrlPr>
          </m:sSubPr>
          <m:e>
            <m:r>
              <m:rPr>
                <m:sty m:val="p"/>
              </m:rP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7A1B5D">
        <w:rPr>
          <w:rFonts w:ascii="Times New Roman" w:hAnsi="Times New Roman" w:cs="Times New Roman"/>
        </w:rPr>
        <w:t>. A correctly specified DiD estimator should difference out these fixed effects, but their correlation with treatment timing introduces an additional identification challenge.</w:t>
      </w:r>
    </w:p>
    <w:p w14:paraId="7E1E3C70" w14:textId="2E4691E6" w:rsidR="007A1B5D" w:rsidRPr="00404256" w:rsidRDefault="00404256" w:rsidP="00BF697B">
      <w:pPr>
        <w:pStyle w:val="Heading3"/>
      </w:pPr>
      <w:bookmarkStart w:id="59" w:name="_Toc227873398"/>
      <w:bookmarkStart w:id="60" w:name="potential-outcomes"/>
      <w:bookmarkEnd w:id="58"/>
      <w:r>
        <w:t xml:space="preserve">4.1.4. </w:t>
      </w:r>
      <w:r w:rsidR="007A1B5D" w:rsidRPr="00404256">
        <w:t>Potential Outcomes</w:t>
      </w:r>
      <w:bookmarkEnd w:id="59"/>
    </w:p>
    <w:p w14:paraId="6901987C" w14:textId="593F4CCA"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untreated potential outcome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d>
          <m:dPr>
            <m:ctrlPr>
              <w:rPr>
                <w:rFonts w:ascii="Cambria Math" w:hAnsi="Cambria Math" w:cs="Times New Roman"/>
              </w:rPr>
            </m:ctrlPr>
          </m:dPr>
          <m:e>
            <m:r>
              <w:rPr>
                <w:rFonts w:ascii="Cambria Math" w:hAnsi="Cambria Math" w:cs="Times New Roman"/>
              </w:rPr>
              <m:t>0</m:t>
            </m:r>
          </m:e>
        </m:d>
      </m:oMath>
      <w:r w:rsidRPr="007A1B5D">
        <w:rPr>
          <w:rFonts w:ascii="Times New Roman" w:hAnsi="Times New Roman" w:cs="Times New Roman"/>
        </w:rPr>
        <w:t xml:space="preserve">, presented at the beginning of this section, includes a covariate effect </w:t>
      </w:r>
      <m:oMath>
        <m:r>
          <m:rPr>
            <m:sty m:val="p"/>
          </m:rP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Pr="007A1B5D">
        <w:rPr>
          <w:rFonts w:ascii="Times New Roman" w:hAnsi="Times New Roman" w:cs="Times New Roman"/>
        </w:rPr>
        <w:t xml:space="preserve"> scaled by a time-varying coefficient </w:t>
      </w:r>
      <m:oMath>
        <m:d>
          <m:dPr>
            <m:ctrlPr>
              <w:rPr>
                <w:rFonts w:ascii="Cambria Math" w:hAnsi="Cambria Math" w:cs="Times New Roman"/>
              </w:rPr>
            </m:ctrlPr>
          </m:dPr>
          <m:e>
            <m:r>
              <m:rPr>
                <m:sty m:val="p"/>
              </m:rPr>
              <w:rPr>
                <w:rFonts w:ascii="Cambria Math" w:hAnsi="Cambria Math" w:cs="Times New Roman"/>
              </w:rPr>
              <m:t>t+</m:t>
            </m:r>
            <m:r>
              <w:rPr>
                <w:rFonts w:ascii="Cambria Math" w:hAnsi="Cambria Math" w:cs="Times New Roman"/>
              </w:rPr>
              <m:t>1</m:t>
            </m:r>
          </m:e>
        </m:d>
        <m:r>
          <m:rPr>
            <m:lit/>
            <m:sty m:val="p"/>
          </m:rPr>
          <w:rPr>
            <w:rFonts w:ascii="Cambria Math" w:hAnsi="Cambria Math" w:cs="Times New Roman"/>
          </w:rPr>
          <m:t>/</m:t>
        </m:r>
        <m:r>
          <m:rPr>
            <m:sty m:val="p"/>
          </m:rPr>
          <w:rPr>
            <w:rFonts w:ascii="Cambria Math" w:hAnsi="Cambria Math" w:cs="Times New Roman"/>
          </w:rPr>
          <m:t>T</m:t>
        </m:r>
      </m:oMath>
      <w:r w:rsidRPr="007A1B5D">
        <w:rPr>
          <w:rFonts w:ascii="Times New Roman" w:hAnsi="Times New Roman" w:cs="Times New Roman"/>
        </w:rPr>
        <w:t xml:space="preserve"> that grows over the panel. This design creates parallel trends conditional on </w:t>
      </w:r>
      <m:oMath>
        <m:r>
          <m:rPr>
            <m:sty m:val="p"/>
          </m:rPr>
          <w:rPr>
            <w:rFonts w:ascii="Cambria Math" w:hAnsi="Cambria Math" w:cs="Times New Roman"/>
          </w:rPr>
          <m:t>X</m:t>
        </m:r>
      </m:oMath>
      <w:r w:rsidRPr="007A1B5D">
        <w:rPr>
          <w:rFonts w:ascii="Times New Roman" w:hAnsi="Times New Roman" w:cs="Times New Roman"/>
        </w:rPr>
        <w:t xml:space="preserve"> but not unconditionally, providing a setting where covariate adjustment is necessary for valid identification. This is a difference from Hatamyar et al. </w:t>
      </w:r>
      <w:r w:rsidRPr="007A1B5D">
        <w:rPr>
          <w:rFonts w:ascii="Times New Roman" w:hAnsi="Times New Roman" w:cs="Times New Roman"/>
        </w:rPr>
        <w:fldChar w:fldCharType="begin"/>
      </w:r>
      <w:r w:rsidR="00277956">
        <w:rPr>
          <w:rFonts w:ascii="Times New Roman" w:hAnsi="Times New Roman" w:cs="Times New Roman"/>
        </w:rPr>
        <w:instrText xml:space="preserve"> ADDIN ZOTERO_ITEM CSL_CITATION {"citationID":"RtUrBU3E","properties":{"unsorted":false,"formattedCitation":"(2023)","plainCitation":"(2023)","noteIndex":0},"citationItems":[{"id":38,"uris":["http://zotero.org/users/local/ik3vdrlJ/items/FM765QV3"],"itemData":{"id":38,"type":"article","abstract":"We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rPr>
          <w:rFonts w:ascii="Times New Roman" w:hAnsi="Times New Roman" w:cs="Times New Roman"/>
        </w:rPr>
        <w:fldChar w:fldCharType="separate"/>
      </w:r>
      <w:r w:rsidRPr="007A1B5D">
        <w:rPr>
          <w:rFonts w:ascii="Times New Roman" w:hAnsi="Times New Roman" w:cs="Times New Roman"/>
          <w:noProof/>
        </w:rPr>
        <w:t>(2023)</w:t>
      </w:r>
      <w:r w:rsidRPr="007A1B5D">
        <w:rPr>
          <w:rFonts w:ascii="Times New Roman" w:hAnsi="Times New Roman" w:cs="Times New Roman"/>
        </w:rPr>
        <w:fldChar w:fldCharType="end"/>
      </w:r>
      <w:r w:rsidRPr="007A1B5D">
        <w:rPr>
          <w:rFonts w:ascii="Times New Roman" w:hAnsi="Times New Roman" w:cs="Times New Roman"/>
        </w:rPr>
        <w:t>, where covariates did not enter the untreated outcome equation. The introduction of outcome complexity tiers, particularly the mid and complex specifications, is one of the central extensions of the present simulation design.</w:t>
      </w:r>
    </w:p>
    <w:p w14:paraId="7D43BA5D" w14:textId="03B654B0" w:rsidR="007A1B5D" w:rsidRPr="007A1B5D" w:rsidRDefault="007A1B5D" w:rsidP="00B83798">
      <w:pPr>
        <w:pStyle w:val="BodyText"/>
        <w:spacing w:line="360" w:lineRule="auto"/>
        <w:ind w:firstLine="708"/>
        <w:jc w:val="both"/>
      </w:pPr>
      <w:r w:rsidRPr="007A1B5D">
        <w:t xml:space="preserve">Three levels of outcome complexity determine the function </w:t>
      </w:r>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7A1B5D">
        <w:t xml:space="preserve">. Under the simple specification, </w:t>
      </w:r>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0</m:t>
        </m:r>
      </m:oMath>
      <w:r w:rsidRPr="007A1B5D">
        <w:t xml:space="preserve">, so covariates do not affect </w:t>
      </w:r>
      <m:oMath>
        <m:r>
          <m:rPr>
            <m:sty m:val="p"/>
          </m:rPr>
          <w:rPr>
            <w:rFonts w:ascii="Cambria Math" w:hAnsi="Cambria Math"/>
          </w:rPr>
          <m:t>Y</m:t>
        </m:r>
        <m:d>
          <m:dPr>
            <m:ctrlPr>
              <w:rPr>
                <w:rFonts w:ascii="Cambria Math" w:hAnsi="Cambria Math"/>
              </w:rPr>
            </m:ctrlPr>
          </m:dPr>
          <m:e>
            <m:r>
              <w:rPr>
                <w:rFonts w:ascii="Cambria Math" w:hAnsi="Cambria Math"/>
              </w:rPr>
              <m:t>0</m:t>
            </m:r>
          </m:e>
        </m:d>
      </m:oMath>
      <w:r w:rsidRPr="007A1B5D">
        <w:t>, parallel trends hold unconditionally, and TWFE is correctly specified. This replicates the Hatamyar et al. </w:t>
      </w:r>
      <w:r w:rsidRPr="007A1B5D">
        <w:fldChar w:fldCharType="begin"/>
      </w:r>
      <w:r w:rsidR="00277956">
        <w:instrText xml:space="preserve"> ADDIN ZOTERO_ITEM CSL_CITATION {"citationID":"BQVIEoko","properties":{"unsorted":false,"formattedCitation":"(2023)","plainCitation":"(2023)","noteIndex":0},"citationItems":[{"id":38,"uris":["http://zotero.org/users/local/ik3vdrlJ/items/FM765QV3"],"itemData":{"id":38,"type":"article","abstract":"We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subgroups.","citation-key":"hatamyarMachineLearningStaggered2023","DOI":"10.48550/arXiv.2310.11962","note":"arXiv:2310.11962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Pr="007A1B5D">
        <w:fldChar w:fldCharType="separate"/>
      </w:r>
      <w:r w:rsidRPr="007A1B5D">
        <w:rPr>
          <w:noProof/>
        </w:rPr>
        <w:t>(2023)</w:t>
      </w:r>
      <w:r w:rsidRPr="007A1B5D">
        <w:fldChar w:fldCharType="end"/>
      </w:r>
      <w:r w:rsidRPr="007A1B5D">
        <w:t xml:space="preserve"> setting. The mid and complex specifications are extensions introduced in the present work. The mid specification sets </w:t>
      </w:r>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7A1B5D">
        <w:t xml:space="preserve">, adding a linear covariate effect that grows over time, requiring covariate adjustment but within the capacity of parametric methods. The complex specification sets </w:t>
      </w:r>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7A1B5D">
        <w:t xml:space="preserve">, introducing nonlinearities in the outcome model such that linear controls cannot fully remove the covariate effect from </w:t>
      </w:r>
      <m:oMath>
        <m:r>
          <m:rPr>
            <m:sty m:val="p"/>
          </m:rPr>
          <w:rPr>
            <w:rFonts w:ascii="Cambria Math" w:hAnsi="Cambria Math"/>
          </w:rPr>
          <m:t>Y</m:t>
        </m:r>
        <m:d>
          <m:dPr>
            <m:ctrlPr>
              <w:rPr>
                <w:rFonts w:ascii="Cambria Math" w:hAnsi="Cambria Math"/>
              </w:rPr>
            </m:ctrlPr>
          </m:dPr>
          <m:e>
            <m:r>
              <w:rPr>
                <w:rFonts w:ascii="Cambria Math" w:hAnsi="Cambria Math"/>
              </w:rPr>
              <m:t>0</m:t>
            </m:r>
          </m:e>
        </m:d>
      </m:oMath>
      <w:r w:rsidRPr="007A1B5D">
        <w:t>, creating a setting where flexible ML-based estimators should outperform linear methods.</w:t>
      </w:r>
    </w:p>
    <w:p w14:paraId="2A518283" w14:textId="78BE1B79" w:rsidR="007A1B5D" w:rsidRPr="007A1B5D" w:rsidRDefault="007A1B5D" w:rsidP="00B83798">
      <w:pPr>
        <w:pStyle w:val="BodyText"/>
        <w:spacing w:line="360" w:lineRule="auto"/>
        <w:ind w:firstLine="708"/>
        <w:jc w:val="both"/>
      </w:pPr>
      <w:r w:rsidRPr="007A1B5D">
        <w:t xml:space="preserve">The treatment effect is heterogeneous across units. The unit-specific treatment effect modifier </w:t>
      </w:r>
      <m:oMath>
        <m:sSub>
          <m:sSubPr>
            <m:ctrlPr>
              <w:rPr>
                <w:rFonts w:ascii="Cambria Math" w:hAnsi="Cambria Math"/>
              </w:rPr>
            </m:ctrlPr>
          </m:sSubPr>
          <m:e>
            <m:r>
              <m:rPr>
                <m:sty m:val="p"/>
              </m:rPr>
              <w:rPr>
                <w:rFonts w:ascii="Cambria Math" w:hAnsi="Cambria Math"/>
              </w:rPr>
              <m:t>τ</m:t>
            </m:r>
          </m:e>
          <m:sub>
            <m:r>
              <w:rPr>
                <w:rFonts w:ascii="Cambria Math" w:hAnsi="Cambria Math"/>
              </w:rPr>
              <m:t>i</m:t>
            </m:r>
          </m:sub>
        </m:sSub>
      </m:oMath>
      <w:r w:rsidRPr="007A1B5D">
        <w:t xml:space="preserve"> is generated according to one of two specifications: </w:t>
      </w:r>
      <m:oMath>
        <m:sSub>
          <m:sSubPr>
            <m:ctrlPr>
              <w:rPr>
                <w:rFonts w:ascii="Cambria Math" w:hAnsi="Cambria Math"/>
              </w:rPr>
            </m:ctrlPr>
          </m:sSubPr>
          <m:e>
            <m:r>
              <m:rPr>
                <m:sty m:val="p"/>
              </m:rP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i</m:t>
            </m:r>
          </m:sub>
        </m:sSub>
      </m:oMath>
      <w:r w:rsidRPr="007A1B5D">
        <w:t xml:space="preserve"> (linear in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oMath>
      <w:r w:rsidRPr="007A1B5D">
        <w:t xml:space="preserve">), or </w:t>
      </w:r>
      <m:oMath>
        <m:sSub>
          <m:sSubPr>
            <m:ctrlPr>
              <w:rPr>
                <w:rFonts w:ascii="Cambria Math" w:hAnsi="Cambria Math"/>
              </w:rPr>
            </m:ctrlPr>
          </m:sSubPr>
          <m:e>
            <m:r>
              <m:rPr>
                <m:sty m:val="p"/>
              </m:rPr>
              <w:rPr>
                <w:rFonts w:ascii="Cambria Math" w:hAnsi="Cambria Math"/>
              </w:rPr>
              <m:t>τ</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r>
                      <m:rPr>
                        <m:sty m:val="p"/>
                      </m:rPr>
                      <w:rPr>
                        <w:rFonts w:ascii="Cambria Math" w:hAnsi="Cambria Math"/>
                      </w:rPr>
                      <m:t>,</m:t>
                    </m:r>
                    <m:r>
                      <w:rPr>
                        <w:rFonts w:ascii="Cambria Math" w:hAnsi="Cambria Math"/>
                      </w:rPr>
                      <m:t>i</m:t>
                    </m:r>
                  </m:sub>
                </m:sSub>
              </m:e>
            </m:d>
          </m:e>
          <m:sup>
            <m:r>
              <w:rPr>
                <w:rFonts w:ascii="Cambria Math" w:hAnsi="Cambria Math"/>
              </w:rPr>
              <m:t>2</m:t>
            </m:r>
          </m:sup>
        </m:sSup>
      </m:oMath>
      <w:r w:rsidRPr="007A1B5D">
        <w:t xml:space="preserve"> (nonlinear). Hatamyar et al. (2023) used only the linear specification; the nonlinear alternative is an extension that assesses whether ML-based estimators can capture more complex treatment effect heterogeneity patterns.</w:t>
      </w:r>
    </w:p>
    <w:p w14:paraId="1408B7AE" w14:textId="55180F6D" w:rsidR="007A1B5D" w:rsidRPr="007A1B5D" w:rsidRDefault="007A1B5D" w:rsidP="00B83798">
      <w:pPr>
        <w:pStyle w:val="BodyText"/>
        <w:spacing w:line="360" w:lineRule="auto"/>
        <w:ind w:firstLine="708"/>
        <w:jc w:val="both"/>
      </w:pPr>
      <w:r w:rsidRPr="007A1B5D">
        <w:lastRenderedPageBreak/>
        <w:t xml:space="preserve">The covariates entering the treated outcome equation are collected in a model index </w:t>
      </w:r>
      <m:oMath>
        <m:sSubSup>
          <m:sSubSupPr>
            <m:ctrlPr>
              <w:rPr>
                <w:rFonts w:ascii="Cambria Math" w:hAnsi="Cambria Math"/>
              </w:rPr>
            </m:ctrlPr>
          </m:sSubSupPr>
          <m:e>
            <m:r>
              <w:rPr>
                <w:rFonts w:ascii="Cambria Math" w:hAnsi="Cambria Math"/>
              </w:rPr>
              <m:t>X</m:t>
            </m:r>
            <m:ctrlPr>
              <w:rPr>
                <w:rFonts w:ascii="Cambria Math" w:hAnsi="Cambria Math"/>
                <w:i/>
              </w:rPr>
            </m:ctrlPr>
          </m:e>
          <m:sub>
            <m:r>
              <w:rPr>
                <w:rFonts w:ascii="Cambria Math" w:hAnsi="Cambria Math"/>
              </w:rPr>
              <m:t>i</m:t>
            </m:r>
          </m:sub>
          <m:sup>
            <m:r>
              <m:rPr>
                <m:sty m:val="p"/>
              </m:rPr>
              <w:rPr>
                <w:rFonts w:ascii="Cambria Math" w:hAnsi="Cambria Math"/>
              </w:rPr>
              <m:t>*</m:t>
            </m:r>
          </m:sup>
        </m:sSubSup>
      </m:oMath>
      <w:r w:rsidRPr="007A1B5D">
        <w:t xml:space="preserve">. The parameter </w:t>
      </w:r>
      <m:oMath>
        <m:r>
          <m:rPr>
            <m:sty m:val="p"/>
          </m:rPr>
          <w:rPr>
            <w:rFonts w:ascii="Cambria Math" w:hAnsi="Cambria Math"/>
          </w:rPr>
          <m:t>χ</m:t>
        </m:r>
      </m:oMath>
      <w:r w:rsidRPr="007A1B5D">
        <w:t xml:space="preserve"> controls the dimensionality of this index: when </w:t>
      </w:r>
      <m:oMath>
        <m:r>
          <m:rPr>
            <m:sty m:val="p"/>
          </m:rPr>
          <w:rPr>
            <w:rFonts w:ascii="Cambria Math" w:hAnsi="Cambria Math"/>
          </w:rPr>
          <m:t>χ=</m:t>
        </m:r>
        <m:r>
          <w:rPr>
            <w:rFonts w:ascii="Cambria Math" w:hAnsi="Cambria Math"/>
          </w:rPr>
          <m:t>1</m:t>
        </m:r>
      </m:oMath>
      <w:r w:rsidRPr="007A1B5D">
        <w:t xml:space="preserve">, only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oMath>
      <w:r w:rsidRPr="007A1B5D">
        <w:t xml:space="preserve"> enters; otherwise, the index is </w:t>
      </w: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7A1B5D">
        <w:t xml:space="preserve">. The dynamic treatment effect component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7A1B5D">
        <w:t xml:space="preserve"> depends on event time, with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=e</m:t>
        </m:r>
      </m:oMath>
      <w:r w:rsidRPr="007A1B5D">
        <w:t xml:space="preserve"> under dynamic effects and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1</m:t>
        </m:r>
      </m:oMath>
      <w:r w:rsidRPr="007A1B5D">
        <w:t xml:space="preserve"> under constant effects. The treatment effect for a treated unit in a post-treatment period thus has two parts: a dynamic component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7A1B5D">
        <w:t xml:space="preserve"> that grows with event time, and a constant baseline of 1. Both components are multiplied by the unit-specific </w:t>
      </w:r>
      <m:oMath>
        <m:sSub>
          <m:sSubPr>
            <m:ctrlPr>
              <w:rPr>
                <w:rFonts w:ascii="Cambria Math" w:hAnsi="Cambria Math"/>
              </w:rPr>
            </m:ctrlPr>
          </m:sSubPr>
          <m:e>
            <m:r>
              <m:rPr>
                <m:sty m:val="p"/>
              </m:rPr>
              <w:rPr>
                <w:rFonts w:ascii="Cambria Math" w:hAnsi="Cambria Math"/>
              </w:rPr>
              <m:t>τ</m:t>
            </m:r>
          </m:e>
          <m:sub>
            <m:r>
              <w:rPr>
                <w:rFonts w:ascii="Cambria Math" w:hAnsi="Cambria Math"/>
              </w:rPr>
              <m:t>i</m:t>
            </m:r>
          </m:sub>
        </m:sSub>
      </m:oMath>
      <w:r w:rsidRPr="007A1B5D">
        <w:t xml:space="preserve">, so the actual treatment effect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w:rPr>
                <w:rFonts w:ascii="Cambria Math" w:hAnsi="Cambria Math"/>
              </w:rPr>
              <m:t>i</m:t>
            </m:r>
          </m:sub>
        </m:sSub>
      </m:oMath>
      <w:r w:rsidRPr="007A1B5D">
        <w:t xml:space="preserve"> varies both across units and over time.</w:t>
      </w:r>
    </w:p>
    <w:p w14:paraId="2D7B4AC1" w14:textId="4F563CBF" w:rsidR="007A1B5D" w:rsidRPr="00404256" w:rsidRDefault="00404256" w:rsidP="00BF697B">
      <w:pPr>
        <w:pStyle w:val="Heading3"/>
      </w:pPr>
      <w:bookmarkStart w:id="61" w:name="_Toc227873399"/>
      <w:bookmarkStart w:id="62" w:name="observed-outcomes"/>
      <w:bookmarkEnd w:id="60"/>
      <w:r>
        <w:t xml:space="preserve">4.1.4. </w:t>
      </w:r>
      <w:r w:rsidR="007A1B5D" w:rsidRPr="00404256">
        <w:t>Observed Outcomes</w:t>
      </w:r>
      <w:bookmarkEnd w:id="61"/>
    </w:p>
    <w:p w14:paraId="6DEF9EF5" w14:textId="16094B58"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For treated units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7A1B5D">
        <w:rPr>
          <w:rFonts w:ascii="Times New Roman" w:hAnsi="Times New Roman" w:cs="Times New Roman"/>
        </w:rPr>
        <w:t xml:space="preserve">), the observed outcome equals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d>
          <m:dPr>
            <m:ctrlPr>
              <w:rPr>
                <w:rFonts w:ascii="Cambria Math" w:hAnsi="Cambria Math" w:cs="Times New Roman"/>
              </w:rPr>
            </m:ctrlPr>
          </m:dPr>
          <m:e>
            <m:r>
              <w:rPr>
                <w:rFonts w:ascii="Cambria Math" w:hAnsi="Cambria Math" w:cs="Times New Roman"/>
              </w:rPr>
              <m:t>1</m:t>
            </m:r>
          </m:e>
        </m:d>
      </m:oMath>
      <w:r w:rsidRPr="007A1B5D">
        <w:rPr>
          <w:rFonts w:ascii="Times New Roman" w:hAnsi="Times New Roman" w:cs="Times New Roman"/>
        </w:rPr>
        <w:t xml:space="preserve"> in post-treatment periods (</w:t>
      </w:r>
      <m:oMath>
        <m:r>
          <m:rPr>
            <m:sty m:val="p"/>
          </m:rP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7A1B5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d>
          <m:dPr>
            <m:ctrlPr>
              <w:rPr>
                <w:rFonts w:ascii="Cambria Math" w:hAnsi="Cambria Math" w:cs="Times New Roman"/>
              </w:rPr>
            </m:ctrlPr>
          </m:dPr>
          <m:e>
            <m:r>
              <w:rPr>
                <w:rFonts w:ascii="Cambria Math" w:hAnsi="Cambria Math" w:cs="Times New Roman"/>
              </w:rPr>
              <m:t>0</m:t>
            </m:r>
          </m:e>
        </m:d>
      </m:oMath>
      <w:r w:rsidRPr="007A1B5D">
        <w:rPr>
          <w:rFonts w:ascii="Times New Roman" w:hAnsi="Times New Roman" w:cs="Times New Roman"/>
        </w:rPr>
        <w:t xml:space="preserve"> in pre-treatment periods (</w:t>
      </w:r>
      <m:oMath>
        <m:r>
          <m:rPr>
            <m:sty m:val="p"/>
          </m:rPr>
          <w:rPr>
            <w:rFonts w:ascii="Cambria Math" w:hAnsi="Cambria Math" w:cs="Times New Roman"/>
          </w:rPr>
          <m:t>t&lt;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7A1B5D">
        <w:rPr>
          <w:rFonts w:ascii="Times New Roman" w:hAnsi="Times New Roman" w:cs="Times New Roman"/>
        </w:rPr>
        <w:t>). For never-treated units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7A1B5D">
        <w:rPr>
          <w:rFonts w:ascii="Times New Roman" w:hAnsi="Times New Roman" w:cs="Times New Roman"/>
        </w:rPr>
        <w:t xml:space="preserve">), the observed outcome is always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d>
          <m:dPr>
            <m:ctrlPr>
              <w:rPr>
                <w:rFonts w:ascii="Cambria Math" w:hAnsi="Cambria Math" w:cs="Times New Roman"/>
              </w:rPr>
            </m:ctrlPr>
          </m:dPr>
          <m:e>
            <m:r>
              <w:rPr>
                <w:rFonts w:ascii="Cambria Math" w:hAnsi="Cambria Math" w:cs="Times New Roman"/>
              </w:rPr>
              <m:t>0</m:t>
            </m:r>
          </m:e>
        </m:d>
      </m:oMath>
      <w:r w:rsidRPr="007A1B5D">
        <w:rPr>
          <w:rFonts w:ascii="Times New Roman" w:hAnsi="Times New Roman" w:cs="Times New Roman"/>
        </w:rPr>
        <w:t>.</w:t>
      </w:r>
    </w:p>
    <w:p w14:paraId="1CB21CD6" w14:textId="7128B1C1" w:rsidR="007A1B5D" w:rsidRPr="007A1B5D" w:rsidRDefault="007A1B5D" w:rsidP="00B83798">
      <w:pPr>
        <w:pStyle w:val="BodyText"/>
        <w:spacing w:line="360" w:lineRule="auto"/>
        <w:ind w:firstLine="708"/>
        <w:jc w:val="both"/>
      </w:pPr>
      <w:r w:rsidRPr="007A1B5D">
        <w:t xml:space="preserve">The final dataset is assembled in long (panel) format with unit and period identifiers, treatment cohort indicators, observed and counterfactual outcomes, covariate values, and group membership probabilities. Units with </w:t>
      </w:r>
      <m:oMath>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i</m:t>
            </m:r>
          </m:sub>
        </m:sSub>
        <m:r>
          <m:rPr>
            <m:sty m:val="p"/>
          </m:rPr>
          <w:rPr>
            <w:rFonts w:ascii="Cambria Math" w:hAnsi="Cambria Math"/>
          </w:rPr>
          <m:t>=</m:t>
        </m:r>
        <m:r>
          <w:rPr>
            <w:rFonts w:ascii="Cambria Math" w:hAnsi="Cambria Math"/>
          </w:rPr>
          <m:t>1</m:t>
        </m:r>
      </m:oMath>
      <w:r w:rsidRPr="007A1B5D">
        <w:t xml:space="preserve"> are excluded from the analysis because they have no pre-treatment period available, which is required for the DiD identification strategy.</w:t>
      </w:r>
    </w:p>
    <w:p w14:paraId="7808EC92" w14:textId="4428F601" w:rsidR="007A1B5D" w:rsidRPr="00385CC7" w:rsidRDefault="00404256" w:rsidP="00EB6242">
      <w:pPr>
        <w:pStyle w:val="Heading2"/>
      </w:pPr>
      <w:bookmarkStart w:id="63" w:name="_Toc227873400"/>
      <w:bookmarkStart w:id="64" w:name="simulation-setup"/>
      <w:bookmarkEnd w:id="52"/>
      <w:bookmarkEnd w:id="62"/>
      <w:r w:rsidRPr="00385CC7">
        <w:t xml:space="preserve">4.2. </w:t>
      </w:r>
      <w:r w:rsidR="007A1B5D" w:rsidRPr="00385CC7">
        <w:t>Simulation Setup</w:t>
      </w:r>
      <w:bookmarkEnd w:id="63"/>
    </w:p>
    <w:p w14:paraId="09688B0A" w14:textId="77777777" w:rsidR="007A1B5D" w:rsidRPr="007A1B5D" w:rsidRDefault="007A1B5D" w:rsidP="00B83798">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Many different combinations are possible with the data generating process described above. This exercise focuses on twelve scenarios, organized in three complexity tiers with a systematic variation in the number of periods and the treatment adoption structure.</w:t>
      </w:r>
    </w:p>
    <w:p w14:paraId="0AAAA4A0" w14:textId="77777777" w:rsidR="007A1B5D" w:rsidRPr="007A1B5D" w:rsidRDefault="007A1B5D" w:rsidP="00B83798">
      <w:pPr>
        <w:pStyle w:val="NormalWeb"/>
        <w:spacing w:line="360" w:lineRule="auto"/>
        <w:ind w:firstLine="708"/>
        <w:jc w:val="both"/>
        <w:rPr>
          <w:color w:val="000000"/>
        </w:rPr>
      </w:pPr>
      <w:r w:rsidRPr="007A1B5D">
        <w:rPr>
          <w:color w:val="000000"/>
        </w:rPr>
        <w:t>Table 1 outlines twelve simulation scenarios that cross three confounding complexity tiers (simple, mid, and complex) with three panel data structures (2-period non-staggered, 6-period non-staggered, and 6-period staggered). These scenarios are examined under both constant and dynamic treatment effects, varying sample sizes to assess how these factors influence the results. To isolate the impact of complexity, the scenarios are grouped for comparison: 1–3, 4–6, 7–9, and 10–12.</w:t>
      </w:r>
    </w:p>
    <w:p w14:paraId="4F7A451F" w14:textId="151A197D" w:rsidR="007A1B5D" w:rsidRPr="007A1B5D" w:rsidRDefault="007A1B5D" w:rsidP="00B83798">
      <w:pPr>
        <w:pStyle w:val="NormalWeb"/>
        <w:spacing w:line="360" w:lineRule="auto"/>
        <w:ind w:firstLine="708"/>
        <w:jc w:val="both"/>
        <w:rPr>
          <w:color w:val="000000"/>
        </w:rPr>
      </w:pPr>
      <w:r w:rsidRPr="007A1B5D">
        <w:rPr>
          <w:color w:val="000000"/>
        </w:rPr>
        <w:lastRenderedPageBreak/>
        <w:t xml:space="preserve">Scenarios 1 through 3 feature a 6-period non-staggered design with a constant treatment effect </w:t>
      </w:r>
      <w:r w:rsidRPr="007A1B5D">
        <w:t>(</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1</m:t>
        </m:r>
      </m:oMath>
      <w:r w:rsidRPr="007A1B5D">
        <w:t>)</w:t>
      </w:r>
      <w:r w:rsidRPr="007A1B5D">
        <w:rPr>
          <w:color w:val="000000"/>
        </w:rPr>
        <w:t xml:space="preserve"> across the simple, mid, and complex tiers, respectively. The remaining groups shift to a dynamic treatment effect </w:t>
      </w:r>
      <w:r w:rsidRPr="007A1B5D">
        <w:t>(</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m:rPr>
            <m:sty m:val="p"/>
          </m:rPr>
          <w:rPr>
            <w:rFonts w:ascii="Cambria Math" w:hAnsi="Cambria Math"/>
          </w:rPr>
          <m:t>=e</m:t>
        </m:r>
      </m:oMath>
      <w:r w:rsidRPr="007A1B5D">
        <w:t>)</w:t>
      </w:r>
      <w:r w:rsidRPr="007A1B5D">
        <w:rPr>
          <w:color w:val="000000"/>
        </w:rPr>
        <w:t xml:space="preserve">. Specifically, Scenarios 4–6 use a 2-period non-staggered design, Scenarios 7–9 use a 6-period non-staggered design, and Scenarios 10–12 utilize a 6-period design with staggered treatment adoption. Across all groups, as the confounding complexity tier increases, so does the propensity score </w:t>
      </w:r>
      <w:r w:rsidRPr="007A1B5D">
        <w:t xml:space="preserve">strength </w:t>
      </w:r>
      <m:oMath>
        <m:r>
          <m:rPr>
            <m:sty m:val="p"/>
          </m:rPr>
          <w:rPr>
            <w:rFonts w:ascii="Cambria Math" w:hAnsi="Cambria Math"/>
          </w:rPr>
          <m:t>λ</m:t>
        </m:r>
      </m:oMath>
      <w:r w:rsidRPr="007A1B5D">
        <w:rPr>
          <w:color w:val="000000"/>
        </w:rPr>
        <w:t xml:space="preserve"> (scaling from 0.25 in the simple tier to 1.0 in the complex tier), making the confounding progressively harder to adjust for.</w:t>
      </w:r>
    </w:p>
    <w:p w14:paraId="20BA9C8B" w14:textId="2A5E8684" w:rsidR="007A1B5D" w:rsidRPr="007A1B5D" w:rsidRDefault="007A1B5D" w:rsidP="007A1B5D">
      <w:pPr>
        <w:pStyle w:val="Caption"/>
        <w:keepNext/>
        <w:spacing w:line="360" w:lineRule="auto"/>
        <w:rPr>
          <w:rFonts w:ascii="Times New Roman" w:hAnsi="Times New Roman" w:cs="Times New Roman"/>
          <w:sz w:val="18"/>
          <w:szCs w:val="18"/>
        </w:rPr>
      </w:pPr>
      <w:r w:rsidRPr="007A1B5D">
        <w:rPr>
          <w:rFonts w:ascii="Times New Roman" w:hAnsi="Times New Roman" w:cs="Times New Roman"/>
          <w:sz w:val="18"/>
          <w:szCs w:val="18"/>
        </w:rPr>
        <w:t xml:space="preserve">Table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Table \* ARABIC </w:instrText>
      </w:r>
      <w:r w:rsidRPr="007A1B5D">
        <w:rPr>
          <w:rFonts w:ascii="Times New Roman" w:hAnsi="Times New Roman" w:cs="Times New Roman"/>
          <w:sz w:val="18"/>
          <w:szCs w:val="18"/>
        </w:rPr>
        <w:fldChar w:fldCharType="separate"/>
      </w:r>
      <w:r w:rsidR="0003032F">
        <w:rPr>
          <w:rFonts w:ascii="Times New Roman" w:hAnsi="Times New Roman" w:cs="Times New Roman"/>
          <w:noProof/>
          <w:sz w:val="18"/>
          <w:szCs w:val="18"/>
        </w:rPr>
        <w:t>1</w:t>
      </w:r>
      <w:r w:rsidRPr="007A1B5D">
        <w:rPr>
          <w:rFonts w:ascii="Times New Roman" w:hAnsi="Times New Roman" w:cs="Times New Roman"/>
          <w:sz w:val="18"/>
          <w:szCs w:val="18"/>
        </w:rPr>
        <w:fldChar w:fldCharType="end"/>
      </w:r>
      <w:r w:rsidRPr="007A1B5D">
        <w:rPr>
          <w:rFonts w:ascii="Times New Roman" w:hAnsi="Times New Roman" w:cs="Times New Roman"/>
          <w:sz w:val="18"/>
          <w:szCs w:val="18"/>
        </w:rPr>
        <w:t>: Simulation scenario design</w:t>
      </w:r>
    </w:p>
    <w:tbl>
      <w:tblPr>
        <w:tblStyle w:val="Table"/>
        <w:tblW w:w="4756" w:type="pct"/>
        <w:tblLayout w:type="fixed"/>
        <w:tblLook w:val="0020" w:firstRow="1" w:lastRow="0" w:firstColumn="0" w:lastColumn="0" w:noHBand="0" w:noVBand="0"/>
      </w:tblPr>
      <w:tblGrid>
        <w:gridCol w:w="1080"/>
        <w:gridCol w:w="2069"/>
        <w:gridCol w:w="916"/>
        <w:gridCol w:w="1155"/>
        <w:gridCol w:w="1653"/>
        <w:gridCol w:w="1486"/>
      </w:tblGrid>
      <w:tr w:rsidR="007A1B5D" w:rsidRPr="007A1B5D" w14:paraId="7EE026C5" w14:textId="77777777" w:rsidTr="00C17005">
        <w:trPr>
          <w:cnfStyle w:val="100000000000" w:firstRow="1" w:lastRow="0" w:firstColumn="0" w:lastColumn="0" w:oddVBand="0" w:evenVBand="0" w:oddHBand="0" w:evenHBand="0" w:firstRowFirstColumn="0" w:firstRowLastColumn="0" w:lastRowFirstColumn="0" w:lastRowLastColumn="0"/>
          <w:tblHeader/>
        </w:trPr>
        <w:tc>
          <w:tcPr>
            <w:tcW w:w="1080" w:type="dxa"/>
            <w:tcBorders>
              <w:top w:val="single" w:sz="4" w:space="0" w:color="auto"/>
              <w:bottom w:val="single" w:sz="2" w:space="0" w:color="auto"/>
            </w:tcBorders>
          </w:tcPr>
          <w:p w14:paraId="321431A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Scenario</w:t>
            </w:r>
          </w:p>
        </w:tc>
        <w:tc>
          <w:tcPr>
            <w:tcW w:w="2069" w:type="dxa"/>
            <w:tcBorders>
              <w:top w:val="single" w:sz="4" w:space="0" w:color="auto"/>
              <w:bottom w:val="single" w:sz="2" w:space="0" w:color="auto"/>
            </w:tcBorders>
          </w:tcPr>
          <w:p w14:paraId="4BC18D2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Confounding Complexity Tier</w:t>
            </w:r>
          </w:p>
        </w:tc>
        <w:tc>
          <w:tcPr>
            <w:tcW w:w="916" w:type="dxa"/>
            <w:tcBorders>
              <w:top w:val="single" w:sz="4" w:space="0" w:color="auto"/>
              <w:bottom w:val="single" w:sz="2" w:space="0" w:color="auto"/>
            </w:tcBorders>
          </w:tcPr>
          <w:p w14:paraId="5B505DC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Periods</w:t>
            </w:r>
          </w:p>
        </w:tc>
        <w:tc>
          <w:tcPr>
            <w:tcW w:w="1155" w:type="dxa"/>
            <w:tcBorders>
              <w:top w:val="single" w:sz="4" w:space="0" w:color="auto"/>
              <w:bottom w:val="single" w:sz="2" w:space="0" w:color="auto"/>
            </w:tcBorders>
          </w:tcPr>
          <w:p w14:paraId="352A112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Staggered</w:t>
            </w:r>
          </w:p>
        </w:tc>
        <w:tc>
          <w:tcPr>
            <w:tcW w:w="1653" w:type="dxa"/>
            <w:tcBorders>
              <w:top w:val="single" w:sz="4" w:space="0" w:color="auto"/>
              <w:bottom w:val="single" w:sz="2" w:space="0" w:color="auto"/>
            </w:tcBorders>
          </w:tcPr>
          <w:p w14:paraId="29E1D78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Treatment effect</w:t>
            </w:r>
          </w:p>
        </w:tc>
        <w:tc>
          <w:tcPr>
            <w:tcW w:w="1486" w:type="dxa"/>
            <w:tcBorders>
              <w:top w:val="single" w:sz="4" w:space="0" w:color="auto"/>
              <w:bottom w:val="single" w:sz="2" w:space="0" w:color="auto"/>
            </w:tcBorders>
          </w:tcPr>
          <w:p w14:paraId="5816D46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bCs/>
                <w:sz w:val="21"/>
                <w:szCs w:val="21"/>
              </w:rPr>
              <w:t>DML estimator</w:t>
            </w:r>
          </w:p>
        </w:tc>
      </w:tr>
      <w:tr w:rsidR="007A1B5D" w:rsidRPr="007A1B5D" w14:paraId="5BE1E7DD" w14:textId="77777777" w:rsidTr="00C17005">
        <w:tc>
          <w:tcPr>
            <w:tcW w:w="1080" w:type="dxa"/>
          </w:tcPr>
          <w:p w14:paraId="783C573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w:t>
            </w:r>
          </w:p>
        </w:tc>
        <w:tc>
          <w:tcPr>
            <w:tcW w:w="2069" w:type="dxa"/>
          </w:tcPr>
          <w:p w14:paraId="3DEAB85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Simple</w:t>
            </w:r>
          </w:p>
        </w:tc>
        <w:tc>
          <w:tcPr>
            <w:tcW w:w="916" w:type="dxa"/>
          </w:tcPr>
          <w:p w14:paraId="70AFAA7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1E2B798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04E2629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Constant</w:t>
            </w:r>
          </w:p>
        </w:tc>
        <w:tc>
          <w:tcPr>
            <w:tcW w:w="1486" w:type="dxa"/>
          </w:tcPr>
          <w:p w14:paraId="7BED5BA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4237CB11" w14:textId="77777777" w:rsidTr="00C17005">
        <w:tc>
          <w:tcPr>
            <w:tcW w:w="1080" w:type="dxa"/>
          </w:tcPr>
          <w:p w14:paraId="0488ED2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2</w:t>
            </w:r>
          </w:p>
        </w:tc>
        <w:tc>
          <w:tcPr>
            <w:tcW w:w="2069" w:type="dxa"/>
          </w:tcPr>
          <w:p w14:paraId="13FF42F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Mid</w:t>
            </w:r>
          </w:p>
        </w:tc>
        <w:tc>
          <w:tcPr>
            <w:tcW w:w="916" w:type="dxa"/>
          </w:tcPr>
          <w:p w14:paraId="42B8EE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4B9CA66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53A8574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Constant</w:t>
            </w:r>
          </w:p>
        </w:tc>
        <w:tc>
          <w:tcPr>
            <w:tcW w:w="1486" w:type="dxa"/>
          </w:tcPr>
          <w:p w14:paraId="7C28BF1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2070E1EE" w14:textId="77777777" w:rsidTr="00C17005">
        <w:tc>
          <w:tcPr>
            <w:tcW w:w="1080" w:type="dxa"/>
          </w:tcPr>
          <w:p w14:paraId="717632C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3</w:t>
            </w:r>
          </w:p>
        </w:tc>
        <w:tc>
          <w:tcPr>
            <w:tcW w:w="2069" w:type="dxa"/>
          </w:tcPr>
          <w:p w14:paraId="5E87C45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Complex</w:t>
            </w:r>
          </w:p>
        </w:tc>
        <w:tc>
          <w:tcPr>
            <w:tcW w:w="916" w:type="dxa"/>
          </w:tcPr>
          <w:p w14:paraId="1983ACE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6B8CB9F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10C7EED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Constant</w:t>
            </w:r>
          </w:p>
        </w:tc>
        <w:tc>
          <w:tcPr>
            <w:tcW w:w="1486" w:type="dxa"/>
          </w:tcPr>
          <w:p w14:paraId="6123409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36BC4178" w14:textId="77777777" w:rsidTr="00C17005">
        <w:tc>
          <w:tcPr>
            <w:tcW w:w="1080" w:type="dxa"/>
          </w:tcPr>
          <w:p w14:paraId="2598267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4</w:t>
            </w:r>
          </w:p>
        </w:tc>
        <w:tc>
          <w:tcPr>
            <w:tcW w:w="2069" w:type="dxa"/>
          </w:tcPr>
          <w:p w14:paraId="5908E6F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Simple</w:t>
            </w:r>
          </w:p>
        </w:tc>
        <w:tc>
          <w:tcPr>
            <w:tcW w:w="916" w:type="dxa"/>
          </w:tcPr>
          <w:p w14:paraId="4590967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2</w:t>
            </w:r>
          </w:p>
        </w:tc>
        <w:tc>
          <w:tcPr>
            <w:tcW w:w="1155" w:type="dxa"/>
          </w:tcPr>
          <w:p w14:paraId="56E9818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571A6B7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w:t>
            </w:r>
          </w:p>
        </w:tc>
        <w:tc>
          <w:tcPr>
            <w:tcW w:w="1486" w:type="dxa"/>
          </w:tcPr>
          <w:p w14:paraId="2B9964C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15B8DAB7" w14:textId="77777777" w:rsidTr="00C17005">
        <w:tc>
          <w:tcPr>
            <w:tcW w:w="1080" w:type="dxa"/>
          </w:tcPr>
          <w:p w14:paraId="6F28794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5</w:t>
            </w:r>
          </w:p>
        </w:tc>
        <w:tc>
          <w:tcPr>
            <w:tcW w:w="2069" w:type="dxa"/>
          </w:tcPr>
          <w:p w14:paraId="7EC0723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Mid</w:t>
            </w:r>
          </w:p>
        </w:tc>
        <w:tc>
          <w:tcPr>
            <w:tcW w:w="916" w:type="dxa"/>
          </w:tcPr>
          <w:p w14:paraId="37EAFD2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2</w:t>
            </w:r>
          </w:p>
        </w:tc>
        <w:tc>
          <w:tcPr>
            <w:tcW w:w="1155" w:type="dxa"/>
          </w:tcPr>
          <w:p w14:paraId="4CFE922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5D3A3CA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w:t>
            </w:r>
          </w:p>
        </w:tc>
        <w:tc>
          <w:tcPr>
            <w:tcW w:w="1486" w:type="dxa"/>
          </w:tcPr>
          <w:p w14:paraId="1E35EC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03BB9DCF" w14:textId="77777777" w:rsidTr="00C17005">
        <w:tc>
          <w:tcPr>
            <w:tcW w:w="1080" w:type="dxa"/>
          </w:tcPr>
          <w:p w14:paraId="6FAB63C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2069" w:type="dxa"/>
          </w:tcPr>
          <w:p w14:paraId="1D2016E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Complex</w:t>
            </w:r>
          </w:p>
        </w:tc>
        <w:tc>
          <w:tcPr>
            <w:tcW w:w="916" w:type="dxa"/>
          </w:tcPr>
          <w:p w14:paraId="731B393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2</w:t>
            </w:r>
          </w:p>
        </w:tc>
        <w:tc>
          <w:tcPr>
            <w:tcW w:w="1155" w:type="dxa"/>
          </w:tcPr>
          <w:p w14:paraId="766ECDA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13D4048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w:t>
            </w:r>
          </w:p>
        </w:tc>
        <w:tc>
          <w:tcPr>
            <w:tcW w:w="1486" w:type="dxa"/>
          </w:tcPr>
          <w:p w14:paraId="47BEF4A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1EC25BD6" w14:textId="77777777" w:rsidTr="00C17005">
        <w:tc>
          <w:tcPr>
            <w:tcW w:w="1080" w:type="dxa"/>
          </w:tcPr>
          <w:p w14:paraId="4FA1AF1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7</w:t>
            </w:r>
          </w:p>
        </w:tc>
        <w:tc>
          <w:tcPr>
            <w:tcW w:w="2069" w:type="dxa"/>
          </w:tcPr>
          <w:p w14:paraId="08C6FB9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Simple</w:t>
            </w:r>
          </w:p>
        </w:tc>
        <w:tc>
          <w:tcPr>
            <w:tcW w:w="916" w:type="dxa"/>
          </w:tcPr>
          <w:p w14:paraId="54AEC1D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4F4E79B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109F646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Pr>
          <w:p w14:paraId="4DDC7D5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6F71A220" w14:textId="77777777" w:rsidTr="00C17005">
        <w:tc>
          <w:tcPr>
            <w:tcW w:w="1080" w:type="dxa"/>
          </w:tcPr>
          <w:p w14:paraId="2149EEA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8</w:t>
            </w:r>
          </w:p>
        </w:tc>
        <w:tc>
          <w:tcPr>
            <w:tcW w:w="2069" w:type="dxa"/>
          </w:tcPr>
          <w:p w14:paraId="2C55EC5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Mid</w:t>
            </w:r>
          </w:p>
        </w:tc>
        <w:tc>
          <w:tcPr>
            <w:tcW w:w="916" w:type="dxa"/>
          </w:tcPr>
          <w:p w14:paraId="7759883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40CCB84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08C611C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Pr>
          <w:p w14:paraId="31A3AEB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5203856C" w14:textId="77777777" w:rsidTr="00C17005">
        <w:tc>
          <w:tcPr>
            <w:tcW w:w="1080" w:type="dxa"/>
          </w:tcPr>
          <w:p w14:paraId="7565A00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9</w:t>
            </w:r>
          </w:p>
        </w:tc>
        <w:tc>
          <w:tcPr>
            <w:tcW w:w="2069" w:type="dxa"/>
          </w:tcPr>
          <w:p w14:paraId="56BA31A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Complex</w:t>
            </w:r>
          </w:p>
        </w:tc>
        <w:tc>
          <w:tcPr>
            <w:tcW w:w="916" w:type="dxa"/>
          </w:tcPr>
          <w:p w14:paraId="400F6AD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2A81D90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No</w:t>
            </w:r>
          </w:p>
        </w:tc>
        <w:tc>
          <w:tcPr>
            <w:tcW w:w="1653" w:type="dxa"/>
          </w:tcPr>
          <w:p w14:paraId="526E9F4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Pr>
          <w:p w14:paraId="78E05AA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Chang</w:t>
            </w:r>
          </w:p>
        </w:tc>
      </w:tr>
      <w:tr w:rsidR="007A1B5D" w:rsidRPr="007A1B5D" w14:paraId="5850AC16" w14:textId="77777777" w:rsidTr="00C17005">
        <w:tc>
          <w:tcPr>
            <w:tcW w:w="1080" w:type="dxa"/>
          </w:tcPr>
          <w:p w14:paraId="6C2273B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10</w:t>
            </w:r>
          </w:p>
        </w:tc>
        <w:tc>
          <w:tcPr>
            <w:tcW w:w="2069" w:type="dxa"/>
          </w:tcPr>
          <w:p w14:paraId="00BD70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Simple</w:t>
            </w:r>
          </w:p>
        </w:tc>
        <w:tc>
          <w:tcPr>
            <w:tcW w:w="916" w:type="dxa"/>
          </w:tcPr>
          <w:p w14:paraId="7E8BC36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52D3FB5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Yes</w:t>
            </w:r>
          </w:p>
        </w:tc>
        <w:tc>
          <w:tcPr>
            <w:tcW w:w="1653" w:type="dxa"/>
          </w:tcPr>
          <w:p w14:paraId="295D40F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Pr>
          <w:p w14:paraId="79915AA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Multi</w:t>
            </w:r>
          </w:p>
        </w:tc>
      </w:tr>
      <w:tr w:rsidR="007A1B5D" w:rsidRPr="007A1B5D" w14:paraId="14DE8540" w14:textId="77777777" w:rsidTr="00C17005">
        <w:tc>
          <w:tcPr>
            <w:tcW w:w="1080" w:type="dxa"/>
          </w:tcPr>
          <w:p w14:paraId="29E6B0F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11</w:t>
            </w:r>
          </w:p>
        </w:tc>
        <w:tc>
          <w:tcPr>
            <w:tcW w:w="2069" w:type="dxa"/>
          </w:tcPr>
          <w:p w14:paraId="121FDFE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Mid</w:t>
            </w:r>
          </w:p>
        </w:tc>
        <w:tc>
          <w:tcPr>
            <w:tcW w:w="916" w:type="dxa"/>
          </w:tcPr>
          <w:p w14:paraId="6BDE6C0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Pr>
          <w:p w14:paraId="4EE315B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Yes</w:t>
            </w:r>
          </w:p>
        </w:tc>
        <w:tc>
          <w:tcPr>
            <w:tcW w:w="1653" w:type="dxa"/>
          </w:tcPr>
          <w:p w14:paraId="78C5112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Pr>
          <w:p w14:paraId="3B2EFE4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Multi</w:t>
            </w:r>
          </w:p>
        </w:tc>
      </w:tr>
      <w:tr w:rsidR="007A1B5D" w:rsidRPr="007A1B5D" w14:paraId="68B9A911" w14:textId="77777777" w:rsidTr="00C17005">
        <w:tc>
          <w:tcPr>
            <w:tcW w:w="1080" w:type="dxa"/>
            <w:tcBorders>
              <w:bottom w:val="single" w:sz="4" w:space="0" w:color="auto"/>
            </w:tcBorders>
          </w:tcPr>
          <w:p w14:paraId="37AAA1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12</w:t>
            </w:r>
          </w:p>
        </w:tc>
        <w:tc>
          <w:tcPr>
            <w:tcW w:w="2069" w:type="dxa"/>
            <w:tcBorders>
              <w:bottom w:val="single" w:sz="4" w:space="0" w:color="auto"/>
            </w:tcBorders>
          </w:tcPr>
          <w:p w14:paraId="27FC968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Complex</w:t>
            </w:r>
          </w:p>
        </w:tc>
        <w:tc>
          <w:tcPr>
            <w:tcW w:w="916" w:type="dxa"/>
            <w:tcBorders>
              <w:bottom w:val="single" w:sz="4" w:space="0" w:color="auto"/>
            </w:tcBorders>
          </w:tcPr>
          <w:p w14:paraId="202829B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155" w:type="dxa"/>
            <w:tcBorders>
              <w:bottom w:val="single" w:sz="4" w:space="0" w:color="auto"/>
            </w:tcBorders>
          </w:tcPr>
          <w:p w14:paraId="3FD5157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Yes</w:t>
            </w:r>
          </w:p>
        </w:tc>
        <w:tc>
          <w:tcPr>
            <w:tcW w:w="1653" w:type="dxa"/>
            <w:tcBorders>
              <w:bottom w:val="single" w:sz="4" w:space="0" w:color="auto"/>
            </w:tcBorders>
          </w:tcPr>
          <w:p w14:paraId="6CA4603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Dynamic</w:t>
            </w:r>
          </w:p>
        </w:tc>
        <w:tc>
          <w:tcPr>
            <w:tcW w:w="1486" w:type="dxa"/>
            <w:tcBorders>
              <w:bottom w:val="single" w:sz="4" w:space="0" w:color="auto"/>
            </w:tcBorders>
          </w:tcPr>
          <w:p w14:paraId="790C522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Multi</w:t>
            </w:r>
          </w:p>
        </w:tc>
      </w:tr>
    </w:tbl>
    <w:p w14:paraId="3597E2D8" w14:textId="77777777" w:rsidR="007A1B5D" w:rsidRPr="007A1B5D" w:rsidRDefault="007A1B5D" w:rsidP="007A1B5D">
      <w:pPr>
        <w:pStyle w:val="BodyText"/>
        <w:spacing w:line="360" w:lineRule="auto"/>
        <w:jc w:val="both"/>
      </w:pPr>
    </w:p>
    <w:p w14:paraId="1EE64100" w14:textId="2BD62536" w:rsidR="007A1B5D" w:rsidRPr="007A1B5D" w:rsidRDefault="007A1B5D" w:rsidP="00B83798">
      <w:pPr>
        <w:pStyle w:val="BodyText"/>
        <w:spacing w:line="360" w:lineRule="auto"/>
        <w:ind w:firstLine="708"/>
        <w:jc w:val="both"/>
      </w:pPr>
      <w:r w:rsidRPr="007A1B5D">
        <w:t xml:space="preserve">For the non-staggered scenarios, TWFE is compared against the DML estimator of Chang </w:t>
      </w:r>
      <w:r w:rsidRPr="007A1B5D">
        <w:fldChar w:fldCharType="begin"/>
      </w:r>
      <w:r w:rsidRPr="007A1B5D">
        <w:instrText xml:space="preserve"> ADDIN ZOTERO_ITEM CSL_CITATION {"citationID":"VI6LJ1E3","properties":{"unsorted":false,"formattedCitation":"(2020)","plainCitation":"(2020)","noteIndex":0},"citationItems":[{"id":29,"uris":["http://zotero.org/users/local/ik3vdrlJ/items/UR75CMTC"],"itemData":{"id":29,"type":"article-journal","abstract":"This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Pr="007A1B5D">
        <w:fldChar w:fldCharType="separate"/>
      </w:r>
      <w:r w:rsidRPr="007A1B5D">
        <w:rPr>
          <w:noProof/>
        </w:rPr>
        <w:t>(2020)</w:t>
      </w:r>
      <w:r w:rsidRPr="007A1B5D">
        <w:fldChar w:fldCharType="end"/>
      </w:r>
      <w:r w:rsidRPr="007A1B5D">
        <w:t xml:space="preserve">. In the simple tier, both estimators should perform similarly, since the confounding is linear, weak, and covariates do not enter </w:t>
      </w:r>
      <m:oMath>
        <m:r>
          <m:rPr>
            <m:sty m:val="p"/>
          </m:rPr>
          <w:rPr>
            <w:rFonts w:ascii="Cambria Math" w:hAnsi="Cambria Math"/>
          </w:rPr>
          <m:t>Y</m:t>
        </m:r>
        <m:d>
          <m:dPr>
            <m:ctrlPr>
              <w:rPr>
                <w:rFonts w:ascii="Cambria Math" w:hAnsi="Cambria Math"/>
              </w:rPr>
            </m:ctrlPr>
          </m:dPr>
          <m:e>
            <m:r>
              <w:rPr>
                <w:rFonts w:ascii="Cambria Math" w:hAnsi="Cambria Math"/>
              </w:rPr>
              <m:t>0</m:t>
            </m:r>
          </m:e>
        </m:d>
      </m:oMath>
      <w:r w:rsidRPr="007A1B5D">
        <w:t xml:space="preserve">. As complexity increases, TWFE is expected to suffer from its inability to capture the nonlinear relationships in both the confounding and outcome models. The constant treatment effect scenarios (1 through 3) </w:t>
      </w:r>
      <w:r w:rsidRPr="007A1B5D">
        <w:lastRenderedPageBreak/>
        <w:t xml:space="preserve">serve as an additional diagnostic: because the Chang </w:t>
      </w:r>
      <w:r w:rsidRPr="007A1B5D">
        <w:fldChar w:fldCharType="begin"/>
      </w:r>
      <w:r w:rsidRPr="007A1B5D">
        <w:instrText xml:space="preserve"> ADDIN ZOTERO_ITEM CSL_CITATION {"citationID":"8eQKkakX","properties":{"unsorted":false,"formattedCitation":"(2020)","plainCitation":"(2020)","noteIndex":0},"citationItems":[{"id":29,"uris":["http://zotero.org/users/local/ik3vdrlJ/items/UR75CMTC"],"itemData":{"id":29,"type":"article-journal","abstract":"This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Pr="007A1B5D">
        <w:fldChar w:fldCharType="separate"/>
      </w:r>
      <w:r w:rsidRPr="007A1B5D">
        <w:rPr>
          <w:noProof/>
        </w:rPr>
        <w:t>(2020)</w:t>
      </w:r>
      <w:r w:rsidRPr="007A1B5D">
        <w:fldChar w:fldCharType="end"/>
      </w:r>
      <w:r w:rsidRPr="007A1B5D">
        <w:t xml:space="preserve"> estimator was designed for two-period settings where the treatment effect does not vary over time, it should perform well in these scenarios even with multiple periods, provided the complexity remains manageable.</w:t>
      </w:r>
    </w:p>
    <w:p w14:paraId="02587040" w14:textId="77777777" w:rsidR="007A1B5D" w:rsidRPr="007A1B5D" w:rsidRDefault="007A1B5D" w:rsidP="00B83798">
      <w:pPr>
        <w:pStyle w:val="BodyText"/>
        <w:spacing w:line="360" w:lineRule="auto"/>
        <w:ind w:firstLine="708"/>
        <w:jc w:val="both"/>
      </w:pPr>
      <w:r w:rsidRPr="007A1B5D">
        <w:t xml:space="preserve">For the staggered scenarios (10, 11, 12), TWFE is compared against the DML estimator with the event study aggregation from Callaway and Sant’Anna </w:t>
      </w:r>
      <w:r w:rsidRPr="007A1B5D">
        <w:fldChar w:fldCharType="begin"/>
      </w:r>
      <w:r w:rsidRPr="007A1B5D">
        <w:instrText xml:space="preserve"> ADDIN ZOTERO_ITEM CSL_CITATION {"citationID":"dWFmi6JD","properties":{"unsorted":false,"formattedCitation":"(2021)","plainCitation":"(2021)","noteIndex":0},"citationItems":[{"id":25,"uris":["http://zotero.org/users/local/ik3vdrlJ/items/JBF2LLR6"],"itemData":{"id":25,"type":"article-journal","abstract":"In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Pr="007A1B5D">
        <w:fldChar w:fldCharType="separate"/>
      </w:r>
      <w:r w:rsidRPr="007A1B5D">
        <w:rPr>
          <w:noProof/>
        </w:rPr>
        <w:t>(2021)</w:t>
      </w:r>
      <w:r w:rsidRPr="007A1B5D">
        <w:fldChar w:fldCharType="end"/>
      </w:r>
      <w:r w:rsidRPr="007A1B5D">
        <w:t>. Standard TWFE is expected to produce biased estimates due to the negative weighting problem discussed in Chapter 2, with this bias growing as the complexity of confounding and the outcome model increases.</w:t>
      </w:r>
    </w:p>
    <w:p w14:paraId="15D6F329" w14:textId="48A1C646" w:rsidR="007A1B5D" w:rsidRPr="007A1B5D" w:rsidRDefault="007A1B5D" w:rsidP="00A441D9">
      <w:pPr>
        <w:pStyle w:val="BodyText"/>
        <w:spacing w:line="360" w:lineRule="auto"/>
        <w:ind w:firstLine="708"/>
        <w:jc w:val="both"/>
      </w:pPr>
      <w:r w:rsidRPr="007A1B5D">
        <w:t xml:space="preserve">The target parameter is the Average Treatment Effect on the Treated (ATT), computed from the simulated counterfactual outcomes as </w:t>
      </w:r>
      <m:oMath>
        <m:r>
          <m:rPr>
            <m:sty m:val="p"/>
          </m:rPr>
          <w:rPr>
            <w:rFonts w:ascii="Cambria Math" w:hAnsi="Cambria Math"/>
          </w:rPr>
          <m:t>ATT=E</m:t>
        </m:r>
        <m:d>
          <m:dPr>
            <m:begChr m:val="["/>
            <m:sepChr m:val="∣"/>
            <m:endChr m:val="]"/>
            <m:ctrlPr>
              <w:rPr>
                <w:rFonts w:ascii="Cambria Math" w:hAnsi="Cambria Math"/>
              </w:rPr>
            </m:ctrlPr>
          </m:dPr>
          <m:e>
            <m:r>
              <m:rPr>
                <m:sty m:val="p"/>
              </m:rP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-Y</m:t>
            </m:r>
            <m:d>
              <m:dPr>
                <m:ctrlPr>
                  <w:rPr>
                    <w:rFonts w:ascii="Cambria Math" w:hAnsi="Cambria Math"/>
                  </w:rPr>
                </m:ctrlPr>
              </m:dPr>
              <m:e>
                <m:r>
                  <w:rPr>
                    <w:rFonts w:ascii="Cambria Math" w:hAnsi="Cambria Math"/>
                  </w:rPr>
                  <m:t>0</m:t>
                </m:r>
              </m:e>
            </m:d>
          </m:e>
          <m:e>
            <m:r>
              <w:rPr>
                <w:rFonts w:ascii="Cambria Math" w:hAnsi="Cambria Math"/>
              </w:rPr>
              <m:t>G</m:t>
            </m:r>
            <m:r>
              <m:rPr>
                <m:sty m:val="p"/>
              </m:rPr>
              <w:rPr>
                <w:rFonts w:ascii="Cambria Math" w:hAnsi="Cambria Math"/>
              </w:rPr>
              <m:t>&gt;</m:t>
            </m:r>
            <m:r>
              <w:rPr>
                <w:rFonts w:ascii="Cambria Math" w:hAnsi="Cambria Math"/>
              </w:rPr>
              <m:t>0</m:t>
            </m:r>
            <m:r>
              <m:rPr>
                <m:sty m:val="p"/>
              </m:rP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G</m:t>
            </m:r>
          </m:e>
        </m:d>
      </m:oMath>
      <w:r w:rsidRPr="007A1B5D">
        <w:t xml:space="preserve">. To ensure robust results, each scenario is evaluated through 2,000 Monte Carlo replications with sample sizes of </w:t>
      </w:r>
      <m:oMath>
        <m:r>
          <m:rPr>
            <m:sty m:val="p"/>
          </m:rPr>
          <w:rPr>
            <w:rFonts w:ascii="Cambria Math" w:hAnsi="Cambria Math"/>
          </w:rPr>
          <m:t>n∈</m:t>
        </m:r>
        <m:r>
          <w:rPr>
            <w:rFonts w:ascii="Cambria Math" w:hAnsi="Cambria Math"/>
          </w:rPr>
          <m:t>500</m:t>
        </m:r>
        <m:r>
          <m:rPr>
            <m:sty m:val="p"/>
          </m:rPr>
          <w:rPr>
            <w:rFonts w:ascii="Cambria Math" w:hAnsi="Cambria Math"/>
          </w:rPr>
          <m:t>, </m:t>
        </m:r>
        <m:r>
          <w:rPr>
            <w:rFonts w:ascii="Cambria Math" w:hAnsi="Cambria Math"/>
          </w:rPr>
          <m:t>2500</m:t>
        </m:r>
        <m:r>
          <m:rPr>
            <m:sty m:val="p"/>
          </m:rPr>
          <w:rPr>
            <w:rFonts w:ascii="Cambria Math" w:hAnsi="Cambria Math"/>
          </w:rPr>
          <m:t>, </m:t>
        </m:r>
        <m:r>
          <w:rPr>
            <w:rFonts w:ascii="Cambria Math" w:hAnsi="Cambria Math"/>
          </w:rPr>
          <m:t>10000</m:t>
        </m:r>
      </m:oMath>
      <w:r w:rsidRPr="007A1B5D">
        <w:t xml:space="preserve"> for 2 and 6 periods. Larger samples should benefit the DML estimators, which rely on machine learning models that improve with more training data.</w:t>
      </w:r>
    </w:p>
    <w:p w14:paraId="723B304E" w14:textId="38F4966F" w:rsidR="007A1B5D" w:rsidRPr="007A1B5D" w:rsidRDefault="007A1B5D" w:rsidP="00A441D9">
      <w:pPr>
        <w:pStyle w:val="BodyText"/>
        <w:spacing w:line="360" w:lineRule="auto"/>
        <w:ind w:firstLine="708"/>
        <w:jc w:val="both"/>
      </w:pPr>
      <w:r w:rsidRPr="007A1B5D">
        <w:t xml:space="preserve">Since each scenario involves different levels of complexity, the hyperparameters of the machine learning models were adapted accordingly. Given the large number of simulations and scenario variations, computational cost is a relevant concern, so </w:t>
      </w:r>
      <w:proofErr w:type="spellStart"/>
      <w:r w:rsidRPr="007A1B5D">
        <w:t>LightGBM</w:t>
      </w:r>
      <w:proofErr w:type="spellEnd"/>
      <w:r w:rsidRPr="007A1B5D">
        <w:t xml:space="preserve"> </w:t>
      </w:r>
      <w:r w:rsidRPr="007A1B5D">
        <w:fldChar w:fldCharType="begin"/>
      </w:r>
      <w:r w:rsidRPr="007A1B5D">
        <w:instrText xml:space="preserve"> ADDIN ZOTERO_ITEM CSL_CITATION {"citationID":"VwUFGsNQ","properties":{"unsorted":false,"formattedCitation":"(Ke et al., 2017)","plainCitation":"(Ke et al., 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chema":"https://github.com/citation-style-language/schema/raw/master/csl-citation.json"} </w:instrText>
      </w:r>
      <w:r w:rsidRPr="007A1B5D">
        <w:fldChar w:fldCharType="separate"/>
      </w:r>
      <w:r w:rsidRPr="007A1B5D">
        <w:rPr>
          <w:noProof/>
        </w:rPr>
        <w:t>(Ke et al., 2017)</w:t>
      </w:r>
      <w:r w:rsidRPr="007A1B5D">
        <w:fldChar w:fldCharType="end"/>
      </w:r>
      <w:r w:rsidRPr="007A1B5D">
        <w:t xml:space="preserve"> was chosen as the machine learning model for both the outcome model </w:t>
      </w:r>
      <m:oMath>
        <m:acc>
          <m:accPr>
            <m:ctrlPr>
              <w:rPr>
                <w:rFonts w:ascii="Cambria Math" w:hAnsi="Cambria Math"/>
              </w:rPr>
            </m:ctrlPr>
          </m:accPr>
          <m:e>
            <m:r>
              <w:rPr>
                <w:rFonts w:ascii="Cambria Math" w:hAnsi="Cambria Math"/>
              </w:rPr>
              <m:t>g</m:t>
            </m:r>
          </m:e>
        </m:acc>
        <m:d>
          <m:dPr>
            <m:ctrlPr>
              <w:rPr>
                <w:rFonts w:ascii="Cambria Math" w:hAnsi="Cambria Math"/>
              </w:rPr>
            </m:ctrlPr>
          </m:dPr>
          <m:e>
            <m:r>
              <m:rPr>
                <m:sty m:val="p"/>
              </m:rPr>
              <w:rPr>
                <w:rFonts w:ascii="Cambria Math" w:hAnsi="Cambria Math"/>
              </w:rPr>
              <m:t>X</m:t>
            </m:r>
          </m:e>
        </m:d>
      </m:oMath>
      <w:r w:rsidRPr="007A1B5D">
        <w:t xml:space="preserve"> and the propensity score model </w:t>
      </w:r>
      <m:oMath>
        <m:acc>
          <m:accPr>
            <m:ctrlPr>
              <w:rPr>
                <w:rFonts w:ascii="Cambria Math" w:hAnsi="Cambria Math"/>
              </w:rPr>
            </m:ctrlPr>
          </m:accPr>
          <m:e>
            <m:r>
              <w:rPr>
                <w:rFonts w:ascii="Cambria Math" w:hAnsi="Cambria Math"/>
              </w:rPr>
              <m:t>m</m:t>
            </m:r>
          </m:e>
        </m:acc>
        <m:d>
          <m:dPr>
            <m:ctrlPr>
              <w:rPr>
                <w:rFonts w:ascii="Cambria Math" w:hAnsi="Cambria Math"/>
              </w:rPr>
            </m:ctrlPr>
          </m:dPr>
          <m:e>
            <m:r>
              <m:rPr>
                <m:sty m:val="p"/>
              </m:rPr>
              <w:rPr>
                <w:rFonts w:ascii="Cambria Math" w:hAnsi="Cambria Math"/>
              </w:rPr>
              <m:t>X</m:t>
            </m:r>
          </m:e>
        </m:d>
      </m:oMath>
      <w:r w:rsidRPr="007A1B5D">
        <w:t xml:space="preserve">. Three hyperparameter configurations were considered: the ‘parsimonious’ configuration uses 50 trees with maximum depth 2 and a learning rate of 0.1, the ‘default’ configuration increases the number of trees to 200 while keeping the same depth and learning rate and the ‘flexible’ configuration uses 1,000 trees with maximum depth 3 and a lower learning rate of 0.05. These parameters jointly determine how much flexibility the model has for estimating the nuisance functions. More trees, greater depth, and a lower learning rate allow the model to capture increasingly complex relationships but also increase the risk of overfitting. In simpler data generating scenarios, the heavy configuration may overfit the training data, leading to noisier nuisance function estimates and potentially worse performance than a more parsimonious specification. Cross-fitting is performed with 5 folds in all cases, ensuring that nuisance function predictions for </w:t>
      </w:r>
      <w:r w:rsidRPr="007A1B5D">
        <w:lastRenderedPageBreak/>
        <w:t>each observation are generated by models trained on different data, as described in Chapter 3.</w:t>
      </w:r>
    </w:p>
    <w:p w14:paraId="63B90AF5" w14:textId="5DD91AF0" w:rsidR="007A1B5D" w:rsidRPr="00385CC7" w:rsidRDefault="00404256" w:rsidP="00EB6242">
      <w:pPr>
        <w:pStyle w:val="Heading2"/>
      </w:pPr>
      <w:bookmarkStart w:id="65" w:name="_Toc227873401"/>
      <w:bookmarkStart w:id="66" w:name="results"/>
      <w:bookmarkEnd w:id="64"/>
      <w:r w:rsidRPr="00385CC7">
        <w:t xml:space="preserve">4.3. </w:t>
      </w:r>
      <w:r w:rsidR="007A1B5D" w:rsidRPr="00385CC7">
        <w:t>Results</w:t>
      </w:r>
      <w:bookmarkEnd w:id="65"/>
    </w:p>
    <w:p w14:paraId="4CE64520" w14:textId="648D65F8"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fldChar w:fldCharType="begin"/>
      </w:r>
      <w:r w:rsidRPr="007A1B5D">
        <w:rPr>
          <w:rFonts w:ascii="Times New Roman" w:hAnsi="Times New Roman" w:cs="Times New Roman"/>
        </w:rPr>
        <w:instrText xml:space="preserve"> REF _Ref224401409 \h  \* MERGEFORMAT </w:instrText>
      </w:r>
      <w:r w:rsidRPr="007A1B5D">
        <w:rPr>
          <w:rFonts w:ascii="Times New Roman" w:hAnsi="Times New Roman" w:cs="Times New Roman"/>
        </w:rPr>
      </w:r>
      <w:r w:rsidRPr="007A1B5D">
        <w:rPr>
          <w:rFonts w:ascii="Times New Roman" w:hAnsi="Times New Roman" w:cs="Times New Roman"/>
        </w:rPr>
        <w:fldChar w:fldCharType="separate"/>
      </w:r>
      <w:r w:rsidRPr="007A1B5D">
        <w:rPr>
          <w:rFonts w:ascii="Times New Roman" w:hAnsi="Times New Roman" w:cs="Times New Roman"/>
        </w:rPr>
        <w:t xml:space="preserve">Table </w:t>
      </w:r>
      <w:r w:rsidRPr="007A1B5D">
        <w:rPr>
          <w:rFonts w:ascii="Times New Roman" w:hAnsi="Times New Roman" w:cs="Times New Roman"/>
          <w:noProof/>
        </w:rPr>
        <w:t>2</w:t>
      </w:r>
      <w:r w:rsidRPr="007A1B5D">
        <w:rPr>
          <w:rFonts w:ascii="Times New Roman" w:hAnsi="Times New Roman" w:cs="Times New Roman"/>
        </w:rPr>
        <w:fldChar w:fldCharType="end"/>
      </w:r>
      <w:r w:rsidRPr="007A1B5D">
        <w:rPr>
          <w:rFonts w:ascii="Times New Roman" w:hAnsi="Times New Roman" w:cs="Times New Roman"/>
        </w:rPr>
        <w:t xml:space="preserve"> reports the root mean squared error (RMSE) for each scenario-estimator combination across all three sample sizes (</w:t>
      </w:r>
      <m:oMath>
        <m:r>
          <m:rPr>
            <m:sty m:val="p"/>
          </m:rPr>
          <w:rPr>
            <w:rFonts w:ascii="Cambria Math" w:hAnsi="Cambria Math" w:cs="Times New Roman"/>
          </w:rPr>
          <m:t>n=</m:t>
        </m:r>
        <m:r>
          <w:rPr>
            <w:rFonts w:ascii="Cambria Math" w:hAnsi="Cambria Math" w:cs="Times New Roman"/>
          </w:rPr>
          <m:t>500</m:t>
        </m:r>
      </m:oMath>
      <w:r w:rsidRPr="007A1B5D">
        <w:rPr>
          <w:rFonts w:ascii="Times New Roman" w:hAnsi="Times New Roman" w:cs="Times New Roman"/>
        </w:rPr>
        <w:t xml:space="preserve">, </w:t>
      </w:r>
      <m:oMath>
        <m:r>
          <m:rPr>
            <m:sty m:val="p"/>
          </m:rPr>
          <w:rPr>
            <w:rFonts w:ascii="Cambria Math" w:hAnsi="Cambria Math" w:cs="Times New Roman"/>
          </w:rPr>
          <m:t>n=</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500</m:t>
        </m:r>
      </m:oMath>
      <w:r w:rsidRPr="007A1B5D">
        <w:rPr>
          <w:rFonts w:ascii="Times New Roman" w:hAnsi="Times New Roman" w:cs="Times New Roman"/>
        </w:rPr>
        <w:t xml:space="preserve">, and </w:t>
      </w:r>
      <m:oMath>
        <m:r>
          <m:rPr>
            <m:sty m:val="p"/>
          </m:rPr>
          <w:rPr>
            <w:rFonts w:ascii="Cambria Math" w:hAnsi="Cambria Math" w:cs="Times New Roman"/>
          </w:rPr>
          <m:t>n=</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7A1B5D">
        <w:rPr>
          <w:rFonts w:ascii="Times New Roman" w:hAnsi="Times New Roman" w:cs="Times New Roman"/>
        </w:rPr>
        <w:t>), using the ‘parsimonious’ LightGBM configuration (50 trees, maximum depth 2)</w:t>
      </w:r>
      <w:r w:rsidRPr="007A1B5D">
        <w:rPr>
          <w:rStyle w:val="FootnoteReference"/>
          <w:rFonts w:ascii="Times New Roman" w:hAnsi="Times New Roman" w:cs="Times New Roman"/>
        </w:rPr>
        <w:footnoteReference w:id="1"/>
      </w:r>
      <w:r w:rsidRPr="007A1B5D">
        <w:rPr>
          <w:rFonts w:ascii="Times New Roman" w:hAnsi="Times New Roman" w:cs="Times New Roman"/>
        </w:rPr>
        <w:t>. This specification was selected as the baseline to minimize the risk of overfitting, which can inflate variance in smaller samples and obscure the comparison between estimators. RMSE combines bias and variance into a single accuracy measure: lower values indicate that the estimator’s point estimates are, on average, closer to the true ATT. The True ATT column provides the target parameter for each scenario, computed from the simulated counterfactual outcomes, giving a reference point for interpreting the magnitude of the errors. Rows are grouped into four blocks: constant treatment effect scenarios (1, 2, 3), two-period scenarios (4, 5, 6), six-period non-staggered scenarios (7, 8, 9) and staggered scenarios (10, 11, 12).</w:t>
      </w:r>
    </w:p>
    <w:p w14:paraId="38F6BA96" w14:textId="53E5CF10" w:rsidR="007A1B5D" w:rsidRPr="007A1B5D" w:rsidRDefault="007A1B5D" w:rsidP="007A1B5D">
      <w:pPr>
        <w:pStyle w:val="Caption"/>
        <w:keepNext/>
        <w:spacing w:line="360" w:lineRule="auto"/>
        <w:rPr>
          <w:rFonts w:ascii="Times New Roman" w:hAnsi="Times New Roman" w:cs="Times New Roman"/>
          <w:sz w:val="18"/>
          <w:szCs w:val="18"/>
        </w:rPr>
      </w:pPr>
      <w:bookmarkStart w:id="67" w:name="_Ref224401409"/>
      <w:r w:rsidRPr="007A1B5D">
        <w:rPr>
          <w:rFonts w:ascii="Times New Roman" w:hAnsi="Times New Roman" w:cs="Times New Roman"/>
          <w:sz w:val="18"/>
          <w:szCs w:val="18"/>
        </w:rPr>
        <w:t xml:space="preserve">Table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Table \* ARABIC </w:instrText>
      </w:r>
      <w:r w:rsidRPr="007A1B5D">
        <w:rPr>
          <w:rFonts w:ascii="Times New Roman" w:hAnsi="Times New Roman" w:cs="Times New Roman"/>
          <w:sz w:val="18"/>
          <w:szCs w:val="18"/>
        </w:rPr>
        <w:fldChar w:fldCharType="separate"/>
      </w:r>
      <w:r w:rsidR="0003032F">
        <w:rPr>
          <w:rFonts w:ascii="Times New Roman" w:hAnsi="Times New Roman" w:cs="Times New Roman"/>
          <w:noProof/>
          <w:sz w:val="18"/>
          <w:szCs w:val="18"/>
        </w:rPr>
        <w:t>2</w:t>
      </w:r>
      <w:r w:rsidRPr="007A1B5D">
        <w:rPr>
          <w:rFonts w:ascii="Times New Roman" w:hAnsi="Times New Roman" w:cs="Times New Roman"/>
          <w:sz w:val="18"/>
          <w:szCs w:val="18"/>
        </w:rPr>
        <w:fldChar w:fldCharType="end"/>
      </w:r>
      <w:bookmarkEnd w:id="67"/>
      <w:r w:rsidRPr="007A1B5D">
        <w:rPr>
          <w:rFonts w:ascii="Times New Roman" w:hAnsi="Times New Roman" w:cs="Times New Roman"/>
          <w:sz w:val="18"/>
          <w:szCs w:val="18"/>
        </w:rPr>
        <w:t>: Simulation results for all scenarios and units, using ‘parsimonious’ ML set up.</w:t>
      </w:r>
    </w:p>
    <w:tbl>
      <w:tblPr>
        <w:tblStyle w:val="Table"/>
        <w:tblW w:w="5000" w:type="pct"/>
        <w:tblLayout w:type="fixed"/>
        <w:tblLook w:val="0020" w:firstRow="1" w:lastRow="0" w:firstColumn="0" w:lastColumn="0" w:noHBand="0" w:noVBand="0"/>
      </w:tblPr>
      <w:tblGrid>
        <w:gridCol w:w="1177"/>
        <w:gridCol w:w="1320"/>
        <w:gridCol w:w="1176"/>
        <w:gridCol w:w="1465"/>
        <w:gridCol w:w="1753"/>
        <w:gridCol w:w="1897"/>
      </w:tblGrid>
      <w:tr w:rsidR="007A1B5D" w:rsidRPr="007A1B5D" w14:paraId="135A04F1" w14:textId="77777777" w:rsidTr="00105899">
        <w:trPr>
          <w:cnfStyle w:val="100000000000" w:firstRow="1" w:lastRow="0" w:firstColumn="0" w:lastColumn="0" w:oddVBand="0" w:evenVBand="0" w:oddHBand="0" w:evenHBand="0" w:firstRowFirstColumn="0" w:firstRowLastColumn="0" w:lastRowFirstColumn="0" w:lastRowLastColumn="0"/>
          <w:tblHeader/>
        </w:trPr>
        <w:tc>
          <w:tcPr>
            <w:tcW w:w="1277" w:type="dxa"/>
            <w:tcBorders>
              <w:top w:val="single" w:sz="4" w:space="0" w:color="auto"/>
              <w:bottom w:val="single" w:sz="4" w:space="0" w:color="auto"/>
            </w:tcBorders>
          </w:tcPr>
          <w:p w14:paraId="6C60DDC9"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Scenario</w:t>
            </w:r>
          </w:p>
        </w:tc>
        <w:tc>
          <w:tcPr>
            <w:tcW w:w="1436" w:type="dxa"/>
            <w:tcBorders>
              <w:top w:val="single" w:sz="4" w:space="0" w:color="auto"/>
              <w:bottom w:val="single" w:sz="4" w:space="0" w:color="auto"/>
            </w:tcBorders>
          </w:tcPr>
          <w:p w14:paraId="5B296B4B"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Model</w:t>
            </w:r>
          </w:p>
        </w:tc>
        <w:tc>
          <w:tcPr>
            <w:tcW w:w="1277" w:type="dxa"/>
            <w:tcBorders>
              <w:top w:val="single" w:sz="4" w:space="0" w:color="auto"/>
              <w:bottom w:val="single" w:sz="4" w:space="0" w:color="auto"/>
            </w:tcBorders>
          </w:tcPr>
          <w:p w14:paraId="5F05FF13"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True ATT</w:t>
            </w:r>
          </w:p>
        </w:tc>
        <w:tc>
          <w:tcPr>
            <w:tcW w:w="1596" w:type="dxa"/>
            <w:tcBorders>
              <w:top w:val="single" w:sz="4" w:space="0" w:color="auto"/>
              <w:bottom w:val="single" w:sz="2" w:space="0" w:color="auto"/>
            </w:tcBorders>
          </w:tcPr>
          <w:p w14:paraId="04176C26"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RMSE (500)</w:t>
            </w:r>
          </w:p>
        </w:tc>
        <w:tc>
          <w:tcPr>
            <w:tcW w:w="1915" w:type="dxa"/>
            <w:tcBorders>
              <w:top w:val="single" w:sz="4" w:space="0" w:color="auto"/>
              <w:bottom w:val="single" w:sz="2" w:space="0" w:color="auto"/>
            </w:tcBorders>
          </w:tcPr>
          <w:p w14:paraId="119CA508"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RMSE (2,500)</w:t>
            </w:r>
          </w:p>
        </w:tc>
        <w:tc>
          <w:tcPr>
            <w:tcW w:w="2075" w:type="dxa"/>
            <w:tcBorders>
              <w:top w:val="single" w:sz="4" w:space="0" w:color="auto"/>
              <w:bottom w:val="single" w:sz="2" w:space="0" w:color="auto"/>
            </w:tcBorders>
          </w:tcPr>
          <w:p w14:paraId="4173D25D" w14:textId="77777777" w:rsidR="007A1B5D" w:rsidRPr="007A1B5D" w:rsidRDefault="007A1B5D" w:rsidP="007A1B5D">
            <w:pPr>
              <w:pStyle w:val="Compact"/>
              <w:spacing w:line="360" w:lineRule="auto"/>
              <w:jc w:val="center"/>
              <w:rPr>
                <w:rFonts w:ascii="Times New Roman" w:hAnsi="Times New Roman" w:cs="Times New Roman"/>
                <w:b/>
                <w:bCs/>
                <w:sz w:val="21"/>
                <w:szCs w:val="21"/>
              </w:rPr>
            </w:pPr>
            <w:r w:rsidRPr="007A1B5D">
              <w:rPr>
                <w:rFonts w:ascii="Times New Roman" w:hAnsi="Times New Roman" w:cs="Times New Roman"/>
                <w:b/>
                <w:bCs/>
                <w:sz w:val="21"/>
                <w:szCs w:val="21"/>
              </w:rPr>
              <w:t>RMSE (10,000)</w:t>
            </w:r>
          </w:p>
        </w:tc>
      </w:tr>
      <w:tr w:rsidR="007A1B5D" w:rsidRPr="007A1B5D" w14:paraId="3B029BF9" w14:textId="77777777" w:rsidTr="00105899">
        <w:tc>
          <w:tcPr>
            <w:tcW w:w="1277" w:type="dxa"/>
            <w:vMerge w:val="restart"/>
            <w:tcBorders>
              <w:top w:val="single" w:sz="4" w:space="0" w:color="auto"/>
            </w:tcBorders>
            <w:vAlign w:val="center"/>
          </w:tcPr>
          <w:p w14:paraId="7F7C4C2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w:t>
            </w:r>
          </w:p>
        </w:tc>
        <w:tc>
          <w:tcPr>
            <w:tcW w:w="1436" w:type="dxa"/>
            <w:tcBorders>
              <w:top w:val="single" w:sz="4" w:space="0" w:color="auto"/>
            </w:tcBorders>
          </w:tcPr>
          <w:p w14:paraId="5E8202E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3CB7360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0.040</w:t>
            </w:r>
          </w:p>
        </w:tc>
        <w:tc>
          <w:tcPr>
            <w:tcW w:w="1596" w:type="dxa"/>
            <w:tcBorders>
              <w:top w:val="single" w:sz="2" w:space="0" w:color="auto"/>
            </w:tcBorders>
          </w:tcPr>
          <w:p w14:paraId="5BA1AFD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0.296</w:t>
            </w:r>
          </w:p>
        </w:tc>
        <w:tc>
          <w:tcPr>
            <w:tcW w:w="1915" w:type="dxa"/>
            <w:tcBorders>
              <w:top w:val="single" w:sz="2" w:space="0" w:color="auto"/>
            </w:tcBorders>
          </w:tcPr>
          <w:p w14:paraId="64E4D05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0.091</w:t>
            </w:r>
          </w:p>
        </w:tc>
        <w:tc>
          <w:tcPr>
            <w:tcW w:w="2075" w:type="dxa"/>
            <w:tcBorders>
              <w:top w:val="single" w:sz="2" w:space="0" w:color="auto"/>
            </w:tcBorders>
          </w:tcPr>
          <w:p w14:paraId="391A24C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0.043</w:t>
            </w:r>
          </w:p>
        </w:tc>
      </w:tr>
      <w:tr w:rsidR="007A1B5D" w:rsidRPr="007A1B5D" w14:paraId="0AA821F4" w14:textId="77777777" w:rsidTr="00105899">
        <w:tc>
          <w:tcPr>
            <w:tcW w:w="1277" w:type="dxa"/>
            <w:vMerge/>
            <w:tcBorders>
              <w:bottom w:val="single" w:sz="4" w:space="0" w:color="auto"/>
            </w:tcBorders>
            <w:vAlign w:val="center"/>
          </w:tcPr>
          <w:p w14:paraId="6E266E94"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536D1CC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1BF5BF42"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top w:val="single" w:sz="2" w:space="0" w:color="auto"/>
            </w:tcBorders>
          </w:tcPr>
          <w:p w14:paraId="3DB70CF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0.147</w:t>
            </w:r>
          </w:p>
        </w:tc>
        <w:tc>
          <w:tcPr>
            <w:tcW w:w="1915" w:type="dxa"/>
            <w:tcBorders>
              <w:top w:val="single" w:sz="2" w:space="0" w:color="auto"/>
            </w:tcBorders>
          </w:tcPr>
          <w:p w14:paraId="327905D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0.064</w:t>
            </w:r>
          </w:p>
        </w:tc>
        <w:tc>
          <w:tcPr>
            <w:tcW w:w="2075" w:type="dxa"/>
            <w:tcBorders>
              <w:top w:val="single" w:sz="2" w:space="0" w:color="auto"/>
            </w:tcBorders>
          </w:tcPr>
          <w:p w14:paraId="67E300F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0.033</w:t>
            </w:r>
          </w:p>
        </w:tc>
      </w:tr>
      <w:tr w:rsidR="007A1B5D" w:rsidRPr="007A1B5D" w14:paraId="5677D84D" w14:textId="77777777" w:rsidTr="00105899">
        <w:tc>
          <w:tcPr>
            <w:tcW w:w="1277" w:type="dxa"/>
            <w:vMerge w:val="restart"/>
            <w:tcBorders>
              <w:top w:val="single" w:sz="4" w:space="0" w:color="auto"/>
            </w:tcBorders>
            <w:vAlign w:val="center"/>
          </w:tcPr>
          <w:p w14:paraId="6F2B3F8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2</w:t>
            </w:r>
          </w:p>
        </w:tc>
        <w:tc>
          <w:tcPr>
            <w:tcW w:w="1436" w:type="dxa"/>
            <w:tcBorders>
              <w:top w:val="single" w:sz="4" w:space="0" w:color="auto"/>
            </w:tcBorders>
          </w:tcPr>
          <w:p w14:paraId="6931904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D7923C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0.051</w:t>
            </w:r>
          </w:p>
        </w:tc>
        <w:tc>
          <w:tcPr>
            <w:tcW w:w="1596" w:type="dxa"/>
            <w:tcBorders>
              <w:top w:val="single" w:sz="2" w:space="0" w:color="auto"/>
            </w:tcBorders>
          </w:tcPr>
          <w:p w14:paraId="1B5F3CC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0.333</w:t>
            </w:r>
          </w:p>
        </w:tc>
        <w:tc>
          <w:tcPr>
            <w:tcW w:w="1915" w:type="dxa"/>
            <w:tcBorders>
              <w:top w:val="single" w:sz="2" w:space="0" w:color="auto"/>
            </w:tcBorders>
          </w:tcPr>
          <w:p w14:paraId="2FAC495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0.107</w:t>
            </w:r>
          </w:p>
        </w:tc>
        <w:tc>
          <w:tcPr>
            <w:tcW w:w="2075" w:type="dxa"/>
            <w:tcBorders>
              <w:top w:val="single" w:sz="2" w:space="0" w:color="auto"/>
            </w:tcBorders>
          </w:tcPr>
          <w:p w14:paraId="7F8618F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0.051</w:t>
            </w:r>
          </w:p>
        </w:tc>
      </w:tr>
      <w:tr w:rsidR="007A1B5D" w:rsidRPr="007A1B5D" w14:paraId="2964FCC8" w14:textId="77777777" w:rsidTr="00105899">
        <w:tc>
          <w:tcPr>
            <w:tcW w:w="1277" w:type="dxa"/>
            <w:vMerge/>
            <w:tcBorders>
              <w:bottom w:val="single" w:sz="4" w:space="0" w:color="auto"/>
            </w:tcBorders>
            <w:vAlign w:val="center"/>
          </w:tcPr>
          <w:p w14:paraId="4EB1DA76"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816CE9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3DFF4128"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top w:val="single" w:sz="2" w:space="0" w:color="auto"/>
            </w:tcBorders>
          </w:tcPr>
          <w:p w14:paraId="0473630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0.210</w:t>
            </w:r>
          </w:p>
        </w:tc>
        <w:tc>
          <w:tcPr>
            <w:tcW w:w="1915" w:type="dxa"/>
            <w:tcBorders>
              <w:top w:val="single" w:sz="2" w:space="0" w:color="auto"/>
            </w:tcBorders>
          </w:tcPr>
          <w:p w14:paraId="59AA4ED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0.157</w:t>
            </w:r>
          </w:p>
        </w:tc>
        <w:tc>
          <w:tcPr>
            <w:tcW w:w="2075" w:type="dxa"/>
            <w:tcBorders>
              <w:top w:val="single" w:sz="2" w:space="0" w:color="auto"/>
            </w:tcBorders>
          </w:tcPr>
          <w:p w14:paraId="75A0804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0.142</w:t>
            </w:r>
          </w:p>
        </w:tc>
      </w:tr>
      <w:tr w:rsidR="007A1B5D" w:rsidRPr="007A1B5D" w14:paraId="58C30D52" w14:textId="77777777" w:rsidTr="00105899">
        <w:tc>
          <w:tcPr>
            <w:tcW w:w="1277" w:type="dxa"/>
            <w:vMerge w:val="restart"/>
            <w:tcBorders>
              <w:top w:val="single" w:sz="4" w:space="0" w:color="auto"/>
            </w:tcBorders>
            <w:vAlign w:val="center"/>
          </w:tcPr>
          <w:p w14:paraId="22423CE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3</w:t>
            </w:r>
          </w:p>
        </w:tc>
        <w:tc>
          <w:tcPr>
            <w:tcW w:w="1436" w:type="dxa"/>
            <w:tcBorders>
              <w:top w:val="single" w:sz="4" w:space="0" w:color="auto"/>
            </w:tcBorders>
          </w:tcPr>
          <w:p w14:paraId="622839B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3C3C329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-0.625</w:t>
            </w:r>
          </w:p>
        </w:tc>
        <w:tc>
          <w:tcPr>
            <w:tcW w:w="1596" w:type="dxa"/>
            <w:tcBorders>
              <w:top w:val="single" w:sz="2" w:space="0" w:color="auto"/>
            </w:tcBorders>
          </w:tcPr>
          <w:p w14:paraId="6C6CF13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0.546</w:t>
            </w:r>
          </w:p>
        </w:tc>
        <w:tc>
          <w:tcPr>
            <w:tcW w:w="1915" w:type="dxa"/>
            <w:tcBorders>
              <w:top w:val="single" w:sz="2" w:space="0" w:color="auto"/>
            </w:tcBorders>
          </w:tcPr>
          <w:p w14:paraId="2A6FA81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0.371</w:t>
            </w:r>
          </w:p>
        </w:tc>
        <w:tc>
          <w:tcPr>
            <w:tcW w:w="2075" w:type="dxa"/>
            <w:tcBorders>
              <w:top w:val="single" w:sz="2" w:space="0" w:color="auto"/>
            </w:tcBorders>
          </w:tcPr>
          <w:p w14:paraId="188F9E9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0.350</w:t>
            </w:r>
          </w:p>
        </w:tc>
      </w:tr>
      <w:tr w:rsidR="007A1B5D" w:rsidRPr="007A1B5D" w14:paraId="4B9EE1E1" w14:textId="77777777" w:rsidTr="00105899">
        <w:tc>
          <w:tcPr>
            <w:tcW w:w="1277" w:type="dxa"/>
            <w:vMerge/>
            <w:tcBorders>
              <w:bottom w:val="single" w:sz="4" w:space="0" w:color="auto"/>
            </w:tcBorders>
            <w:vAlign w:val="center"/>
          </w:tcPr>
          <w:p w14:paraId="4DE2EB2A"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564851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4C51E312"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top w:val="single" w:sz="2" w:space="0" w:color="auto"/>
            </w:tcBorders>
          </w:tcPr>
          <w:p w14:paraId="7C811A1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0.233</w:t>
            </w:r>
          </w:p>
        </w:tc>
        <w:tc>
          <w:tcPr>
            <w:tcW w:w="1915" w:type="dxa"/>
            <w:tcBorders>
              <w:top w:val="single" w:sz="2" w:space="0" w:color="auto"/>
            </w:tcBorders>
          </w:tcPr>
          <w:p w14:paraId="7FD26AB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0.145</w:t>
            </w:r>
          </w:p>
        </w:tc>
        <w:tc>
          <w:tcPr>
            <w:tcW w:w="2075" w:type="dxa"/>
            <w:tcBorders>
              <w:top w:val="single" w:sz="2" w:space="0" w:color="auto"/>
            </w:tcBorders>
          </w:tcPr>
          <w:p w14:paraId="465525F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0.121</w:t>
            </w:r>
          </w:p>
        </w:tc>
      </w:tr>
      <w:tr w:rsidR="007A1B5D" w:rsidRPr="007A1B5D" w14:paraId="73D41617" w14:textId="77777777" w:rsidTr="00105899">
        <w:tc>
          <w:tcPr>
            <w:tcW w:w="1277" w:type="dxa"/>
            <w:vMerge w:val="restart"/>
            <w:tcBorders>
              <w:top w:val="single" w:sz="4" w:space="0" w:color="auto"/>
            </w:tcBorders>
            <w:vAlign w:val="center"/>
          </w:tcPr>
          <w:p w14:paraId="294C4A7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4</w:t>
            </w:r>
          </w:p>
        </w:tc>
        <w:tc>
          <w:tcPr>
            <w:tcW w:w="1436" w:type="dxa"/>
            <w:tcBorders>
              <w:top w:val="single" w:sz="4" w:space="0" w:color="auto"/>
            </w:tcBorders>
          </w:tcPr>
          <w:p w14:paraId="6ED13C8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6C0CC31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0.118</w:t>
            </w:r>
          </w:p>
        </w:tc>
        <w:tc>
          <w:tcPr>
            <w:tcW w:w="1596" w:type="dxa"/>
            <w:tcBorders>
              <w:top w:val="single" w:sz="2" w:space="0" w:color="auto"/>
            </w:tcBorders>
          </w:tcPr>
          <w:p w14:paraId="40A5295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0.167</w:t>
            </w:r>
          </w:p>
        </w:tc>
        <w:tc>
          <w:tcPr>
            <w:tcW w:w="1915" w:type="dxa"/>
            <w:tcBorders>
              <w:top w:val="single" w:sz="2" w:space="0" w:color="auto"/>
            </w:tcBorders>
          </w:tcPr>
          <w:p w14:paraId="1B2FBC4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0.066</w:t>
            </w:r>
          </w:p>
        </w:tc>
        <w:tc>
          <w:tcPr>
            <w:tcW w:w="2075" w:type="dxa"/>
            <w:tcBorders>
              <w:top w:val="single" w:sz="2" w:space="0" w:color="auto"/>
            </w:tcBorders>
          </w:tcPr>
          <w:p w14:paraId="1157E40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0.032</w:t>
            </w:r>
          </w:p>
        </w:tc>
      </w:tr>
      <w:tr w:rsidR="007A1B5D" w:rsidRPr="007A1B5D" w14:paraId="650BE936" w14:textId="77777777" w:rsidTr="00105899">
        <w:tc>
          <w:tcPr>
            <w:tcW w:w="1277" w:type="dxa"/>
            <w:vMerge/>
            <w:tcBorders>
              <w:bottom w:val="single" w:sz="4" w:space="0" w:color="auto"/>
            </w:tcBorders>
            <w:vAlign w:val="center"/>
          </w:tcPr>
          <w:p w14:paraId="2A6074FB"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517487F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7E91E7B2"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3E72A25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0.136</w:t>
            </w:r>
          </w:p>
        </w:tc>
        <w:tc>
          <w:tcPr>
            <w:tcW w:w="1915" w:type="dxa"/>
            <w:tcBorders>
              <w:bottom w:val="single" w:sz="4" w:space="0" w:color="auto"/>
            </w:tcBorders>
          </w:tcPr>
          <w:p w14:paraId="4ECB5F4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0.061</w:t>
            </w:r>
          </w:p>
        </w:tc>
        <w:tc>
          <w:tcPr>
            <w:tcW w:w="2075" w:type="dxa"/>
            <w:tcBorders>
              <w:bottom w:val="single" w:sz="4" w:space="0" w:color="auto"/>
            </w:tcBorders>
          </w:tcPr>
          <w:p w14:paraId="6B1378B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0.030</w:t>
            </w:r>
          </w:p>
        </w:tc>
      </w:tr>
      <w:tr w:rsidR="007A1B5D" w:rsidRPr="007A1B5D" w14:paraId="2CA08862" w14:textId="77777777" w:rsidTr="00105899">
        <w:tc>
          <w:tcPr>
            <w:tcW w:w="1277" w:type="dxa"/>
            <w:vMerge w:val="restart"/>
            <w:tcBorders>
              <w:top w:val="single" w:sz="4" w:space="0" w:color="auto"/>
            </w:tcBorders>
            <w:vAlign w:val="center"/>
          </w:tcPr>
          <w:p w14:paraId="14FEB4E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5</w:t>
            </w:r>
          </w:p>
        </w:tc>
        <w:tc>
          <w:tcPr>
            <w:tcW w:w="1436" w:type="dxa"/>
            <w:tcBorders>
              <w:top w:val="single" w:sz="4" w:space="0" w:color="auto"/>
            </w:tcBorders>
          </w:tcPr>
          <w:p w14:paraId="0A6DE3A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34C3FF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0.106</w:t>
            </w:r>
          </w:p>
        </w:tc>
        <w:tc>
          <w:tcPr>
            <w:tcW w:w="1596" w:type="dxa"/>
            <w:tcBorders>
              <w:top w:val="single" w:sz="4" w:space="0" w:color="auto"/>
            </w:tcBorders>
          </w:tcPr>
          <w:p w14:paraId="5E27C63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0.191</w:t>
            </w:r>
          </w:p>
        </w:tc>
        <w:tc>
          <w:tcPr>
            <w:tcW w:w="1915" w:type="dxa"/>
            <w:tcBorders>
              <w:top w:val="single" w:sz="4" w:space="0" w:color="auto"/>
            </w:tcBorders>
          </w:tcPr>
          <w:p w14:paraId="36EBC70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0.076</w:t>
            </w:r>
          </w:p>
        </w:tc>
        <w:tc>
          <w:tcPr>
            <w:tcW w:w="2075" w:type="dxa"/>
            <w:tcBorders>
              <w:top w:val="single" w:sz="4" w:space="0" w:color="auto"/>
            </w:tcBorders>
          </w:tcPr>
          <w:p w14:paraId="0E3F475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0.036</w:t>
            </w:r>
          </w:p>
        </w:tc>
      </w:tr>
      <w:tr w:rsidR="007A1B5D" w:rsidRPr="007A1B5D" w14:paraId="20D885D3" w14:textId="77777777" w:rsidTr="00105899">
        <w:tc>
          <w:tcPr>
            <w:tcW w:w="1277" w:type="dxa"/>
            <w:vMerge/>
            <w:tcBorders>
              <w:bottom w:val="single" w:sz="4" w:space="0" w:color="auto"/>
            </w:tcBorders>
            <w:vAlign w:val="center"/>
          </w:tcPr>
          <w:p w14:paraId="259CDEC9"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0E1B8DE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52208CD2"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45C7385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0.219</w:t>
            </w:r>
          </w:p>
        </w:tc>
        <w:tc>
          <w:tcPr>
            <w:tcW w:w="1915" w:type="dxa"/>
            <w:tcBorders>
              <w:bottom w:val="single" w:sz="4" w:space="0" w:color="auto"/>
            </w:tcBorders>
          </w:tcPr>
          <w:p w14:paraId="06C8681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0.184</w:t>
            </w:r>
          </w:p>
        </w:tc>
        <w:tc>
          <w:tcPr>
            <w:tcW w:w="2075" w:type="dxa"/>
            <w:tcBorders>
              <w:bottom w:val="single" w:sz="4" w:space="0" w:color="auto"/>
            </w:tcBorders>
          </w:tcPr>
          <w:p w14:paraId="514D62E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0.174</w:t>
            </w:r>
          </w:p>
        </w:tc>
      </w:tr>
      <w:tr w:rsidR="007A1B5D" w:rsidRPr="007A1B5D" w14:paraId="4B908C4D" w14:textId="77777777" w:rsidTr="00105899">
        <w:tc>
          <w:tcPr>
            <w:tcW w:w="1277" w:type="dxa"/>
            <w:vMerge w:val="restart"/>
            <w:tcBorders>
              <w:top w:val="single" w:sz="4" w:space="0" w:color="auto"/>
            </w:tcBorders>
            <w:vAlign w:val="center"/>
          </w:tcPr>
          <w:p w14:paraId="2D92A8D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6</w:t>
            </w:r>
          </w:p>
        </w:tc>
        <w:tc>
          <w:tcPr>
            <w:tcW w:w="1436" w:type="dxa"/>
            <w:tcBorders>
              <w:top w:val="single" w:sz="4" w:space="0" w:color="auto"/>
            </w:tcBorders>
          </w:tcPr>
          <w:p w14:paraId="6E6370D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77EC6E7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-0.922</w:t>
            </w:r>
          </w:p>
        </w:tc>
        <w:tc>
          <w:tcPr>
            <w:tcW w:w="1596" w:type="dxa"/>
            <w:tcBorders>
              <w:top w:val="single" w:sz="4" w:space="0" w:color="auto"/>
            </w:tcBorders>
          </w:tcPr>
          <w:p w14:paraId="445702B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0.355</w:t>
            </w:r>
          </w:p>
        </w:tc>
        <w:tc>
          <w:tcPr>
            <w:tcW w:w="1915" w:type="dxa"/>
            <w:tcBorders>
              <w:top w:val="single" w:sz="4" w:space="0" w:color="auto"/>
            </w:tcBorders>
          </w:tcPr>
          <w:p w14:paraId="591093A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0.120</w:t>
            </w:r>
          </w:p>
        </w:tc>
        <w:tc>
          <w:tcPr>
            <w:tcW w:w="2075" w:type="dxa"/>
            <w:tcBorders>
              <w:top w:val="single" w:sz="4" w:space="0" w:color="auto"/>
            </w:tcBorders>
          </w:tcPr>
          <w:p w14:paraId="6BFC5D3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0.059</w:t>
            </w:r>
          </w:p>
        </w:tc>
      </w:tr>
      <w:tr w:rsidR="007A1B5D" w:rsidRPr="007A1B5D" w14:paraId="0B363B88" w14:textId="77777777" w:rsidTr="00105899">
        <w:tc>
          <w:tcPr>
            <w:tcW w:w="1277" w:type="dxa"/>
            <w:vMerge/>
            <w:tcBorders>
              <w:bottom w:val="single" w:sz="4" w:space="0" w:color="auto"/>
            </w:tcBorders>
            <w:vAlign w:val="center"/>
          </w:tcPr>
          <w:p w14:paraId="03633BEB"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0FE66F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0AC0B4E0"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1DE7B01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0.240</w:t>
            </w:r>
          </w:p>
        </w:tc>
        <w:tc>
          <w:tcPr>
            <w:tcW w:w="1915" w:type="dxa"/>
            <w:tcBorders>
              <w:bottom w:val="single" w:sz="4" w:space="0" w:color="auto"/>
            </w:tcBorders>
          </w:tcPr>
          <w:p w14:paraId="5C5C585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0.181</w:t>
            </w:r>
          </w:p>
        </w:tc>
        <w:tc>
          <w:tcPr>
            <w:tcW w:w="2075" w:type="dxa"/>
            <w:tcBorders>
              <w:bottom w:val="single" w:sz="4" w:space="0" w:color="auto"/>
            </w:tcBorders>
          </w:tcPr>
          <w:p w14:paraId="5DB5316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0.170</w:t>
            </w:r>
          </w:p>
        </w:tc>
      </w:tr>
      <w:tr w:rsidR="007A1B5D" w:rsidRPr="007A1B5D" w14:paraId="77D333D8" w14:textId="77777777" w:rsidTr="00105899">
        <w:tc>
          <w:tcPr>
            <w:tcW w:w="1277" w:type="dxa"/>
            <w:vMerge w:val="restart"/>
            <w:tcBorders>
              <w:top w:val="single" w:sz="4" w:space="0" w:color="auto"/>
            </w:tcBorders>
            <w:vAlign w:val="center"/>
          </w:tcPr>
          <w:p w14:paraId="3A96797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7</w:t>
            </w:r>
          </w:p>
        </w:tc>
        <w:tc>
          <w:tcPr>
            <w:tcW w:w="1436" w:type="dxa"/>
            <w:tcBorders>
              <w:top w:val="single" w:sz="4" w:space="0" w:color="auto"/>
            </w:tcBorders>
          </w:tcPr>
          <w:p w14:paraId="39BEB8C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64C2748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0.079</w:t>
            </w:r>
          </w:p>
        </w:tc>
        <w:tc>
          <w:tcPr>
            <w:tcW w:w="1596" w:type="dxa"/>
            <w:tcBorders>
              <w:top w:val="single" w:sz="4" w:space="0" w:color="auto"/>
            </w:tcBorders>
          </w:tcPr>
          <w:p w14:paraId="12FCD2D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0.307</w:t>
            </w:r>
          </w:p>
        </w:tc>
        <w:tc>
          <w:tcPr>
            <w:tcW w:w="1915" w:type="dxa"/>
            <w:tcBorders>
              <w:top w:val="single" w:sz="4" w:space="0" w:color="auto"/>
            </w:tcBorders>
          </w:tcPr>
          <w:p w14:paraId="0830F7E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0.109</w:t>
            </w:r>
          </w:p>
        </w:tc>
        <w:tc>
          <w:tcPr>
            <w:tcW w:w="2075" w:type="dxa"/>
            <w:tcBorders>
              <w:top w:val="single" w:sz="4" w:space="0" w:color="auto"/>
            </w:tcBorders>
          </w:tcPr>
          <w:p w14:paraId="59A3B13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0.064</w:t>
            </w:r>
          </w:p>
        </w:tc>
      </w:tr>
      <w:tr w:rsidR="007A1B5D" w:rsidRPr="007A1B5D" w14:paraId="1785B572" w14:textId="77777777" w:rsidTr="00105899">
        <w:tc>
          <w:tcPr>
            <w:tcW w:w="1277" w:type="dxa"/>
            <w:vMerge/>
            <w:tcBorders>
              <w:bottom w:val="single" w:sz="4" w:space="0" w:color="auto"/>
            </w:tcBorders>
            <w:vAlign w:val="center"/>
          </w:tcPr>
          <w:p w14:paraId="7C78D8A1"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431B9FB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15CBC3E5"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4526DE7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0.148</w:t>
            </w:r>
          </w:p>
        </w:tc>
        <w:tc>
          <w:tcPr>
            <w:tcW w:w="1915" w:type="dxa"/>
            <w:tcBorders>
              <w:bottom w:val="single" w:sz="4" w:space="0" w:color="auto"/>
            </w:tcBorders>
          </w:tcPr>
          <w:p w14:paraId="7F305C0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0.064</w:t>
            </w:r>
          </w:p>
        </w:tc>
        <w:tc>
          <w:tcPr>
            <w:tcW w:w="2075" w:type="dxa"/>
            <w:tcBorders>
              <w:bottom w:val="single" w:sz="4" w:space="0" w:color="auto"/>
            </w:tcBorders>
          </w:tcPr>
          <w:p w14:paraId="7D46931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0.032</w:t>
            </w:r>
          </w:p>
        </w:tc>
      </w:tr>
      <w:tr w:rsidR="007A1B5D" w:rsidRPr="007A1B5D" w14:paraId="6C1F525A" w14:textId="77777777" w:rsidTr="00105899">
        <w:tc>
          <w:tcPr>
            <w:tcW w:w="1277" w:type="dxa"/>
            <w:vMerge w:val="restart"/>
            <w:tcBorders>
              <w:top w:val="single" w:sz="4" w:space="0" w:color="auto"/>
            </w:tcBorders>
            <w:vAlign w:val="center"/>
          </w:tcPr>
          <w:p w14:paraId="7F8E930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8</w:t>
            </w:r>
          </w:p>
        </w:tc>
        <w:tc>
          <w:tcPr>
            <w:tcW w:w="1436" w:type="dxa"/>
            <w:tcBorders>
              <w:top w:val="single" w:sz="4" w:space="0" w:color="auto"/>
            </w:tcBorders>
          </w:tcPr>
          <w:p w14:paraId="1BAB71B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1B369B8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0.124</w:t>
            </w:r>
          </w:p>
        </w:tc>
        <w:tc>
          <w:tcPr>
            <w:tcW w:w="1596" w:type="dxa"/>
            <w:tcBorders>
              <w:top w:val="single" w:sz="4" w:space="0" w:color="auto"/>
            </w:tcBorders>
          </w:tcPr>
          <w:p w14:paraId="18FA45C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0.344</w:t>
            </w:r>
          </w:p>
        </w:tc>
        <w:tc>
          <w:tcPr>
            <w:tcW w:w="1915" w:type="dxa"/>
            <w:tcBorders>
              <w:top w:val="single" w:sz="4" w:space="0" w:color="auto"/>
            </w:tcBorders>
          </w:tcPr>
          <w:p w14:paraId="545440D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0.125</w:t>
            </w:r>
          </w:p>
        </w:tc>
        <w:tc>
          <w:tcPr>
            <w:tcW w:w="2075" w:type="dxa"/>
            <w:tcBorders>
              <w:top w:val="single" w:sz="4" w:space="0" w:color="auto"/>
            </w:tcBorders>
          </w:tcPr>
          <w:p w14:paraId="3F48EFA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0.079</w:t>
            </w:r>
          </w:p>
        </w:tc>
      </w:tr>
      <w:tr w:rsidR="007A1B5D" w:rsidRPr="007A1B5D" w14:paraId="5EAA0A0C" w14:textId="77777777" w:rsidTr="00105899">
        <w:tc>
          <w:tcPr>
            <w:tcW w:w="1277" w:type="dxa"/>
            <w:vMerge/>
            <w:tcBorders>
              <w:bottom w:val="single" w:sz="4" w:space="0" w:color="auto"/>
            </w:tcBorders>
            <w:vAlign w:val="center"/>
          </w:tcPr>
          <w:p w14:paraId="08A741BB"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391602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4B227B01"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04D5B01B"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0.213</w:t>
            </w:r>
          </w:p>
        </w:tc>
        <w:tc>
          <w:tcPr>
            <w:tcW w:w="1915" w:type="dxa"/>
            <w:tcBorders>
              <w:bottom w:val="single" w:sz="4" w:space="0" w:color="auto"/>
            </w:tcBorders>
          </w:tcPr>
          <w:p w14:paraId="14D1AE0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0.155</w:t>
            </w:r>
          </w:p>
        </w:tc>
        <w:tc>
          <w:tcPr>
            <w:tcW w:w="2075" w:type="dxa"/>
            <w:tcBorders>
              <w:bottom w:val="single" w:sz="4" w:space="0" w:color="auto"/>
            </w:tcBorders>
          </w:tcPr>
          <w:p w14:paraId="4B0D776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0.144</w:t>
            </w:r>
          </w:p>
        </w:tc>
      </w:tr>
      <w:tr w:rsidR="007A1B5D" w:rsidRPr="007A1B5D" w14:paraId="28716955" w14:textId="77777777" w:rsidTr="00105899">
        <w:tc>
          <w:tcPr>
            <w:tcW w:w="1277" w:type="dxa"/>
            <w:vMerge w:val="restart"/>
            <w:tcBorders>
              <w:top w:val="single" w:sz="4" w:space="0" w:color="auto"/>
            </w:tcBorders>
            <w:vAlign w:val="center"/>
          </w:tcPr>
          <w:p w14:paraId="3C505C9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9</w:t>
            </w:r>
          </w:p>
        </w:tc>
        <w:tc>
          <w:tcPr>
            <w:tcW w:w="1436" w:type="dxa"/>
            <w:tcBorders>
              <w:top w:val="single" w:sz="4" w:space="0" w:color="auto"/>
            </w:tcBorders>
          </w:tcPr>
          <w:p w14:paraId="71FC7B0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7E08662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-0.572</w:t>
            </w:r>
          </w:p>
        </w:tc>
        <w:tc>
          <w:tcPr>
            <w:tcW w:w="1596" w:type="dxa"/>
            <w:tcBorders>
              <w:top w:val="single" w:sz="4" w:space="0" w:color="auto"/>
            </w:tcBorders>
          </w:tcPr>
          <w:p w14:paraId="2344B3D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0.501</w:t>
            </w:r>
          </w:p>
        </w:tc>
        <w:tc>
          <w:tcPr>
            <w:tcW w:w="1915" w:type="dxa"/>
            <w:tcBorders>
              <w:top w:val="single" w:sz="4" w:space="0" w:color="auto"/>
            </w:tcBorders>
          </w:tcPr>
          <w:p w14:paraId="1DB379A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0.327</w:t>
            </w:r>
          </w:p>
        </w:tc>
        <w:tc>
          <w:tcPr>
            <w:tcW w:w="2075" w:type="dxa"/>
            <w:tcBorders>
              <w:top w:val="single" w:sz="4" w:space="0" w:color="auto"/>
            </w:tcBorders>
          </w:tcPr>
          <w:p w14:paraId="094EA08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0.299</w:t>
            </w:r>
          </w:p>
        </w:tc>
      </w:tr>
      <w:tr w:rsidR="007A1B5D" w:rsidRPr="007A1B5D" w14:paraId="7C68181D" w14:textId="77777777" w:rsidTr="00105899">
        <w:tc>
          <w:tcPr>
            <w:tcW w:w="1277" w:type="dxa"/>
            <w:vMerge/>
            <w:tcBorders>
              <w:bottom w:val="single" w:sz="4" w:space="0" w:color="auto"/>
            </w:tcBorders>
            <w:vAlign w:val="center"/>
          </w:tcPr>
          <w:p w14:paraId="21E2B93F"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1E977C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44A521F3"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0E144F8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0.230</w:t>
            </w:r>
          </w:p>
        </w:tc>
        <w:tc>
          <w:tcPr>
            <w:tcW w:w="1915" w:type="dxa"/>
            <w:tcBorders>
              <w:bottom w:val="single" w:sz="4" w:space="0" w:color="auto"/>
            </w:tcBorders>
          </w:tcPr>
          <w:p w14:paraId="3C3AD4B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0.145</w:t>
            </w:r>
          </w:p>
        </w:tc>
        <w:tc>
          <w:tcPr>
            <w:tcW w:w="2075" w:type="dxa"/>
            <w:tcBorders>
              <w:bottom w:val="single" w:sz="4" w:space="0" w:color="auto"/>
            </w:tcBorders>
          </w:tcPr>
          <w:p w14:paraId="38003E70"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0.122</w:t>
            </w:r>
          </w:p>
        </w:tc>
      </w:tr>
      <w:tr w:rsidR="007A1B5D" w:rsidRPr="007A1B5D" w14:paraId="277A7E4E" w14:textId="77777777" w:rsidTr="00105899">
        <w:tc>
          <w:tcPr>
            <w:tcW w:w="1277" w:type="dxa"/>
            <w:vMerge w:val="restart"/>
            <w:tcBorders>
              <w:top w:val="single" w:sz="4" w:space="0" w:color="auto"/>
            </w:tcBorders>
            <w:vAlign w:val="center"/>
          </w:tcPr>
          <w:p w14:paraId="4072110A"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10</w:t>
            </w:r>
          </w:p>
        </w:tc>
        <w:tc>
          <w:tcPr>
            <w:tcW w:w="1436" w:type="dxa"/>
            <w:tcBorders>
              <w:top w:val="single" w:sz="4" w:space="0" w:color="auto"/>
            </w:tcBorders>
          </w:tcPr>
          <w:p w14:paraId="730473E3"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0CDEC1B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-0.050</w:t>
            </w:r>
          </w:p>
        </w:tc>
        <w:tc>
          <w:tcPr>
            <w:tcW w:w="1596" w:type="dxa"/>
            <w:tcBorders>
              <w:top w:val="single" w:sz="4" w:space="0" w:color="auto"/>
            </w:tcBorders>
          </w:tcPr>
          <w:p w14:paraId="58B9E1F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0.133</w:t>
            </w:r>
          </w:p>
        </w:tc>
        <w:tc>
          <w:tcPr>
            <w:tcW w:w="1915" w:type="dxa"/>
            <w:tcBorders>
              <w:top w:val="single" w:sz="4" w:space="0" w:color="auto"/>
            </w:tcBorders>
          </w:tcPr>
          <w:p w14:paraId="6E1FB1AD"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0.053</w:t>
            </w:r>
          </w:p>
        </w:tc>
        <w:tc>
          <w:tcPr>
            <w:tcW w:w="2075" w:type="dxa"/>
            <w:tcBorders>
              <w:top w:val="single" w:sz="4" w:space="0" w:color="auto"/>
            </w:tcBorders>
          </w:tcPr>
          <w:p w14:paraId="50F022F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0.026</w:t>
            </w:r>
          </w:p>
        </w:tc>
      </w:tr>
      <w:tr w:rsidR="007A1B5D" w:rsidRPr="007A1B5D" w14:paraId="42EA71DE" w14:textId="77777777" w:rsidTr="00105899">
        <w:tc>
          <w:tcPr>
            <w:tcW w:w="1277" w:type="dxa"/>
            <w:vMerge/>
            <w:tcBorders>
              <w:bottom w:val="single" w:sz="4" w:space="0" w:color="auto"/>
            </w:tcBorders>
            <w:vAlign w:val="center"/>
          </w:tcPr>
          <w:p w14:paraId="214C33A1"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0365714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65B820DC"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63D1973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0.330</w:t>
            </w:r>
          </w:p>
        </w:tc>
        <w:tc>
          <w:tcPr>
            <w:tcW w:w="1915" w:type="dxa"/>
            <w:tcBorders>
              <w:bottom w:val="single" w:sz="4" w:space="0" w:color="auto"/>
            </w:tcBorders>
          </w:tcPr>
          <w:p w14:paraId="7AA356D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0.200</w:t>
            </w:r>
          </w:p>
        </w:tc>
        <w:tc>
          <w:tcPr>
            <w:tcW w:w="2075" w:type="dxa"/>
            <w:tcBorders>
              <w:bottom w:val="single" w:sz="4" w:space="0" w:color="auto"/>
            </w:tcBorders>
          </w:tcPr>
          <w:p w14:paraId="6747A74F"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0.166</w:t>
            </w:r>
          </w:p>
        </w:tc>
      </w:tr>
      <w:tr w:rsidR="007A1B5D" w:rsidRPr="007A1B5D" w14:paraId="56EEFAB3" w14:textId="77777777" w:rsidTr="00105899">
        <w:tc>
          <w:tcPr>
            <w:tcW w:w="1277" w:type="dxa"/>
            <w:vMerge w:val="restart"/>
            <w:tcBorders>
              <w:top w:val="single" w:sz="4" w:space="0" w:color="auto"/>
            </w:tcBorders>
            <w:vAlign w:val="center"/>
          </w:tcPr>
          <w:p w14:paraId="371F284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11</w:t>
            </w:r>
          </w:p>
        </w:tc>
        <w:tc>
          <w:tcPr>
            <w:tcW w:w="1436" w:type="dxa"/>
            <w:tcBorders>
              <w:top w:val="single" w:sz="4" w:space="0" w:color="auto"/>
            </w:tcBorders>
          </w:tcPr>
          <w:p w14:paraId="415891A5"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7DD831B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-0.125</w:t>
            </w:r>
          </w:p>
        </w:tc>
        <w:tc>
          <w:tcPr>
            <w:tcW w:w="1596" w:type="dxa"/>
            <w:tcBorders>
              <w:top w:val="single" w:sz="4" w:space="0" w:color="auto"/>
            </w:tcBorders>
          </w:tcPr>
          <w:p w14:paraId="69F8445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0.143</w:t>
            </w:r>
          </w:p>
        </w:tc>
        <w:tc>
          <w:tcPr>
            <w:tcW w:w="1915" w:type="dxa"/>
            <w:tcBorders>
              <w:top w:val="single" w:sz="4" w:space="0" w:color="auto"/>
            </w:tcBorders>
          </w:tcPr>
          <w:p w14:paraId="7461EDF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0.059</w:t>
            </w:r>
          </w:p>
        </w:tc>
        <w:tc>
          <w:tcPr>
            <w:tcW w:w="2075" w:type="dxa"/>
            <w:tcBorders>
              <w:top w:val="single" w:sz="4" w:space="0" w:color="auto"/>
            </w:tcBorders>
          </w:tcPr>
          <w:p w14:paraId="6BF2A69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0.028</w:t>
            </w:r>
          </w:p>
        </w:tc>
      </w:tr>
      <w:tr w:rsidR="007A1B5D" w:rsidRPr="007A1B5D" w14:paraId="2887FC1E" w14:textId="77777777" w:rsidTr="00105899">
        <w:tc>
          <w:tcPr>
            <w:tcW w:w="1277" w:type="dxa"/>
            <w:vMerge/>
            <w:tcBorders>
              <w:bottom w:val="single" w:sz="4" w:space="0" w:color="auto"/>
            </w:tcBorders>
            <w:vAlign w:val="center"/>
          </w:tcPr>
          <w:p w14:paraId="2914963F"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15D4B3F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vAlign w:val="center"/>
          </w:tcPr>
          <w:p w14:paraId="1C091D11"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24ACE534"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0.373</w:t>
            </w:r>
          </w:p>
        </w:tc>
        <w:tc>
          <w:tcPr>
            <w:tcW w:w="1915" w:type="dxa"/>
            <w:tcBorders>
              <w:bottom w:val="single" w:sz="4" w:space="0" w:color="auto"/>
            </w:tcBorders>
          </w:tcPr>
          <w:p w14:paraId="17E1AF12"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0.293</w:t>
            </w:r>
          </w:p>
        </w:tc>
        <w:tc>
          <w:tcPr>
            <w:tcW w:w="2075" w:type="dxa"/>
            <w:tcBorders>
              <w:bottom w:val="single" w:sz="4" w:space="0" w:color="auto"/>
            </w:tcBorders>
          </w:tcPr>
          <w:p w14:paraId="4805FB5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0.274</w:t>
            </w:r>
          </w:p>
        </w:tc>
      </w:tr>
      <w:tr w:rsidR="007A1B5D" w:rsidRPr="007A1B5D" w14:paraId="458B93AC" w14:textId="77777777" w:rsidTr="00105899">
        <w:tc>
          <w:tcPr>
            <w:tcW w:w="1277" w:type="dxa"/>
            <w:vMerge w:val="restart"/>
            <w:tcBorders>
              <w:top w:val="single" w:sz="4" w:space="0" w:color="auto"/>
            </w:tcBorders>
            <w:vAlign w:val="center"/>
          </w:tcPr>
          <w:p w14:paraId="03DFD7A1"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12</w:t>
            </w:r>
          </w:p>
        </w:tc>
        <w:tc>
          <w:tcPr>
            <w:tcW w:w="1436" w:type="dxa"/>
            <w:tcBorders>
              <w:top w:val="single" w:sz="4" w:space="0" w:color="auto"/>
            </w:tcBorders>
          </w:tcPr>
          <w:p w14:paraId="3D5FEEF7"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245F4B68"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-1.195</w:t>
            </w:r>
          </w:p>
        </w:tc>
        <w:tc>
          <w:tcPr>
            <w:tcW w:w="1596" w:type="dxa"/>
            <w:tcBorders>
              <w:top w:val="single" w:sz="4" w:space="0" w:color="auto"/>
            </w:tcBorders>
          </w:tcPr>
          <w:p w14:paraId="76DC87C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0.193</w:t>
            </w:r>
          </w:p>
        </w:tc>
        <w:tc>
          <w:tcPr>
            <w:tcW w:w="1915" w:type="dxa"/>
            <w:tcBorders>
              <w:top w:val="single" w:sz="4" w:space="0" w:color="auto"/>
            </w:tcBorders>
          </w:tcPr>
          <w:p w14:paraId="0552DE6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0.080</w:t>
            </w:r>
          </w:p>
        </w:tc>
        <w:tc>
          <w:tcPr>
            <w:tcW w:w="2075" w:type="dxa"/>
            <w:tcBorders>
              <w:top w:val="single" w:sz="4" w:space="0" w:color="auto"/>
            </w:tcBorders>
          </w:tcPr>
          <w:p w14:paraId="572BC75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0.036</w:t>
            </w:r>
          </w:p>
        </w:tc>
      </w:tr>
      <w:tr w:rsidR="007A1B5D" w:rsidRPr="007A1B5D" w14:paraId="1C69BDDF" w14:textId="77777777" w:rsidTr="00105899">
        <w:tc>
          <w:tcPr>
            <w:tcW w:w="1277" w:type="dxa"/>
            <w:vMerge/>
            <w:tcBorders>
              <w:bottom w:val="single" w:sz="4" w:space="0" w:color="auto"/>
            </w:tcBorders>
            <w:vAlign w:val="center"/>
          </w:tcPr>
          <w:p w14:paraId="16AD0E5F"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436" w:type="dxa"/>
            <w:tcBorders>
              <w:bottom w:val="single" w:sz="4" w:space="0" w:color="auto"/>
            </w:tcBorders>
          </w:tcPr>
          <w:p w14:paraId="080D00AC"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TWFE</w:t>
            </w:r>
          </w:p>
        </w:tc>
        <w:tc>
          <w:tcPr>
            <w:tcW w:w="1277" w:type="dxa"/>
            <w:vMerge/>
            <w:tcBorders>
              <w:bottom w:val="single" w:sz="4" w:space="0" w:color="auto"/>
            </w:tcBorders>
          </w:tcPr>
          <w:p w14:paraId="75DF75C3" w14:textId="77777777" w:rsidR="007A1B5D" w:rsidRPr="007A1B5D" w:rsidRDefault="007A1B5D" w:rsidP="007A1B5D">
            <w:pPr>
              <w:pStyle w:val="Compact"/>
              <w:spacing w:line="360" w:lineRule="auto"/>
              <w:jc w:val="center"/>
              <w:rPr>
                <w:rFonts w:ascii="Times New Roman" w:hAnsi="Times New Roman" w:cs="Times New Roman"/>
                <w:sz w:val="21"/>
                <w:szCs w:val="21"/>
              </w:rPr>
            </w:pPr>
          </w:p>
        </w:tc>
        <w:tc>
          <w:tcPr>
            <w:tcW w:w="1596" w:type="dxa"/>
            <w:tcBorders>
              <w:bottom w:val="single" w:sz="4" w:space="0" w:color="auto"/>
            </w:tcBorders>
          </w:tcPr>
          <w:p w14:paraId="18B5AB49"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0.596</w:t>
            </w:r>
          </w:p>
        </w:tc>
        <w:tc>
          <w:tcPr>
            <w:tcW w:w="1915" w:type="dxa"/>
            <w:tcBorders>
              <w:bottom w:val="single" w:sz="4" w:space="0" w:color="auto"/>
            </w:tcBorders>
          </w:tcPr>
          <w:p w14:paraId="0C78C326"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0.555</w:t>
            </w:r>
          </w:p>
        </w:tc>
        <w:tc>
          <w:tcPr>
            <w:tcW w:w="2075" w:type="dxa"/>
            <w:tcBorders>
              <w:bottom w:val="single" w:sz="4" w:space="0" w:color="auto"/>
            </w:tcBorders>
          </w:tcPr>
          <w:p w14:paraId="0FE3420E" w14:textId="77777777" w:rsidR="007A1B5D" w:rsidRPr="007A1B5D" w:rsidRDefault="007A1B5D" w:rsidP="007A1B5D">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0.550</w:t>
            </w:r>
          </w:p>
        </w:tc>
      </w:tr>
    </w:tbl>
    <w:p w14:paraId="1FA5E2FD" w14:textId="16A876CF" w:rsidR="007A1B5D" w:rsidRPr="007A1B5D" w:rsidRDefault="007A1B5D" w:rsidP="00A441D9">
      <w:pPr>
        <w:pStyle w:val="BodyText"/>
        <w:spacing w:line="360" w:lineRule="auto"/>
        <w:ind w:firstLine="708"/>
        <w:jc w:val="both"/>
      </w:pPr>
      <w:r w:rsidRPr="007A1B5D">
        <w:t>The following sub sections will deep dive into the scenarios. In each case, figures with the distribution of estimation errors (</w:t>
      </w:r>
      <m:oMath>
        <m:acc>
          <m:accPr>
            <m:ctrlPr>
              <w:rPr>
                <w:rFonts w:ascii="Cambria Math" w:hAnsi="Cambria Math"/>
              </w:rPr>
            </m:ctrlPr>
          </m:accPr>
          <m:e>
            <m:r>
              <m:rPr>
                <m:sty m:val="p"/>
              </m:rPr>
              <w:rPr>
                <w:rFonts w:ascii="Cambria Math" w:hAnsi="Cambria Math"/>
              </w:rPr>
              <m:t>τ</m:t>
            </m:r>
          </m:e>
        </m:acc>
        <m:r>
          <m:rPr>
            <m:sty m:val="p"/>
          </m:rPr>
          <w:rPr>
            <w:rFonts w:ascii="Cambria Math" w:hAnsi="Cambria Math"/>
          </w:rPr>
          <m:t>-</m:t>
        </m:r>
        <m:r>
          <m:rPr>
            <m:nor/>
          </m:rPr>
          <w:rPr>
            <w:rFonts w:ascii="Cambria Math"/>
          </w:rPr>
          <m:t>True</m:t>
        </m:r>
        <m:r>
          <m:rPr>
            <m:nor/>
          </m:rPr>
          <w:rPr>
            <w:rFonts w:ascii="Cambria Math"/>
          </w:rPr>
          <m:t> </m:t>
        </m:r>
        <m:r>
          <m:rPr>
            <m:nor/>
          </m:rPr>
          <w:rPr>
            <w:rFonts w:ascii="Cambria Math"/>
          </w:rPr>
          <m:t>ATT</m:t>
        </m:r>
      </m:oMath>
      <w:r w:rsidRPr="007A1B5D">
        <w:t>) across all 2,000 iterations for each group of scenarios will be used to provide a more complete view of the results. In the three cases, a box centered on zero indicates an unbiased estimator, while wider boxes reflect higher variance.</w:t>
      </w:r>
      <w:bookmarkStart w:id="68" w:name="two-period-scenarios-1-4-7"/>
    </w:p>
    <w:p w14:paraId="3A01C89F" w14:textId="4E1A1E0D" w:rsidR="007A1B5D" w:rsidRPr="00404256" w:rsidRDefault="00404256" w:rsidP="00BF697B">
      <w:pPr>
        <w:pStyle w:val="Heading3"/>
      </w:pPr>
      <w:bookmarkStart w:id="69" w:name="_Toc227873402"/>
      <w:bookmarkStart w:id="70" w:name="X6bccc9cb2de60aeab0ef569595721f1ca901463"/>
      <w:r>
        <w:t xml:space="preserve">4.3.1. </w:t>
      </w:r>
      <w:r w:rsidR="007A1B5D" w:rsidRPr="00404256">
        <w:t>Constant Treatment Effect Scenarios (1, 2, 3)</w:t>
      </w:r>
      <w:bookmarkEnd w:id="69"/>
    </w:p>
    <w:p w14:paraId="717A44E4" w14:textId="01858A75"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Scenarios 1, 2 and 3 (</w:t>
      </w:r>
      <w:r w:rsidRPr="007A1B5D">
        <w:rPr>
          <w:rFonts w:ascii="Times New Roman" w:hAnsi="Times New Roman" w:cs="Times New Roman"/>
        </w:rPr>
        <w:fldChar w:fldCharType="begin"/>
      </w:r>
      <w:r w:rsidRPr="007A1B5D">
        <w:rPr>
          <w:rFonts w:ascii="Times New Roman" w:hAnsi="Times New Roman" w:cs="Times New Roman"/>
        </w:rPr>
        <w:instrText xml:space="preserve"> REF _Ref226357060 \h  \* MERGEFORMAT </w:instrText>
      </w:r>
      <w:r w:rsidRPr="007A1B5D">
        <w:rPr>
          <w:rFonts w:ascii="Times New Roman" w:hAnsi="Times New Roman" w:cs="Times New Roman"/>
        </w:rPr>
      </w:r>
      <w:r w:rsidRPr="007A1B5D">
        <w:rPr>
          <w:rFonts w:ascii="Times New Roman" w:hAnsi="Times New Roman" w:cs="Times New Roman"/>
        </w:rPr>
        <w:fldChar w:fldCharType="separate"/>
      </w:r>
      <w:r w:rsidR="007D6ADF" w:rsidRPr="007D6ADF">
        <w:rPr>
          <w:rFonts w:ascii="Times New Roman" w:hAnsi="Times New Roman" w:cs="Times New Roman"/>
        </w:rPr>
        <w:t xml:space="preserve">Figure </w:t>
      </w:r>
      <w:r w:rsidR="007D6ADF" w:rsidRPr="007D6ADF">
        <w:rPr>
          <w:rFonts w:ascii="Times New Roman" w:hAnsi="Times New Roman" w:cs="Times New Roman"/>
          <w:noProof/>
        </w:rPr>
        <w:t>4</w:t>
      </w:r>
      <w:r w:rsidRPr="007A1B5D">
        <w:rPr>
          <w:rFonts w:ascii="Times New Roman" w:hAnsi="Times New Roman" w:cs="Times New Roman"/>
        </w:rPr>
        <w:fldChar w:fldCharType="end"/>
      </w:r>
      <w:r w:rsidRPr="007A1B5D">
        <w:rPr>
          <w:rFonts w:ascii="Times New Roman" w:hAnsi="Times New Roman" w:cs="Times New Roman"/>
        </w:rPr>
        <w:t>) contains six-period panel set up with a constant treatment effect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7A1B5D">
        <w:rPr>
          <w:rFonts w:ascii="Times New Roman" w:hAnsi="Times New Roman" w:cs="Times New Roman"/>
        </w:rPr>
        <w:t xml:space="preserve">), eliminating the estimand mismatch since the ATT at the first post-treatment period now equals the average ATT. </w:t>
      </w:r>
    </w:p>
    <w:p w14:paraId="7AB1C374" w14:textId="77777777" w:rsidR="007A1B5D" w:rsidRPr="007A1B5D" w:rsidRDefault="007A1B5D" w:rsidP="007D6ADF">
      <w:pPr>
        <w:pStyle w:val="BodyText"/>
        <w:keepNext/>
        <w:spacing w:line="360" w:lineRule="auto"/>
      </w:pPr>
      <w:r w:rsidRPr="007A1B5D">
        <w:rPr>
          <w:noProof/>
        </w:rPr>
        <w:lastRenderedPageBreak/>
        <w:drawing>
          <wp:inline distT="0" distB="0" distL="0" distR="0" wp14:anchorId="2493AF86" wp14:editId="50C17707">
            <wp:extent cx="5943600" cy="5203190"/>
            <wp:effectExtent l="0" t="0" r="0" b="0"/>
            <wp:docPr id="10222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0730" name="Picture 10222107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10A43740" w14:textId="6CBBC4AA" w:rsidR="007A1B5D" w:rsidRPr="007A1B5D" w:rsidRDefault="007A1B5D" w:rsidP="007A1B5D">
      <w:pPr>
        <w:pStyle w:val="Caption"/>
        <w:spacing w:line="360" w:lineRule="auto"/>
        <w:jc w:val="center"/>
        <w:rPr>
          <w:rFonts w:ascii="Times New Roman" w:hAnsi="Times New Roman" w:cs="Times New Roman"/>
          <w:sz w:val="18"/>
          <w:szCs w:val="18"/>
        </w:rPr>
      </w:pPr>
      <w:bookmarkStart w:id="71" w:name="_Ref226357060"/>
      <w:r w:rsidRPr="007A1B5D">
        <w:rPr>
          <w:rFonts w:ascii="Times New Roman" w:hAnsi="Times New Roman" w:cs="Times New Roman"/>
          <w:sz w:val="18"/>
          <w:szCs w:val="18"/>
        </w:rPr>
        <w:t xml:space="preserve">Figure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Figure \* ARABIC </w:instrText>
      </w:r>
      <w:r w:rsidRPr="007A1B5D">
        <w:rPr>
          <w:rFonts w:ascii="Times New Roman" w:hAnsi="Times New Roman" w:cs="Times New Roman"/>
          <w:sz w:val="18"/>
          <w:szCs w:val="18"/>
        </w:rPr>
        <w:fldChar w:fldCharType="separate"/>
      </w:r>
      <w:r w:rsidR="002A0A11">
        <w:rPr>
          <w:rFonts w:ascii="Times New Roman" w:hAnsi="Times New Roman" w:cs="Times New Roman"/>
          <w:noProof/>
          <w:sz w:val="18"/>
          <w:szCs w:val="18"/>
        </w:rPr>
        <w:t>4</w:t>
      </w:r>
      <w:r w:rsidRPr="007A1B5D">
        <w:rPr>
          <w:rFonts w:ascii="Times New Roman" w:hAnsi="Times New Roman" w:cs="Times New Roman"/>
          <w:sz w:val="18"/>
          <w:szCs w:val="18"/>
        </w:rPr>
        <w:fldChar w:fldCharType="end"/>
      </w:r>
      <w:bookmarkEnd w:id="71"/>
      <w:r w:rsidRPr="007A1B5D">
        <w:rPr>
          <w:rFonts w:ascii="Times New Roman" w:hAnsi="Times New Roman" w:cs="Times New Roman"/>
          <w:sz w:val="18"/>
          <w:szCs w:val="18"/>
        </w:rPr>
        <w:t>: Distribution of estimation errors across simulation scenarios 1,2 &amp; 3 comparing TWFE and DML estimators on simulated data with 500, 2500 &amp; 10000 units. The dashed line at zero indicates unbiased estimation.</w:t>
      </w:r>
    </w:p>
    <w:p w14:paraId="06E83A57" w14:textId="00BFC8E1" w:rsidR="007A1B5D" w:rsidRPr="007A1B5D" w:rsidRDefault="007A1B5D" w:rsidP="00A441D9">
      <w:pPr>
        <w:pStyle w:val="BodyText"/>
        <w:spacing w:line="360" w:lineRule="auto"/>
        <w:ind w:firstLine="708"/>
        <w:jc w:val="both"/>
      </w:pPr>
      <w:r w:rsidRPr="007A1B5D">
        <w:t xml:space="preserve">Scenario 1 (simple) confirms this: both estimators are unbiased and TWFE maintains a slight RMSE advantage. Scenario 2 (mid) reveals the benefit of removing the mismatch. DML-Chang’s bias drops from </w:t>
      </w:r>
      <m:oMath>
        <m:r>
          <m:rPr>
            <m:sty m:val="p"/>
          </m:rPr>
          <w:rPr>
            <w:rFonts w:ascii="Cambria Math" w:hAnsi="Cambria Math"/>
          </w:rPr>
          <m:t>-</m:t>
        </m:r>
        <m:r>
          <w:rPr>
            <w:rFonts w:ascii="Cambria Math" w:hAnsi="Cambria Math"/>
          </w:rPr>
          <m:t>0.06</m:t>
        </m:r>
      </m:oMath>
      <w:r w:rsidRPr="007A1B5D">
        <w:t xml:space="preserve"> in Scenario 5 to 0.01, and it achieves an RMSE of 0.051 against TWFE’s 0.142 at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xml:space="preserve"> with unbiased results for the three sample sizes, while TWFE is biased. However, in Scenario 3 (complex) remains approximately 0.35 even at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xml:space="preserve"> and both estimators are biased. This confirms that the dominant source of error in complex settings is the ML models’ difficulty in estimating nuisance functions from first-differenced data, not the estimand mismatch.</w:t>
      </w:r>
      <w:bookmarkEnd w:id="70"/>
    </w:p>
    <w:p w14:paraId="1612D5E7" w14:textId="28025CC4" w:rsidR="007A1B5D" w:rsidRPr="00404256" w:rsidRDefault="00404256" w:rsidP="00BF697B">
      <w:pPr>
        <w:pStyle w:val="Heading3"/>
      </w:pPr>
      <w:bookmarkStart w:id="72" w:name="_Toc227873403"/>
      <w:r>
        <w:lastRenderedPageBreak/>
        <w:t xml:space="preserve">4.3.2. </w:t>
      </w:r>
      <w:r w:rsidR="007A1B5D" w:rsidRPr="00404256">
        <w:t>Two-Period Scenarios (4, 5, 6)</w:t>
      </w:r>
      <w:bookmarkEnd w:id="72"/>
    </w:p>
    <w:p w14:paraId="6BA4BE88" w14:textId="2668E60B"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two-period scenarios (</w:t>
      </w:r>
      <w:r w:rsidRPr="007A1B5D">
        <w:rPr>
          <w:rFonts w:ascii="Times New Roman" w:hAnsi="Times New Roman" w:cs="Times New Roman"/>
        </w:rPr>
        <w:fldChar w:fldCharType="begin"/>
      </w:r>
      <w:r w:rsidRPr="007A1B5D">
        <w:rPr>
          <w:rFonts w:ascii="Times New Roman" w:hAnsi="Times New Roman" w:cs="Times New Roman"/>
        </w:rPr>
        <w:instrText xml:space="preserve"> REF _Ref226357096 \h  \* MERGEFORMAT </w:instrText>
      </w:r>
      <w:r w:rsidRPr="007A1B5D">
        <w:rPr>
          <w:rFonts w:ascii="Times New Roman" w:hAnsi="Times New Roman" w:cs="Times New Roman"/>
        </w:rPr>
      </w:r>
      <w:r w:rsidRPr="007A1B5D">
        <w:rPr>
          <w:rFonts w:ascii="Times New Roman" w:hAnsi="Times New Roman" w:cs="Times New Roman"/>
        </w:rPr>
        <w:fldChar w:fldCharType="separate"/>
      </w:r>
      <w:r w:rsidR="007D6ADF" w:rsidRPr="007D6ADF">
        <w:rPr>
          <w:rFonts w:ascii="Times New Roman" w:hAnsi="Times New Roman" w:cs="Times New Roman"/>
        </w:rPr>
        <w:t xml:space="preserve">Figure </w:t>
      </w:r>
      <w:r w:rsidR="007D6ADF" w:rsidRPr="007D6ADF">
        <w:rPr>
          <w:rFonts w:ascii="Times New Roman" w:hAnsi="Times New Roman" w:cs="Times New Roman"/>
          <w:noProof/>
        </w:rPr>
        <w:t>5</w:t>
      </w:r>
      <w:r w:rsidRPr="007A1B5D">
        <w:rPr>
          <w:rFonts w:ascii="Times New Roman" w:hAnsi="Times New Roman" w:cs="Times New Roman"/>
        </w:rPr>
        <w:fldChar w:fldCharType="end"/>
      </w:r>
      <w:r w:rsidRPr="007A1B5D">
        <w:rPr>
          <w:rFonts w:ascii="Times New Roman" w:hAnsi="Times New Roman" w:cs="Times New Roman"/>
        </w:rPr>
        <w:t>) provide the cleanest comparison, since DML-Chang was designed for this setting: the first-differencing step discards no information, and the target parameter aligns exactly with the overall ATT.</w:t>
      </w:r>
    </w:p>
    <w:p w14:paraId="2A2E496A" w14:textId="77777777" w:rsidR="007A1B5D" w:rsidRPr="007A1B5D" w:rsidRDefault="007A1B5D" w:rsidP="007A1B5D">
      <w:pPr>
        <w:pStyle w:val="BodyText"/>
        <w:keepNext/>
        <w:spacing w:line="360" w:lineRule="auto"/>
        <w:jc w:val="center"/>
      </w:pPr>
      <w:r w:rsidRPr="007A1B5D">
        <w:rPr>
          <w:noProof/>
        </w:rPr>
        <w:drawing>
          <wp:inline distT="0" distB="0" distL="0" distR="0" wp14:anchorId="29002F18" wp14:editId="071B869C">
            <wp:extent cx="5943600" cy="5203190"/>
            <wp:effectExtent l="0" t="0" r="0" b="0"/>
            <wp:docPr id="10907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721" name="Picture 10907237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CC33176" w14:textId="33CB100B" w:rsidR="007A1B5D" w:rsidRPr="007A1B5D" w:rsidRDefault="007A1B5D" w:rsidP="007A1B5D">
      <w:pPr>
        <w:pStyle w:val="Caption"/>
        <w:spacing w:line="360" w:lineRule="auto"/>
        <w:jc w:val="center"/>
        <w:rPr>
          <w:rFonts w:ascii="Times New Roman" w:hAnsi="Times New Roman" w:cs="Times New Roman"/>
          <w:sz w:val="18"/>
          <w:szCs w:val="18"/>
        </w:rPr>
      </w:pPr>
      <w:bookmarkStart w:id="73" w:name="_Ref226357096"/>
      <w:r w:rsidRPr="007A1B5D">
        <w:rPr>
          <w:rFonts w:ascii="Times New Roman" w:hAnsi="Times New Roman" w:cs="Times New Roman"/>
          <w:sz w:val="18"/>
          <w:szCs w:val="18"/>
        </w:rPr>
        <w:t xml:space="preserve">Figure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Figure \* ARABIC </w:instrText>
      </w:r>
      <w:r w:rsidRPr="007A1B5D">
        <w:rPr>
          <w:rFonts w:ascii="Times New Roman" w:hAnsi="Times New Roman" w:cs="Times New Roman"/>
          <w:sz w:val="18"/>
          <w:szCs w:val="18"/>
        </w:rPr>
        <w:fldChar w:fldCharType="separate"/>
      </w:r>
      <w:r w:rsidR="002A0A11">
        <w:rPr>
          <w:rFonts w:ascii="Times New Roman" w:hAnsi="Times New Roman" w:cs="Times New Roman"/>
          <w:noProof/>
          <w:sz w:val="18"/>
          <w:szCs w:val="18"/>
        </w:rPr>
        <w:t>5</w:t>
      </w:r>
      <w:r w:rsidRPr="007A1B5D">
        <w:rPr>
          <w:rFonts w:ascii="Times New Roman" w:hAnsi="Times New Roman" w:cs="Times New Roman"/>
          <w:sz w:val="18"/>
          <w:szCs w:val="18"/>
        </w:rPr>
        <w:fldChar w:fldCharType="end"/>
      </w:r>
      <w:bookmarkEnd w:id="73"/>
      <w:r w:rsidRPr="007A1B5D">
        <w:rPr>
          <w:rFonts w:ascii="Times New Roman" w:hAnsi="Times New Roman" w:cs="Times New Roman"/>
          <w:sz w:val="18"/>
          <w:szCs w:val="18"/>
        </w:rPr>
        <w:t>: Distribution of estimation errors across simulation scenarios 4, 5 &amp; 6 comparing TWFE and DML estimators on simulated data with 500, 2500 &amp; 10000 units. The dashed line at zero indicates unbiased estimation.</w:t>
      </w:r>
    </w:p>
    <w:p w14:paraId="774D606B" w14:textId="61E13650" w:rsidR="007A1B5D" w:rsidRPr="007A1B5D" w:rsidRDefault="007A1B5D" w:rsidP="00A441D9">
      <w:pPr>
        <w:pStyle w:val="BodyText"/>
        <w:spacing w:line="360" w:lineRule="auto"/>
        <w:ind w:firstLine="708"/>
        <w:jc w:val="both"/>
      </w:pPr>
      <w:r w:rsidRPr="007A1B5D">
        <w:t xml:space="preserve">In Scenario 4 (simple confounding), both estimators perform well, with TWFE holding a slight RMSE edge due to its parametric efficiency (0.136 vs. 0.167 at </w:t>
      </w:r>
      <m:oMath>
        <m:r>
          <m:rPr>
            <m:sty m:val="p"/>
          </m:rPr>
          <w:rPr>
            <w:rFonts w:ascii="Cambria Math" w:hAnsi="Cambria Math"/>
          </w:rPr>
          <m:t>n=</m:t>
        </m:r>
        <m:r>
          <w:rPr>
            <w:rFonts w:ascii="Cambria Math" w:hAnsi="Cambria Math"/>
          </w:rPr>
          <m:t>500</m:t>
        </m:r>
      </m:oMath>
      <w:r w:rsidRPr="007A1B5D">
        <w:t xml:space="preserve">). This is expected: with weak linear confounding and no covariate effect in </w:t>
      </w:r>
      <m:oMath>
        <m:r>
          <m:rPr>
            <m:sty m:val="p"/>
          </m:rPr>
          <w:rPr>
            <w:rFonts w:ascii="Cambria Math" w:hAnsi="Cambria Math"/>
          </w:rPr>
          <m:t>Y</m:t>
        </m:r>
        <m:d>
          <m:dPr>
            <m:ctrlPr>
              <w:rPr>
                <w:rFonts w:ascii="Cambria Math" w:hAnsi="Cambria Math"/>
              </w:rPr>
            </m:ctrlPr>
          </m:dPr>
          <m:e>
            <m:r>
              <w:rPr>
                <w:rFonts w:ascii="Cambria Math" w:hAnsi="Cambria Math"/>
              </w:rPr>
              <m:t>0</m:t>
            </m:r>
          </m:e>
        </m:d>
      </m:oMath>
      <w:r w:rsidRPr="007A1B5D">
        <w:t xml:space="preserve">, TWFE is correctly specified. As confounding increases, however, DML-Chang pulls ahead. In </w:t>
      </w:r>
      <w:r w:rsidRPr="007A1B5D">
        <w:lastRenderedPageBreak/>
        <w:t xml:space="preserve">Scenarios 5 and 6, TWFE carries an irreducible bias of approximately 0.17, while DML-Chang remains nearly unbiased. At </w:t>
      </w:r>
      <m:oMath>
        <m:r>
          <m:rPr>
            <m:sty m:val="p"/>
          </m:rPr>
          <w:rPr>
            <w:rFonts w:ascii="Cambria Math" w:hAnsi="Cambria Math"/>
          </w:rPr>
          <m:t>n=</m:t>
        </m:r>
        <m:r>
          <w:rPr>
            <w:rFonts w:ascii="Cambria Math" w:hAnsi="Cambria Math"/>
          </w:rPr>
          <m:t>500</m:t>
        </m:r>
      </m:oMath>
      <w:r w:rsidRPr="007A1B5D">
        <w:t xml:space="preserve">, DML-Chang’s higher variance still makes its RMSE worse in Scenario 6 (0.355 vs. 0.240). By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however, the variance has shrunk and DML-Chang achieves an RMSE of 0.059 against TWFE’s 0.170. Across all three scenarios, DML-Chang’s RMSE drops sharply as the sample grows, reflecting improved nuisance function estimates. TWFE’s RMSE in the mid and complex cases, by contrast, is bounded by its bias floor.</w:t>
      </w:r>
    </w:p>
    <w:p w14:paraId="6E78DFEE" w14:textId="30FBC7DE" w:rsidR="007A1B5D" w:rsidRPr="00404256" w:rsidRDefault="00404256" w:rsidP="00BF697B">
      <w:pPr>
        <w:pStyle w:val="Heading3"/>
      </w:pPr>
      <w:bookmarkStart w:id="74" w:name="_Toc227873404"/>
      <w:bookmarkStart w:id="75" w:name="six-period-non-staggered-scenarios-2-5-8"/>
      <w:bookmarkEnd w:id="68"/>
      <w:r>
        <w:t xml:space="preserve">4.3.4. </w:t>
      </w:r>
      <w:r w:rsidR="007A1B5D" w:rsidRPr="00404256">
        <w:t>Six-Period Non-Staggered Scenarios (7, 8, 9)</w:t>
      </w:r>
      <w:bookmarkEnd w:id="74"/>
    </w:p>
    <w:p w14:paraId="2E339F6E" w14:textId="2F60FE7E"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These scenarios introduce a structural challenge for DML-Chang. The estimator operates on first-differenced data, using only the last pre-treatment and first post-treatment period. With dynamic treatment effects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=e</m:t>
        </m:r>
      </m:oMath>
      <w:r w:rsidRPr="007A1B5D">
        <w:rPr>
          <w:rFonts w:ascii="Times New Roman" w:hAnsi="Times New Roman" w:cs="Times New Roman"/>
        </w:rPr>
        <w:t xml:space="preserve">), the ATT at the first post-treatment period is smaller than the average across all post-treatment periods, creating an estimand mismatch. Results are shown in </w:t>
      </w:r>
      <w:r w:rsidRPr="007A1B5D">
        <w:rPr>
          <w:rFonts w:ascii="Times New Roman" w:hAnsi="Times New Roman" w:cs="Times New Roman"/>
        </w:rPr>
        <w:fldChar w:fldCharType="begin"/>
      </w:r>
      <w:r w:rsidRPr="007A1B5D">
        <w:rPr>
          <w:rFonts w:ascii="Times New Roman" w:hAnsi="Times New Roman" w:cs="Times New Roman"/>
        </w:rPr>
        <w:instrText xml:space="preserve"> REF _Ref226357122 \h  \* MERGEFORMAT </w:instrText>
      </w:r>
      <w:r w:rsidRPr="007A1B5D">
        <w:rPr>
          <w:rFonts w:ascii="Times New Roman" w:hAnsi="Times New Roman" w:cs="Times New Roman"/>
        </w:rPr>
      </w:r>
      <w:r w:rsidRPr="007A1B5D">
        <w:rPr>
          <w:rFonts w:ascii="Times New Roman" w:hAnsi="Times New Roman" w:cs="Times New Roman"/>
        </w:rPr>
        <w:fldChar w:fldCharType="separate"/>
      </w:r>
      <w:r w:rsidR="007D6ADF" w:rsidRPr="007D6ADF">
        <w:rPr>
          <w:rFonts w:ascii="Times New Roman" w:hAnsi="Times New Roman" w:cs="Times New Roman"/>
        </w:rPr>
        <w:t xml:space="preserve">Figure </w:t>
      </w:r>
      <w:r w:rsidR="007D6ADF" w:rsidRPr="007D6ADF">
        <w:rPr>
          <w:rFonts w:ascii="Times New Roman" w:hAnsi="Times New Roman" w:cs="Times New Roman"/>
          <w:noProof/>
        </w:rPr>
        <w:t>6</w:t>
      </w:r>
      <w:r w:rsidRPr="007A1B5D">
        <w:rPr>
          <w:rFonts w:ascii="Times New Roman" w:hAnsi="Times New Roman" w:cs="Times New Roman"/>
        </w:rPr>
        <w:fldChar w:fldCharType="end"/>
      </w:r>
      <w:r w:rsidRPr="007A1B5D">
        <w:rPr>
          <w:rFonts w:ascii="Times New Roman" w:hAnsi="Times New Roman" w:cs="Times New Roman"/>
        </w:rPr>
        <w:t>.</w:t>
      </w:r>
    </w:p>
    <w:p w14:paraId="0D77FD14" w14:textId="77777777" w:rsidR="007A1B5D" w:rsidRPr="007A1B5D" w:rsidRDefault="007A1B5D" w:rsidP="007A1B5D">
      <w:pPr>
        <w:pStyle w:val="BodyText"/>
        <w:keepNext/>
        <w:spacing w:line="360" w:lineRule="auto"/>
        <w:jc w:val="center"/>
      </w:pPr>
      <w:r w:rsidRPr="007A1B5D">
        <w:rPr>
          <w:noProof/>
        </w:rPr>
        <w:lastRenderedPageBreak/>
        <w:drawing>
          <wp:inline distT="0" distB="0" distL="0" distR="0" wp14:anchorId="4607CECF" wp14:editId="3495C79F">
            <wp:extent cx="5943600" cy="5203190"/>
            <wp:effectExtent l="0" t="0" r="0" b="0"/>
            <wp:docPr id="1093651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1903" name="Picture 10936519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F34B1FF" w14:textId="24633508" w:rsidR="007A1B5D" w:rsidRPr="007A1B5D" w:rsidRDefault="007A1B5D" w:rsidP="007A1B5D">
      <w:pPr>
        <w:pStyle w:val="Caption"/>
        <w:spacing w:line="360" w:lineRule="auto"/>
        <w:jc w:val="center"/>
        <w:rPr>
          <w:rFonts w:ascii="Times New Roman" w:hAnsi="Times New Roman" w:cs="Times New Roman"/>
          <w:sz w:val="18"/>
          <w:szCs w:val="18"/>
        </w:rPr>
      </w:pPr>
      <w:bookmarkStart w:id="76" w:name="_Ref226357122"/>
      <w:r w:rsidRPr="007A1B5D">
        <w:rPr>
          <w:rFonts w:ascii="Times New Roman" w:hAnsi="Times New Roman" w:cs="Times New Roman"/>
          <w:sz w:val="18"/>
          <w:szCs w:val="18"/>
        </w:rPr>
        <w:t xml:space="preserve">Figure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Figure \* ARABIC </w:instrText>
      </w:r>
      <w:r w:rsidRPr="007A1B5D">
        <w:rPr>
          <w:rFonts w:ascii="Times New Roman" w:hAnsi="Times New Roman" w:cs="Times New Roman"/>
          <w:sz w:val="18"/>
          <w:szCs w:val="18"/>
        </w:rPr>
        <w:fldChar w:fldCharType="separate"/>
      </w:r>
      <w:r w:rsidR="002A0A11">
        <w:rPr>
          <w:rFonts w:ascii="Times New Roman" w:hAnsi="Times New Roman" w:cs="Times New Roman"/>
          <w:noProof/>
          <w:sz w:val="18"/>
          <w:szCs w:val="18"/>
        </w:rPr>
        <w:t>6</w:t>
      </w:r>
      <w:r w:rsidRPr="007A1B5D">
        <w:rPr>
          <w:rFonts w:ascii="Times New Roman" w:hAnsi="Times New Roman" w:cs="Times New Roman"/>
          <w:sz w:val="18"/>
          <w:szCs w:val="18"/>
        </w:rPr>
        <w:fldChar w:fldCharType="end"/>
      </w:r>
      <w:bookmarkEnd w:id="76"/>
      <w:r w:rsidRPr="007A1B5D">
        <w:rPr>
          <w:rFonts w:ascii="Times New Roman" w:hAnsi="Times New Roman" w:cs="Times New Roman"/>
          <w:sz w:val="18"/>
          <w:szCs w:val="18"/>
        </w:rPr>
        <w:t>: Distribution of estimation errors across simulation scenarios 7, 8 &amp; 9 comparing TWFE and DML estimators on simulated data with 500, 2500 &amp; 10000 units. The dashed line at zero indicates unbiased estimation.</w:t>
      </w:r>
    </w:p>
    <w:p w14:paraId="339D5349" w14:textId="7A1D2915" w:rsidR="007A1B5D" w:rsidRPr="007A1B5D" w:rsidRDefault="007A1B5D" w:rsidP="00A441D9">
      <w:pPr>
        <w:pStyle w:val="BodyText"/>
        <w:spacing w:line="360" w:lineRule="auto"/>
        <w:ind w:firstLine="708"/>
        <w:jc w:val="both"/>
      </w:pPr>
      <w:r w:rsidRPr="007A1B5D">
        <w:t xml:space="preserve">In Scenario 7 (simple confounding), TWFE outperforms DML-Chang: its bias is zero and its RMSE is roughly half of DML-Chang’s at every sample size. DML-Chang exhibits a persistent negative bias of approximately </w:t>
      </w:r>
      <m:oMath>
        <m:r>
          <m:rPr>
            <m:sty m:val="p"/>
          </m:rPr>
          <w:rPr>
            <w:rFonts w:ascii="Cambria Math" w:hAnsi="Cambria Math"/>
          </w:rPr>
          <m:t>-</m:t>
        </m:r>
        <m:r>
          <w:rPr>
            <w:rFonts w:ascii="Cambria Math" w:hAnsi="Cambria Math"/>
          </w:rPr>
          <m:t>0.04</m:t>
        </m:r>
      </m:oMath>
      <w:r w:rsidRPr="007A1B5D">
        <w:t xml:space="preserve"> to </w:t>
      </w:r>
      <m:oMath>
        <m:r>
          <m:rPr>
            <m:sty m:val="p"/>
          </m:rPr>
          <w:rPr>
            <w:rFonts w:ascii="Cambria Math" w:hAnsi="Cambria Math"/>
          </w:rPr>
          <m:t>-</m:t>
        </m:r>
        <m:r>
          <w:rPr>
            <w:rFonts w:ascii="Cambria Math" w:hAnsi="Cambria Math"/>
          </w:rPr>
          <m:t>0.05</m:t>
        </m:r>
      </m:oMath>
      <w:r w:rsidRPr="007A1B5D">
        <w:t xml:space="preserve">, consistent with the estimand mismatch. Scenario 8 (mid confounding) presents a trade-off: both estimators are biased, but TWFE’s bias (approximately 0.14) is larger. DML-Chang overtakes TWFE in RMSE only at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xml:space="preserve"> (0.079 vs. 0.144); neither estimator is fully satisfactory as both are consistently biased.</w:t>
      </w:r>
    </w:p>
    <w:p w14:paraId="3590F495" w14:textId="60EC86A9" w:rsidR="007A1B5D" w:rsidRPr="007A1B5D" w:rsidRDefault="007A1B5D" w:rsidP="00A441D9">
      <w:pPr>
        <w:pStyle w:val="BodyText"/>
        <w:spacing w:line="360" w:lineRule="auto"/>
        <w:ind w:firstLine="708"/>
        <w:jc w:val="both"/>
      </w:pPr>
      <w:r w:rsidRPr="007A1B5D">
        <w:lastRenderedPageBreak/>
        <w:t xml:space="preserve">Scenario 9 (complex confounding) is the most notable result in this block. DML-Chang’s RMSE exceeds TWFE’s at every sample size (0.501 vs. 0.230 at </w:t>
      </w:r>
      <m:oMath>
        <m:r>
          <m:rPr>
            <m:sty m:val="p"/>
          </m:rPr>
          <w:rPr>
            <w:rFonts w:ascii="Cambria Math" w:hAnsi="Cambria Math"/>
          </w:rPr>
          <m:t>n=</m:t>
        </m:r>
        <m:r>
          <w:rPr>
            <w:rFonts w:ascii="Cambria Math" w:hAnsi="Cambria Math"/>
          </w:rPr>
          <m:t>500</m:t>
        </m:r>
      </m:oMath>
      <w:r w:rsidRPr="007A1B5D">
        <w:t xml:space="preserve">; 0.299 vs. 0.122 at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Here, the bias is driven not only by the estimand mismatch but also by the ML models’ difficulty in capturing complex nonlinear nuisance functions from the limited first-differenced data. This demonstrates that DML is not a universal improvement: when the estimator’s structural assumptions are violated, ML-based nuisance estimation can amplify rather than reduce error. Once again, even if TWFE has an edge on RMSE, both fail to recover the true effect consistently.</w:t>
      </w:r>
    </w:p>
    <w:p w14:paraId="1503C289" w14:textId="52B59D2E" w:rsidR="007A1B5D" w:rsidRPr="007A1B5D" w:rsidRDefault="00404256" w:rsidP="00BF697B">
      <w:pPr>
        <w:pStyle w:val="Heading3"/>
      </w:pPr>
      <w:bookmarkStart w:id="77" w:name="_Toc227873405"/>
      <w:bookmarkStart w:id="78" w:name="staggered-scenarios-3-6-9"/>
      <w:bookmarkEnd w:id="75"/>
      <w:r>
        <w:t xml:space="preserve">4.3.5. </w:t>
      </w:r>
      <w:r w:rsidR="007A1B5D" w:rsidRPr="00404256">
        <w:t>Staggered Scenarios (10, 11, 12)</w:t>
      </w:r>
      <w:bookmarkEnd w:id="77"/>
    </w:p>
    <w:p w14:paraId="4C4AC368" w14:textId="6D3B18F1"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staggered scenarios (</w:t>
      </w:r>
      <w:r w:rsidRPr="007A1B5D">
        <w:rPr>
          <w:rFonts w:ascii="Times New Roman" w:hAnsi="Times New Roman" w:cs="Times New Roman"/>
        </w:rPr>
        <w:fldChar w:fldCharType="begin"/>
      </w:r>
      <w:r w:rsidRPr="007A1B5D">
        <w:rPr>
          <w:rFonts w:ascii="Times New Roman" w:hAnsi="Times New Roman" w:cs="Times New Roman"/>
        </w:rPr>
        <w:instrText xml:space="preserve"> REF _Ref226357147 \h  \* MERGEFORMAT </w:instrText>
      </w:r>
      <w:r w:rsidRPr="007A1B5D">
        <w:rPr>
          <w:rFonts w:ascii="Times New Roman" w:hAnsi="Times New Roman" w:cs="Times New Roman"/>
        </w:rPr>
      </w:r>
      <w:r w:rsidRPr="007A1B5D">
        <w:rPr>
          <w:rFonts w:ascii="Times New Roman" w:hAnsi="Times New Roman" w:cs="Times New Roman"/>
        </w:rPr>
        <w:fldChar w:fldCharType="separate"/>
      </w:r>
      <w:r w:rsidR="00574496" w:rsidRPr="00574496">
        <w:rPr>
          <w:rFonts w:ascii="Times New Roman" w:hAnsi="Times New Roman" w:cs="Times New Roman"/>
        </w:rPr>
        <w:t xml:space="preserve">Figure </w:t>
      </w:r>
      <w:r w:rsidR="00574496" w:rsidRPr="00574496">
        <w:rPr>
          <w:rFonts w:ascii="Times New Roman" w:hAnsi="Times New Roman" w:cs="Times New Roman"/>
          <w:noProof/>
        </w:rPr>
        <w:t>7</w:t>
      </w:r>
      <w:r w:rsidRPr="007A1B5D">
        <w:rPr>
          <w:rFonts w:ascii="Times New Roman" w:hAnsi="Times New Roman" w:cs="Times New Roman"/>
        </w:rPr>
        <w:fldChar w:fldCharType="end"/>
      </w:r>
      <w:r w:rsidRPr="007A1B5D">
        <w:rPr>
          <w:rFonts w:ascii="Times New Roman" w:hAnsi="Times New Roman" w:cs="Times New Roman"/>
        </w:rPr>
        <w:t xml:space="preserve">) produce the clearest results. DML-Multi achieves near-zero bias across all complexity levels and sample sizes, with RMSE declining from 0.133–0.193 at </w:t>
      </w:r>
      <m:oMath>
        <m:r>
          <m:rPr>
            <m:sty m:val="p"/>
          </m:rPr>
          <w:rPr>
            <w:rFonts w:ascii="Cambria Math" w:hAnsi="Cambria Math" w:cs="Times New Roman"/>
          </w:rPr>
          <m:t>n=</m:t>
        </m:r>
        <m:r>
          <w:rPr>
            <w:rFonts w:ascii="Cambria Math" w:hAnsi="Cambria Math" w:cs="Times New Roman"/>
          </w:rPr>
          <m:t>500</m:t>
        </m:r>
      </m:oMath>
      <w:r w:rsidRPr="007A1B5D">
        <w:rPr>
          <w:rFonts w:ascii="Times New Roman" w:hAnsi="Times New Roman" w:cs="Times New Roman"/>
        </w:rPr>
        <w:t xml:space="preserve"> to 0.026–0.036 at </w:t>
      </w:r>
      <m:oMath>
        <m:r>
          <m:rPr>
            <m:sty m:val="p"/>
          </m:rPr>
          <w:rPr>
            <w:rFonts w:ascii="Cambria Math" w:hAnsi="Cambria Math" w:cs="Times New Roman"/>
          </w:rPr>
          <m:t>n=</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7A1B5D">
        <w:rPr>
          <w:rFonts w:ascii="Times New Roman" w:hAnsi="Times New Roman" w:cs="Times New Roman"/>
        </w:rPr>
        <w:t>.</w:t>
      </w:r>
    </w:p>
    <w:p w14:paraId="6B374B1D" w14:textId="77777777" w:rsidR="007A1B5D" w:rsidRPr="007A1B5D" w:rsidRDefault="007A1B5D" w:rsidP="007A1B5D">
      <w:pPr>
        <w:pStyle w:val="BodyText"/>
        <w:keepNext/>
        <w:spacing w:line="360" w:lineRule="auto"/>
      </w:pPr>
      <w:r w:rsidRPr="007A1B5D">
        <w:rPr>
          <w:noProof/>
        </w:rPr>
        <w:lastRenderedPageBreak/>
        <w:drawing>
          <wp:inline distT="0" distB="0" distL="0" distR="0" wp14:anchorId="7117F23B" wp14:editId="3EB4A89C">
            <wp:extent cx="5943600" cy="5203190"/>
            <wp:effectExtent l="0" t="0" r="0" b="0"/>
            <wp:docPr id="20385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43" name="Picture 203857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3498BAD" w14:textId="0C87D16C" w:rsidR="007A1B5D" w:rsidRPr="007A1B5D" w:rsidRDefault="007A1B5D" w:rsidP="007A1B5D">
      <w:pPr>
        <w:pStyle w:val="Caption"/>
        <w:spacing w:line="360" w:lineRule="auto"/>
        <w:jc w:val="center"/>
        <w:rPr>
          <w:rFonts w:ascii="Times New Roman" w:hAnsi="Times New Roman" w:cs="Times New Roman"/>
          <w:sz w:val="18"/>
          <w:szCs w:val="18"/>
        </w:rPr>
      </w:pPr>
      <w:bookmarkStart w:id="79" w:name="_Ref226357147"/>
      <w:r w:rsidRPr="007A1B5D">
        <w:rPr>
          <w:rFonts w:ascii="Times New Roman" w:hAnsi="Times New Roman" w:cs="Times New Roman"/>
          <w:sz w:val="18"/>
          <w:szCs w:val="18"/>
        </w:rPr>
        <w:t xml:space="preserve">Figure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Figure \* ARABIC </w:instrText>
      </w:r>
      <w:r w:rsidRPr="007A1B5D">
        <w:rPr>
          <w:rFonts w:ascii="Times New Roman" w:hAnsi="Times New Roman" w:cs="Times New Roman"/>
          <w:sz w:val="18"/>
          <w:szCs w:val="18"/>
        </w:rPr>
        <w:fldChar w:fldCharType="separate"/>
      </w:r>
      <w:r w:rsidR="002A0A11">
        <w:rPr>
          <w:rFonts w:ascii="Times New Roman" w:hAnsi="Times New Roman" w:cs="Times New Roman"/>
          <w:noProof/>
          <w:sz w:val="18"/>
          <w:szCs w:val="18"/>
        </w:rPr>
        <w:t>7</w:t>
      </w:r>
      <w:r w:rsidRPr="007A1B5D">
        <w:rPr>
          <w:rFonts w:ascii="Times New Roman" w:hAnsi="Times New Roman" w:cs="Times New Roman"/>
          <w:sz w:val="18"/>
          <w:szCs w:val="18"/>
        </w:rPr>
        <w:fldChar w:fldCharType="end"/>
      </w:r>
      <w:bookmarkEnd w:id="79"/>
      <w:r w:rsidRPr="007A1B5D">
        <w:rPr>
          <w:rFonts w:ascii="Times New Roman" w:hAnsi="Times New Roman" w:cs="Times New Roman"/>
          <w:sz w:val="18"/>
          <w:szCs w:val="18"/>
        </w:rPr>
        <w:t>: Distribution of estimation errors across simulation scenarios 10, 11 &amp; 12 comparing TWFE and DML estimators on simulated data with 500, 2500 &amp; 10000 units. The dashed line at zero indicates unbiased estimation.</w:t>
      </w:r>
    </w:p>
    <w:p w14:paraId="44C241B2" w14:textId="71F558D6" w:rsidR="0099763D" w:rsidRDefault="007A1B5D" w:rsidP="0099763D">
      <w:pPr>
        <w:pStyle w:val="BodyText"/>
        <w:spacing w:line="360" w:lineRule="auto"/>
        <w:jc w:val="both"/>
      </w:pPr>
      <w:r w:rsidRPr="007A1B5D">
        <w:t xml:space="preserve">TWFE, by contrast, exhibits substantial bias. Its RMSE barely declines with sample size because the bias floor </w:t>
      </w:r>
      <w:proofErr w:type="gramStart"/>
      <w:r w:rsidRPr="007A1B5D">
        <w:t>dominates:</w:t>
      </w:r>
      <w:proofErr w:type="gramEnd"/>
      <w:r w:rsidRPr="007A1B5D">
        <w:t xml:space="preserve"> from 0.330 to 0.166 in Scenario 10, and from 0.373 to 0.274 in Scenario 11. In Scenario 12, TWFE’s RMSE of 0.550 at </w:t>
      </w:r>
      <m:oMath>
        <m:r>
          <m:rPr>
            <m:sty m:val="p"/>
          </m:rPr>
          <w:rPr>
            <w:rFonts w:ascii="Cambria Math" w:hAnsi="Cambria Math"/>
          </w:rPr>
          <m:t>n=</m:t>
        </m:r>
        <m:r>
          <w:rPr>
            <w:rFonts w:ascii="Cambria Math" w:hAnsi="Cambria Math"/>
          </w:rPr>
          <m:t>10</m:t>
        </m:r>
        <m:r>
          <m:rPr>
            <m:sty m:val="p"/>
          </m:rPr>
          <w:rPr>
            <w:rFonts w:ascii="Cambria Math" w:hAnsi="Cambria Math"/>
          </w:rPr>
          <m:t>,</m:t>
        </m:r>
        <m:r>
          <w:rPr>
            <w:rFonts w:ascii="Cambria Math" w:hAnsi="Cambria Math"/>
          </w:rPr>
          <m:t>000</m:t>
        </m:r>
      </m:oMath>
      <w:r w:rsidRPr="007A1B5D">
        <w:t xml:space="preserve"> represents nearly half the magnitude of the true ATT (</w:t>
      </w:r>
      <m:oMath>
        <m:r>
          <m:rPr>
            <m:sty m:val="p"/>
          </m:rPr>
          <w:rPr>
            <w:rFonts w:ascii="Cambria Math" w:hAnsi="Cambria Math"/>
          </w:rPr>
          <m:t>-</m:t>
        </m:r>
        <m:r>
          <w:rPr>
            <w:rFonts w:ascii="Cambria Math" w:hAnsi="Cambria Math"/>
          </w:rPr>
          <m:t>1.195</m:t>
        </m:r>
      </m:oMath>
      <w:r w:rsidRPr="007A1B5D">
        <w:t>), while DML-Multi’s RMSE is just 0.036. This result is consistent with the negative weighting problem discussed in Chapter 2. TWFE implicitly uses negative weights on certain group-time effects when treatment adoption is staggered, producing bias even when parallel trends hold unconditionally. DML-Multi avoids this by estimating group-time specific ATTs with proper aggregation weights.</w:t>
      </w:r>
      <w:bookmarkStart w:id="80" w:name="chapter-4-applications"/>
      <w:bookmarkEnd w:id="19"/>
      <w:bookmarkEnd w:id="40"/>
      <w:bookmarkEnd w:id="44"/>
      <w:bookmarkEnd w:id="48"/>
      <w:bookmarkEnd w:id="50"/>
      <w:bookmarkEnd w:id="66"/>
      <w:bookmarkEnd w:id="78"/>
    </w:p>
    <w:p w14:paraId="359D6716" w14:textId="16F80AC7" w:rsidR="007A1B5D" w:rsidRPr="0099763D" w:rsidRDefault="007A1B5D" w:rsidP="00EB6242">
      <w:pPr>
        <w:pStyle w:val="Heading1"/>
        <w:rPr>
          <w:rFonts w:eastAsia="Times New Roman"/>
          <w:color w:val="auto"/>
        </w:rPr>
      </w:pPr>
      <w:bookmarkStart w:id="81" w:name="_Toc227873406"/>
      <w:r w:rsidRPr="007A1B5D">
        <w:lastRenderedPageBreak/>
        <w:t>5</w:t>
      </w:r>
      <w:r>
        <w:t>.</w:t>
      </w:r>
      <w:r w:rsidRPr="007A1B5D">
        <w:t xml:space="preserve"> Applications</w:t>
      </w:r>
      <w:bookmarkEnd w:id="81"/>
    </w:p>
    <w:p w14:paraId="728896AC" w14:textId="01EAF3C6"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This chapter presents two comparative applications to illustrate how DML estimators compare against traditional estimators for Difference-in-Differences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Two distinct settings are examined: first, a canonical case where treatment was implemented at a single point in time, and second, a staggered adoption setting where treatment was adopted in different periods. For the first case, the analysis from </w:t>
      </w:r>
      <w:bookmarkStart w:id="82" w:name="_Hlk227795321"/>
      <w:r w:rsidRPr="007A1B5D">
        <w:rPr>
          <w:rFonts w:ascii="Times New Roman" w:hAnsi="Times New Roman" w:cs="Times New Roman"/>
        </w:rPr>
        <w:t>Gonz</w:t>
      </w:r>
      <w:r w:rsidR="009610A9">
        <w:rPr>
          <w:rFonts w:ascii="Times New Roman" w:hAnsi="Times New Roman" w:cs="Times New Roman"/>
        </w:rPr>
        <w:t>á</w:t>
      </w:r>
      <w:r w:rsidRPr="007A1B5D">
        <w:rPr>
          <w:rFonts w:ascii="Times New Roman" w:hAnsi="Times New Roman" w:cs="Times New Roman"/>
        </w:rPr>
        <w:t xml:space="preserve">lez </w:t>
      </w:r>
      <w:r w:rsidR="009610A9">
        <w:rPr>
          <w:rFonts w:ascii="Times New Roman" w:hAnsi="Times New Roman" w:cs="Times New Roman"/>
        </w:rPr>
        <w:fldChar w:fldCharType="begin"/>
      </w:r>
      <w:r w:rsidR="009610A9">
        <w:rPr>
          <w:rFonts w:ascii="Times New Roman" w:hAnsi="Times New Roman" w:cs="Times New Roman"/>
        </w:rPr>
        <w:instrText xml:space="preserve"> ADDIN ZOTERO_ITEM CSL_CITATION {"citationID":"ZEu37R53","properties":{"unsorted":false,"formattedCitation":"(2025)","plainCitation":"(2025)","noteIndex":0},"citationItems":[{"id":33,"uris":["http://zotero.org/users/local/ik3vdrlJ/items/MR42E5DZ"],"itemData":{"id":33,"type":"article-journal","abstract":"How do special interests react to an increase in their regulatory burden? In this paper, I use a shock to the regulatory environment by analyzing state-level enforcement of the Clean Air Act during the fracking boom. First, I show that fracking is associated with an increase in state regulatory activities for non-energy-related industries, generating regulatory spillovers to firms unrelated to fracking. Using the fact that fracking had regulatory spillovers to other industries, I use the presence of fracking as an instrument for environmental regulation for non-energy-related firms. I find that increased environmental enforcement is associated with an increase in state campaign contributions going to Republicans, and particularly to legislative races in competitive districts. These results provide some of the first evidence that changes in the regulatory environment can spur private sector mobilization with the potential to affect broader areas of policy through its electoral consequences.","container-title":"Public Choice","DOI":"10.1007/s11127-024-01189-7","issue":"1","page":"217-250","title":"Environmental regulation, regulatory spillovers and rent-seeking","volume":"202","author":[{"family":"González","given":"Juan Pablo"}],"issued":{"date-parts":[["2025",1]]}},"suppress-author":true}],"schema":"https://github.com/citation-style-language/schema/raw/master/csl-citation.json"} </w:instrText>
      </w:r>
      <w:r w:rsidR="009610A9">
        <w:rPr>
          <w:rFonts w:ascii="Times New Roman" w:hAnsi="Times New Roman" w:cs="Times New Roman"/>
        </w:rPr>
        <w:fldChar w:fldCharType="separate"/>
      </w:r>
      <w:r w:rsidR="009610A9">
        <w:rPr>
          <w:rFonts w:ascii="Times New Roman" w:hAnsi="Times New Roman" w:cs="Times New Roman"/>
          <w:noProof/>
        </w:rPr>
        <w:t>(2025)</w:t>
      </w:r>
      <w:r w:rsidR="009610A9">
        <w:rPr>
          <w:rFonts w:ascii="Times New Roman" w:hAnsi="Times New Roman" w:cs="Times New Roman"/>
        </w:rPr>
        <w:fldChar w:fldCharType="end"/>
      </w:r>
      <w:bookmarkEnd w:id="82"/>
      <w:r w:rsidRPr="007A1B5D">
        <w:rPr>
          <w:rFonts w:ascii="Times New Roman" w:hAnsi="Times New Roman" w:cs="Times New Roman"/>
        </w:rPr>
        <w:t xml:space="preserve"> is replicated, which estimates the effect of fracking on environmental regulatory activities using a classic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approach. In this setting, significant differences between the methods are not expected because of the number of variables included and the unbiased estimator chosen by the author. In the second case, the impact of Castle Doctrine laws on homicide rates </w:t>
      </w:r>
      <w:r w:rsidR="009610A9">
        <w:rPr>
          <w:rFonts w:ascii="Times New Roman" w:hAnsi="Times New Roman" w:cs="Times New Roman"/>
        </w:rPr>
        <w:fldChar w:fldCharType="begin"/>
      </w:r>
      <w:r w:rsidR="009610A9">
        <w:rPr>
          <w:rFonts w:ascii="Times New Roman" w:hAnsi="Times New Roman" w:cs="Times New Roman"/>
        </w:rPr>
        <w:instrText xml:space="preserve"> ADDIN ZOTERO_ITEM CSL_CITATION {"citationID":"1C0Y2kMJ","properties":{"unsorted":false,"formattedCitation":"(2013)","plainCitation":"(2013)","noteIndex":0},"citationItems":[{"id":34,"uris":["http://zotero.org/users/local/ik3vdrlJ/items/S2U3B7DN"],"itemData":{"id":34,"type":"article-journal","abstract":"From 2000 to 2010, more than 20 states passed so-called \"Castle Doctrine\" or \"stand your ground\" laws. These laws expand the legal justification for the use of lethal force in self-defense, thereby lowering the expected cost of using lethal force and increasing the expected cost of committing violent crime. This paper exploits the within-state variation in self-defense law to examine their effect on homicides and violent crime. Results indicate the laws do not deter burglary, robbery, or aggravated assault. In contrast, they lead to a statistically significant 8 percent net increase in the number of reported murders and nonnegligent manslaughters.","container-title":"The Journal of Human Resources","ISSN":"0022166X","issue":"3","page":"821–853","publisher":"[University of Wisconsin Press, Board of Regents of the University of Wisconsin System]","title":"Does Strengthening Self-Defense Law Deter Crime or Escalate Violence? Evidence from Expansions to Castle Doctrine","volume":"48","author":[{"family":"Cheng","given":"Cheng"},{"family":"Hoekstra","given":"Mark"}],"issued":{"date-parts":[["2013"]]}},"suppress-author":true}],"schema":"https://github.com/citation-style-language/schema/raw/master/csl-citation.json"} </w:instrText>
      </w:r>
      <w:r w:rsidR="009610A9">
        <w:rPr>
          <w:rFonts w:ascii="Times New Roman" w:hAnsi="Times New Roman" w:cs="Times New Roman"/>
        </w:rPr>
        <w:fldChar w:fldCharType="separate"/>
      </w:r>
      <w:r w:rsidR="009610A9">
        <w:rPr>
          <w:rFonts w:ascii="Times New Roman" w:hAnsi="Times New Roman" w:cs="Times New Roman"/>
          <w:noProof/>
        </w:rPr>
        <w:t>(2013)</w:t>
      </w:r>
      <w:r w:rsidR="009610A9">
        <w:rPr>
          <w:rFonts w:ascii="Times New Roman" w:hAnsi="Times New Roman" w:cs="Times New Roman"/>
        </w:rPr>
        <w:fldChar w:fldCharType="end"/>
      </w:r>
      <w:r w:rsidRPr="007A1B5D">
        <w:rPr>
          <w:rFonts w:ascii="Times New Roman" w:hAnsi="Times New Roman" w:cs="Times New Roman"/>
        </w:rPr>
        <w:t xml:space="preserve"> is analyzed, a well-known example in the literature that highlights the limitations of traditional Two-Way Fixed Effects (TWFE) estimators in staggered adoption designs.</w:t>
      </w:r>
    </w:p>
    <w:p w14:paraId="7D0942F6" w14:textId="77777777" w:rsidR="007A1B5D" w:rsidRPr="007A1B5D" w:rsidRDefault="007A1B5D" w:rsidP="00A441D9">
      <w:pPr>
        <w:pStyle w:val="BodyText"/>
        <w:spacing w:line="360" w:lineRule="auto"/>
        <w:ind w:firstLine="708"/>
        <w:jc w:val="both"/>
      </w:pPr>
      <w:r w:rsidRPr="007A1B5D">
        <w:t xml:space="preserve">In both applications, several iterations of the DML </w:t>
      </w:r>
      <w:proofErr w:type="spellStart"/>
      <w:r w:rsidRPr="007A1B5D">
        <w:t>DiD</w:t>
      </w:r>
      <w:proofErr w:type="spellEnd"/>
      <w:r w:rsidRPr="007A1B5D">
        <w:t xml:space="preserve"> estimators are run with different random seeds to ensure stability in the estimates, and average results across runs are reported.</w:t>
      </w:r>
    </w:p>
    <w:p w14:paraId="675AC895" w14:textId="511E3401" w:rsidR="007A1B5D" w:rsidRPr="00385CC7" w:rsidRDefault="00404256" w:rsidP="00EB6242">
      <w:pPr>
        <w:pStyle w:val="Heading2"/>
      </w:pPr>
      <w:bookmarkStart w:id="83" w:name="_Toc227873407"/>
      <w:bookmarkStart w:id="84" w:name="Xdee1beb90aa120ea6664e821a96e031cc462d94"/>
      <w:r w:rsidRPr="00385CC7">
        <w:t xml:space="preserve">5.1. </w:t>
      </w:r>
      <w:r w:rsidR="007A1B5D" w:rsidRPr="00385CC7">
        <w:t>Difference-in-Differences with Treatment in One Period</w:t>
      </w:r>
      <w:bookmarkEnd w:id="83"/>
    </w:p>
    <w:p w14:paraId="20CDE7A7" w14:textId="3F5CE817"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analysis begins by reproducing the results from</w:t>
      </w:r>
      <w:r w:rsidR="009610A9">
        <w:rPr>
          <w:rFonts w:ascii="Times New Roman" w:hAnsi="Times New Roman" w:cs="Times New Roman"/>
        </w:rPr>
        <w:t xml:space="preserve"> </w:t>
      </w:r>
      <w:r w:rsidR="009610A9" w:rsidRPr="007A1B5D">
        <w:rPr>
          <w:rFonts w:ascii="Times New Roman" w:hAnsi="Times New Roman" w:cs="Times New Roman"/>
        </w:rPr>
        <w:t>Gonz</w:t>
      </w:r>
      <w:r w:rsidR="009610A9">
        <w:rPr>
          <w:rFonts w:ascii="Times New Roman" w:hAnsi="Times New Roman" w:cs="Times New Roman"/>
        </w:rPr>
        <w:t>á</w:t>
      </w:r>
      <w:r w:rsidR="009610A9" w:rsidRPr="007A1B5D">
        <w:rPr>
          <w:rFonts w:ascii="Times New Roman" w:hAnsi="Times New Roman" w:cs="Times New Roman"/>
        </w:rPr>
        <w:t xml:space="preserve">lez </w:t>
      </w:r>
      <w:r w:rsidR="009610A9">
        <w:rPr>
          <w:rFonts w:ascii="Times New Roman" w:hAnsi="Times New Roman" w:cs="Times New Roman"/>
        </w:rPr>
        <w:fldChar w:fldCharType="begin"/>
      </w:r>
      <w:r w:rsidR="004656B7">
        <w:rPr>
          <w:rFonts w:ascii="Times New Roman" w:hAnsi="Times New Roman" w:cs="Times New Roman"/>
        </w:rPr>
        <w:instrText xml:space="preserve"> ADDIN ZOTERO_ITEM CSL_CITATION {"citationID":"ce2MRHF7","properties":{"unsorted":false,"formattedCitation":"(2025)","plainCitation":"(2025)","noteIndex":0},"citationItems":[{"id":33,"uris":["http://zotero.org/users/local/ik3vdrlJ/items/MR42E5DZ"],"itemData":{"id":33,"type":"article-journal","abstract":"How do special interests react to an increase in their regulatory burden? In this paper, I use a shock to the regulatory environment by analyzing state-level enforcement of the Clean Air Act during the fracking boom. First, I show that fracking is associated with an increase in state regulatory activities for non-energy-related industries, generating regulatory spillovers to firms unrelated to fracking. Using the fact that fracking had regulatory spillovers to other industries, I use the presence of fracking as an instrument for environmental regulation for non-energy-related firms. I find that increased environmental enforcement is associated with an increase in state campaign contributions going to Republicans, and particularly to legislative races in competitive districts. These results provide some of the first evidence that changes in the regulatory environment can spur private sector mobilization with the potential to affect broader areas of policy through its electoral consequences.","container-title":"Public Choice","DOI":"10.1007/s11127-024-01189-7","issue":"1","page":"217-250","title":"Environmental regulation, regulatory spillovers and rent-seeking","volume":"202","author":[{"family":"González","given":"Juan Pablo"}],"issued":{"date-parts":[["2025",1]]}},"suppress-author":true}],"schema":"https://github.com/citation-style-language/schema/raw/master/csl-citation.json"} </w:instrText>
      </w:r>
      <w:r w:rsidR="009610A9">
        <w:rPr>
          <w:rFonts w:ascii="Times New Roman" w:hAnsi="Times New Roman" w:cs="Times New Roman"/>
        </w:rPr>
        <w:fldChar w:fldCharType="separate"/>
      </w:r>
      <w:r w:rsidR="009610A9">
        <w:rPr>
          <w:rFonts w:ascii="Times New Roman" w:hAnsi="Times New Roman" w:cs="Times New Roman"/>
          <w:noProof/>
        </w:rPr>
        <w:t>(2025)</w:t>
      </w:r>
      <w:r w:rsidR="009610A9">
        <w:rPr>
          <w:rFonts w:ascii="Times New Roman" w:hAnsi="Times New Roman" w:cs="Times New Roman"/>
        </w:rPr>
        <w:fldChar w:fldCharType="end"/>
      </w:r>
      <w:r w:rsidRPr="007A1B5D">
        <w:rPr>
          <w:rFonts w:ascii="Times New Roman" w:hAnsi="Times New Roman" w:cs="Times New Roman"/>
        </w:rPr>
        <w:t>, specifically the initial sections where the author uses the Difference-in-Differences (</w:t>
      </w:r>
      <w:proofErr w:type="spellStart"/>
      <w:r w:rsidRPr="007A1B5D">
        <w:rPr>
          <w:rFonts w:ascii="Times New Roman" w:hAnsi="Times New Roman" w:cs="Times New Roman"/>
        </w:rPr>
        <w:t>DiD</w:t>
      </w:r>
      <w:proofErr w:type="spellEnd"/>
      <w:r w:rsidRPr="007A1B5D">
        <w:rPr>
          <w:rFonts w:ascii="Times New Roman" w:hAnsi="Times New Roman" w:cs="Times New Roman"/>
        </w:rPr>
        <w:t>) method for estimating the effect of fracking on environmental regulatory activities. The dataset contains 143,275 observations from fracking wells at the zip-code-year level. The data focuses on states where the fracking boom was more pronounced: Arkansas, Louisiana, North Dakota, Oklahoma, Pennsylvania, Texas, and Virginia. In the original paper, three different dependent variables are used, all measured at the zip-code-year level: (1) Actions, the total number of environmental activities; (2) Facilities, the total number of facilities that received at least one regulatory action; and (3) Formal, the total number of formal environmental activities.</w:t>
      </w:r>
    </w:p>
    <w:p w14:paraId="163CBE3F" w14:textId="27C24A1F" w:rsidR="007A1B5D" w:rsidRPr="00404256" w:rsidRDefault="00404256" w:rsidP="00BF697B">
      <w:pPr>
        <w:pStyle w:val="Heading3"/>
      </w:pPr>
      <w:bookmarkStart w:id="85" w:name="_Toc227873408"/>
      <w:bookmarkStart w:id="86" w:name="replication-of-gonzales"/>
      <w:r>
        <w:lastRenderedPageBreak/>
        <w:t xml:space="preserve">5.1.1. </w:t>
      </w:r>
      <w:r w:rsidR="007A1B5D" w:rsidRPr="00404256">
        <w:t>Replication of Gonz</w:t>
      </w:r>
      <w:r w:rsidR="009610A9" w:rsidRPr="00404256">
        <w:t>á</w:t>
      </w:r>
      <w:r w:rsidR="007A1B5D" w:rsidRPr="00404256">
        <w:t>les</w:t>
      </w:r>
      <w:bookmarkEnd w:id="85"/>
    </w:p>
    <w:p w14:paraId="335B42CA" w14:textId="77777777"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author also included county-level employment and total establishments as control variables. These variables serve as proxies for local economic activity and help isolate the impact of fracking on regulation. It is important to note that while the original paper presented estimations both with and without controls, the focus is only on reproducing the estimations that include controls.</w:t>
      </w:r>
    </w:p>
    <w:p w14:paraId="4F1E194C" w14:textId="77777777" w:rsidR="007A1B5D" w:rsidRPr="007A1B5D" w:rsidRDefault="007A1B5D" w:rsidP="00A441D9">
      <w:pPr>
        <w:pStyle w:val="BodyText"/>
        <w:spacing w:line="360" w:lineRule="auto"/>
        <w:ind w:firstLine="708"/>
        <w:jc w:val="both"/>
      </w:pPr>
      <w:r w:rsidRPr="007A1B5D">
        <w:t>More formally and following the structure from the paper, the Two-Way Fixed Effects (TWFE) estimation equation can be expressed as:</w:t>
      </w:r>
    </w:p>
    <w:p w14:paraId="726F2D59" w14:textId="2E2B91A4" w:rsidR="00B83798" w:rsidRPr="00B83798" w:rsidRDefault="00000000" w:rsidP="007A1B5D">
      <w:pPr>
        <w:pStyle w:val="BodyText"/>
        <w:spacing w:line="360" w:lineRule="auto"/>
        <w:jc w:val="both"/>
      </w:pPr>
      <m:oMathPara>
        <m:oMath>
          <m:eqArr>
            <m:eqArrPr>
              <m:maxDist m:val="1"/>
              <m:ctrlPr>
                <w:rPr>
                  <w:rFonts w:ascii="Cambria Math" w:hAnsi="Cambria Math"/>
                  <w:i/>
                </w:rPr>
              </m:ctrlPr>
            </m:eqArrPr>
            <m:e>
              <m:eqArr>
                <m:eqArrPr>
                  <m:ctrlPr>
                    <w:rPr>
                      <w:rFonts w:ascii="Cambria Math" w:hAnsi="Cambria Math"/>
                    </w:rPr>
                  </m:ctrlPr>
                </m:eqArrPr>
                <m:e>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 </m:t>
                  </m:r>
                  <m:sSub>
                    <m:sSubPr>
                      <m:ctrlPr>
                        <w:rPr>
                          <w:rFonts w:ascii="Cambria Math" w:hAnsi="Cambria Math"/>
                        </w:rPr>
                      </m:ctrlPr>
                    </m:sSubPr>
                    <m:e>
                      <m:r>
                        <m:rPr>
                          <m:nor/>
                        </m:rPr>
                        <m:t>fracked</m:t>
                      </m:r>
                    </m:e>
                    <m:sub>
                      <m:r>
                        <w:rPr>
                          <w:rFonts w:ascii="Cambria Math" w:hAnsi="Cambria Math"/>
                        </w:rPr>
                        <m:t>i</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nor/>
                        </m:rPr>
                        <m:t>Post 2005</m:t>
                      </m:r>
                    </m:e>
                    <m:sub>
                      <m:r>
                        <w:rPr>
                          <w:rFonts w:ascii="Cambria Math" w:hAnsi="Cambria Math"/>
                        </w:rPr>
                        <m:t>t</m:t>
                      </m:r>
                    </m:sub>
                  </m:sSub>
                </m:e>
                <m:e>
                  <m:r>
                    <w:rPr>
                      <w:rFonts w:ascii="Cambria Math" w:hAnsi="Cambria Math"/>
                    </w:rPr>
                    <m:t>&amp; </m:t>
                  </m:r>
                  <m:r>
                    <m:rPr>
                      <m:sty m:val="p"/>
                    </m:rPr>
                    <w:rPr>
                      <w:rFonts w:ascii="Cambria Math" w:hAnsi="Cambria Math"/>
                    </w:rPr>
                    <m:t>+</m:t>
                  </m:r>
                  <m:r>
                    <w:rPr>
                      <w:rFonts w:ascii="Cambria Math" w:hAnsi="Cambria Math"/>
                    </w:rPr>
                    <m:t>θ </m:t>
                  </m:r>
                  <m:r>
                    <m:rPr>
                      <m:sty m:val="p"/>
                    </m:rPr>
                    <w:rPr>
                      <w:rFonts w:ascii="Cambria Math" w:hAnsi="Cambria Math"/>
                    </w:rPr>
                    <m:t>(</m:t>
                  </m:r>
                  <m:sSub>
                    <m:sSubPr>
                      <m:ctrlPr>
                        <w:rPr>
                          <w:rFonts w:ascii="Cambria Math" w:hAnsi="Cambria Math"/>
                        </w:rPr>
                      </m:ctrlPr>
                    </m:sSubPr>
                    <m:e>
                      <m:r>
                        <m:rPr>
                          <m:nor/>
                        </m:rPr>
                        <m:t>fracked</m:t>
                      </m:r>
                    </m:e>
                    <m:sub>
                      <m:r>
                        <w:rPr>
                          <w:rFonts w:ascii="Cambria Math" w:hAnsi="Cambria Math"/>
                        </w:rPr>
                        <m:t>i</m:t>
                      </m:r>
                    </m:sub>
                  </m:sSub>
                  <m:r>
                    <w:rPr>
                      <w:rFonts w:ascii="Cambria Math" w:hAnsi="Cambria Math"/>
                    </w:rPr>
                    <m:t>times</m:t>
                  </m:r>
                  <m:sSub>
                    <m:sSubPr>
                      <m:ctrlPr>
                        <w:rPr>
                          <w:rFonts w:ascii="Cambria Math" w:hAnsi="Cambria Math"/>
                        </w:rPr>
                      </m:ctrlPr>
                    </m:sSubPr>
                    <m:e>
                      <m:r>
                        <m:rPr>
                          <m:nor/>
                        </m:rPr>
                        <m:t>Post 2005</m:t>
                      </m:r>
                    </m:e>
                    <m:sub>
                      <m:r>
                        <w:rPr>
                          <w:rFonts w:ascii="Cambria Math" w:hAnsi="Cambria Math"/>
                        </w:rPr>
                        <m:t>t</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e>
              </m:eqArr>
              <m:r>
                <w:rPr>
                  <w:rFonts w:ascii="Cambria Math" w:hAnsi="Cambria Math"/>
                </w:rPr>
                <m:t>#</m:t>
              </m:r>
              <m:d>
                <m:dPr>
                  <m:ctrlPr>
                    <w:rPr>
                      <w:rFonts w:ascii="Cambria Math" w:hAnsi="Cambria Math"/>
                      <w:i/>
                    </w:rPr>
                  </m:ctrlPr>
                </m:dPr>
                <m:e>
                  <m:r>
                    <w:rPr>
                      <w:rFonts w:ascii="Cambria Math" w:hAnsi="Cambria Math"/>
                    </w:rPr>
                    <m:t>5.1</m:t>
                  </m:r>
                </m:e>
              </m:d>
            </m:e>
          </m:eqArr>
        </m:oMath>
      </m:oMathPara>
    </w:p>
    <w:p w14:paraId="09E2D986" w14:textId="172C3454"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r>
          <m:rPr>
            <m:sty m:val="p"/>
          </m:rPr>
          <w:rPr>
            <w:rFonts w:ascii="Cambria Math" w:hAnsi="Cambria Math" w:cs="Times New Roman"/>
          </w:rPr>
          <m:t>i</m:t>
        </m:r>
      </m:oMath>
      <w:r w:rsidRPr="007A1B5D">
        <w:rPr>
          <w:rFonts w:ascii="Times New Roman" w:hAnsi="Times New Roman" w:cs="Times New Roman"/>
        </w:rPr>
        <w:t xml:space="preserve"> represents zip codes and </w:t>
      </w:r>
      <m:oMath>
        <m:r>
          <m:rPr>
            <m:sty m:val="p"/>
          </m:rPr>
          <w:rPr>
            <w:rFonts w:ascii="Cambria Math" w:hAnsi="Cambria Math" w:cs="Times New Roman"/>
          </w:rPr>
          <m:t>t</m:t>
        </m:r>
      </m:oMath>
      <w:r w:rsidRPr="007A1B5D">
        <w:rPr>
          <w:rFonts w:ascii="Times New Roman" w:hAnsi="Times New Roman" w:cs="Times New Roman"/>
        </w:rPr>
        <w:t xml:space="preserve"> represents years. The dependent variable </w:t>
      </w:r>
      <m:oMath>
        <m:r>
          <m:rPr>
            <m:sty m:val="p"/>
          </m:rPr>
          <w:rPr>
            <w:rFonts w:ascii="Cambria Math" w:hAnsi="Cambria Math" w:cs="Times New Roman"/>
          </w:rPr>
          <m:t>y</m:t>
        </m:r>
      </m:oMath>
      <w:r w:rsidRPr="007A1B5D">
        <w:rPr>
          <w:rFonts w:ascii="Times New Roman" w:hAnsi="Times New Roman" w:cs="Times New Roman"/>
        </w:rPr>
        <w:t xml:space="preserve"> it is the log-transformed outcome, using the </w:t>
      </w: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oMath>
      <w:r w:rsidRPr="007A1B5D">
        <w:rPr>
          <w:rFonts w:ascii="Times New Roman" w:hAnsi="Times New Roman" w:cs="Times New Roman"/>
        </w:rPr>
        <w:t xml:space="preserve"> transformation to accommodate zero values for Actions, Facilities, and Formal. Following the notation from previous chapters, our coefficient of interest is </w:t>
      </w:r>
      <m:oMath>
        <m:r>
          <m:rPr>
            <m:sty m:val="p"/>
          </m:rPr>
          <w:rPr>
            <w:rFonts w:ascii="Cambria Math" w:hAnsi="Cambria Math" w:cs="Times New Roman"/>
          </w:rPr>
          <m:t>θ</m:t>
        </m:r>
      </m:oMath>
      <w:r w:rsidRPr="007A1B5D">
        <w:rPr>
          <w:rFonts w:ascii="Times New Roman" w:hAnsi="Times New Roman" w:cs="Times New Roman"/>
        </w:rPr>
        <w:t xml:space="preserve">, which represents the DiD estimate, </w:t>
      </w:r>
      <m:oMath>
        <m:r>
          <m:rPr>
            <m:sty m:val="p"/>
          </m:rPr>
          <w:rPr>
            <w:rFonts w:ascii="Cambria Math" w:hAnsi="Cambria Math" w:cs="Times New Roman"/>
          </w:rPr>
          <m:t>X</m:t>
        </m:r>
      </m:oMath>
      <w:r w:rsidRPr="007A1B5D">
        <w:rPr>
          <w:rFonts w:ascii="Times New Roman" w:hAnsi="Times New Roman" w:cs="Times New Roman"/>
        </w:rPr>
        <w:t xml:space="preserve"> it is a vector of control variables (employment and establishments). </w:t>
      </w:r>
      <m:oMath>
        <m:sSub>
          <m:sSubPr>
            <m:ctrlPr>
              <w:rPr>
                <w:rFonts w:ascii="Cambria Math" w:hAnsi="Cambria Math" w:cs="Times New Roman"/>
              </w:rPr>
            </m:ctrlPr>
          </m:sSubPr>
          <m:e>
            <m:r>
              <m:rPr>
                <m:sty m:val="p"/>
              </m:rPr>
              <w:rPr>
                <w:rFonts w:ascii="Cambria Math" w:hAnsi="Cambria Math" w:cs="Times New Roman"/>
              </w:rPr>
              <m:t>μ</m:t>
            </m:r>
          </m:e>
          <m:sub>
            <m:r>
              <w:rPr>
                <w:rFonts w:ascii="Cambria Math" w:hAnsi="Cambria Math" w:cs="Times New Roman"/>
              </w:rPr>
              <m:t>i</m:t>
            </m:r>
          </m:sub>
        </m:sSub>
      </m:oMath>
      <w:r w:rsidRPr="007A1B5D">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ν</m:t>
            </m:r>
          </m:e>
          <m:sub>
            <m:r>
              <w:rPr>
                <w:rFonts w:ascii="Cambria Math" w:hAnsi="Cambria Math" w:cs="Times New Roman"/>
              </w:rPr>
              <m:t>t</m:t>
            </m:r>
          </m:sub>
        </m:sSub>
      </m:oMath>
      <w:r w:rsidRPr="007A1B5D">
        <w:rPr>
          <w:rFonts w:ascii="Times New Roman" w:hAnsi="Times New Roman" w:cs="Times New Roman"/>
        </w:rPr>
        <w:t xml:space="preserve"> represent zip-code and year fixed effects, respectively. Finally, </w:t>
      </w:r>
      <m:oMath>
        <m:r>
          <m:rPr>
            <m:sty m:val="p"/>
          </m:rPr>
          <w:rPr>
            <w:rFonts w:ascii="Cambria Math" w:hAnsi="Cambria Math" w:cs="Times New Roman"/>
          </w:rPr>
          <m:t>ϵ</m:t>
        </m:r>
      </m:oMath>
      <w:r w:rsidRPr="007A1B5D">
        <w:rPr>
          <w:rFonts w:ascii="Times New Roman" w:hAnsi="Times New Roman" w:cs="Times New Roman"/>
        </w:rPr>
        <w:t xml:space="preserve"> it is the error term. Standard errors are clustered at the zip-code level, the unit at which treatment was assigned. While the model estimates all the parameters described above, our focus is on </w:t>
      </w:r>
      <m:oMath>
        <m:r>
          <m:rPr>
            <m:sty m:val="p"/>
          </m:rPr>
          <w:rPr>
            <w:rFonts w:ascii="Cambria Math" w:hAnsi="Cambria Math" w:cs="Times New Roman"/>
          </w:rPr>
          <m:t>θ</m:t>
        </m:r>
      </m:oMath>
      <w:r w:rsidRPr="007A1B5D">
        <w:rPr>
          <w:rFonts w:ascii="Times New Roman" w:hAnsi="Times New Roman" w:cs="Times New Roman"/>
        </w:rPr>
        <w:t xml:space="preserve">, as the other terms (including the main effects </w:t>
      </w:r>
      <m:oMath>
        <m:r>
          <m:rPr>
            <m:sty m:val="p"/>
          </m:rPr>
          <w:rPr>
            <w:rFonts w:ascii="Cambria Math" w:hAnsi="Cambria Math" w:cs="Times New Roman"/>
          </w:rPr>
          <m:t>fracke</m:t>
        </m:r>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m:t>
            </m:r>
          </m:sub>
        </m:sSub>
      </m:oMath>
      <w:r w:rsidRPr="007A1B5D">
        <w:rPr>
          <w:rFonts w:ascii="Times New Roman" w:hAnsi="Times New Roman" w:cs="Times New Roman"/>
        </w:rPr>
        <w:t xml:space="preserve"> and </w:t>
      </w:r>
      <m:oMath>
        <m:r>
          <m:rPr>
            <m:sty m:val="p"/>
          </m:rPr>
          <w:rPr>
            <w:rFonts w:ascii="Cambria Math" w:hAnsi="Cambria Math" w:cs="Times New Roman"/>
          </w:rPr>
          <m:t>Pos</m:t>
        </m:r>
        <m:sSub>
          <m:sSubPr>
            <m:ctrlPr>
              <w:rPr>
                <w:rFonts w:ascii="Cambria Math" w:hAnsi="Cambria Math" w:cs="Times New Roman"/>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rPr>
              <m:t>2005t</m:t>
            </m:r>
          </m:sub>
        </m:sSub>
      </m:oMath>
      <w:r w:rsidRPr="007A1B5D">
        <w:rPr>
          <w:rFonts w:ascii="Times New Roman" w:hAnsi="Times New Roman" w:cs="Times New Roman"/>
        </w:rPr>
        <w:t>) serve to isolate the causal effect.</w:t>
      </w:r>
    </w:p>
    <w:p w14:paraId="5EBF91EA" w14:textId="3E9F8AA9" w:rsidR="007A1B5D" w:rsidRPr="007A1B5D" w:rsidRDefault="007A1B5D" w:rsidP="00A441D9">
      <w:pPr>
        <w:pStyle w:val="BodyText"/>
        <w:spacing w:line="360" w:lineRule="auto"/>
        <w:ind w:firstLine="708"/>
        <w:jc w:val="both"/>
      </w:pPr>
      <w:r w:rsidRPr="007A1B5D">
        <w:t xml:space="preserve">As the specification shows, the treatment </w:t>
      </w:r>
      <m:oMath>
        <m:r>
          <m:rPr>
            <m:sty m:val="p"/>
          </m:rPr>
          <w:rPr>
            <w:rFonts w:ascii="Cambria Math" w:hAnsi="Cambria Math"/>
          </w:rPr>
          <m:t>Pos</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2005t</m:t>
            </m:r>
          </m:sub>
        </m:sSub>
      </m:oMath>
      <w:r w:rsidRPr="007A1B5D">
        <w:t xml:space="preserve"> occurred in the same year (2005) for all treated zip codes. This date was chosen as it marks when technological advancements made fracking broadly profitable. This scenario represents a classic Difference-in-Differences (DiD) setup, for which the Two-Way Fixed Effects (TWFE) specification above is appropriate.</w:t>
      </w:r>
    </w:p>
    <w:p w14:paraId="764DAC99" w14:textId="22552390" w:rsidR="007A1B5D" w:rsidRPr="00404256" w:rsidRDefault="00404256" w:rsidP="00BF697B">
      <w:pPr>
        <w:pStyle w:val="Heading3"/>
      </w:pPr>
      <w:bookmarkStart w:id="87" w:name="_Toc227873409"/>
      <w:bookmarkStart w:id="88" w:name="double-machine-learning"/>
      <w:bookmarkEnd w:id="86"/>
      <w:r>
        <w:t xml:space="preserve">5.1.2. </w:t>
      </w:r>
      <w:r w:rsidR="007A1B5D" w:rsidRPr="00404256">
        <w:t>Double Machine Learning</w:t>
      </w:r>
      <w:bookmarkEnd w:id="87"/>
    </w:p>
    <w:p w14:paraId="1CE36DAF" w14:textId="2834C116"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With this setup, the discussion now turns to the Double Machine Learning approach. The DML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estimator, as formally introduced in a previous chapter, is applied to estimate the causal effect of fracking on regulatory activities in the </w:t>
      </w:r>
      <w:r w:rsidR="004656B7" w:rsidRPr="007A1B5D">
        <w:rPr>
          <w:rFonts w:ascii="Times New Roman" w:hAnsi="Times New Roman" w:cs="Times New Roman"/>
        </w:rPr>
        <w:t>non-energy</w:t>
      </w:r>
      <w:r w:rsidRPr="007A1B5D">
        <w:rPr>
          <w:rFonts w:ascii="Times New Roman" w:hAnsi="Times New Roman" w:cs="Times New Roman"/>
        </w:rPr>
        <w:t xml:space="preserve"> sector. Following </w:t>
      </w:r>
      <w:r w:rsidRPr="007A1B5D">
        <w:rPr>
          <w:rFonts w:ascii="Times New Roman" w:hAnsi="Times New Roman" w:cs="Times New Roman"/>
        </w:rPr>
        <w:lastRenderedPageBreak/>
        <w:t>Chang</w:t>
      </w:r>
      <w:r w:rsidR="004656B7">
        <w:rPr>
          <w:rFonts w:ascii="Times New Roman" w:hAnsi="Times New Roman" w:cs="Times New Roman"/>
        </w:rPr>
        <w:t xml:space="preserve"> </w:t>
      </w:r>
      <w:r w:rsidR="004656B7">
        <w:rPr>
          <w:rFonts w:ascii="Times New Roman" w:hAnsi="Times New Roman" w:cs="Times New Roman"/>
        </w:rPr>
        <w:fldChar w:fldCharType="begin"/>
      </w:r>
      <w:r w:rsidR="004656B7">
        <w:rPr>
          <w:rFonts w:ascii="Times New Roman" w:hAnsi="Times New Roman" w:cs="Times New Roman"/>
        </w:rPr>
        <w:instrText xml:space="preserve"> ADDIN ZOTERO_ITEM CSL_CITATION {"citationID":"nQ9MXkc4","properties":{"unsorted":false,"formattedCitation":"(2020)","plainCitation":"(2020)","noteIndex":0},"citationItems":[{"id":29,"uris":["http://zotero.org/users/local/ik3vdrlJ/items/UR75CMTC"],"itemData":{"id":29,"type":"article-journal","abstract":"This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4656B7">
        <w:rPr>
          <w:rFonts w:ascii="Times New Roman" w:hAnsi="Times New Roman" w:cs="Times New Roman"/>
        </w:rPr>
        <w:fldChar w:fldCharType="separate"/>
      </w:r>
      <w:r w:rsidR="004656B7">
        <w:rPr>
          <w:rFonts w:ascii="Times New Roman" w:hAnsi="Times New Roman" w:cs="Times New Roman"/>
          <w:noProof/>
        </w:rPr>
        <w:t>(2020)</w:t>
      </w:r>
      <w:r w:rsidR="004656B7">
        <w:rPr>
          <w:rFonts w:ascii="Times New Roman" w:hAnsi="Times New Roman" w:cs="Times New Roman"/>
        </w:rPr>
        <w:fldChar w:fldCharType="end"/>
      </w:r>
      <w:r w:rsidRPr="007A1B5D">
        <w:rPr>
          <w:rFonts w:ascii="Times New Roman" w:hAnsi="Times New Roman" w:cs="Times New Roman"/>
        </w:rPr>
        <w:t xml:space="preserve">, the DML estimator was adapted to the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setting with a single treatment period. The critical difference between </w:t>
      </w:r>
      <w:proofErr w:type="spellStart"/>
      <w:r w:rsidRPr="007A1B5D">
        <w:rPr>
          <w:rFonts w:ascii="Times New Roman" w:hAnsi="Times New Roman" w:cs="Times New Roman"/>
        </w:rPr>
        <w:t>PanelOLS</w:t>
      </w:r>
      <w:proofErr w:type="spellEnd"/>
      <w:r w:rsidRPr="007A1B5D">
        <w:rPr>
          <w:rFonts w:ascii="Times New Roman" w:hAnsi="Times New Roman" w:cs="Times New Roman"/>
        </w:rPr>
        <w:t xml:space="preserve"> (TWFE) and DML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is in how covariates </w:t>
      </w:r>
      <m:oMath>
        <m:r>
          <m:rPr>
            <m:sty m:val="p"/>
          </m:rPr>
          <w:rPr>
            <w:rFonts w:ascii="Cambria Math" w:hAnsi="Cambria Math" w:cs="Times New Roman"/>
          </w:rPr>
          <m:t>X</m:t>
        </m:r>
      </m:oMath>
      <w:r w:rsidRPr="007A1B5D">
        <w:rPr>
          <w:rFonts w:ascii="Times New Roman" w:hAnsi="Times New Roman" w:cs="Times New Roman"/>
        </w:rPr>
        <w:t xml:space="preserve"> are handled. PanelOLS assumes a linear and additive relationship between controls and the outcome. DML DiD makes no such assumption and instead uses flexible machine learning to capture potentially nonlinear and interactive relationships between controls and outcomes.</w:t>
      </w:r>
    </w:p>
    <w:p w14:paraId="5BF38F0A" w14:textId="27551BB7" w:rsidR="007A1B5D" w:rsidRPr="007A1B5D" w:rsidRDefault="007A1B5D" w:rsidP="00A441D9">
      <w:pPr>
        <w:pStyle w:val="BodyText"/>
        <w:spacing w:line="360" w:lineRule="auto"/>
        <w:ind w:firstLine="708"/>
        <w:jc w:val="both"/>
      </w:pPr>
      <w:r w:rsidRPr="007A1B5D">
        <w:t xml:space="preserve">As described in the previous chapter, estimating the Average Treatment Effect on the Treated requires nuisance functions obtained via cross fitting. Based on the score function for the ATT, the following functions are estimated using gradient boosting trees: (1) the outcome model </w:t>
      </w:r>
      <m:oMath>
        <m:sSub>
          <m:sSubPr>
            <m:ctrlPr>
              <w:rPr>
                <w:rFonts w:ascii="Cambria Math" w:hAnsi="Cambria Math"/>
                <w:i/>
              </w:rPr>
            </m:ctrlPr>
          </m:sSubPr>
          <m:e>
            <m:r>
              <w:rPr>
                <w:rFonts w:ascii="Cambria Math" w:hAnsi="Cambria Math"/>
              </w:rPr>
              <m:t>g</m:t>
            </m:r>
          </m:e>
          <m:sub>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sub>
        </m:sSub>
        <m:r>
          <m:rPr>
            <m:sty m:val="p"/>
          </m:rPr>
          <w:rPr>
            <w:rFonts w:ascii="Cambria Math" w:hAnsi="Cambria Math"/>
          </w:rPr>
          <m:t>=E[</m:t>
        </m:r>
        <m:sSub>
          <m:sSubPr>
            <m:ctrlPr>
              <w:rPr>
                <w:rFonts w:ascii="Cambria Math" w:eastAsiaTheme="minorEastAsia" w:hAnsi="Cambria Math"/>
                <w:lang w:eastAsia="zh-CN"/>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eastAsiaTheme="minorEastAsia" w:hAnsi="Cambria Math"/>
                <w:lang w:eastAsia="zh-CN"/>
              </w:rPr>
            </m:ctrlPr>
          </m:sSubPr>
          <m:e>
            <m:r>
              <w:rPr>
                <w:rFonts w:ascii="Cambria Math" w:hAnsi="Cambria Math"/>
              </w:rPr>
              <m:t>Y</m:t>
            </m:r>
          </m:e>
          <m:sub>
            <m:r>
              <w:rPr>
                <w:rFonts w:ascii="Cambria Math" w:hAnsi="Cambria Math"/>
              </w:rPr>
              <m:t>i0</m:t>
            </m:r>
          </m:sub>
        </m:sSub>
        <m:r>
          <m:rPr>
            <m:sty m:val="p"/>
          </m:rPr>
          <w:rPr>
            <w:rFonts w:ascii="Cambria Math" w:hAnsi="Cambria Math"/>
          </w:rPr>
          <m:t>|D=</m:t>
        </m:r>
        <m:r>
          <w:rPr>
            <w:rFonts w:ascii="Cambria Math" w:hAnsi="Cambria Math"/>
          </w:rPr>
          <m:t>0</m:t>
        </m:r>
        <m:r>
          <m:rPr>
            <m:sty m:val="p"/>
          </m:rPr>
          <w:rPr>
            <w:rFonts w:ascii="Cambria Math" w:hAnsi="Cambria Math"/>
          </w:rPr>
          <m:t>,X]</m:t>
        </m:r>
      </m:oMath>
      <w:r w:rsidRPr="007A1B5D">
        <w:t xml:space="preserve"> predicts the change that a unit would have experienced without treatment based on covariates </w:t>
      </w:r>
      <m:oMath>
        <m:r>
          <m:rPr>
            <m:sty m:val="p"/>
          </m:rPr>
          <w:rPr>
            <w:rFonts w:ascii="Cambria Math" w:hAnsi="Cambria Math"/>
          </w:rPr>
          <m:t>X</m:t>
        </m:r>
      </m:oMath>
      <w:r w:rsidRPr="007A1B5D">
        <w:t xml:space="preserve">. This flexibly models parallel trends conditional on </w:t>
      </w:r>
      <m:oMath>
        <m:r>
          <m:rPr>
            <m:sty m:val="p"/>
          </m:rPr>
          <w:rPr>
            <w:rFonts w:ascii="Cambria Math" w:hAnsi="Cambria Math"/>
          </w:rPr>
          <m:t>X</m:t>
        </m:r>
      </m:oMath>
      <w:r w:rsidRPr="007A1B5D">
        <w:t xml:space="preserve"> and (2) the treatment model (propensity score) </w:t>
      </w:r>
      <m:oMath>
        <m:r>
          <m:rPr>
            <m:sty m:val="p"/>
          </m:rPr>
          <w:rPr>
            <w:rFonts w:ascii="Cambria Math" w:hAnsi="Cambria Math"/>
          </w:rPr>
          <m:t>m(X)=E[D=</m:t>
        </m:r>
        <m:r>
          <w:rPr>
            <w:rFonts w:ascii="Cambria Math" w:hAnsi="Cambria Math"/>
          </w:rPr>
          <m:t>1</m:t>
        </m:r>
        <m:r>
          <m:rPr>
            <m:sty m:val="p"/>
          </m:rPr>
          <w:rPr>
            <w:rFonts w:ascii="Cambria Math" w:hAnsi="Cambria Math"/>
          </w:rPr>
          <m:t>|X]</m:t>
        </m:r>
      </m:oMath>
      <w:r w:rsidRPr="007A1B5D">
        <w:t xml:space="preserve"> predicts the probability that a unit belongs to the treatment group given its covariates.</w:t>
      </w:r>
    </w:p>
    <w:p w14:paraId="29C362E1" w14:textId="3F8D6EE4" w:rsidR="007A1B5D" w:rsidRPr="007A1B5D" w:rsidRDefault="007A1B5D" w:rsidP="00A441D9">
      <w:pPr>
        <w:pStyle w:val="BodyText"/>
        <w:spacing w:line="360" w:lineRule="auto"/>
        <w:ind w:firstLine="708"/>
        <w:jc w:val="both"/>
      </w:pPr>
      <w:r w:rsidRPr="007A1B5D">
        <w:t xml:space="preserve">Given the different nature of the nuisance functions, a regression model is used for </w:t>
      </w:r>
      <m:oMath>
        <m:r>
          <m:rPr>
            <m:sty m:val="p"/>
          </m:rPr>
          <w:rPr>
            <w:rFonts w:ascii="Cambria Math" w:hAnsi="Cambria Math"/>
          </w:rPr>
          <m:t>g</m:t>
        </m:r>
      </m:oMath>
      <w:r w:rsidRPr="007A1B5D">
        <w:t xml:space="preserve"> (because the outcome change is numeric) and a classification model for </w:t>
      </w:r>
      <m:oMath>
        <m:r>
          <m:rPr>
            <m:sty m:val="p"/>
          </m:rPr>
          <w:rPr>
            <w:rFonts w:ascii="Cambria Math" w:hAnsi="Cambria Math"/>
          </w:rPr>
          <m:t>m</m:t>
        </m:r>
      </m:oMath>
      <w:r w:rsidRPr="007A1B5D">
        <w:t xml:space="preserve"> (because treatment is binary). Concretely, LightGBM </w:t>
      </w:r>
      <w:r w:rsidR="004656B7">
        <w:fldChar w:fldCharType="begin"/>
      </w:r>
      <w:r w:rsidR="004656B7">
        <w:instrText xml:space="preserve"> ADDIN ZOTERO_ITEM CSL_CITATION {"citationID":"8wK5fnaT","properties":{"unsorted":false,"formattedCitation":"(2017)","plainCitation":"(2017)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uppress-author":true}],"schema":"https://github.com/citation-style-language/schema/raw/master/csl-citation.json"} </w:instrText>
      </w:r>
      <w:r w:rsidR="004656B7">
        <w:fldChar w:fldCharType="separate"/>
      </w:r>
      <w:r w:rsidR="004656B7">
        <w:rPr>
          <w:noProof/>
        </w:rPr>
        <w:t>(2017)</w:t>
      </w:r>
      <w:r w:rsidR="004656B7">
        <w:fldChar w:fldCharType="end"/>
      </w:r>
      <w:r w:rsidRPr="007A1B5D">
        <w:t xml:space="preserve"> is employed, an efficient implementation of gradient boosting trees </w:t>
      </w:r>
      <w:r w:rsidR="004656B7">
        <w:fldChar w:fldCharType="begin"/>
      </w:r>
      <w:r w:rsidR="004656B7">
        <w:instrText xml:space="preserve"> ADDIN ZOTERO_ITEM CSL_CITATION {"citationID":"VrS5JUKr","properties":{"unsorted":false,"formattedCitation":"(2001)","plainCitation":"(2001)","noteIndex":0},"citationItems":[{"id":23,"uris":["http://zotero.org/users/local/ik3vdrlJ/items/ZWTCZW9M"],"itemData":{"id":23,"type":"article-journal","citation-key":"friedmanGreedyFunctionApproximation2001","container-title":"The Annals of Statistics","DOI":"10.1214/aos/1013203451","issue":"5","page":"1189 – 1232","publisher":"Institute of Mathematical Statistics","title":"Greedy function approximation: A gradient boosting machine.","volume":"29","author":[{"family":"Friedman","given":"Jerome H."}],"issued":{"date-parts":[["2001"]]}},"suppress-author":true}],"schema":"https://github.com/citation-style-language/schema/raw/master/csl-citation.json"} </w:instrText>
      </w:r>
      <w:r w:rsidR="004656B7">
        <w:fldChar w:fldCharType="separate"/>
      </w:r>
      <w:r w:rsidR="004656B7">
        <w:rPr>
          <w:noProof/>
        </w:rPr>
        <w:t>(2001)</w:t>
      </w:r>
      <w:r w:rsidR="004656B7">
        <w:fldChar w:fldCharType="end"/>
      </w:r>
      <w:r w:rsidR="004656B7">
        <w:t xml:space="preserve"> </w:t>
      </w:r>
      <w:r w:rsidRPr="007A1B5D">
        <w:t>that supports both tasks in a unified framework. This tree based, nonparametric method builds decision trees sequentially, with each new tree trained to correct the residuals of the previous one. To mitigate overfitting, a shrinkage parameter (learning rate) regulates the contribution of each tree.</w:t>
      </w:r>
    </w:p>
    <w:p w14:paraId="47B508F6" w14:textId="77777777" w:rsidR="007A1B5D" w:rsidRPr="007A1B5D" w:rsidRDefault="007A1B5D" w:rsidP="00A441D9">
      <w:pPr>
        <w:pStyle w:val="BodyText"/>
        <w:spacing w:line="360" w:lineRule="auto"/>
        <w:ind w:firstLine="708"/>
        <w:jc w:val="both"/>
      </w:pPr>
      <w:proofErr w:type="spellStart"/>
      <w:r w:rsidRPr="007A1B5D">
        <w:t>LightGBM</w:t>
      </w:r>
      <w:proofErr w:type="spellEnd"/>
      <w:r w:rsidRPr="007A1B5D">
        <w:t xml:space="preserve"> was chosen for its strong predictive performance and computational efficiency. For reference, training the two models with cross fitting took about fourteen seconds on a MacBook Air M3 with twenty-four gigabytes of memory. In this implementation, default hyperparameters from the library performed well, and robustness checks with alternative settings did not yield materially different results.</w:t>
      </w:r>
    </w:p>
    <w:p w14:paraId="07259A31" w14:textId="3850E36A" w:rsidR="007A1B5D" w:rsidRPr="007A1B5D" w:rsidRDefault="007A1B5D" w:rsidP="00A441D9">
      <w:pPr>
        <w:pStyle w:val="BodyText"/>
        <w:spacing w:line="360" w:lineRule="auto"/>
        <w:ind w:firstLine="708"/>
        <w:jc w:val="both"/>
      </w:pPr>
      <w:r w:rsidRPr="007A1B5D">
        <w:t>A further advantage is that gradient boosting trees do not perform explicit variable selection. As noted by Wüthrich and Zhu</w:t>
      </w:r>
      <w:r w:rsidR="004656B7">
        <w:t xml:space="preserve"> </w:t>
      </w:r>
      <w:r w:rsidR="004656B7">
        <w:fldChar w:fldCharType="begin"/>
      </w:r>
      <w:r w:rsidR="004656B7">
        <w:instrText xml:space="preserve"> ADDIN ZOTERO_ITEM CSL_CITATION {"citationID":"0mLPSQQE","properties":{"unsorted":false,"formattedCitation":"(2023)","plainCitation":"(2023)","noteIndex":0},"citationItems":[{"id":35,"uris":["http://zotero.org/users/local/ik3vdrlJ/items/P7V75XML"],"itemData":{"id":35,"type":"article-journal","abstract":"We study the finite sample behavior of Lasso-based inference methods such as post-double Lasso and debiased Lasso. We show that these methods can exhibit substantial omitted variable biases (OVBs) due to Lasso's not selecting relevant controls. This phenomenon can occur even when the coefficients are sparse and the sample size is large and larger than the number of controls. Therefore, relying on the existing asymptotic inference theory can be problematic in empirical applications. We compare the Lasso-based inference methods to modern high-dimensional OLS-based methods and provide practical guidance.","container-title":"The Review of Economics and Statistics","DOI":"10.1162/rest_a_01128","ISSN":"0034-6535","issue":"4","note":"_eprint: https://direct.mit.edu/rest/article-pdf/105/4/982/2142620/rest_a_01128.pdf","page":"982-997","title":"Omitted Variable Bias of Lasso-Based Inference Methods: A Finite Sample Analysis","volume":"105","author":[{"family":"Wüthrich","given":"Kaspar"},{"family":"Zhu","given":"Ying"}],"issued":{"date-parts":[["2023",7]]}},"suppress-author":true}],"schema":"https://github.com/citation-style-language/schema/raw/master/csl-citation.json"} </w:instrText>
      </w:r>
      <w:r w:rsidR="004656B7">
        <w:fldChar w:fldCharType="separate"/>
      </w:r>
      <w:r w:rsidR="004656B7">
        <w:rPr>
          <w:noProof/>
        </w:rPr>
        <w:t>(2023)</w:t>
      </w:r>
      <w:r w:rsidR="004656B7">
        <w:fldChar w:fldCharType="end"/>
      </w:r>
      <w:r w:rsidRPr="007A1B5D">
        <w:t xml:space="preserve">, methods like Lasso may drop covariates under strong penalization. While acceptable for pure prediction, this can be problematic in causal settings if important controls are removed, leading to biased nuisance function </w:t>
      </w:r>
      <w:r w:rsidRPr="007A1B5D">
        <w:lastRenderedPageBreak/>
        <w:t>estimates and, in turn, biased treatment effect estimates. Using trees avoids dropping included controls and reduces this risk.</w:t>
      </w:r>
    </w:p>
    <w:p w14:paraId="4898EE97" w14:textId="12EFF622" w:rsidR="007A1B5D" w:rsidRPr="007A1B5D" w:rsidRDefault="00404256" w:rsidP="00BF697B">
      <w:pPr>
        <w:pStyle w:val="Heading3"/>
      </w:pPr>
      <w:bookmarkStart w:id="89" w:name="_Toc227873410"/>
      <w:bookmarkStart w:id="90" w:name="comparing-results"/>
      <w:bookmarkEnd w:id="88"/>
      <w:r>
        <w:t xml:space="preserve">5.1.3. </w:t>
      </w:r>
      <w:r w:rsidR="007A1B5D" w:rsidRPr="00404256">
        <w:t>Comparing results</w:t>
      </w:r>
      <w:bookmarkEnd w:id="89"/>
    </w:p>
    <w:p w14:paraId="2E05F7D0" w14:textId="2BDA5B3C"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The results of both estimations are compared in </w:t>
      </w:r>
      <w:r w:rsidR="002A0A11" w:rsidRPr="002A0A11">
        <w:rPr>
          <w:rFonts w:ascii="Times New Roman" w:hAnsi="Times New Roman" w:cs="Times New Roman"/>
        </w:rPr>
        <w:fldChar w:fldCharType="begin"/>
      </w:r>
      <w:r w:rsidR="002A0A11" w:rsidRPr="002A0A11">
        <w:rPr>
          <w:rFonts w:ascii="Times New Roman" w:hAnsi="Times New Roman" w:cs="Times New Roman"/>
        </w:rPr>
        <w:instrText xml:space="preserve"> REF _Ref227867185 \h </w:instrText>
      </w:r>
      <w:r w:rsidR="002A0A11">
        <w:rPr>
          <w:rFonts w:ascii="Times New Roman" w:hAnsi="Times New Roman" w:cs="Times New Roman"/>
        </w:rPr>
        <w:instrText xml:space="preserve"> \* MERGEFORMAT </w:instrText>
      </w:r>
      <w:r w:rsidR="002A0A11" w:rsidRPr="002A0A11">
        <w:rPr>
          <w:rFonts w:ascii="Times New Roman" w:hAnsi="Times New Roman" w:cs="Times New Roman"/>
        </w:rPr>
      </w:r>
      <w:r w:rsidR="002A0A11" w:rsidRPr="002A0A11">
        <w:rPr>
          <w:rFonts w:ascii="Times New Roman" w:hAnsi="Times New Roman" w:cs="Times New Roman"/>
        </w:rPr>
        <w:fldChar w:fldCharType="separate"/>
      </w:r>
      <w:r w:rsidR="002A0A11" w:rsidRPr="002A0A11">
        <w:rPr>
          <w:rFonts w:ascii="Times New Roman" w:hAnsi="Times New Roman" w:cs="Times New Roman"/>
        </w:rPr>
        <w:t xml:space="preserve">Figure </w:t>
      </w:r>
      <w:r w:rsidR="002A0A11" w:rsidRPr="002A0A11">
        <w:rPr>
          <w:rFonts w:ascii="Times New Roman" w:hAnsi="Times New Roman" w:cs="Times New Roman"/>
          <w:noProof/>
        </w:rPr>
        <w:t>8</w:t>
      </w:r>
      <w:r w:rsidR="002A0A11" w:rsidRPr="002A0A11">
        <w:rPr>
          <w:rFonts w:ascii="Times New Roman" w:hAnsi="Times New Roman" w:cs="Times New Roman"/>
        </w:rPr>
        <w:fldChar w:fldCharType="end"/>
      </w:r>
      <w:r w:rsidR="007D6ADF">
        <w:rPr>
          <w:rFonts w:ascii="Times New Roman" w:hAnsi="Times New Roman" w:cs="Times New Roman"/>
        </w:rPr>
        <w:t xml:space="preserve"> </w:t>
      </w:r>
      <w:r w:rsidRPr="007A1B5D">
        <w:rPr>
          <w:rFonts w:ascii="Times New Roman" w:hAnsi="Times New Roman" w:cs="Times New Roman"/>
        </w:rPr>
        <w:t>and a table with all the results can be found in the appendix. Both estimators yield nearly identical results, with point estimates that are positive and statistically significant across all three outcomes. For Actions, TWFE estimates a coefficient of 0.089 while DML yields 0.088. For Facilities, both methods produce an estimate of 0.086. For Formal activities, TWFE estimates 0.091 and DML estimates 0.090. The confidence intervals are also nearly overlapping across all specifications.</w:t>
      </w:r>
    </w:p>
    <w:p w14:paraId="3600C20D" w14:textId="77777777" w:rsidR="007A1B5D" w:rsidRPr="007A1B5D" w:rsidRDefault="007A1B5D" w:rsidP="00A441D9">
      <w:pPr>
        <w:pStyle w:val="BodyText"/>
        <w:spacing w:line="360" w:lineRule="auto"/>
        <w:ind w:firstLine="708"/>
        <w:jc w:val="both"/>
      </w:pPr>
      <w:r w:rsidRPr="007A1B5D">
        <w:t xml:space="preserve">This similarity is expected and instructive for two reasons. First, treatment occurs in a single period for all treated units. In this canonical </w:t>
      </w:r>
      <w:proofErr w:type="spellStart"/>
      <w:r w:rsidRPr="007A1B5D">
        <w:t>DiD</w:t>
      </w:r>
      <w:proofErr w:type="spellEnd"/>
      <w:r w:rsidRPr="007A1B5D">
        <w:t xml:space="preserve"> setting, TWFE is known to provide unbiased estimates of the average treatment effect on the treated under the parallel trends’ assumption. There is no staggered adoption that could introduce the negative weighting problems documented in recent </w:t>
      </w:r>
      <w:proofErr w:type="spellStart"/>
      <w:r w:rsidRPr="007A1B5D">
        <w:t>DiD</w:t>
      </w:r>
      <w:proofErr w:type="spellEnd"/>
      <w:r w:rsidRPr="007A1B5D">
        <w:t xml:space="preserve"> literature. Second, the specification includes only two control variables: county-level employment and total establishments. With such a parsimonious set of covariates, there is limited scope for complex nonlinear or interactive relationships that might be better captured by machine learning methods. The linear specification used in TWFE appears adequate for modeling how these controls relate to the outcome.</w:t>
      </w:r>
    </w:p>
    <w:p w14:paraId="56213E3E" w14:textId="77777777" w:rsidR="007A1B5D" w:rsidRPr="00574496" w:rsidRDefault="007A1B5D" w:rsidP="00A441D9">
      <w:pPr>
        <w:pStyle w:val="BodyText"/>
        <w:spacing w:line="360" w:lineRule="auto"/>
        <w:ind w:firstLine="708"/>
        <w:jc w:val="both"/>
      </w:pPr>
      <w:r w:rsidRPr="007A1B5D">
        <w:t xml:space="preserve">The close agreement between TWFE and DML serves as a valuable validity check. It confirms that both approaches appropriately handle this standard </w:t>
      </w:r>
      <w:proofErr w:type="spellStart"/>
      <w:r w:rsidRPr="007A1B5D">
        <w:t>DiD</w:t>
      </w:r>
      <w:proofErr w:type="spellEnd"/>
      <w:r w:rsidRPr="007A1B5D">
        <w:t xml:space="preserve"> design and that the DML implementation is working as intended. Importantly, this result also establishes a baseline for the subsequent staggered adoption analysis, where the methods are expected to diverge. The contrast between the single-period and staggered settings will illustrate when flexible machine learning methods and robust </w:t>
      </w:r>
      <w:proofErr w:type="spellStart"/>
      <w:r w:rsidRPr="007A1B5D">
        <w:t>DiD</w:t>
      </w:r>
      <w:proofErr w:type="spellEnd"/>
      <w:r w:rsidRPr="007A1B5D">
        <w:t xml:space="preserve"> estimators provide meaningful advantages over traditional TWFE specifications.</w:t>
      </w:r>
    </w:p>
    <w:p w14:paraId="7D8B8B68" w14:textId="77777777" w:rsidR="002A0A11" w:rsidRDefault="002A0A11" w:rsidP="002A0A11">
      <w:pPr>
        <w:pStyle w:val="CaptionedFigure"/>
        <w:keepNext/>
        <w:spacing w:line="360" w:lineRule="auto"/>
        <w:jc w:val="both"/>
      </w:pPr>
      <w:r>
        <w:rPr>
          <w:noProof/>
        </w:rPr>
        <w:lastRenderedPageBreak/>
        <w:drawing>
          <wp:inline distT="0" distB="0" distL="0" distR="0" wp14:anchorId="2B5E6588" wp14:editId="4987EC50">
            <wp:extent cx="5580380" cy="3666490"/>
            <wp:effectExtent l="0" t="0" r="0" b="3810"/>
            <wp:docPr id="19875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64150" name="Picture 1987564150"/>
                    <pic:cNvPicPr/>
                  </pic:nvPicPr>
                  <pic:blipFill>
                    <a:blip r:embed="rId18"/>
                    <a:stretch>
                      <a:fillRect/>
                    </a:stretch>
                  </pic:blipFill>
                  <pic:spPr>
                    <a:xfrm>
                      <a:off x="0" y="0"/>
                      <a:ext cx="5580380" cy="3666490"/>
                    </a:xfrm>
                    <a:prstGeom prst="rect">
                      <a:avLst/>
                    </a:prstGeom>
                  </pic:spPr>
                </pic:pic>
              </a:graphicData>
            </a:graphic>
          </wp:inline>
        </w:drawing>
      </w:r>
    </w:p>
    <w:p w14:paraId="7E3BF2A7" w14:textId="5B109C20" w:rsidR="007D6ADF" w:rsidRPr="002A0A11" w:rsidRDefault="002A0A11" w:rsidP="002A0A11">
      <w:pPr>
        <w:pStyle w:val="Caption"/>
        <w:jc w:val="center"/>
        <w:rPr>
          <w:rFonts w:ascii="Times New Roman" w:hAnsi="Times New Roman" w:cs="Times New Roman"/>
          <w:sz w:val="18"/>
          <w:szCs w:val="18"/>
        </w:rPr>
      </w:pPr>
      <w:r w:rsidRPr="002A0A11">
        <w:rPr>
          <w:rFonts w:ascii="Times New Roman" w:hAnsi="Times New Roman" w:cs="Times New Roman"/>
          <w:sz w:val="18"/>
          <w:szCs w:val="18"/>
        </w:rPr>
        <w:t xml:space="preserve">Figure </w:t>
      </w:r>
      <w:r w:rsidRPr="002A0A11">
        <w:rPr>
          <w:rFonts w:ascii="Times New Roman" w:hAnsi="Times New Roman" w:cs="Times New Roman"/>
          <w:sz w:val="18"/>
          <w:szCs w:val="18"/>
        </w:rPr>
        <w:fldChar w:fldCharType="begin"/>
      </w:r>
      <w:r w:rsidRPr="002A0A11">
        <w:rPr>
          <w:rFonts w:ascii="Times New Roman" w:hAnsi="Times New Roman" w:cs="Times New Roman"/>
          <w:sz w:val="18"/>
          <w:szCs w:val="18"/>
        </w:rPr>
        <w:instrText xml:space="preserve"> SEQ Figure \* ARABIC </w:instrText>
      </w:r>
      <w:r w:rsidRPr="002A0A11">
        <w:rPr>
          <w:rFonts w:ascii="Times New Roman" w:hAnsi="Times New Roman" w:cs="Times New Roman"/>
          <w:sz w:val="18"/>
          <w:szCs w:val="18"/>
        </w:rPr>
        <w:fldChar w:fldCharType="separate"/>
      </w:r>
      <w:r w:rsidRPr="002A0A11">
        <w:rPr>
          <w:rFonts w:ascii="Times New Roman" w:hAnsi="Times New Roman" w:cs="Times New Roman"/>
          <w:noProof/>
          <w:sz w:val="18"/>
          <w:szCs w:val="18"/>
        </w:rPr>
        <w:t>8</w:t>
      </w:r>
      <w:r w:rsidRPr="002A0A11">
        <w:rPr>
          <w:rFonts w:ascii="Times New Roman" w:hAnsi="Times New Roman" w:cs="Times New Roman"/>
          <w:sz w:val="18"/>
          <w:szCs w:val="18"/>
        </w:rPr>
        <w:fldChar w:fldCharType="end"/>
      </w:r>
      <w:r w:rsidRPr="002A0A11">
        <w:rPr>
          <w:rFonts w:ascii="Times New Roman" w:hAnsi="Times New Roman" w:cs="Times New Roman"/>
          <w:sz w:val="18"/>
          <w:szCs w:val="18"/>
        </w:rPr>
        <w:t xml:space="preserve">: Treatment effect estimates for the impact of fracking on environmental regulation outcomes using TWFE (blue) and DML (orange) estimators. Point estimates and 95 percent confidence intervals are shown for three outcomes: Actions (total regulatory activities), Facilities (facilities receiving actions), and Formals (formal enforcement activities). All outcomes use log transformations. Both estimators yield nearly identical results, </w:t>
      </w:r>
      <w:proofErr w:type="gramStart"/>
      <w:r>
        <w:rPr>
          <w:rFonts w:ascii="Times New Roman" w:hAnsi="Times New Roman" w:cs="Times New Roman"/>
          <w:sz w:val="18"/>
          <w:szCs w:val="18"/>
        </w:rPr>
        <w:t xml:space="preserve">with </w:t>
      </w:r>
      <w:r w:rsidRPr="002A0A11">
        <w:rPr>
          <w:rFonts w:ascii="Times New Roman" w:hAnsi="Times New Roman" w:cs="Times New Roman"/>
          <w:sz w:val="18"/>
          <w:szCs w:val="18"/>
        </w:rPr>
        <w:t xml:space="preserve"> point</w:t>
      </w:r>
      <w:proofErr w:type="gramEnd"/>
      <w:r w:rsidRPr="002A0A11">
        <w:rPr>
          <w:rFonts w:ascii="Times New Roman" w:hAnsi="Times New Roman" w:cs="Times New Roman"/>
          <w:sz w:val="18"/>
          <w:szCs w:val="18"/>
        </w:rPr>
        <w:t xml:space="preserve"> estimates that are positive and statistically significant across all three outcomes.</w:t>
      </w:r>
    </w:p>
    <w:p w14:paraId="2C44E393" w14:textId="10B0BFDE" w:rsidR="002A0A11" w:rsidRPr="002A0A11" w:rsidRDefault="00404256" w:rsidP="00EB6242">
      <w:pPr>
        <w:pStyle w:val="Heading2"/>
      </w:pPr>
      <w:bookmarkStart w:id="91" w:name="_Toc227873411"/>
      <w:bookmarkStart w:id="92" w:name="staggered-difference-in-differences"/>
      <w:bookmarkEnd w:id="84"/>
      <w:bookmarkEnd w:id="90"/>
      <w:r w:rsidRPr="00385CC7">
        <w:t xml:space="preserve">5.2. </w:t>
      </w:r>
      <w:r w:rsidR="007A1B5D" w:rsidRPr="00385CC7">
        <w:t>Staggered difference in differences</w:t>
      </w:r>
      <w:bookmarkEnd w:id="91"/>
    </w:p>
    <w:p w14:paraId="0F25784E" w14:textId="46F125D3"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This section presents an application in a staggered adoption setting where the treatment is implemented in different periods for different units. The impact of Castle Doctrine laws on homicide is analyzed, a well-known example in the literature that highlights the limitations of traditional Two-Way Fixed Effects (TWFE) estimators in staggered adoption designs.</w:t>
      </w:r>
    </w:p>
    <w:p w14:paraId="2B8505B4" w14:textId="1E1CEE21" w:rsidR="007A1B5D" w:rsidRPr="007A1B5D" w:rsidRDefault="007A1B5D" w:rsidP="00A441D9">
      <w:pPr>
        <w:pStyle w:val="BodyText"/>
        <w:spacing w:line="360" w:lineRule="auto"/>
        <w:ind w:firstLine="708"/>
        <w:jc w:val="both"/>
      </w:pPr>
      <w:r w:rsidRPr="007A1B5D">
        <w:t xml:space="preserve">The dataset contains </w:t>
      </w:r>
      <w:r w:rsidR="00DA4296" w:rsidRPr="007A1B5D">
        <w:t>annual</w:t>
      </w:r>
      <w:r w:rsidRPr="007A1B5D">
        <w:t xml:space="preserve"> data from 2000 to 2010 for all states in the US. The treatment variable indicates whether a state has implemented a Castle Doctrine law </w:t>
      </w:r>
      <w:proofErr w:type="gramStart"/>
      <w:r w:rsidRPr="007A1B5D">
        <w:t>in a given year</w:t>
      </w:r>
      <w:proofErr w:type="gramEnd"/>
      <w:r w:rsidRPr="007A1B5D">
        <w:t xml:space="preserve">. Castle Doctrine laws, which expand the right to use deadly force in self-defense within one’s home, were adopted by various states at different times during the study period. This staggered adoption creates a complex treatment landscape that challenges traditional </w:t>
      </w:r>
      <w:proofErr w:type="spellStart"/>
      <w:r w:rsidRPr="007A1B5D">
        <w:t>DiD</w:t>
      </w:r>
      <w:proofErr w:type="spellEnd"/>
      <w:r w:rsidRPr="007A1B5D">
        <w:t xml:space="preserve"> methods.</w:t>
      </w:r>
    </w:p>
    <w:p w14:paraId="29389B2A" w14:textId="77777777" w:rsidR="007A1B5D" w:rsidRPr="007A1B5D" w:rsidRDefault="007A1B5D" w:rsidP="00A441D9">
      <w:pPr>
        <w:pStyle w:val="BodyText"/>
        <w:spacing w:line="360" w:lineRule="auto"/>
        <w:ind w:firstLine="708"/>
        <w:jc w:val="both"/>
      </w:pPr>
      <w:r w:rsidRPr="007A1B5D">
        <w:lastRenderedPageBreak/>
        <w:t xml:space="preserve">That is why this section compares the traditional TWFE estimator with the DML </w:t>
      </w:r>
      <w:proofErr w:type="spellStart"/>
      <w:r w:rsidRPr="007A1B5D">
        <w:t>DiD</w:t>
      </w:r>
      <w:proofErr w:type="spellEnd"/>
      <w:r w:rsidRPr="007A1B5D">
        <w:t xml:space="preserve"> estimator adapted for staggered adoption settings. The goal is to assess how each method estimates the causal effect of Castle Doctrine laws on homicide rates, considering the potential biases introduced by staggered treatment timing.</w:t>
      </w:r>
    </w:p>
    <w:p w14:paraId="7BA56CC0" w14:textId="61BCC78E" w:rsidR="007A1B5D" w:rsidRPr="00404256" w:rsidRDefault="00404256" w:rsidP="00BF697B">
      <w:pPr>
        <w:pStyle w:val="Heading3"/>
      </w:pPr>
      <w:bookmarkStart w:id="93" w:name="_Toc227873412"/>
      <w:bookmarkStart w:id="94" w:name="two-way-fixed-effects"/>
      <w:r>
        <w:t xml:space="preserve">5.2.1. </w:t>
      </w:r>
      <w:r w:rsidR="007A1B5D" w:rsidRPr="00404256">
        <w:t>Two-Way-Fixed-Effects</w:t>
      </w:r>
      <w:bookmarkEnd w:id="93"/>
    </w:p>
    <w:p w14:paraId="144A016E" w14:textId="77777777"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The traditional TWFE model for this staggered adoption setting can be specified as follows:</w:t>
      </w:r>
    </w:p>
    <w:p w14:paraId="7786502E" w14:textId="76BEF450" w:rsidR="00B83798" w:rsidRPr="00B83798" w:rsidRDefault="00000000" w:rsidP="007A1B5D">
      <w:pPr>
        <w:pStyle w:val="BodyText"/>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1</m:t>
                  </m:r>
                </m:sub>
              </m:sSub>
              <m:r>
                <m:rPr>
                  <m:sty m:val="p"/>
                </m:rPr>
                <w:rPr>
                  <w:rFonts w:ascii="Cambria Math" w:hAnsi="Cambria Math"/>
                </w:rPr>
                <m:t> </m:t>
              </m:r>
              <m:sSub>
                <m:sSubPr>
                  <m:ctrlPr>
                    <w:rPr>
                      <w:rFonts w:ascii="Cambria Math" w:hAnsi="Cambria Math"/>
                    </w:rPr>
                  </m:ctrlPr>
                </m:sSubPr>
                <m:e>
                  <m:r>
                    <m:rPr>
                      <m:nor/>
                    </m:rPr>
                    <w:rPr>
                      <w:rFonts w:ascii="Cambria Math" w:hAnsi="Cambria Math"/>
                    </w:rPr>
                    <m:t>CastleDoctrine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w:rPr>
                      <w:rFonts w:ascii="Cambria Math" w:hAnsi="Cambria Math"/>
                    </w:rPr>
                    <m:t>it</m:t>
                  </m:r>
                </m:sub>
              </m:sSub>
              <m:r>
                <w:rPr>
                  <w:rFonts w:ascii="Cambria Math" w:hAnsi="Cambria Math"/>
                </w:rPr>
                <m:t>#</m:t>
              </m:r>
              <m:d>
                <m:dPr>
                  <m:ctrlPr>
                    <w:rPr>
                      <w:rFonts w:ascii="Cambria Math" w:hAnsi="Cambria Math"/>
                      <w:i/>
                    </w:rPr>
                  </m:ctrlPr>
                </m:dPr>
                <m:e>
                  <m:r>
                    <w:rPr>
                      <w:rFonts w:ascii="Cambria Math" w:hAnsi="Cambria Math"/>
                    </w:rPr>
                    <m:t>5.2</m:t>
                  </m:r>
                </m:e>
              </m:d>
            </m:e>
          </m:eqArr>
        </m:oMath>
      </m:oMathPara>
    </w:p>
    <w:p w14:paraId="1C805438" w14:textId="5957146C" w:rsidR="007A1B5D" w:rsidRPr="007A1B5D" w:rsidRDefault="007A1B5D" w:rsidP="007A1B5D">
      <w:pPr>
        <w:pStyle w:val="FirstParagraph"/>
        <w:spacing w:line="360" w:lineRule="auto"/>
        <w:jc w:val="both"/>
        <w:rPr>
          <w:rFonts w:ascii="Times New Roman" w:hAnsi="Times New Roman" w:cs="Times New Roman"/>
        </w:rPr>
      </w:pPr>
      <w:r w:rsidRPr="007A1B5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represents the homicide rate in state </w:t>
      </w:r>
      <m:oMath>
        <m:r>
          <m:rPr>
            <m:sty m:val="p"/>
          </m:rPr>
          <w:rPr>
            <w:rFonts w:ascii="Cambria Math" w:hAnsi="Cambria Math" w:cs="Times New Roman"/>
          </w:rPr>
          <m:t>i</m:t>
        </m:r>
      </m:oMath>
      <w:r w:rsidRPr="007A1B5D">
        <w:rPr>
          <w:rFonts w:ascii="Times New Roman" w:hAnsi="Times New Roman" w:cs="Times New Roman"/>
        </w:rPr>
        <w:t xml:space="preserve"> at time </w:t>
      </w:r>
      <m:oMath>
        <m:r>
          <m:rPr>
            <m:sty m:val="p"/>
          </m:rPr>
          <w:rPr>
            <w:rFonts w:ascii="Cambria Math" w:hAnsi="Cambria Math" w:cs="Times New Roman"/>
          </w:rPr>
          <m:t>t</m:t>
        </m:r>
      </m:oMath>
      <w:r w:rsidRPr="007A1B5D">
        <w:rPr>
          <w:rFonts w:ascii="Times New Roman" w:hAnsi="Times New Roman" w:cs="Times New Roman"/>
        </w:rPr>
        <w:t xml:space="preserve">, </w:t>
      </w:r>
      <m:oMath>
        <m:sSub>
          <m:sSubPr>
            <m:ctrlPr>
              <w:rPr>
                <w:rFonts w:ascii="Cambria Math" w:hAnsi="Cambria Math" w:cs="Times New Roman"/>
              </w:rPr>
            </m:ctrlPr>
          </m:sSubPr>
          <m:e>
            <m:r>
              <m:rPr>
                <m:nor/>
              </m:rPr>
              <w:rPr>
                <w:rFonts w:ascii="Cambria Math" w:hAnsi="Cambria Math" w:cs="Times New Roman"/>
              </w:rPr>
              <m:t>CastleDoctrine</m:t>
            </m:r>
          </m:e>
          <m:sub>
            <m:r>
              <w:rPr>
                <w:rFonts w:ascii="Cambria Math" w:hAnsi="Cambria Math" w:cs="Times New Roman"/>
              </w:rPr>
              <m:t>it</m:t>
            </m:r>
          </m:sub>
        </m:sSub>
      </m:oMath>
      <w:r w:rsidRPr="007A1B5D">
        <w:rPr>
          <w:rFonts w:ascii="Times New Roman" w:hAnsi="Times New Roman" w:cs="Times New Roman"/>
        </w:rPr>
        <w:t xml:space="preserve"> is a binary indicator of whether the Castle Doctrine law is in effect,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oMath>
      <w:r w:rsidRPr="007A1B5D">
        <w:rPr>
          <w:rFonts w:ascii="Times New Roman" w:hAnsi="Times New Roman" w:cs="Times New Roman"/>
        </w:rPr>
        <w:t xml:space="preserve"> represents a vector of control variables, </w:t>
      </w:r>
      <m:oMath>
        <m:sSub>
          <m:sSubPr>
            <m:ctrlPr>
              <w:rPr>
                <w:rFonts w:ascii="Cambria Math" w:hAnsi="Cambria Math" w:cs="Times New Roman"/>
              </w:rPr>
            </m:ctrlPr>
          </m:sSubPr>
          <m:e>
            <m:r>
              <m:rPr>
                <m:sty m:val="p"/>
              </m:rPr>
              <w:rPr>
                <w:rFonts w:ascii="Cambria Math" w:hAnsi="Cambria Math" w:cs="Times New Roman"/>
              </w:rPr>
              <m:t>μ</m:t>
            </m:r>
          </m:e>
          <m:sub>
            <m:r>
              <w:rPr>
                <w:rFonts w:ascii="Cambria Math" w:hAnsi="Cambria Math" w:cs="Times New Roman"/>
              </w:rPr>
              <m:t>i</m:t>
            </m:r>
          </m:sub>
        </m:sSub>
      </m:oMath>
      <w:r w:rsidRPr="007A1B5D">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ν</m:t>
            </m:r>
          </m:e>
          <m:sub>
            <m:r>
              <w:rPr>
                <w:rFonts w:ascii="Cambria Math" w:hAnsi="Cambria Math" w:cs="Times New Roman"/>
              </w:rPr>
              <m:t>t</m:t>
            </m:r>
          </m:sub>
        </m:sSub>
      </m:oMath>
      <w:r w:rsidRPr="007A1B5D">
        <w:rPr>
          <w:rFonts w:ascii="Times New Roman" w:hAnsi="Times New Roman" w:cs="Times New Roman"/>
        </w:rPr>
        <w:t xml:space="preserve"> are state and year fixed effects, respectively, and </w:t>
      </w:r>
      <m:oMath>
        <m:sSub>
          <m:sSubPr>
            <m:ctrlPr>
              <w:rPr>
                <w:rFonts w:ascii="Cambria Math" w:hAnsi="Cambria Math" w:cs="Times New Roman"/>
              </w:rPr>
            </m:ctrlPr>
          </m:sSubPr>
          <m:e>
            <m:r>
              <m:rPr>
                <m:sty m:val="p"/>
              </m:rPr>
              <w:rPr>
                <w:rFonts w:ascii="Cambria Math" w:hAnsi="Cambria Math" w:cs="Times New Roman"/>
              </w:rPr>
              <m:t>ϵ</m:t>
            </m:r>
          </m:e>
          <m:sub>
            <m:r>
              <w:rPr>
                <w:rFonts w:ascii="Cambria Math" w:hAnsi="Cambria Math" w:cs="Times New Roman"/>
              </w:rPr>
              <m:t>it</m:t>
            </m:r>
          </m:sub>
        </m:sSub>
      </m:oMath>
      <w:r w:rsidRPr="007A1B5D">
        <w:rPr>
          <w:rFonts w:ascii="Times New Roman" w:hAnsi="Times New Roman" w:cs="Times New Roman"/>
        </w:rPr>
        <w:t xml:space="preserve"> is the error term. The coefficient </w:t>
      </w:r>
      <m:oMath>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1</m:t>
            </m:r>
          </m:sub>
        </m:sSub>
      </m:oMath>
      <w:r w:rsidRPr="007A1B5D">
        <w:rPr>
          <w:rFonts w:ascii="Times New Roman" w:hAnsi="Times New Roman" w:cs="Times New Roman"/>
        </w:rPr>
        <w:t xml:space="preserve"> captures the average treatment effect of the Castle Doctrine laws on homicide rates.</w:t>
      </w:r>
    </w:p>
    <w:p w14:paraId="022BB3F3" w14:textId="77777777" w:rsidR="007A1B5D" w:rsidRPr="007A1B5D" w:rsidRDefault="007A1B5D" w:rsidP="00A441D9">
      <w:pPr>
        <w:pStyle w:val="BodyText"/>
        <w:spacing w:line="360" w:lineRule="auto"/>
        <w:ind w:firstLine="708"/>
        <w:jc w:val="both"/>
      </w:pPr>
      <w:r w:rsidRPr="007A1B5D">
        <w:t>This is a classic TWFE specification, but as highlighted in recent literature, it may produce biased estimates in staggered adoption settings due to the presence of negative weights and heterogeneous treatment effects. However, is important to notice that when the authors originally analyzed this data, the limitations of TWFE in staggered settings were not yet widely recognized and this model was commonly used. Besides, authors included several robust check s to validate their results.</w:t>
      </w:r>
    </w:p>
    <w:p w14:paraId="61A32F51" w14:textId="3511C0C3" w:rsidR="007A1B5D" w:rsidRPr="00404256" w:rsidRDefault="00404256" w:rsidP="00BF697B">
      <w:pPr>
        <w:pStyle w:val="Heading3"/>
      </w:pPr>
      <w:bookmarkStart w:id="95" w:name="_Toc227873413"/>
      <w:bookmarkStart w:id="96" w:name="double-machine-learning-1"/>
      <w:bookmarkEnd w:id="94"/>
      <w:r>
        <w:t xml:space="preserve">5.2.2. </w:t>
      </w:r>
      <w:r w:rsidR="007A1B5D" w:rsidRPr="00404256">
        <w:t>Double Machine Learning</w:t>
      </w:r>
      <w:bookmarkEnd w:id="95"/>
    </w:p>
    <w:p w14:paraId="4C5B1F8D" w14:textId="77777777"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To address the potential biases of the TWFE estimator in this staggered adoption context, the Double Machine Learning (DML)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estimator adapted for staggered treatments is applied. This approach allows for flexibly modeling the relationships between covariates and outcomes while accounting for the complex treatment timing.</w:t>
      </w:r>
    </w:p>
    <w:p w14:paraId="5ED64EFE" w14:textId="5CC3AEBE" w:rsidR="007A1B5D" w:rsidRPr="007A1B5D" w:rsidRDefault="007A1B5D" w:rsidP="00A441D9">
      <w:pPr>
        <w:pStyle w:val="BodyText"/>
        <w:spacing w:line="360" w:lineRule="auto"/>
        <w:ind w:firstLine="708"/>
        <w:jc w:val="both"/>
      </w:pPr>
      <w:r w:rsidRPr="007A1B5D">
        <w:t xml:space="preserve">Following the framework introduced in a previous chapter, the necessary nuisance functions are estimated using Random Forest </w:t>
      </w:r>
      <w:r w:rsidR="004656B7">
        <w:fldChar w:fldCharType="begin"/>
      </w:r>
      <w:r w:rsidR="004656B7">
        <w:instrText xml:space="preserve"> ADDIN ZOTERO_ITEM CSL_CITATION {"citationID":"OmrzbEX1","properties":{"unsorted":false,"formattedCitation":"(Breiman, 2001a)","plainCitation":"(Breiman, 2001a)","noteIndex":0},"citationItems":[{"id":7,"uris":["http://zotero.org/users/local/ik3vdrlJ/items/RAI4NZPJ"],"itemData":{"id":7,"type":"article-journal","abstract":"Random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regression.","citation-key":"breimanRandomForests2001","container-title":"Machine Learning","DOI":"10.1023/A:1010933404324","ISSN":"1573-0565","issue":"1","page":"5–32","title":"Random Forests","volume":"45","author":[{"family":"Breiman","given":"Leo"}],"issued":{"date-parts":[["2001"]]}}}],"schema":"https://github.com/citation-style-language/schema/raw/master/csl-citation.json"} </w:instrText>
      </w:r>
      <w:r w:rsidR="004656B7">
        <w:fldChar w:fldCharType="separate"/>
      </w:r>
      <w:r w:rsidR="004656B7">
        <w:rPr>
          <w:noProof/>
        </w:rPr>
        <w:t>(Breiman, 2001a)</w:t>
      </w:r>
      <w:r w:rsidR="004656B7">
        <w:fldChar w:fldCharType="end"/>
      </w:r>
      <w:r w:rsidRPr="007A1B5D">
        <w:t xml:space="preserve"> to capture nonlinearities and interactions among covariates. Once again, given that Random Forest does not select variables, the potential biases that other methods might have are avoided. The key nuisance </w:t>
      </w:r>
      <w:r w:rsidRPr="007A1B5D">
        <w:lastRenderedPageBreak/>
        <w:t xml:space="preserve">functions include: (1) the outcome model </w:t>
      </w:r>
      <m:oMath>
        <m:sSub>
          <m:sSubPr>
            <m:ctrlPr>
              <w:rPr>
                <w:rFonts w:ascii="Cambria Math" w:hAnsi="Cambria Math"/>
              </w:rPr>
            </m:ctrlPr>
          </m:sSubPr>
          <m:e>
            <m:r>
              <w:rPr>
                <w:rFonts w:ascii="Cambria Math" w:hAnsi="Cambria Math"/>
              </w:rPr>
              <m:t>g</m:t>
            </m:r>
            <m:ctrlPr>
              <w:rPr>
                <w:rFonts w:ascii="Cambria Math" w:hAnsi="Cambria Math"/>
                <w:i/>
              </w:rPr>
            </m:ctrlP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e>
          <m:e>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,X</m:t>
            </m:r>
          </m:e>
        </m:d>
      </m:oMath>
      <w:r w:rsidRPr="007A1B5D">
        <w:t xml:space="preserve">, which predicts the potential outcome without treatment based on covariates </w:t>
      </w:r>
      <m:oMath>
        <m:r>
          <m:rPr>
            <m:sty m:val="p"/>
          </m:rPr>
          <w:rPr>
            <w:rFonts w:ascii="Cambria Math" w:hAnsi="Cambria Math"/>
          </w:rPr>
          <m:t>X</m:t>
        </m:r>
      </m:oMath>
      <w:r w:rsidRPr="007A1B5D">
        <w:t xml:space="preserve">, and (2) the treatment model (propensity score) </w:t>
      </w:r>
      <m:oMath>
        <m:r>
          <m:rPr>
            <m:sty m:val="p"/>
          </m:rPr>
          <w:rPr>
            <w:rFonts w:ascii="Cambria Math" w:hAnsi="Cambria Math"/>
          </w:rPr>
          <m:t>m(X)=E[</m:t>
        </m:r>
        <m:sSub>
          <m:sSubPr>
            <m:ctrlPr>
              <w:rPr>
                <w:rFonts w:ascii="Cambria Math" w:eastAsiaTheme="minorEastAsia" w:hAnsi="Cambria Math"/>
                <w:lang w:eastAsia="zh-CN"/>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1</m:t>
        </m:r>
        <m:r>
          <m:rPr>
            <m:sty m:val="p"/>
          </m:rPr>
          <w:rPr>
            <w:rFonts w:ascii="Cambria Math" w:hAnsi="Cambria Math"/>
          </w:rPr>
          <m:t>|X]</m:t>
        </m:r>
      </m:oMath>
      <w:r w:rsidRPr="007A1B5D">
        <w:t>, which estimates the probability of treatment given covariates.</w:t>
      </w:r>
    </w:p>
    <w:p w14:paraId="5EA16041" w14:textId="77777777" w:rsidR="007A1B5D" w:rsidRPr="007A1B5D" w:rsidRDefault="007A1B5D" w:rsidP="00A441D9">
      <w:pPr>
        <w:pStyle w:val="BodyText"/>
        <w:spacing w:line="360" w:lineRule="auto"/>
        <w:ind w:firstLine="708"/>
        <w:jc w:val="both"/>
      </w:pPr>
      <w:r w:rsidRPr="007A1B5D">
        <w:t>With this setup, unbiased estimates of the Average Treatment Effect on the Treated (ATT) in this staggered adoption setting can be presented, mitigating the biases associated with traditional TWFE methods.</w:t>
      </w:r>
    </w:p>
    <w:p w14:paraId="6FF692B9" w14:textId="6C388226" w:rsidR="007A1B5D" w:rsidRPr="00404256" w:rsidRDefault="00404256" w:rsidP="00BF697B">
      <w:pPr>
        <w:pStyle w:val="Heading3"/>
      </w:pPr>
      <w:bookmarkStart w:id="97" w:name="_Toc227873414"/>
      <w:bookmarkStart w:id="98" w:name="comparing-results-1"/>
      <w:bookmarkEnd w:id="96"/>
      <w:r>
        <w:t xml:space="preserve">5.2.3. </w:t>
      </w:r>
      <w:r w:rsidR="007A1B5D" w:rsidRPr="00404256">
        <w:t>Comparing results</w:t>
      </w:r>
      <w:bookmarkEnd w:id="97"/>
    </w:p>
    <w:p w14:paraId="1AC2D7DC" w14:textId="58C0DC1E" w:rsidR="002A0A11" w:rsidRPr="002A0A11"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 xml:space="preserve">compares the estimated effects of Castle Doctrine laws on homicide rates using both the traditional TWFE estimator and the DML </w:t>
      </w:r>
      <w:proofErr w:type="spellStart"/>
      <w:r w:rsidRPr="007A1B5D">
        <w:rPr>
          <w:rFonts w:ascii="Times New Roman" w:hAnsi="Times New Roman" w:cs="Times New Roman"/>
        </w:rPr>
        <w:t>DiD</w:t>
      </w:r>
      <w:proofErr w:type="spellEnd"/>
      <w:r w:rsidRPr="007A1B5D">
        <w:rPr>
          <w:rFonts w:ascii="Times New Roman" w:hAnsi="Times New Roman" w:cs="Times New Roman"/>
        </w:rPr>
        <w:t xml:space="preserve"> estimator adapted for staggered adoption settings. The results reveal notable differences between the two methods. The TWFE estimator with the defined specification showed a positive but non-significant effect of Castle Doctrine laws on homicide rates, with a point estimate close to zero and wide confidence intervals that include zero. This is not consistent to the findings from Cheng and Hoekstra</w:t>
      </w:r>
      <w:r w:rsidR="004656B7">
        <w:rPr>
          <w:rFonts w:ascii="Times New Roman" w:hAnsi="Times New Roman" w:cs="Times New Roman"/>
        </w:rPr>
        <w:t xml:space="preserve"> </w:t>
      </w:r>
      <w:r w:rsidR="004656B7">
        <w:rPr>
          <w:rFonts w:ascii="Times New Roman" w:hAnsi="Times New Roman" w:cs="Times New Roman"/>
        </w:rPr>
        <w:fldChar w:fldCharType="begin"/>
      </w:r>
      <w:r w:rsidR="004656B7">
        <w:rPr>
          <w:rFonts w:ascii="Times New Roman" w:hAnsi="Times New Roman" w:cs="Times New Roman"/>
        </w:rPr>
        <w:instrText xml:space="preserve"> ADDIN ZOTERO_ITEM CSL_CITATION {"citationID":"W4PFyab8","properties":{"unsorted":false,"formattedCitation":"(2013)","plainCitation":"(2013)","noteIndex":0},"citationItems":[{"id":34,"uris":["http://zotero.org/users/local/ik3vdrlJ/items/S2U3B7DN"],"itemData":{"id":34,"type":"article-journal","abstract":"From 2000 to 2010, more than 20 states passed so-called \"Castle Doctrine\" or \"stand your ground\" laws. These laws expand the legal justification for the use of lethal force in self-defense, thereby lowering the expected cost of using lethal force and increasing the expected cost of committing violent crime. This paper exploits the within-state variation in self-defense law to examine their effect on homicides and violent crime. Results indicate the laws do not deter burglary, robbery, or aggravated assault. In contrast, they lead to a statistically significant 8 percent net increase in the number of reported murders and nonnegligent manslaughters.","container-title":"The Journal of Human Resources","ISSN":"0022166X","issue":"3","page":"821–853","publisher":"[University of Wisconsin Press, Board of Regents of the University of Wisconsin System]","title":"Does Strengthening Self-Defense Law Deter Crime or Escalate Violence? Evidence from Expansions to Castle Doctrine","volume":"48","author":[{"family":"Cheng","given":"Cheng"},{"family":"Hoekstra","given":"Mark"}],"issued":{"date-parts":[["2013"]]}},"suppress-author":true}],"schema":"https://github.com/citation-style-language/schema/raw/master/csl-citation.json"} </w:instrText>
      </w:r>
      <w:r w:rsidR="004656B7">
        <w:rPr>
          <w:rFonts w:ascii="Times New Roman" w:hAnsi="Times New Roman" w:cs="Times New Roman"/>
        </w:rPr>
        <w:fldChar w:fldCharType="separate"/>
      </w:r>
      <w:r w:rsidR="004656B7">
        <w:rPr>
          <w:rFonts w:ascii="Times New Roman" w:hAnsi="Times New Roman" w:cs="Times New Roman"/>
          <w:noProof/>
        </w:rPr>
        <w:t>(2013)</w:t>
      </w:r>
      <w:r w:rsidR="004656B7">
        <w:rPr>
          <w:rFonts w:ascii="Times New Roman" w:hAnsi="Times New Roman" w:cs="Times New Roman"/>
        </w:rPr>
        <w:fldChar w:fldCharType="end"/>
      </w:r>
      <w:r w:rsidRPr="007A1B5D">
        <w:rPr>
          <w:rFonts w:ascii="Times New Roman" w:hAnsi="Times New Roman" w:cs="Times New Roman"/>
        </w:rPr>
        <w:t>, where the author found a significant increase in homicides after the implementation of Castle Doctrine laws. This discrepancy is attributed to the limitations of TWFE in staggered settings, as is known to produce biased estimates under such conditions, potentially obscuring true treatment effects under certain specifications.</w:t>
      </w:r>
    </w:p>
    <w:p w14:paraId="5A4B9834" w14:textId="77777777" w:rsidR="002A0A11" w:rsidRDefault="002A0A11" w:rsidP="002A0A11">
      <w:pPr>
        <w:pStyle w:val="BodyText"/>
        <w:keepNext/>
        <w:spacing w:line="360" w:lineRule="auto"/>
        <w:jc w:val="both"/>
      </w:pPr>
      <w:r>
        <w:rPr>
          <w:noProof/>
        </w:rPr>
        <w:lastRenderedPageBreak/>
        <w:drawing>
          <wp:inline distT="0" distB="0" distL="0" distR="0" wp14:anchorId="0A95F32C" wp14:editId="782EAF92">
            <wp:extent cx="5580380" cy="3326130"/>
            <wp:effectExtent l="0" t="0" r="0" b="1270"/>
            <wp:docPr id="20675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4331" name="Picture 2067564331"/>
                    <pic:cNvPicPr/>
                  </pic:nvPicPr>
                  <pic:blipFill>
                    <a:blip r:embed="rId19"/>
                    <a:stretch>
                      <a:fillRect/>
                    </a:stretch>
                  </pic:blipFill>
                  <pic:spPr>
                    <a:xfrm>
                      <a:off x="0" y="0"/>
                      <a:ext cx="5580380" cy="3326130"/>
                    </a:xfrm>
                    <a:prstGeom prst="rect">
                      <a:avLst/>
                    </a:prstGeom>
                  </pic:spPr>
                </pic:pic>
              </a:graphicData>
            </a:graphic>
          </wp:inline>
        </w:drawing>
      </w:r>
    </w:p>
    <w:p w14:paraId="31A36686" w14:textId="6B2D8B1A" w:rsidR="002A0A11" w:rsidRPr="002A0A11" w:rsidRDefault="002A0A11" w:rsidP="002A0A11">
      <w:pPr>
        <w:pStyle w:val="Caption"/>
        <w:jc w:val="center"/>
        <w:rPr>
          <w:rFonts w:ascii="Times New Roman" w:hAnsi="Times New Roman" w:cs="Times New Roman"/>
          <w:sz w:val="18"/>
          <w:szCs w:val="18"/>
        </w:rPr>
      </w:pPr>
      <w:r w:rsidRPr="002A0A11">
        <w:rPr>
          <w:rFonts w:ascii="Times New Roman" w:hAnsi="Times New Roman" w:cs="Times New Roman"/>
          <w:sz w:val="18"/>
          <w:szCs w:val="18"/>
        </w:rPr>
        <w:t xml:space="preserve">Figure </w:t>
      </w:r>
      <w:r w:rsidRPr="002A0A11">
        <w:rPr>
          <w:rFonts w:ascii="Times New Roman" w:hAnsi="Times New Roman" w:cs="Times New Roman"/>
          <w:sz w:val="18"/>
          <w:szCs w:val="18"/>
        </w:rPr>
        <w:fldChar w:fldCharType="begin"/>
      </w:r>
      <w:r w:rsidRPr="002A0A11">
        <w:rPr>
          <w:rFonts w:ascii="Times New Roman" w:hAnsi="Times New Roman" w:cs="Times New Roman"/>
          <w:sz w:val="18"/>
          <w:szCs w:val="18"/>
        </w:rPr>
        <w:instrText xml:space="preserve"> SEQ Figure \* ARABIC </w:instrText>
      </w:r>
      <w:r w:rsidRPr="002A0A11">
        <w:rPr>
          <w:rFonts w:ascii="Times New Roman" w:hAnsi="Times New Roman" w:cs="Times New Roman"/>
          <w:sz w:val="18"/>
          <w:szCs w:val="18"/>
        </w:rPr>
        <w:fldChar w:fldCharType="separate"/>
      </w:r>
      <w:r>
        <w:rPr>
          <w:rFonts w:ascii="Times New Roman" w:hAnsi="Times New Roman" w:cs="Times New Roman"/>
          <w:noProof/>
          <w:sz w:val="18"/>
          <w:szCs w:val="18"/>
        </w:rPr>
        <w:t>10</w:t>
      </w:r>
      <w:r w:rsidRPr="002A0A11">
        <w:rPr>
          <w:rFonts w:ascii="Times New Roman" w:hAnsi="Times New Roman" w:cs="Times New Roman"/>
          <w:sz w:val="18"/>
          <w:szCs w:val="18"/>
        </w:rPr>
        <w:fldChar w:fldCharType="end"/>
      </w:r>
      <w:r w:rsidRPr="002A0A11">
        <w:rPr>
          <w:rFonts w:ascii="Times New Roman" w:hAnsi="Times New Roman" w:cs="Times New Roman"/>
          <w:sz w:val="18"/>
          <w:szCs w:val="18"/>
        </w:rPr>
        <w:t xml:space="preserve">: Comparison of the estimated effects of Castle Doctrine laws on homicide rates using the traditional TWFE estimator and the Double Machine Learning </w:t>
      </w:r>
      <w:proofErr w:type="spellStart"/>
      <w:r w:rsidRPr="002A0A11">
        <w:rPr>
          <w:rFonts w:ascii="Times New Roman" w:hAnsi="Times New Roman" w:cs="Times New Roman"/>
          <w:sz w:val="18"/>
          <w:szCs w:val="18"/>
        </w:rPr>
        <w:t>DiD</w:t>
      </w:r>
      <w:proofErr w:type="spellEnd"/>
      <w:r w:rsidRPr="002A0A11">
        <w:rPr>
          <w:rFonts w:ascii="Times New Roman" w:hAnsi="Times New Roman" w:cs="Times New Roman"/>
          <w:sz w:val="18"/>
          <w:szCs w:val="18"/>
        </w:rPr>
        <w:t xml:space="preserve"> estimator adapted for staggered adoption settings. The confidence intervals are presented for both methods, and the horizontal line at zero indicates no effect.</w:t>
      </w:r>
    </w:p>
    <w:p w14:paraId="27CDBAB8" w14:textId="6FDBB6B1" w:rsidR="007A1B5D" w:rsidRPr="007A1B5D" w:rsidRDefault="007A1B5D" w:rsidP="00A441D9">
      <w:pPr>
        <w:pStyle w:val="BodyText"/>
        <w:spacing w:line="360" w:lineRule="auto"/>
        <w:ind w:firstLine="708"/>
        <w:jc w:val="both"/>
      </w:pPr>
      <w:r w:rsidRPr="007A1B5D">
        <w:t xml:space="preserve">On the other hand, the DML </w:t>
      </w:r>
      <w:proofErr w:type="spellStart"/>
      <w:r w:rsidRPr="007A1B5D">
        <w:t>DiD</w:t>
      </w:r>
      <w:proofErr w:type="spellEnd"/>
      <w:r w:rsidRPr="007A1B5D">
        <w:t xml:space="preserve"> estimator produced a positive and statistically significant effect at 1%, with a point estimate indicating an increase in homicide rates following the implementation of Castle Doctrine laws. The confidence intervals for the DML estimate were narrower and did not include zero, suggesting a more precise estimation of the treatment effect. This finding aligns more with the literature that suggests Castle Doctrine laws may lead to higher homicide rates, buts showing a stronger effect than previously reported. This effect can be attributed to the DML </w:t>
      </w:r>
      <w:proofErr w:type="spellStart"/>
      <w:r w:rsidRPr="007A1B5D">
        <w:t>DiD</w:t>
      </w:r>
      <w:proofErr w:type="spellEnd"/>
      <w:r w:rsidRPr="007A1B5D">
        <w:t xml:space="preserve"> estimator’s ability to flexibly model covariates relationships and properly account for the staggered treatment timing, reducing potential biases present in the TWFE approach. The divergence in results between the TWFE and DML </w:t>
      </w:r>
      <w:proofErr w:type="spellStart"/>
      <w:r w:rsidRPr="007A1B5D">
        <w:t>DiD</w:t>
      </w:r>
      <w:proofErr w:type="spellEnd"/>
      <w:r w:rsidRPr="007A1B5D">
        <w:t xml:space="preserve"> estimators underscores the importance of choosing appropriate methods for causal inference in staggered adoption settings.</w:t>
      </w:r>
    </w:p>
    <w:p w14:paraId="1A80DD58" w14:textId="77777777" w:rsidR="007A1B5D" w:rsidRPr="007A1B5D" w:rsidRDefault="007A1B5D" w:rsidP="00A441D9">
      <w:pPr>
        <w:pStyle w:val="BodyText"/>
        <w:spacing w:line="360" w:lineRule="auto"/>
        <w:ind w:firstLine="708"/>
        <w:jc w:val="both"/>
      </w:pPr>
      <w:r w:rsidRPr="007A1B5D">
        <w:t>Another interesting result emerges when the event study analysis is added to the comparison. This approach allows for assessing the parallel trends assumption and examining the dynamic evolution of treatment effects. Under the parallel trends’ assumption, statistically insignificant estimates in the pre-treatment periods are expected, followed by significant effects in the post-treatment periods if a causal impact exists.</w:t>
      </w:r>
    </w:p>
    <w:p w14:paraId="5CB82ACB" w14:textId="00F6F2FE" w:rsidR="007A1B5D" w:rsidRPr="007A1B5D" w:rsidRDefault="007A1B5D" w:rsidP="00A441D9">
      <w:pPr>
        <w:pStyle w:val="BodyText"/>
        <w:spacing w:line="360" w:lineRule="auto"/>
        <w:ind w:firstLine="708"/>
        <w:jc w:val="both"/>
      </w:pPr>
      <w:r w:rsidRPr="007A1B5D">
        <w:lastRenderedPageBreak/>
        <w:t xml:space="preserve">Table (1) presents the dynamic treatment effects of Castle Doctrine laws on log homicide rates relative to the year of adoption, estimated using the Double Machine Learning </w:t>
      </w:r>
      <w:proofErr w:type="spellStart"/>
      <w:r w:rsidRPr="007A1B5D">
        <w:t>DiD</w:t>
      </w:r>
      <w:proofErr w:type="spellEnd"/>
      <w:r w:rsidRPr="007A1B5D">
        <w:t xml:space="preserve"> approach. Statistically significant coefficients at -6 and -1 years prior to adoption are observed. While significant pre-trends can challenge the validity of the design, it is worth noting that these estimates do not exhibit a systematic trend (e.g., a monotonic divergence). Instead, they fluctuate around zero, suggesting that these significance levels may be driven by specific year-state shocks or noise rather than a fundamental violation of the parallel trends’ assumption. The significant coefficient at </w:t>
      </w:r>
      <m:oMath>
        <m:r>
          <m:rPr>
            <m:sty m:val="p"/>
          </m:rPr>
          <w:rPr>
            <w:rFonts w:ascii="Cambria Math" w:hAnsi="Cambria Math"/>
          </w:rPr>
          <m:t>t=-</m:t>
        </m:r>
        <m:r>
          <w:rPr>
            <w:rFonts w:ascii="Cambria Math" w:hAnsi="Cambria Math"/>
          </w:rPr>
          <m:t>1</m:t>
        </m:r>
      </m:oMath>
      <w:r w:rsidRPr="007A1B5D">
        <w:t xml:space="preserve"> might also reflect anticipation effects, where behavior changes shortly before the law’s enactment.</w:t>
      </w:r>
    </w:p>
    <w:p w14:paraId="204EA5EF" w14:textId="0EA1B61B" w:rsidR="007A1B5D" w:rsidRPr="007A1B5D" w:rsidRDefault="007A1B5D" w:rsidP="00A441D9">
      <w:pPr>
        <w:pStyle w:val="BodyText"/>
        <w:spacing w:line="360" w:lineRule="auto"/>
        <w:ind w:firstLine="708"/>
        <w:jc w:val="both"/>
      </w:pPr>
      <w:r w:rsidRPr="007A1B5D">
        <w:t xml:space="preserve">Focusing on the post-treatment period, a consistent pattern is observed: significant positive effects emerge at </w:t>
      </w:r>
      <m:oMath>
        <m:r>
          <m:rPr>
            <m:sty m:val="p"/>
          </m:rPr>
          <w:rPr>
            <w:rFonts w:ascii="Cambria Math" w:hAnsi="Cambria Math"/>
          </w:rPr>
          <m:t>t=</m:t>
        </m:r>
        <m:r>
          <w:rPr>
            <w:rFonts w:ascii="Cambria Math" w:hAnsi="Cambria Math"/>
          </w:rPr>
          <m:t>0</m:t>
        </m:r>
      </m:oMath>
      <w:r w:rsidRPr="007A1B5D">
        <w:t xml:space="preserve"> and persist in subsequent years (1-, 2-, and 4-years post-adoption). Unlike the pre-period fluctuations, the post-treatment coefficients are consistently positive, reinforcing the main DML DiD finding that Castle Doctrine laws are associated with an increase in homicide rates.</w:t>
      </w:r>
    </w:p>
    <w:p w14:paraId="6812149D" w14:textId="5FE52577" w:rsidR="0003032F" w:rsidRPr="00B96E5E" w:rsidRDefault="0003032F" w:rsidP="0003032F">
      <w:pPr>
        <w:pStyle w:val="Caption"/>
        <w:keepNext/>
        <w:rPr>
          <w:rFonts w:ascii="Times New Roman" w:hAnsi="Times New Roman" w:cs="Times New Roman"/>
          <w:sz w:val="18"/>
          <w:szCs w:val="18"/>
        </w:rPr>
      </w:pPr>
      <w:r w:rsidRPr="00B96E5E">
        <w:rPr>
          <w:rFonts w:ascii="Times New Roman" w:hAnsi="Times New Roman" w:cs="Times New Roman"/>
          <w:sz w:val="18"/>
          <w:szCs w:val="18"/>
        </w:rPr>
        <w:t xml:space="preserve">Table </w:t>
      </w:r>
      <w:r w:rsidRPr="00B96E5E">
        <w:rPr>
          <w:rFonts w:ascii="Times New Roman" w:hAnsi="Times New Roman" w:cs="Times New Roman"/>
          <w:sz w:val="18"/>
          <w:szCs w:val="18"/>
        </w:rPr>
        <w:fldChar w:fldCharType="begin"/>
      </w:r>
      <w:r w:rsidRPr="00B96E5E">
        <w:rPr>
          <w:rFonts w:ascii="Times New Roman" w:hAnsi="Times New Roman" w:cs="Times New Roman"/>
          <w:sz w:val="18"/>
          <w:szCs w:val="18"/>
        </w:rPr>
        <w:instrText xml:space="preserve"> SEQ Table \* ARABIC </w:instrText>
      </w:r>
      <w:r w:rsidRPr="00B96E5E">
        <w:rPr>
          <w:rFonts w:ascii="Times New Roman" w:hAnsi="Times New Roman" w:cs="Times New Roman"/>
          <w:sz w:val="18"/>
          <w:szCs w:val="18"/>
        </w:rPr>
        <w:fldChar w:fldCharType="separate"/>
      </w:r>
      <w:r w:rsidRPr="00B96E5E">
        <w:rPr>
          <w:rFonts w:ascii="Times New Roman" w:hAnsi="Times New Roman" w:cs="Times New Roman"/>
          <w:noProof/>
          <w:sz w:val="18"/>
          <w:szCs w:val="18"/>
        </w:rPr>
        <w:t>3</w:t>
      </w:r>
      <w:r w:rsidRPr="00B96E5E">
        <w:rPr>
          <w:rFonts w:ascii="Times New Roman" w:hAnsi="Times New Roman" w:cs="Times New Roman"/>
          <w:sz w:val="18"/>
          <w:szCs w:val="18"/>
        </w:rPr>
        <w:fldChar w:fldCharType="end"/>
      </w:r>
      <w:r w:rsidRPr="00B96E5E">
        <w:rPr>
          <w:rFonts w:ascii="Times New Roman" w:hAnsi="Times New Roman" w:cs="Times New Roman"/>
          <w:sz w:val="18"/>
          <w:szCs w:val="18"/>
        </w:rPr>
        <w:t xml:space="preserve">: Event Study Results for Chapter 4: Dynamic treatment effects of Castle Doctrine laws on log homicide rates by years relative to adoption. Estimates from Double Machine Learning </w:t>
      </w:r>
      <w:proofErr w:type="spellStart"/>
      <w:r w:rsidRPr="00B96E5E">
        <w:rPr>
          <w:rFonts w:ascii="Times New Roman" w:hAnsi="Times New Roman" w:cs="Times New Roman"/>
          <w:sz w:val="18"/>
          <w:szCs w:val="18"/>
        </w:rPr>
        <w:t>DiD</w:t>
      </w:r>
      <w:proofErr w:type="spellEnd"/>
      <w:r w:rsidRPr="00B96E5E">
        <w:rPr>
          <w:rFonts w:ascii="Times New Roman" w:hAnsi="Times New Roman" w:cs="Times New Roman"/>
          <w:sz w:val="18"/>
          <w:szCs w:val="18"/>
        </w:rPr>
        <w:t xml:space="preserve"> with 95% confidence intervals. Significant pre-trends and post-treatment </w:t>
      </w:r>
      <w:r w:rsidR="00B96E5E" w:rsidRPr="00B96E5E">
        <w:rPr>
          <w:rFonts w:ascii="Times New Roman" w:hAnsi="Times New Roman" w:cs="Times New Roman"/>
          <w:sz w:val="18"/>
          <w:szCs w:val="18"/>
        </w:rPr>
        <w:t>effects are marked with asterisks: *p&lt;0.10, **p&lt;0.05, ***p&lt;0.01</w:t>
      </w:r>
    </w:p>
    <w:tbl>
      <w:tblPr>
        <w:tblStyle w:val="Table"/>
        <w:tblW w:w="0" w:type="auto"/>
        <w:jc w:val="center"/>
        <w:tblLook w:val="0020" w:firstRow="1" w:lastRow="0" w:firstColumn="0" w:lastColumn="0" w:noHBand="0" w:noVBand="0"/>
      </w:tblPr>
      <w:tblGrid>
        <w:gridCol w:w="887"/>
        <w:gridCol w:w="1004"/>
        <w:gridCol w:w="1004"/>
        <w:gridCol w:w="759"/>
        <w:gridCol w:w="759"/>
      </w:tblGrid>
      <w:tr w:rsidR="007A1B5D" w:rsidRPr="007A1B5D" w14:paraId="4D052891" w14:textId="77777777" w:rsidTr="0003032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39E6455E" w14:textId="77777777" w:rsidR="007A1B5D" w:rsidRPr="0003032F" w:rsidRDefault="007A1B5D" w:rsidP="00574496">
            <w:pPr>
              <w:pStyle w:val="Compact"/>
              <w:spacing w:line="360" w:lineRule="auto"/>
              <w:jc w:val="center"/>
              <w:rPr>
                <w:rFonts w:ascii="Times New Roman" w:hAnsi="Times New Roman" w:cs="Times New Roman"/>
                <w:b/>
                <w:bCs/>
                <w:sz w:val="21"/>
                <w:szCs w:val="21"/>
              </w:rPr>
            </w:pPr>
            <w:r w:rsidRPr="0003032F">
              <w:rPr>
                <w:rFonts w:ascii="Times New Roman" w:hAnsi="Times New Roman" w:cs="Times New Roman"/>
                <w:b/>
                <w:bCs/>
                <w:sz w:val="21"/>
                <w:szCs w:val="21"/>
              </w:rPr>
              <w:t>Years</w:t>
            </w:r>
          </w:p>
        </w:tc>
        <w:tc>
          <w:tcPr>
            <w:tcW w:w="0" w:type="auto"/>
            <w:tcBorders>
              <w:top w:val="single" w:sz="4" w:space="0" w:color="auto"/>
              <w:bottom w:val="single" w:sz="2" w:space="0" w:color="auto"/>
            </w:tcBorders>
          </w:tcPr>
          <w:p w14:paraId="51FFF3A6" w14:textId="77777777" w:rsidR="007A1B5D" w:rsidRPr="0003032F" w:rsidRDefault="007A1B5D" w:rsidP="00574496">
            <w:pPr>
              <w:pStyle w:val="Compact"/>
              <w:spacing w:line="360" w:lineRule="auto"/>
              <w:jc w:val="center"/>
              <w:rPr>
                <w:rFonts w:ascii="Times New Roman" w:hAnsi="Times New Roman" w:cs="Times New Roman"/>
                <w:b/>
                <w:bCs/>
                <w:sz w:val="21"/>
                <w:szCs w:val="21"/>
              </w:rPr>
            </w:pPr>
            <w:proofErr w:type="spellStart"/>
            <w:r w:rsidRPr="0003032F">
              <w:rPr>
                <w:rFonts w:ascii="Times New Roman" w:hAnsi="Times New Roman" w:cs="Times New Roman"/>
                <w:b/>
                <w:bCs/>
                <w:sz w:val="21"/>
                <w:szCs w:val="21"/>
              </w:rPr>
              <w:t>Coef</w:t>
            </w:r>
            <w:proofErr w:type="spellEnd"/>
          </w:p>
        </w:tc>
        <w:tc>
          <w:tcPr>
            <w:tcW w:w="0" w:type="auto"/>
            <w:tcBorders>
              <w:top w:val="single" w:sz="4" w:space="0" w:color="auto"/>
              <w:bottom w:val="single" w:sz="2" w:space="0" w:color="auto"/>
            </w:tcBorders>
          </w:tcPr>
          <w:p w14:paraId="6333129A" w14:textId="77777777" w:rsidR="007A1B5D" w:rsidRPr="0003032F" w:rsidRDefault="007A1B5D" w:rsidP="00574496">
            <w:pPr>
              <w:pStyle w:val="Compact"/>
              <w:spacing w:line="360" w:lineRule="auto"/>
              <w:jc w:val="center"/>
              <w:rPr>
                <w:rFonts w:ascii="Times New Roman" w:hAnsi="Times New Roman" w:cs="Times New Roman"/>
                <w:b/>
                <w:bCs/>
                <w:sz w:val="21"/>
                <w:szCs w:val="21"/>
              </w:rPr>
            </w:pPr>
            <w:r w:rsidRPr="0003032F">
              <w:rPr>
                <w:rFonts w:ascii="Times New Roman" w:hAnsi="Times New Roman" w:cs="Times New Roman"/>
                <w:b/>
                <w:bCs/>
                <w:sz w:val="21"/>
                <w:szCs w:val="21"/>
              </w:rPr>
              <w:t>Std. Err.</w:t>
            </w:r>
          </w:p>
        </w:tc>
        <w:tc>
          <w:tcPr>
            <w:tcW w:w="0" w:type="auto"/>
            <w:tcBorders>
              <w:top w:val="single" w:sz="4" w:space="0" w:color="auto"/>
              <w:bottom w:val="single" w:sz="2" w:space="0" w:color="auto"/>
            </w:tcBorders>
          </w:tcPr>
          <w:p w14:paraId="395D7BFB" w14:textId="30F67B7B" w:rsidR="007A1B5D" w:rsidRPr="0003032F" w:rsidRDefault="00574496" w:rsidP="00574496">
            <w:pPr>
              <w:pStyle w:val="Compact"/>
              <w:spacing w:line="360" w:lineRule="auto"/>
              <w:jc w:val="center"/>
              <w:rPr>
                <w:rFonts w:ascii="Times New Roman" w:hAnsi="Times New Roman" w:cs="Times New Roman"/>
                <w:b/>
                <w:bCs/>
                <w:sz w:val="21"/>
                <w:szCs w:val="21"/>
              </w:rPr>
            </w:pPr>
            <m:oMathPara>
              <m:oMath>
                <m:r>
                  <m:rPr>
                    <m:sty m:val="b"/>
                  </m:rPr>
                  <w:rPr>
                    <w:rFonts w:ascii="Cambria Math" w:hAnsi="Cambria Math" w:cs="Times New Roman"/>
                    <w:sz w:val="21"/>
                    <w:szCs w:val="21"/>
                  </w:rPr>
                  <m:t>2.5</m:t>
                </m:r>
              </m:oMath>
            </m:oMathPara>
          </w:p>
        </w:tc>
        <w:tc>
          <w:tcPr>
            <w:tcW w:w="0" w:type="auto"/>
            <w:tcBorders>
              <w:top w:val="single" w:sz="4" w:space="0" w:color="auto"/>
              <w:bottom w:val="single" w:sz="2" w:space="0" w:color="auto"/>
            </w:tcBorders>
          </w:tcPr>
          <w:p w14:paraId="526A2473" w14:textId="48567744" w:rsidR="007A1B5D" w:rsidRPr="0003032F" w:rsidRDefault="00574496" w:rsidP="00574496">
            <w:pPr>
              <w:pStyle w:val="Compact"/>
              <w:spacing w:line="360" w:lineRule="auto"/>
              <w:jc w:val="center"/>
              <w:rPr>
                <w:rFonts w:ascii="Times New Roman" w:hAnsi="Times New Roman" w:cs="Times New Roman"/>
                <w:b/>
                <w:bCs/>
                <w:sz w:val="21"/>
                <w:szCs w:val="21"/>
              </w:rPr>
            </w:pPr>
            <m:oMathPara>
              <m:oMath>
                <m:r>
                  <m:rPr>
                    <m:sty m:val="b"/>
                  </m:rPr>
                  <w:rPr>
                    <w:rFonts w:ascii="Cambria Math" w:hAnsi="Cambria Math" w:cs="Times New Roman"/>
                    <w:sz w:val="21"/>
                    <w:szCs w:val="21"/>
                  </w:rPr>
                  <m:t>97.5</m:t>
                </m:r>
              </m:oMath>
            </m:oMathPara>
          </w:p>
        </w:tc>
      </w:tr>
      <w:tr w:rsidR="007A1B5D" w:rsidRPr="007A1B5D" w14:paraId="2F17F684" w14:textId="77777777" w:rsidTr="0003032F">
        <w:trPr>
          <w:jc w:val="center"/>
        </w:trPr>
        <w:tc>
          <w:tcPr>
            <w:tcW w:w="0" w:type="auto"/>
            <w:tcBorders>
              <w:top w:val="single" w:sz="2" w:space="0" w:color="auto"/>
            </w:tcBorders>
          </w:tcPr>
          <w:p w14:paraId="59F225E1"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-7 years</w:t>
            </w:r>
          </w:p>
        </w:tc>
        <w:tc>
          <w:tcPr>
            <w:tcW w:w="0" w:type="auto"/>
            <w:tcBorders>
              <w:top w:val="single" w:sz="2" w:space="0" w:color="auto"/>
            </w:tcBorders>
          </w:tcPr>
          <w:p w14:paraId="39A41576"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-0.069</w:t>
            </w:r>
          </w:p>
        </w:tc>
        <w:tc>
          <w:tcPr>
            <w:tcW w:w="0" w:type="auto"/>
            <w:tcBorders>
              <w:top w:val="single" w:sz="2" w:space="0" w:color="auto"/>
            </w:tcBorders>
          </w:tcPr>
          <w:p w14:paraId="66D818D8"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0.110</w:t>
            </w:r>
          </w:p>
        </w:tc>
        <w:tc>
          <w:tcPr>
            <w:tcW w:w="0" w:type="auto"/>
            <w:tcBorders>
              <w:top w:val="single" w:sz="2" w:space="0" w:color="auto"/>
            </w:tcBorders>
          </w:tcPr>
          <w:p w14:paraId="0B3E1387"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-0.289</w:t>
            </w:r>
          </w:p>
        </w:tc>
        <w:tc>
          <w:tcPr>
            <w:tcW w:w="0" w:type="auto"/>
            <w:tcBorders>
              <w:top w:val="single" w:sz="2" w:space="0" w:color="auto"/>
            </w:tcBorders>
          </w:tcPr>
          <w:p w14:paraId="677FDB96"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0.147</w:t>
            </w:r>
          </w:p>
        </w:tc>
      </w:tr>
      <w:tr w:rsidR="007A1B5D" w:rsidRPr="007A1B5D" w14:paraId="19C67317" w14:textId="77777777" w:rsidTr="0003032F">
        <w:trPr>
          <w:jc w:val="center"/>
        </w:trPr>
        <w:tc>
          <w:tcPr>
            <w:tcW w:w="0" w:type="auto"/>
          </w:tcPr>
          <w:p w14:paraId="4558E471"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-6 years</w:t>
            </w:r>
          </w:p>
        </w:tc>
        <w:tc>
          <w:tcPr>
            <w:tcW w:w="0" w:type="auto"/>
          </w:tcPr>
          <w:p w14:paraId="7E40AF9E"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0.253***</w:t>
            </w:r>
          </w:p>
        </w:tc>
        <w:tc>
          <w:tcPr>
            <w:tcW w:w="0" w:type="auto"/>
          </w:tcPr>
          <w:p w14:paraId="129E482C"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0.114</w:t>
            </w:r>
          </w:p>
        </w:tc>
        <w:tc>
          <w:tcPr>
            <w:tcW w:w="0" w:type="auto"/>
          </w:tcPr>
          <w:p w14:paraId="5D43788E"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0.044</w:t>
            </w:r>
          </w:p>
        </w:tc>
        <w:tc>
          <w:tcPr>
            <w:tcW w:w="0" w:type="auto"/>
          </w:tcPr>
          <w:p w14:paraId="0074BEC0"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0.476</w:t>
            </w:r>
          </w:p>
        </w:tc>
      </w:tr>
      <w:tr w:rsidR="007A1B5D" w:rsidRPr="007A1B5D" w14:paraId="1D5FF6EE" w14:textId="77777777" w:rsidTr="0003032F">
        <w:trPr>
          <w:jc w:val="center"/>
        </w:trPr>
        <w:tc>
          <w:tcPr>
            <w:tcW w:w="0" w:type="auto"/>
          </w:tcPr>
          <w:p w14:paraId="6D39FAB1"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-5 years</w:t>
            </w:r>
          </w:p>
        </w:tc>
        <w:tc>
          <w:tcPr>
            <w:tcW w:w="0" w:type="auto"/>
          </w:tcPr>
          <w:p w14:paraId="64534CA0"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-0.015</w:t>
            </w:r>
          </w:p>
        </w:tc>
        <w:tc>
          <w:tcPr>
            <w:tcW w:w="0" w:type="auto"/>
          </w:tcPr>
          <w:p w14:paraId="6AAF82FE"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0.070</w:t>
            </w:r>
          </w:p>
        </w:tc>
        <w:tc>
          <w:tcPr>
            <w:tcW w:w="0" w:type="auto"/>
          </w:tcPr>
          <w:p w14:paraId="6A41478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-0.151</w:t>
            </w:r>
          </w:p>
        </w:tc>
        <w:tc>
          <w:tcPr>
            <w:tcW w:w="0" w:type="auto"/>
          </w:tcPr>
          <w:p w14:paraId="6562E109"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0.123</w:t>
            </w:r>
          </w:p>
        </w:tc>
      </w:tr>
      <w:tr w:rsidR="007A1B5D" w:rsidRPr="007A1B5D" w14:paraId="4C348909" w14:textId="77777777" w:rsidTr="0003032F">
        <w:trPr>
          <w:jc w:val="center"/>
        </w:trPr>
        <w:tc>
          <w:tcPr>
            <w:tcW w:w="0" w:type="auto"/>
          </w:tcPr>
          <w:p w14:paraId="0590C814"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-4 years</w:t>
            </w:r>
          </w:p>
        </w:tc>
        <w:tc>
          <w:tcPr>
            <w:tcW w:w="0" w:type="auto"/>
          </w:tcPr>
          <w:p w14:paraId="1E5862E9"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-0.028</w:t>
            </w:r>
          </w:p>
        </w:tc>
        <w:tc>
          <w:tcPr>
            <w:tcW w:w="0" w:type="auto"/>
          </w:tcPr>
          <w:p w14:paraId="3FD74E99"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0.067</w:t>
            </w:r>
          </w:p>
        </w:tc>
        <w:tc>
          <w:tcPr>
            <w:tcW w:w="0" w:type="auto"/>
          </w:tcPr>
          <w:p w14:paraId="41EF2823"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-0.160</w:t>
            </w:r>
          </w:p>
        </w:tc>
        <w:tc>
          <w:tcPr>
            <w:tcW w:w="0" w:type="auto"/>
          </w:tcPr>
          <w:p w14:paraId="0EE3976A"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0.103</w:t>
            </w:r>
          </w:p>
        </w:tc>
      </w:tr>
      <w:tr w:rsidR="007A1B5D" w:rsidRPr="007A1B5D" w14:paraId="10AFC284" w14:textId="77777777" w:rsidTr="0003032F">
        <w:trPr>
          <w:jc w:val="center"/>
        </w:trPr>
        <w:tc>
          <w:tcPr>
            <w:tcW w:w="0" w:type="auto"/>
          </w:tcPr>
          <w:p w14:paraId="1679FBB5"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-3 years</w:t>
            </w:r>
          </w:p>
        </w:tc>
        <w:tc>
          <w:tcPr>
            <w:tcW w:w="0" w:type="auto"/>
          </w:tcPr>
          <w:p w14:paraId="60BA15A2"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0.008</w:t>
            </w:r>
          </w:p>
        </w:tc>
        <w:tc>
          <w:tcPr>
            <w:tcW w:w="0" w:type="auto"/>
          </w:tcPr>
          <w:p w14:paraId="5DDCE19C"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0.061</w:t>
            </w:r>
          </w:p>
        </w:tc>
        <w:tc>
          <w:tcPr>
            <w:tcW w:w="0" w:type="auto"/>
          </w:tcPr>
          <w:p w14:paraId="7DC7FDE0"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-0.105</w:t>
            </w:r>
          </w:p>
        </w:tc>
        <w:tc>
          <w:tcPr>
            <w:tcW w:w="0" w:type="auto"/>
          </w:tcPr>
          <w:p w14:paraId="7C638344"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0.127</w:t>
            </w:r>
          </w:p>
        </w:tc>
      </w:tr>
      <w:tr w:rsidR="007A1B5D" w:rsidRPr="007A1B5D" w14:paraId="058245B1" w14:textId="77777777" w:rsidTr="0003032F">
        <w:trPr>
          <w:jc w:val="center"/>
        </w:trPr>
        <w:tc>
          <w:tcPr>
            <w:tcW w:w="0" w:type="auto"/>
          </w:tcPr>
          <w:p w14:paraId="41C5EA57"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-2 years</w:t>
            </w:r>
          </w:p>
        </w:tc>
        <w:tc>
          <w:tcPr>
            <w:tcW w:w="0" w:type="auto"/>
          </w:tcPr>
          <w:p w14:paraId="60BBE1C5"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0.057</w:t>
            </w:r>
          </w:p>
        </w:tc>
        <w:tc>
          <w:tcPr>
            <w:tcW w:w="0" w:type="auto"/>
          </w:tcPr>
          <w:p w14:paraId="22D13E6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0.051</w:t>
            </w:r>
          </w:p>
        </w:tc>
        <w:tc>
          <w:tcPr>
            <w:tcW w:w="0" w:type="auto"/>
          </w:tcPr>
          <w:p w14:paraId="505498B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-0.046</w:t>
            </w:r>
          </w:p>
        </w:tc>
        <w:tc>
          <w:tcPr>
            <w:tcW w:w="0" w:type="auto"/>
          </w:tcPr>
          <w:p w14:paraId="58746CE4"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0.157</w:t>
            </w:r>
          </w:p>
        </w:tc>
      </w:tr>
      <w:tr w:rsidR="007A1B5D" w:rsidRPr="007A1B5D" w14:paraId="1D5B934C" w14:textId="77777777" w:rsidTr="0003032F">
        <w:trPr>
          <w:jc w:val="center"/>
        </w:trPr>
        <w:tc>
          <w:tcPr>
            <w:tcW w:w="0" w:type="auto"/>
          </w:tcPr>
          <w:p w14:paraId="71B84920"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-1 years</w:t>
            </w:r>
          </w:p>
        </w:tc>
        <w:tc>
          <w:tcPr>
            <w:tcW w:w="0" w:type="auto"/>
          </w:tcPr>
          <w:p w14:paraId="45DA48CF"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-0.113**</w:t>
            </w:r>
          </w:p>
        </w:tc>
        <w:tc>
          <w:tcPr>
            <w:tcW w:w="0" w:type="auto"/>
          </w:tcPr>
          <w:p w14:paraId="62281486"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0.054</w:t>
            </w:r>
          </w:p>
        </w:tc>
        <w:tc>
          <w:tcPr>
            <w:tcW w:w="0" w:type="auto"/>
          </w:tcPr>
          <w:p w14:paraId="36A84507"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-0.223</w:t>
            </w:r>
          </w:p>
        </w:tc>
        <w:tc>
          <w:tcPr>
            <w:tcW w:w="0" w:type="auto"/>
          </w:tcPr>
          <w:p w14:paraId="706CEA0B"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-0.006</w:t>
            </w:r>
          </w:p>
        </w:tc>
      </w:tr>
      <w:tr w:rsidR="007A1B5D" w:rsidRPr="007A1B5D" w14:paraId="65517A21" w14:textId="77777777" w:rsidTr="0003032F">
        <w:trPr>
          <w:jc w:val="center"/>
        </w:trPr>
        <w:tc>
          <w:tcPr>
            <w:tcW w:w="0" w:type="auto"/>
          </w:tcPr>
          <w:p w14:paraId="5D2E8248"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 years</w:t>
            </w:r>
          </w:p>
        </w:tc>
        <w:tc>
          <w:tcPr>
            <w:tcW w:w="0" w:type="auto"/>
          </w:tcPr>
          <w:p w14:paraId="5C48DC6C"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0.120**</w:t>
            </w:r>
          </w:p>
        </w:tc>
        <w:tc>
          <w:tcPr>
            <w:tcW w:w="0" w:type="auto"/>
          </w:tcPr>
          <w:p w14:paraId="723CF406"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0.046</w:t>
            </w:r>
          </w:p>
        </w:tc>
        <w:tc>
          <w:tcPr>
            <w:tcW w:w="0" w:type="auto"/>
          </w:tcPr>
          <w:p w14:paraId="276A6D63"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0.016</w:t>
            </w:r>
          </w:p>
        </w:tc>
        <w:tc>
          <w:tcPr>
            <w:tcW w:w="0" w:type="auto"/>
          </w:tcPr>
          <w:p w14:paraId="38F33553"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0.211</w:t>
            </w:r>
          </w:p>
        </w:tc>
      </w:tr>
      <w:tr w:rsidR="007A1B5D" w:rsidRPr="007A1B5D" w14:paraId="00E214BD" w14:textId="77777777" w:rsidTr="0003032F">
        <w:trPr>
          <w:jc w:val="center"/>
        </w:trPr>
        <w:tc>
          <w:tcPr>
            <w:tcW w:w="0" w:type="auto"/>
          </w:tcPr>
          <w:p w14:paraId="01C7410C"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1 years</w:t>
            </w:r>
          </w:p>
        </w:tc>
        <w:tc>
          <w:tcPr>
            <w:tcW w:w="0" w:type="auto"/>
          </w:tcPr>
          <w:p w14:paraId="541722E7"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0.122*</w:t>
            </w:r>
          </w:p>
        </w:tc>
        <w:tc>
          <w:tcPr>
            <w:tcW w:w="0" w:type="auto"/>
          </w:tcPr>
          <w:p w14:paraId="16A2E4F2"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0.061</w:t>
            </w:r>
          </w:p>
        </w:tc>
        <w:tc>
          <w:tcPr>
            <w:tcW w:w="0" w:type="auto"/>
          </w:tcPr>
          <w:p w14:paraId="0235C70C"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-0.002</w:t>
            </w:r>
          </w:p>
        </w:tc>
        <w:tc>
          <w:tcPr>
            <w:tcW w:w="0" w:type="auto"/>
          </w:tcPr>
          <w:p w14:paraId="6421D480"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0.242</w:t>
            </w:r>
          </w:p>
        </w:tc>
      </w:tr>
      <w:tr w:rsidR="007A1B5D" w:rsidRPr="007A1B5D" w14:paraId="50BE798B" w14:textId="77777777" w:rsidTr="0003032F">
        <w:trPr>
          <w:jc w:val="center"/>
        </w:trPr>
        <w:tc>
          <w:tcPr>
            <w:tcW w:w="0" w:type="auto"/>
          </w:tcPr>
          <w:p w14:paraId="7C423FCB"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2 years</w:t>
            </w:r>
          </w:p>
        </w:tc>
        <w:tc>
          <w:tcPr>
            <w:tcW w:w="0" w:type="auto"/>
          </w:tcPr>
          <w:p w14:paraId="1496443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0.144*</w:t>
            </w:r>
          </w:p>
        </w:tc>
        <w:tc>
          <w:tcPr>
            <w:tcW w:w="0" w:type="auto"/>
          </w:tcPr>
          <w:p w14:paraId="63C48FFB"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0.075</w:t>
            </w:r>
          </w:p>
        </w:tc>
        <w:tc>
          <w:tcPr>
            <w:tcW w:w="0" w:type="auto"/>
          </w:tcPr>
          <w:p w14:paraId="06D47664"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-0.003</w:t>
            </w:r>
          </w:p>
        </w:tc>
        <w:tc>
          <w:tcPr>
            <w:tcW w:w="0" w:type="auto"/>
          </w:tcPr>
          <w:p w14:paraId="1FCE8484"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0.291</w:t>
            </w:r>
          </w:p>
        </w:tc>
      </w:tr>
      <w:tr w:rsidR="007A1B5D" w:rsidRPr="007A1B5D" w14:paraId="3D0C9ED7" w14:textId="77777777" w:rsidTr="0003032F">
        <w:trPr>
          <w:jc w:val="center"/>
        </w:trPr>
        <w:tc>
          <w:tcPr>
            <w:tcW w:w="0" w:type="auto"/>
          </w:tcPr>
          <w:p w14:paraId="3649AF2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3 years</w:t>
            </w:r>
          </w:p>
        </w:tc>
        <w:tc>
          <w:tcPr>
            <w:tcW w:w="0" w:type="auto"/>
          </w:tcPr>
          <w:p w14:paraId="43D2177B"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0.113</w:t>
            </w:r>
          </w:p>
        </w:tc>
        <w:tc>
          <w:tcPr>
            <w:tcW w:w="0" w:type="auto"/>
          </w:tcPr>
          <w:p w14:paraId="6DDBA41F"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0.081</w:t>
            </w:r>
          </w:p>
        </w:tc>
        <w:tc>
          <w:tcPr>
            <w:tcW w:w="0" w:type="auto"/>
          </w:tcPr>
          <w:p w14:paraId="1E341C52"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-0.049</w:t>
            </w:r>
          </w:p>
        </w:tc>
        <w:tc>
          <w:tcPr>
            <w:tcW w:w="0" w:type="auto"/>
          </w:tcPr>
          <w:p w14:paraId="502F2E36"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0.272</w:t>
            </w:r>
          </w:p>
        </w:tc>
      </w:tr>
      <w:tr w:rsidR="007A1B5D" w:rsidRPr="007A1B5D" w14:paraId="5B9520E8" w14:textId="77777777" w:rsidTr="0003032F">
        <w:trPr>
          <w:jc w:val="center"/>
        </w:trPr>
        <w:tc>
          <w:tcPr>
            <w:tcW w:w="0" w:type="auto"/>
            <w:tcBorders>
              <w:bottom w:val="single" w:sz="4" w:space="0" w:color="auto"/>
            </w:tcBorders>
          </w:tcPr>
          <w:p w14:paraId="2836740D"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4 years</w:t>
            </w:r>
          </w:p>
        </w:tc>
        <w:tc>
          <w:tcPr>
            <w:tcW w:w="0" w:type="auto"/>
            <w:tcBorders>
              <w:bottom w:val="single" w:sz="4" w:space="0" w:color="auto"/>
            </w:tcBorders>
          </w:tcPr>
          <w:p w14:paraId="4C0ED74F"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0.165**</w:t>
            </w:r>
          </w:p>
        </w:tc>
        <w:tc>
          <w:tcPr>
            <w:tcW w:w="0" w:type="auto"/>
            <w:tcBorders>
              <w:bottom w:val="single" w:sz="4" w:space="0" w:color="auto"/>
            </w:tcBorders>
          </w:tcPr>
          <w:p w14:paraId="7066E191"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0.078</w:t>
            </w:r>
          </w:p>
        </w:tc>
        <w:tc>
          <w:tcPr>
            <w:tcW w:w="0" w:type="auto"/>
            <w:tcBorders>
              <w:bottom w:val="single" w:sz="4" w:space="0" w:color="auto"/>
            </w:tcBorders>
          </w:tcPr>
          <w:p w14:paraId="35E858C9"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0.011</w:t>
            </w:r>
          </w:p>
        </w:tc>
        <w:tc>
          <w:tcPr>
            <w:tcW w:w="0" w:type="auto"/>
            <w:tcBorders>
              <w:bottom w:val="single" w:sz="4" w:space="0" w:color="auto"/>
            </w:tcBorders>
          </w:tcPr>
          <w:p w14:paraId="2DA2DA15" w14:textId="77777777" w:rsidR="007A1B5D" w:rsidRPr="0003032F" w:rsidRDefault="007A1B5D" w:rsidP="00574496">
            <w:pPr>
              <w:pStyle w:val="Compact"/>
              <w:spacing w:line="360" w:lineRule="auto"/>
              <w:jc w:val="center"/>
              <w:rPr>
                <w:rFonts w:ascii="Times New Roman" w:hAnsi="Times New Roman" w:cs="Times New Roman"/>
                <w:sz w:val="21"/>
                <w:szCs w:val="21"/>
              </w:rPr>
            </w:pPr>
            <w:r w:rsidRPr="0003032F">
              <w:rPr>
                <w:rFonts w:ascii="Times New Roman" w:hAnsi="Times New Roman" w:cs="Times New Roman"/>
                <w:sz w:val="21"/>
                <w:szCs w:val="21"/>
              </w:rPr>
              <w:t>0.318</w:t>
            </w:r>
          </w:p>
        </w:tc>
      </w:tr>
    </w:tbl>
    <w:p w14:paraId="031C56DA" w14:textId="77777777" w:rsidR="007A1B5D" w:rsidRDefault="007A1B5D" w:rsidP="00A441D9">
      <w:pPr>
        <w:pStyle w:val="BodyText"/>
        <w:spacing w:line="360" w:lineRule="auto"/>
        <w:ind w:firstLine="708"/>
        <w:jc w:val="both"/>
      </w:pPr>
      <w:r w:rsidRPr="007A1B5D">
        <w:lastRenderedPageBreak/>
        <w:t xml:space="preserve">Although the pre-treatment period exhibits some volatility, the structural break in coefficients following adoption suggests a meaningful impact of Castle Doctrine laws. The sustained increase in homicide rates post-treatment aligns with theoretical expectations and corroborates prior empirical findings. Furthermore, the robustness of the overall DML </w:t>
      </w:r>
      <w:proofErr w:type="spellStart"/>
      <w:r w:rsidRPr="007A1B5D">
        <w:t>DiD</w:t>
      </w:r>
      <w:proofErr w:type="spellEnd"/>
      <w:r w:rsidRPr="007A1B5D">
        <w:t xml:space="preserve"> estimate, which aggregates these dynamic effects, supports the conclusion of a positive causal effect. While the pre-trends warrant a cautious interpretation, the contrast between the noisy pre-period and the consistently positive post-period provides evidence that the laws contributed to higher homicide rates. Future research could explore additional robustness checks or alternative specifications to further validate these findings.</w:t>
      </w:r>
    </w:p>
    <w:p w14:paraId="169E7B9D" w14:textId="77777777" w:rsidR="00385CC7" w:rsidRDefault="00385CC7" w:rsidP="007A1B5D">
      <w:pPr>
        <w:pStyle w:val="BodyText"/>
        <w:spacing w:line="360" w:lineRule="auto"/>
        <w:jc w:val="both"/>
      </w:pPr>
    </w:p>
    <w:p w14:paraId="0313F123" w14:textId="77777777" w:rsidR="00385CC7" w:rsidRDefault="00385CC7" w:rsidP="007A1B5D">
      <w:pPr>
        <w:pStyle w:val="BodyText"/>
        <w:spacing w:line="360" w:lineRule="auto"/>
        <w:jc w:val="both"/>
      </w:pPr>
    </w:p>
    <w:p w14:paraId="7B20E0FF" w14:textId="77777777" w:rsidR="00385CC7" w:rsidRDefault="00385CC7" w:rsidP="007A1B5D">
      <w:pPr>
        <w:pStyle w:val="BodyText"/>
        <w:spacing w:line="360" w:lineRule="auto"/>
        <w:jc w:val="both"/>
      </w:pPr>
    </w:p>
    <w:p w14:paraId="77A383DB" w14:textId="77777777" w:rsidR="00385CC7" w:rsidRDefault="00385CC7" w:rsidP="007A1B5D">
      <w:pPr>
        <w:pStyle w:val="BodyText"/>
        <w:spacing w:line="360" w:lineRule="auto"/>
        <w:jc w:val="both"/>
      </w:pPr>
    </w:p>
    <w:p w14:paraId="28FC6076" w14:textId="77777777" w:rsidR="00385CC7" w:rsidRDefault="00385CC7" w:rsidP="007A1B5D">
      <w:pPr>
        <w:pStyle w:val="BodyText"/>
        <w:spacing w:line="360" w:lineRule="auto"/>
        <w:jc w:val="both"/>
      </w:pPr>
    </w:p>
    <w:p w14:paraId="7FAC2DC6" w14:textId="77777777" w:rsidR="00385CC7" w:rsidRDefault="00385CC7" w:rsidP="007A1B5D">
      <w:pPr>
        <w:pStyle w:val="BodyText"/>
        <w:spacing w:line="360" w:lineRule="auto"/>
        <w:jc w:val="both"/>
      </w:pPr>
    </w:p>
    <w:p w14:paraId="42CAA721" w14:textId="77777777" w:rsidR="00385CC7" w:rsidRDefault="00385CC7" w:rsidP="007A1B5D">
      <w:pPr>
        <w:pStyle w:val="BodyText"/>
        <w:spacing w:line="360" w:lineRule="auto"/>
        <w:jc w:val="both"/>
      </w:pPr>
    </w:p>
    <w:p w14:paraId="4A7640A6" w14:textId="77777777" w:rsidR="00385CC7" w:rsidRPr="007A1B5D" w:rsidRDefault="00385CC7" w:rsidP="007A1B5D">
      <w:pPr>
        <w:pStyle w:val="BodyText"/>
        <w:spacing w:line="360" w:lineRule="auto"/>
        <w:jc w:val="both"/>
      </w:pPr>
    </w:p>
    <w:p w14:paraId="600F82DA" w14:textId="77777777" w:rsidR="0099763D" w:rsidRDefault="0099763D">
      <w:pPr>
        <w:spacing w:after="200" w:line="276" w:lineRule="auto"/>
        <w:rPr>
          <w:b/>
          <w:bCs/>
          <w:color w:val="000000" w:themeColor="text1"/>
          <w:sz w:val="28"/>
          <w:szCs w:val="28"/>
        </w:rPr>
      </w:pPr>
      <w:bookmarkStart w:id="99" w:name="chapter-5-conclusion"/>
      <w:bookmarkEnd w:id="80"/>
      <w:bookmarkEnd w:id="92"/>
      <w:bookmarkEnd w:id="98"/>
      <w:r>
        <w:rPr>
          <w:b/>
          <w:bCs/>
          <w:color w:val="000000" w:themeColor="text1"/>
          <w:sz w:val="28"/>
          <w:szCs w:val="28"/>
        </w:rPr>
        <w:br w:type="page"/>
      </w:r>
    </w:p>
    <w:p w14:paraId="7498161D" w14:textId="24DA26CE" w:rsidR="007A1B5D" w:rsidRPr="0099763D" w:rsidRDefault="007A1B5D" w:rsidP="00EB6242">
      <w:pPr>
        <w:pStyle w:val="Heading1"/>
      </w:pPr>
      <w:bookmarkStart w:id="100" w:name="_Toc227873415"/>
      <w:r w:rsidRPr="007A1B5D">
        <w:lastRenderedPageBreak/>
        <w:t>6</w:t>
      </w:r>
      <w:r>
        <w:t>.</w:t>
      </w:r>
      <w:r w:rsidRPr="007A1B5D">
        <w:t xml:space="preserve"> Conclusion</w:t>
      </w:r>
      <w:bookmarkEnd w:id="100"/>
    </w:p>
    <w:p w14:paraId="09954DF9" w14:textId="77777777" w:rsidR="007A1B5D" w:rsidRPr="007A1B5D" w:rsidRDefault="007A1B5D" w:rsidP="00A441D9">
      <w:pPr>
        <w:pStyle w:val="FirstParagraph"/>
        <w:spacing w:line="360" w:lineRule="auto"/>
        <w:ind w:firstLine="708"/>
        <w:jc w:val="both"/>
        <w:rPr>
          <w:rFonts w:ascii="Times New Roman" w:hAnsi="Times New Roman" w:cs="Times New Roman"/>
        </w:rPr>
      </w:pPr>
      <w:r w:rsidRPr="007A1B5D">
        <w:rPr>
          <w:rFonts w:ascii="Times New Roman" w:hAnsi="Times New Roman" w:cs="Times New Roman"/>
        </w:rPr>
        <w:t>This thesis has explored the integration of Double Machine Learning (DML) techniques within the Difference-in-Differences (</w:t>
      </w:r>
      <w:proofErr w:type="spellStart"/>
      <w:r w:rsidRPr="007A1B5D">
        <w:rPr>
          <w:rFonts w:ascii="Times New Roman" w:hAnsi="Times New Roman" w:cs="Times New Roman"/>
        </w:rPr>
        <w:t>DiD</w:t>
      </w:r>
      <w:proofErr w:type="spellEnd"/>
      <w:r w:rsidRPr="007A1B5D">
        <w:rPr>
          <w:rFonts w:ascii="Times New Roman" w:hAnsi="Times New Roman" w:cs="Times New Roman"/>
        </w:rPr>
        <w:t>) framework, assessing their potential to enhance causal inference in econometric analyses. By leveraging the predictive power of machine learning algorithms while preserving the interpretability of traditional econometric parameters, DML offers a robust alternative for researchers navigating complex, high-dimensional data settings.</w:t>
      </w:r>
    </w:p>
    <w:p w14:paraId="3FDD1177" w14:textId="77777777" w:rsidR="007A1B5D" w:rsidRPr="007A1B5D" w:rsidRDefault="007A1B5D" w:rsidP="00A441D9">
      <w:pPr>
        <w:pStyle w:val="BodyText"/>
        <w:spacing w:line="360" w:lineRule="auto"/>
        <w:ind w:firstLine="708"/>
        <w:jc w:val="both"/>
      </w:pPr>
      <w:r w:rsidRPr="007A1B5D">
        <w:t>The empirical applications provided a comparative analysis of DML-</w:t>
      </w:r>
      <w:proofErr w:type="spellStart"/>
      <w:r w:rsidRPr="007A1B5D">
        <w:t>DiD</w:t>
      </w:r>
      <w:proofErr w:type="spellEnd"/>
      <w:r w:rsidRPr="007A1B5D">
        <w:t xml:space="preserve"> against traditional Two-Way Fixed Effects (TWFE) estimators. In the canonical single-period treatment setting (fracking regulation), both methods yielded nearly identical results. This suggests that when the data generating process is relatively simple and the set of controls is small, traditional linear specifications remain adequate. However, in the more complex staggered adoption setting (Castle Doctrine laws), the methods diverged significantly. While TWFE failed to detect a significant effect, the DML-</w:t>
      </w:r>
      <w:proofErr w:type="spellStart"/>
      <w:r w:rsidRPr="007A1B5D">
        <w:t>DiD</w:t>
      </w:r>
      <w:proofErr w:type="spellEnd"/>
      <w:r w:rsidRPr="007A1B5D">
        <w:t xml:space="preserve"> estimator uncovered a positive and statistically significant impact on homicide rates. This contrast highlights the specific value of DML: its ability to flexibly model nonlinear nuisance functions and handle complex treatment dynamics where rigid linear assumptions may fail.</w:t>
      </w:r>
    </w:p>
    <w:p w14:paraId="73F4207B" w14:textId="4E1BD31D" w:rsidR="00B70752" w:rsidRDefault="007A1B5D" w:rsidP="00A441D9">
      <w:pPr>
        <w:pStyle w:val="BodyText"/>
        <w:spacing w:line="360" w:lineRule="auto"/>
        <w:ind w:firstLine="708"/>
        <w:jc w:val="both"/>
      </w:pPr>
      <w:r w:rsidRPr="007A1B5D">
        <w:t xml:space="preserve">These findings underscore that while DML is not a panacea, it is a critical tool for modern applied econometrics, particularly when theoretical guidance on functional forms is limited. Nevertheless, as noted by </w:t>
      </w:r>
      <w:bookmarkStart w:id="101" w:name="_Hlk227795606"/>
      <w:r w:rsidRPr="007A1B5D">
        <w:t>Pritchett</w:t>
      </w:r>
      <w:bookmarkEnd w:id="101"/>
      <w:r w:rsidR="004656B7">
        <w:t xml:space="preserve"> </w:t>
      </w:r>
      <w:r w:rsidR="004656B7">
        <w:fldChar w:fldCharType="begin"/>
      </w:r>
      <w:r w:rsidR="004656B7">
        <w:instrText xml:space="preserve"> ADDIN ZOTERO_ITEM CSL_CITATION {"citationID":"NMVvh3i1","properties":{"unsorted":false,"formattedCitation":"(2024)","plainCitation":"(2024)","noteIndex":0},"citationItems":[{"id":36,"uris":["http://zotero.org/users/local/ik3vdrlJ/items/KKEZ6IIZ"],"itemData":{"id":36,"type":"article-journal","abstract":"Abstract A popular interpretation of “evidence-based” decision-making is “rely (only) on the rigorous evidence” (RORE) via “systematic” reviews that: use objective protocols to generating the potentially relevant papers from the literature; then filter those to retain only the small subset that provide impact estimates regarded as “rigorous”; and summarize only those estimates. I use two sets of cross-country impact estimates—on wage gains for migrants and private school learning gains—to illustrate this seemingly attractive approach is both empirically and conceptually unsound. First, the cross-country variation in the rigorous estimates of impact is very large, which implies the average(s) from a systematic review is of little predictive use. In both empirical examples the “systematic review of the rigorous estimates” approach leads to worse predictions of impact across countries than the naïve use of country-specific ordinary least squares estimates. Second, I contrast a systematic review—RORE approach with an “understanding” approach—which seeks to encompass all of the available evidence into coherent understandings in forming judgments. In both examples the notion that the impact effects are constant across countries—“external validity”—is easily rejected. Insisting on privileged reliance on “rigorous” estimates in making context-specific decisions is logically incoherent and deeply anti-scientific.","container-title":"Review of Development Economics","DOI":"https://doi.org/10.1111/rode.13037","issue":"4","note":"_eprint: https://onlinelibrary.wiley.com/doi/pdf/10.1111/rode.13037","page":"2034-2058","title":"“Rely (only) on the rigorous evidence” is bad advice","volume":"28","author":[{"family":"Pritchett","given":"Lant"}],"issued":{"date-parts":[["2024"]]}},"suppress-author":true}],"schema":"https://github.com/citation-style-language/schema/raw/master/csl-citation.json"} </w:instrText>
      </w:r>
      <w:r w:rsidR="004656B7">
        <w:fldChar w:fldCharType="separate"/>
      </w:r>
      <w:r w:rsidR="004656B7">
        <w:rPr>
          <w:noProof/>
        </w:rPr>
        <w:t>(2024)</w:t>
      </w:r>
      <w:r w:rsidR="004656B7">
        <w:fldChar w:fldCharType="end"/>
      </w:r>
      <w:r w:rsidRPr="007A1B5D">
        <w:t>, methodological sophistication cannot substitute for external validity or a deep understanding of the institutional context. DML should therefore be viewed not as a replacement for economic intuition, but as a powerful complement that improves the precision and credibility of causal estimates within a well-defined identification strategy.</w:t>
      </w:r>
      <w:bookmarkStart w:id="102" w:name="references"/>
    </w:p>
    <w:p w14:paraId="1DF53F31" w14:textId="77777777" w:rsidR="00404256" w:rsidRPr="00404256" w:rsidRDefault="00404256" w:rsidP="00404256"/>
    <w:p w14:paraId="419B2B27" w14:textId="77777777" w:rsidR="00E97ABC" w:rsidRDefault="00E97ABC">
      <w:pPr>
        <w:spacing w:after="200" w:line="276" w:lineRule="auto"/>
        <w:rPr>
          <w:rFonts w:eastAsiaTheme="majorEastAsia"/>
          <w:color w:val="365F91" w:themeColor="accent1" w:themeShade="BF"/>
          <w:sz w:val="32"/>
          <w:szCs w:val="32"/>
        </w:rPr>
      </w:pPr>
      <w:r>
        <w:br w:type="page"/>
      </w:r>
    </w:p>
    <w:p w14:paraId="6FC3BBD3" w14:textId="321DF05F" w:rsidR="007A1B5D" w:rsidRPr="00E97ABC" w:rsidRDefault="007A1B5D" w:rsidP="00EB6242">
      <w:pPr>
        <w:pStyle w:val="Heading1"/>
      </w:pPr>
      <w:bookmarkStart w:id="103" w:name="_Toc227873416"/>
      <w:r w:rsidRPr="00E97ABC">
        <w:lastRenderedPageBreak/>
        <w:t>References</w:t>
      </w:r>
      <w:bookmarkEnd w:id="103"/>
    </w:p>
    <w:bookmarkEnd w:id="102"/>
    <w:p w14:paraId="4C1E44CD" w14:textId="77777777" w:rsidR="004656B7" w:rsidRPr="004656B7" w:rsidRDefault="007A1B5D" w:rsidP="004656B7">
      <w:pPr>
        <w:pStyle w:val="Bibliography"/>
        <w:rPr>
          <w:rFonts w:ascii="Times New Roman" w:eastAsiaTheme="minorHAnsi" w:hAnsi="Times New Roman" w:cs="Times New Roman"/>
        </w:rPr>
      </w:pPr>
      <w:r w:rsidRPr="007A1B5D">
        <w:rPr>
          <w:rFonts w:ascii="Times New Roman" w:hAnsi="Times New Roman" w:cs="Times New Roman"/>
        </w:rPr>
        <w:fldChar w:fldCharType="begin"/>
      </w:r>
      <w:r w:rsidRPr="007A1B5D">
        <w:rPr>
          <w:rFonts w:ascii="Times New Roman" w:hAnsi="Times New Roman" w:cs="Times New Roman"/>
        </w:rPr>
        <w:instrText xml:space="preserve"> ADDIN ZOTERO_BIBL {"uncited":[],"omitted":[],"custom":[]} CSL_BIBLIOGRAPHY </w:instrText>
      </w:r>
      <w:r w:rsidRPr="007A1B5D">
        <w:rPr>
          <w:rFonts w:ascii="Times New Roman" w:hAnsi="Times New Roman" w:cs="Times New Roman"/>
        </w:rPr>
        <w:fldChar w:fldCharType="separate"/>
      </w:r>
      <w:r w:rsidR="004656B7" w:rsidRPr="004656B7">
        <w:rPr>
          <w:rFonts w:ascii="Times New Roman" w:eastAsiaTheme="minorHAnsi" w:hAnsi="Times New Roman" w:cs="Times New Roman"/>
        </w:rPr>
        <w:t xml:space="preserve">Breiman, L. (2001a). Random Forests. </w:t>
      </w:r>
      <w:r w:rsidR="004656B7" w:rsidRPr="004656B7">
        <w:rPr>
          <w:rFonts w:ascii="Times New Roman" w:eastAsiaTheme="minorHAnsi" w:hAnsi="Times New Roman" w:cs="Times New Roman"/>
          <w:i/>
          <w:iCs/>
        </w:rPr>
        <w:t>Machine Learning</w:t>
      </w:r>
      <w:r w:rsidR="004656B7" w:rsidRPr="004656B7">
        <w:rPr>
          <w:rFonts w:ascii="Times New Roman" w:eastAsiaTheme="minorHAnsi" w:hAnsi="Times New Roman" w:cs="Times New Roman"/>
        </w:rPr>
        <w:t xml:space="preserve">, </w:t>
      </w:r>
      <w:r w:rsidR="004656B7" w:rsidRPr="004656B7">
        <w:rPr>
          <w:rFonts w:ascii="Times New Roman" w:eastAsiaTheme="minorHAnsi" w:hAnsi="Times New Roman" w:cs="Times New Roman"/>
          <w:i/>
          <w:iCs/>
        </w:rPr>
        <w:t>45</w:t>
      </w:r>
      <w:r w:rsidR="004656B7" w:rsidRPr="004656B7">
        <w:rPr>
          <w:rFonts w:ascii="Times New Roman" w:eastAsiaTheme="minorHAnsi" w:hAnsi="Times New Roman" w:cs="Times New Roman"/>
        </w:rPr>
        <w:t>(1), 5–32. https://doi.org/10.1023/A:1010933404324</w:t>
      </w:r>
    </w:p>
    <w:p w14:paraId="404249C2"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Breiman, L. (2001b). Statistical Modeling: The Two Cultures (with comments and a rejoinder by the author). </w:t>
      </w:r>
      <w:r w:rsidRPr="004656B7">
        <w:rPr>
          <w:rFonts w:ascii="Times New Roman" w:eastAsiaTheme="minorHAnsi" w:hAnsi="Times New Roman" w:cs="Times New Roman"/>
          <w:i/>
          <w:iCs/>
        </w:rPr>
        <w:t>Statistical Science</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16</w:t>
      </w:r>
      <w:r w:rsidRPr="004656B7">
        <w:rPr>
          <w:rFonts w:ascii="Times New Roman" w:eastAsiaTheme="minorHAnsi" w:hAnsi="Times New Roman" w:cs="Times New Roman"/>
        </w:rPr>
        <w:t>(3), 199–231. https://doi.org/10.1214/ss/1009213726</w:t>
      </w:r>
    </w:p>
    <w:p w14:paraId="4A1476C9"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Callaway, B., &amp; Santa’Anna, P. H. C. (2021). Difference-in-Differences with multiple time periods. </w:t>
      </w:r>
      <w:r w:rsidRPr="004656B7">
        <w:rPr>
          <w:rFonts w:ascii="Times New Roman" w:eastAsiaTheme="minorHAnsi" w:hAnsi="Times New Roman" w:cs="Times New Roman"/>
          <w:i/>
          <w:iCs/>
        </w:rPr>
        <w:t>Journal of Econometrics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225</w:t>
      </w:r>
      <w:r w:rsidRPr="004656B7">
        <w:rPr>
          <w:rFonts w:ascii="Times New Roman" w:eastAsiaTheme="minorHAnsi" w:hAnsi="Times New Roman" w:cs="Times New Roman"/>
        </w:rPr>
        <w:t>(2), 200–230. https://doi.org/10.1016/j.jeconom.2020.12.001</w:t>
      </w:r>
    </w:p>
    <w:p w14:paraId="0E1DD8A9"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Chang, N.-C. (2020). Double/debiased machine learning for difference-in-differences models. </w:t>
      </w:r>
      <w:r w:rsidRPr="004656B7">
        <w:rPr>
          <w:rFonts w:ascii="Times New Roman" w:eastAsiaTheme="minorHAnsi" w:hAnsi="Times New Roman" w:cs="Times New Roman"/>
          <w:i/>
          <w:iCs/>
        </w:rPr>
        <w:t>The Econometrics Journal</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23</w:t>
      </w:r>
      <w:r w:rsidRPr="004656B7">
        <w:rPr>
          <w:rFonts w:ascii="Times New Roman" w:eastAsiaTheme="minorHAnsi" w:hAnsi="Times New Roman" w:cs="Times New Roman"/>
        </w:rPr>
        <w:t>(2), 177–191. https://doi.org/10.1093/ectj/utaa001</w:t>
      </w:r>
    </w:p>
    <w:p w14:paraId="2A0D847E"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Cheng, C., &amp; Hoekstra, M. (2013). Does Strengthening Self-Defense Law Deter Crime or Escalate Violence? Evidence from Expansions to Castle Doctrine. </w:t>
      </w:r>
      <w:r w:rsidRPr="004656B7">
        <w:rPr>
          <w:rFonts w:ascii="Times New Roman" w:eastAsiaTheme="minorHAnsi" w:hAnsi="Times New Roman" w:cs="Times New Roman"/>
          <w:i/>
          <w:iCs/>
        </w:rPr>
        <w:t>The Journal of Human Resources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48</w:t>
      </w:r>
      <w:r w:rsidRPr="004656B7">
        <w:rPr>
          <w:rFonts w:ascii="Times New Roman" w:eastAsiaTheme="minorHAnsi" w:hAnsi="Times New Roman" w:cs="Times New Roman"/>
        </w:rPr>
        <w:t>(3), 821–853.</w:t>
      </w:r>
    </w:p>
    <w:p w14:paraId="63A098FB"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Chernozhukov, V., Chetverikov, D., Demirer, M., Duflo, E., Hansen, C., Newey, W., &amp; Robins, J. (2018). Double/debiased machine learning for treatment and structural parameters. </w:t>
      </w:r>
      <w:r w:rsidRPr="004656B7">
        <w:rPr>
          <w:rFonts w:ascii="Times New Roman" w:eastAsiaTheme="minorHAnsi" w:hAnsi="Times New Roman" w:cs="Times New Roman"/>
          <w:i/>
          <w:iCs/>
        </w:rPr>
        <w:t>The Econometrics Journal</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21</w:t>
      </w:r>
      <w:r w:rsidRPr="004656B7">
        <w:rPr>
          <w:rFonts w:ascii="Times New Roman" w:eastAsiaTheme="minorHAnsi" w:hAnsi="Times New Roman" w:cs="Times New Roman"/>
        </w:rPr>
        <w:t>(1), C1–C68. https://doi.org/10.1111/ectj.12097</w:t>
      </w:r>
    </w:p>
    <w:p w14:paraId="2319D2C4"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Cunningham, S. (2021). </w:t>
      </w:r>
      <w:r w:rsidRPr="004656B7">
        <w:rPr>
          <w:rFonts w:ascii="Times New Roman" w:eastAsiaTheme="minorHAnsi" w:hAnsi="Times New Roman" w:cs="Times New Roman"/>
          <w:i/>
          <w:iCs/>
        </w:rPr>
        <w:t>Causal Inference: The Mixtape</w:t>
      </w:r>
      <w:r w:rsidRPr="004656B7">
        <w:rPr>
          <w:rFonts w:ascii="Times New Roman" w:eastAsiaTheme="minorHAnsi" w:hAnsi="Times New Roman" w:cs="Times New Roman"/>
        </w:rPr>
        <w:t>. Yale University Press. http://www.jstor.org/stable/j.ctv1c29t27</w:t>
      </w:r>
    </w:p>
    <w:p w14:paraId="30B76D2A"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Desai, A. (2023). </w:t>
      </w:r>
      <w:r w:rsidRPr="004656B7">
        <w:rPr>
          <w:rFonts w:ascii="Times New Roman" w:eastAsiaTheme="minorHAnsi" w:hAnsi="Times New Roman" w:cs="Times New Roman"/>
          <w:i/>
          <w:iCs/>
        </w:rPr>
        <w:t>Machine Learning for Economics Research: When What and How?</w:t>
      </w:r>
      <w:r w:rsidRPr="004656B7">
        <w:rPr>
          <w:rFonts w:ascii="Times New Roman" w:eastAsiaTheme="minorHAnsi" w:hAnsi="Times New Roman" w:cs="Times New Roman"/>
        </w:rPr>
        <w:t xml:space="preserve"> [Papers]. SSRN. https://doi.org/10.2139/ssrn.4404772</w:t>
      </w:r>
    </w:p>
    <w:p w14:paraId="07E3B46F"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lastRenderedPageBreak/>
        <w:t xml:space="preserve">Friedman, J. H. (2001). Greedy function approximation: A gradient boosting machine. </w:t>
      </w:r>
      <w:r w:rsidRPr="004656B7">
        <w:rPr>
          <w:rFonts w:ascii="Times New Roman" w:eastAsiaTheme="minorHAnsi" w:hAnsi="Times New Roman" w:cs="Times New Roman"/>
          <w:i/>
          <w:iCs/>
        </w:rPr>
        <w:t>The Annals of Statistics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29</w:t>
      </w:r>
      <w:r w:rsidRPr="004656B7">
        <w:rPr>
          <w:rFonts w:ascii="Times New Roman" w:eastAsiaTheme="minorHAnsi" w:hAnsi="Times New Roman" w:cs="Times New Roman"/>
        </w:rPr>
        <w:t>(5), 1189–1232. https://doi.org/10.1214/aos/1013203451</w:t>
      </w:r>
    </w:p>
    <w:p w14:paraId="458DC770"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González, J. P. (2025). Environmental regulation, regulatory spillovers and rent-seeking. </w:t>
      </w:r>
      <w:r w:rsidRPr="004656B7">
        <w:rPr>
          <w:rFonts w:ascii="Times New Roman" w:eastAsiaTheme="minorHAnsi" w:hAnsi="Times New Roman" w:cs="Times New Roman"/>
          <w:i/>
          <w:iCs/>
        </w:rPr>
        <w:t>Public Choice</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202</w:t>
      </w:r>
      <w:r w:rsidRPr="004656B7">
        <w:rPr>
          <w:rFonts w:ascii="Times New Roman" w:eastAsiaTheme="minorHAnsi" w:hAnsi="Times New Roman" w:cs="Times New Roman"/>
        </w:rPr>
        <w:t>(1), 217–250. https://doi.org/10.1007/s11127-024-01189-7</w:t>
      </w:r>
    </w:p>
    <w:p w14:paraId="6B28E79B"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Goodman-Bacon, A. (2021). Difference-in-differences with variation in treatment timing. </w:t>
      </w:r>
      <w:r w:rsidRPr="004656B7">
        <w:rPr>
          <w:rFonts w:ascii="Times New Roman" w:eastAsiaTheme="minorHAnsi" w:hAnsi="Times New Roman" w:cs="Times New Roman"/>
          <w:i/>
          <w:iCs/>
        </w:rPr>
        <w:t>Journal of Econometrics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225</w:t>
      </w:r>
      <w:r w:rsidRPr="004656B7">
        <w:rPr>
          <w:rFonts w:ascii="Times New Roman" w:eastAsiaTheme="minorHAnsi" w:hAnsi="Times New Roman" w:cs="Times New Roman"/>
        </w:rPr>
        <w:t>(2), 254–277. https://doi.org/10.1016/j.jeconom.2021.03.014</w:t>
      </w:r>
    </w:p>
    <w:p w14:paraId="1B4A0FEF"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Hatamyar, J., Kreif, N., Rocha, R., &amp; Huber, M. (2023). </w:t>
      </w:r>
      <w:r w:rsidRPr="004656B7">
        <w:rPr>
          <w:rFonts w:ascii="Times New Roman" w:eastAsiaTheme="minorHAnsi" w:hAnsi="Times New Roman" w:cs="Times New Roman"/>
          <w:i/>
          <w:iCs/>
        </w:rPr>
        <w:t>Machine Learning for Staggered Difference-in-Differences and Dynamic Treatment Effect Heterogeneity</w:t>
      </w:r>
      <w:r w:rsidRPr="004656B7">
        <w:rPr>
          <w:rFonts w:ascii="Times New Roman" w:eastAsiaTheme="minorHAnsi" w:hAnsi="Times New Roman" w:cs="Times New Roman"/>
        </w:rPr>
        <w:t xml:space="preserve"> (arXiv:2310.11962). arXiv. https://doi.org/10.48550/arXiv.2310.11962</w:t>
      </w:r>
    </w:p>
    <w:p w14:paraId="03520996"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Ke, G., Meng, Q., Finley, T., Wang, T., Chen, W., Ma, W., Ye, Q., &amp; Liu, T.-Y. (2017). LightGBM: a highly efficient gradient boosting decision tree. </w:t>
      </w:r>
      <w:r w:rsidRPr="004656B7">
        <w:rPr>
          <w:rFonts w:ascii="Times New Roman" w:eastAsiaTheme="minorHAnsi" w:hAnsi="Times New Roman" w:cs="Times New Roman"/>
          <w:i/>
          <w:iCs/>
        </w:rPr>
        <w:t>Proceedings of the 31st International Conference on Neural Information Processing Systems, NIPS’17</w:t>
      </w:r>
      <w:r w:rsidRPr="004656B7">
        <w:rPr>
          <w:rFonts w:ascii="Times New Roman" w:eastAsiaTheme="minorHAnsi" w:hAnsi="Times New Roman" w:cs="Times New Roman"/>
        </w:rPr>
        <w:t>, 3149–3157.</w:t>
      </w:r>
    </w:p>
    <w:p w14:paraId="7D467716"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Molnar, C. (2025). </w:t>
      </w:r>
      <w:r w:rsidRPr="004656B7">
        <w:rPr>
          <w:rFonts w:ascii="Times New Roman" w:eastAsiaTheme="minorHAnsi" w:hAnsi="Times New Roman" w:cs="Times New Roman"/>
          <w:i/>
          <w:iCs/>
        </w:rPr>
        <w:t>Interpretable Machine Learning: A Guide for Making Black Box Models Explainable</w:t>
      </w:r>
      <w:r w:rsidRPr="004656B7">
        <w:rPr>
          <w:rFonts w:ascii="Times New Roman" w:eastAsiaTheme="minorHAnsi" w:hAnsi="Times New Roman" w:cs="Times New Roman"/>
        </w:rPr>
        <w:t xml:space="preserve"> (3rd ed.). https://christophm.github.io/interpretable-ml-book</w:t>
      </w:r>
    </w:p>
    <w:p w14:paraId="13537EA8"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Mullainathan, S., &amp; Spiess, J. (2017). Machine Learning: An Applied Econometric Approach. </w:t>
      </w:r>
      <w:r w:rsidRPr="004656B7">
        <w:rPr>
          <w:rFonts w:ascii="Times New Roman" w:eastAsiaTheme="minorHAnsi" w:hAnsi="Times New Roman" w:cs="Times New Roman"/>
          <w:i/>
          <w:iCs/>
        </w:rPr>
        <w:t>Journal of Economic Perspectives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31</w:t>
      </w:r>
      <w:r w:rsidRPr="004656B7">
        <w:rPr>
          <w:rFonts w:ascii="Times New Roman" w:eastAsiaTheme="minorHAnsi" w:hAnsi="Times New Roman" w:cs="Times New Roman"/>
        </w:rPr>
        <w:t>(2), 87–106. https://doi.org/10.1257/jep.31.2.87</w:t>
      </w:r>
    </w:p>
    <w:p w14:paraId="052EC096"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Pritchett, L. (2024). “Rely (only) on the rigorous evidence” is bad advice. </w:t>
      </w:r>
      <w:r w:rsidRPr="004656B7">
        <w:rPr>
          <w:rFonts w:ascii="Times New Roman" w:eastAsiaTheme="minorHAnsi" w:hAnsi="Times New Roman" w:cs="Times New Roman"/>
          <w:i/>
          <w:iCs/>
        </w:rPr>
        <w:t>Review of Development Economics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28</w:t>
      </w:r>
      <w:r w:rsidRPr="004656B7">
        <w:rPr>
          <w:rFonts w:ascii="Times New Roman" w:eastAsiaTheme="minorHAnsi" w:hAnsi="Times New Roman" w:cs="Times New Roman"/>
        </w:rPr>
        <w:t>(4), 2034–2058. https://doi.org/https://doi.org/10.1111/rode.13037</w:t>
      </w:r>
    </w:p>
    <w:p w14:paraId="6D9EEDE4"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lastRenderedPageBreak/>
        <w:t xml:space="preserve">Shmueli, G. (2010). To Explain or to Predict? </w:t>
      </w:r>
      <w:r w:rsidRPr="004656B7">
        <w:rPr>
          <w:rFonts w:ascii="Times New Roman" w:eastAsiaTheme="minorHAnsi" w:hAnsi="Times New Roman" w:cs="Times New Roman"/>
          <w:i/>
          <w:iCs/>
        </w:rPr>
        <w:t>Statistical Science</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25</w:t>
      </w:r>
      <w:r w:rsidRPr="004656B7">
        <w:rPr>
          <w:rFonts w:ascii="Times New Roman" w:eastAsiaTheme="minorHAnsi" w:hAnsi="Times New Roman" w:cs="Times New Roman"/>
        </w:rPr>
        <w:t>(3), 289–310. https://doi.org/10.1214/10-STS330</w:t>
      </w:r>
    </w:p>
    <w:p w14:paraId="051934E6"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Varian, H. R. (2014). Big Data: New Tricks for Econometrics. </w:t>
      </w:r>
      <w:r w:rsidRPr="004656B7">
        <w:rPr>
          <w:rFonts w:ascii="Times New Roman" w:eastAsiaTheme="minorHAnsi" w:hAnsi="Times New Roman" w:cs="Times New Roman"/>
          <w:i/>
          <w:iCs/>
        </w:rPr>
        <w:t>Journal of Economic Perspectives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28</w:t>
      </w:r>
      <w:r w:rsidRPr="004656B7">
        <w:rPr>
          <w:rFonts w:ascii="Times New Roman" w:eastAsiaTheme="minorHAnsi" w:hAnsi="Times New Roman" w:cs="Times New Roman"/>
        </w:rPr>
        <w:t>(2), 3–28. https://doi.org/10.1257/jep.28.2.3</w:t>
      </w:r>
    </w:p>
    <w:p w14:paraId="330F12C7" w14:textId="77777777" w:rsidR="004656B7" w:rsidRPr="004656B7" w:rsidRDefault="004656B7" w:rsidP="004656B7">
      <w:pPr>
        <w:pStyle w:val="Bibliography"/>
        <w:rPr>
          <w:rFonts w:ascii="Times New Roman" w:eastAsiaTheme="minorHAnsi" w:hAnsi="Times New Roman" w:cs="Times New Roman"/>
        </w:rPr>
      </w:pPr>
      <w:r w:rsidRPr="004656B7">
        <w:rPr>
          <w:rFonts w:ascii="Times New Roman" w:eastAsiaTheme="minorHAnsi" w:hAnsi="Times New Roman" w:cs="Times New Roman"/>
        </w:rPr>
        <w:t xml:space="preserve">Wüthrich, K., &amp; Zhu, Y. (2023). Omitted Variable Bias of Lasso-Based Inference Methods: A Finite Sample Analysis. </w:t>
      </w:r>
      <w:r w:rsidRPr="004656B7">
        <w:rPr>
          <w:rFonts w:ascii="Times New Roman" w:eastAsiaTheme="minorHAnsi" w:hAnsi="Times New Roman" w:cs="Times New Roman"/>
          <w:i/>
          <w:iCs/>
        </w:rPr>
        <w:t>The Review of Economics and Statistics</w:t>
      </w:r>
      <w:r w:rsidRPr="004656B7">
        <w:rPr>
          <w:rFonts w:ascii="Times New Roman" w:eastAsiaTheme="minorHAnsi" w:hAnsi="Times New Roman" w:cs="Times New Roman"/>
        </w:rPr>
        <w:t xml:space="preserve">, </w:t>
      </w:r>
      <w:r w:rsidRPr="004656B7">
        <w:rPr>
          <w:rFonts w:ascii="Times New Roman" w:eastAsiaTheme="minorHAnsi" w:hAnsi="Times New Roman" w:cs="Times New Roman"/>
          <w:i/>
          <w:iCs/>
        </w:rPr>
        <w:t>105</w:t>
      </w:r>
      <w:r w:rsidRPr="004656B7">
        <w:rPr>
          <w:rFonts w:ascii="Times New Roman" w:eastAsiaTheme="minorHAnsi" w:hAnsi="Times New Roman" w:cs="Times New Roman"/>
        </w:rPr>
        <w:t>(4), 982–997. https://doi.org/10.1162/rest_a_01128</w:t>
      </w:r>
    </w:p>
    <w:p w14:paraId="0440C38B" w14:textId="6450311C" w:rsidR="007A1B5D" w:rsidRPr="007A1B5D" w:rsidRDefault="007A1B5D" w:rsidP="004656B7">
      <w:pPr>
        <w:pStyle w:val="Bibliography"/>
        <w:rPr>
          <w:rFonts w:ascii="Times New Roman" w:hAnsi="Times New Roman" w:cs="Times New Roman"/>
        </w:rPr>
      </w:pPr>
      <w:r w:rsidRPr="007A1B5D">
        <w:rPr>
          <w:rFonts w:ascii="Times New Roman" w:hAnsi="Times New Roman" w:cs="Times New Roman"/>
        </w:rPr>
        <w:fldChar w:fldCharType="end"/>
      </w:r>
    </w:p>
    <w:p w14:paraId="55274439" w14:textId="77777777" w:rsidR="00B70752" w:rsidRDefault="00B70752" w:rsidP="00EB6242">
      <w:pPr>
        <w:pStyle w:val="Heading1"/>
      </w:pPr>
      <w:bookmarkStart w:id="104" w:name="appendix"/>
      <w:bookmarkEnd w:id="99"/>
    </w:p>
    <w:p w14:paraId="337CC7E5" w14:textId="77777777" w:rsidR="00B70752" w:rsidRDefault="00B70752" w:rsidP="00EB6242">
      <w:pPr>
        <w:pStyle w:val="Heading1"/>
      </w:pPr>
    </w:p>
    <w:p w14:paraId="2CB9AE03" w14:textId="77777777" w:rsidR="00C960DD" w:rsidRDefault="00C960DD" w:rsidP="00C960DD"/>
    <w:p w14:paraId="6A50DB60" w14:textId="77777777" w:rsidR="00C960DD" w:rsidRDefault="00C960DD" w:rsidP="00C960DD"/>
    <w:p w14:paraId="73F0A725" w14:textId="77777777" w:rsidR="00C960DD" w:rsidRDefault="00C960DD" w:rsidP="00C960DD"/>
    <w:p w14:paraId="23E3EB2D" w14:textId="77777777" w:rsidR="00C960DD" w:rsidRDefault="00C960DD" w:rsidP="00C960DD"/>
    <w:p w14:paraId="52979364" w14:textId="77777777" w:rsidR="00C960DD" w:rsidRDefault="00C960DD" w:rsidP="00C960DD"/>
    <w:p w14:paraId="0EE12055" w14:textId="77777777" w:rsidR="00C960DD" w:rsidRDefault="00C960DD" w:rsidP="00C960DD"/>
    <w:p w14:paraId="2474E991" w14:textId="77777777" w:rsidR="00C960DD" w:rsidRDefault="00C960DD" w:rsidP="00C960DD"/>
    <w:p w14:paraId="26DF1B62" w14:textId="77777777" w:rsidR="00C960DD" w:rsidRDefault="00C960DD" w:rsidP="00C960DD"/>
    <w:p w14:paraId="0FBE63E3" w14:textId="77777777" w:rsidR="00C960DD" w:rsidRDefault="00C960DD" w:rsidP="00C960DD"/>
    <w:p w14:paraId="332739A2" w14:textId="77777777" w:rsidR="00C960DD" w:rsidRDefault="00C960DD" w:rsidP="00C960DD"/>
    <w:p w14:paraId="6B08EBD2" w14:textId="77777777" w:rsidR="00C960DD" w:rsidRDefault="00C960DD" w:rsidP="00C960DD"/>
    <w:p w14:paraId="3D6037A4" w14:textId="77777777" w:rsidR="00C960DD" w:rsidRDefault="00C960DD" w:rsidP="00C960DD"/>
    <w:p w14:paraId="11A75E59" w14:textId="77777777" w:rsidR="00C960DD" w:rsidRDefault="00C960DD" w:rsidP="00C960DD"/>
    <w:p w14:paraId="4574606B" w14:textId="77777777" w:rsidR="00C960DD" w:rsidRDefault="00C960DD" w:rsidP="00C960DD"/>
    <w:p w14:paraId="19A7C212" w14:textId="77777777" w:rsidR="00C960DD" w:rsidRDefault="00C960DD" w:rsidP="00C960DD"/>
    <w:p w14:paraId="45847E29" w14:textId="77777777" w:rsidR="00C960DD" w:rsidRDefault="00C960DD" w:rsidP="00C960DD"/>
    <w:p w14:paraId="5D964D1F" w14:textId="77777777" w:rsidR="00C960DD" w:rsidRDefault="00C960DD" w:rsidP="00C960DD"/>
    <w:p w14:paraId="72FC2DEF" w14:textId="77777777" w:rsidR="00C960DD" w:rsidRDefault="00C960DD" w:rsidP="00C960DD"/>
    <w:p w14:paraId="53646DFB" w14:textId="77777777" w:rsidR="00C960DD" w:rsidRDefault="00C960DD" w:rsidP="00C960DD"/>
    <w:p w14:paraId="40DDAAD8" w14:textId="77777777" w:rsidR="00C960DD" w:rsidRPr="00C960DD" w:rsidRDefault="00C960DD" w:rsidP="00C960DD"/>
    <w:p w14:paraId="03B764F0" w14:textId="77777777" w:rsidR="0099763D" w:rsidRDefault="0099763D">
      <w:pPr>
        <w:spacing w:after="200" w:line="276" w:lineRule="auto"/>
      </w:pPr>
      <w:r>
        <w:br w:type="page"/>
      </w:r>
    </w:p>
    <w:p w14:paraId="439A6F02" w14:textId="1A387A45" w:rsidR="007A1B5D" w:rsidRPr="0099763D" w:rsidRDefault="007A1B5D" w:rsidP="00EB6242">
      <w:pPr>
        <w:pStyle w:val="Heading1"/>
        <w:rPr>
          <w:rFonts w:eastAsia="Times New Roman"/>
        </w:rPr>
      </w:pPr>
      <w:bookmarkStart w:id="105" w:name="_Toc227873417"/>
      <w:r w:rsidRPr="0099763D">
        <w:lastRenderedPageBreak/>
        <w:t>Appendix</w:t>
      </w:r>
      <w:bookmarkEnd w:id="105"/>
    </w:p>
    <w:p w14:paraId="487191B9" w14:textId="5AEC8E1A" w:rsidR="00574496" w:rsidRPr="00574496" w:rsidRDefault="00574496" w:rsidP="00574496">
      <w:pPr>
        <w:pStyle w:val="Caption"/>
        <w:keepNext/>
        <w:rPr>
          <w:rFonts w:ascii="Times New Roman" w:hAnsi="Times New Roman" w:cs="Times New Roman"/>
          <w:sz w:val="18"/>
          <w:szCs w:val="18"/>
        </w:rPr>
      </w:pPr>
      <w:r w:rsidRPr="00574496">
        <w:rPr>
          <w:rFonts w:ascii="Times New Roman" w:hAnsi="Times New Roman" w:cs="Times New Roman"/>
          <w:sz w:val="18"/>
          <w:szCs w:val="18"/>
        </w:rPr>
        <w:t xml:space="preserve">Table </w:t>
      </w:r>
      <w:r w:rsidRPr="00574496">
        <w:rPr>
          <w:rFonts w:ascii="Times New Roman" w:hAnsi="Times New Roman" w:cs="Times New Roman"/>
          <w:sz w:val="18"/>
          <w:szCs w:val="18"/>
        </w:rPr>
        <w:fldChar w:fldCharType="begin"/>
      </w:r>
      <w:r w:rsidRPr="00574496">
        <w:rPr>
          <w:rFonts w:ascii="Times New Roman" w:hAnsi="Times New Roman" w:cs="Times New Roman"/>
          <w:sz w:val="18"/>
          <w:szCs w:val="18"/>
        </w:rPr>
        <w:instrText xml:space="preserve"> SEQ Table \* ARABIC </w:instrText>
      </w:r>
      <w:r w:rsidRPr="00574496">
        <w:rPr>
          <w:rFonts w:ascii="Times New Roman" w:hAnsi="Times New Roman" w:cs="Times New Roman"/>
          <w:sz w:val="18"/>
          <w:szCs w:val="18"/>
        </w:rPr>
        <w:fldChar w:fldCharType="separate"/>
      </w:r>
      <w:r w:rsidR="0003032F">
        <w:rPr>
          <w:rFonts w:ascii="Times New Roman" w:hAnsi="Times New Roman" w:cs="Times New Roman"/>
          <w:noProof/>
          <w:sz w:val="18"/>
          <w:szCs w:val="18"/>
        </w:rPr>
        <w:t>4</w:t>
      </w:r>
      <w:r w:rsidRPr="00574496">
        <w:rPr>
          <w:rFonts w:ascii="Times New Roman" w:hAnsi="Times New Roman" w:cs="Times New Roman"/>
          <w:sz w:val="18"/>
          <w:szCs w:val="18"/>
        </w:rPr>
        <w:fldChar w:fldCharType="end"/>
      </w:r>
      <w:r w:rsidRPr="00574496">
        <w:rPr>
          <w:rFonts w:ascii="Times New Roman" w:hAnsi="Times New Roman" w:cs="Times New Roman"/>
          <w:sz w:val="18"/>
          <w:szCs w:val="18"/>
        </w:rPr>
        <w:t>: Model Comparison Results for Chapter 2: Classical Difference-in-Differences versus Double Machine Learning estimates (Chang 2020 methodology) for three dependent variables: Actions, Facilities, and Formal employment, showing coefficients and 95% confi</w:t>
      </w:r>
      <w:r>
        <w:rPr>
          <w:rFonts w:ascii="Times New Roman" w:hAnsi="Times New Roman" w:cs="Times New Roman"/>
          <w:sz w:val="18"/>
          <w:szCs w:val="18"/>
        </w:rPr>
        <w:t>dence intervals.</w:t>
      </w:r>
      <w:r w:rsidR="0003032F" w:rsidRPr="0003032F">
        <w:rPr>
          <w:rFonts w:ascii="Times New Roman" w:hAnsi="Times New Roman" w:cs="Times New Roman"/>
          <w:sz w:val="18"/>
          <w:szCs w:val="18"/>
        </w:rPr>
        <w:t xml:space="preserve"> Significant effects are marked with asterisks: * p&lt;0.10, ** p&lt;0.05, *** p&lt;0.01.</w:t>
      </w:r>
    </w:p>
    <w:tbl>
      <w:tblPr>
        <w:tblStyle w:val="Table"/>
        <w:tblW w:w="0" w:type="auto"/>
        <w:jc w:val="center"/>
        <w:tblLook w:val="0020" w:firstRow="1" w:lastRow="0" w:firstColumn="0" w:lastColumn="0" w:noHBand="0" w:noVBand="0"/>
      </w:tblPr>
      <w:tblGrid>
        <w:gridCol w:w="1896"/>
        <w:gridCol w:w="1086"/>
        <w:gridCol w:w="1109"/>
        <w:gridCol w:w="794"/>
        <w:gridCol w:w="826"/>
      </w:tblGrid>
      <w:tr w:rsidR="00574496" w:rsidRPr="007A1B5D" w14:paraId="13C9C645" w14:textId="77777777" w:rsidTr="0057449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49CA77FB" w14:textId="6AEFE34C" w:rsidR="00574496" w:rsidRPr="00574496" w:rsidRDefault="00574496" w:rsidP="00574496">
            <w:pPr>
              <w:pStyle w:val="Compact"/>
              <w:spacing w:line="360" w:lineRule="auto"/>
              <w:jc w:val="center"/>
              <w:rPr>
                <w:rFonts w:ascii="Times New Roman" w:hAnsi="Times New Roman" w:cs="Times New Roman"/>
                <w:b/>
                <w:bCs/>
                <w:sz w:val="21"/>
                <w:szCs w:val="21"/>
              </w:rPr>
            </w:pPr>
            <w:r>
              <w:rPr>
                <w:rFonts w:ascii="Times New Roman" w:hAnsi="Times New Roman" w:cs="Times New Roman"/>
                <w:b/>
                <w:bCs/>
                <w:sz w:val="21"/>
                <w:szCs w:val="21"/>
              </w:rPr>
              <w:t>Model</w:t>
            </w:r>
          </w:p>
        </w:tc>
        <w:tc>
          <w:tcPr>
            <w:tcW w:w="0" w:type="auto"/>
            <w:tcBorders>
              <w:top w:val="single" w:sz="4" w:space="0" w:color="auto"/>
              <w:bottom w:val="single" w:sz="2" w:space="0" w:color="auto"/>
            </w:tcBorders>
          </w:tcPr>
          <w:p w14:paraId="7769A9DA" w14:textId="7E30923C" w:rsidR="00574496" w:rsidRPr="00574496" w:rsidRDefault="00574496" w:rsidP="00574496">
            <w:pPr>
              <w:pStyle w:val="Compact"/>
              <w:spacing w:line="360" w:lineRule="auto"/>
              <w:jc w:val="center"/>
              <w:rPr>
                <w:rFonts w:ascii="Times New Roman" w:hAnsi="Times New Roman" w:cs="Times New Roman"/>
                <w:b/>
                <w:bCs/>
                <w:sz w:val="21"/>
                <w:szCs w:val="21"/>
              </w:rPr>
            </w:pPr>
            <w:r>
              <w:rPr>
                <w:rFonts w:ascii="Times New Roman" w:hAnsi="Times New Roman" w:cs="Times New Roman"/>
                <w:b/>
                <w:bCs/>
                <w:sz w:val="21"/>
                <w:szCs w:val="21"/>
              </w:rPr>
              <w:t>De</w:t>
            </w:r>
            <w:r w:rsidRPr="00574496">
              <w:rPr>
                <w:rFonts w:ascii="Times New Roman" w:hAnsi="Times New Roman" w:cs="Times New Roman"/>
                <w:b/>
                <w:bCs/>
                <w:sz w:val="21"/>
                <w:szCs w:val="21"/>
              </w:rPr>
              <w:t>p. Var.</w:t>
            </w:r>
          </w:p>
        </w:tc>
        <w:tc>
          <w:tcPr>
            <w:tcW w:w="0" w:type="auto"/>
            <w:tcBorders>
              <w:top w:val="single" w:sz="4" w:space="0" w:color="auto"/>
              <w:bottom w:val="single" w:sz="2" w:space="0" w:color="auto"/>
            </w:tcBorders>
          </w:tcPr>
          <w:p w14:paraId="2BA60FF3" w14:textId="77FF50A7" w:rsidR="00574496" w:rsidRPr="00574496" w:rsidRDefault="00574496" w:rsidP="00574496">
            <w:pPr>
              <w:pStyle w:val="Compact"/>
              <w:spacing w:line="360" w:lineRule="auto"/>
              <w:jc w:val="center"/>
              <w:rPr>
                <w:rFonts w:ascii="Times New Roman" w:hAnsi="Times New Roman" w:cs="Times New Roman"/>
                <w:b/>
                <w:bCs/>
                <w:sz w:val="21"/>
                <w:szCs w:val="21"/>
              </w:rPr>
            </w:pPr>
            <w:r>
              <w:rPr>
                <w:rFonts w:ascii="Times New Roman" w:hAnsi="Times New Roman" w:cs="Times New Roman"/>
                <w:b/>
                <w:bCs/>
                <w:sz w:val="21"/>
                <w:szCs w:val="21"/>
              </w:rPr>
              <w:t>C</w:t>
            </w:r>
            <w:r w:rsidRPr="00574496">
              <w:rPr>
                <w:rFonts w:ascii="Times New Roman" w:hAnsi="Times New Roman" w:cs="Times New Roman"/>
                <w:b/>
                <w:bCs/>
                <w:sz w:val="21"/>
                <w:szCs w:val="21"/>
              </w:rPr>
              <w:t>oef.</w:t>
            </w:r>
          </w:p>
        </w:tc>
        <w:tc>
          <w:tcPr>
            <w:tcW w:w="0" w:type="auto"/>
            <w:tcBorders>
              <w:top w:val="single" w:sz="4" w:space="0" w:color="auto"/>
              <w:bottom w:val="single" w:sz="2" w:space="0" w:color="auto"/>
            </w:tcBorders>
          </w:tcPr>
          <w:p w14:paraId="1CBEAB94" w14:textId="66F439C6" w:rsidR="00574496" w:rsidRPr="00574496" w:rsidRDefault="00574496" w:rsidP="00574496">
            <w:pPr>
              <w:pStyle w:val="Compact"/>
              <w:spacing w:line="360" w:lineRule="auto"/>
              <w:jc w:val="center"/>
              <w:rPr>
                <w:rFonts w:ascii="Times New Roman" w:hAnsi="Times New Roman" w:cs="Times New Roman"/>
                <w:b/>
                <w:bCs/>
                <w:sz w:val="21"/>
                <w:szCs w:val="21"/>
              </w:rPr>
            </w:pPr>
            <m:oMathPara>
              <m:oMath>
                <m:r>
                  <m:rPr>
                    <m:sty m:val="p"/>
                  </m:rP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low</m:t>
                    </m:r>
                  </m:sub>
                </m:sSub>
              </m:oMath>
            </m:oMathPara>
          </w:p>
        </w:tc>
        <w:tc>
          <w:tcPr>
            <w:tcW w:w="0" w:type="auto"/>
            <w:tcBorders>
              <w:top w:val="single" w:sz="4" w:space="0" w:color="auto"/>
              <w:bottom w:val="single" w:sz="2" w:space="0" w:color="auto"/>
            </w:tcBorders>
          </w:tcPr>
          <w:p w14:paraId="59C91F7C" w14:textId="3780CA94" w:rsidR="00574496" w:rsidRPr="00574496" w:rsidRDefault="00574496" w:rsidP="00574496">
            <w:pPr>
              <w:pStyle w:val="Compact"/>
              <w:spacing w:line="360" w:lineRule="auto"/>
              <w:jc w:val="center"/>
              <w:rPr>
                <w:rFonts w:ascii="Times New Roman" w:hAnsi="Times New Roman" w:cs="Times New Roman"/>
                <w:b/>
                <w:bCs/>
                <w:sz w:val="21"/>
                <w:szCs w:val="21"/>
              </w:rPr>
            </w:pPr>
            <m:oMathPara>
              <m:oMath>
                <m:r>
                  <m:rPr>
                    <m:sty m:val="p"/>
                  </m:rP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high</m:t>
                    </m:r>
                  </m:sub>
                </m:sSub>
              </m:oMath>
            </m:oMathPara>
          </w:p>
        </w:tc>
      </w:tr>
      <w:tr w:rsidR="00574496" w:rsidRPr="007A1B5D" w14:paraId="1009016E" w14:textId="77777777" w:rsidTr="00574496">
        <w:trPr>
          <w:jc w:val="center"/>
        </w:trPr>
        <w:tc>
          <w:tcPr>
            <w:tcW w:w="0" w:type="auto"/>
            <w:tcBorders>
              <w:top w:val="single" w:sz="2" w:space="0" w:color="auto"/>
            </w:tcBorders>
          </w:tcPr>
          <w:p w14:paraId="3EC7FFF6"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 xml:space="preserve">Classic </w:t>
            </w:r>
            <w:proofErr w:type="spellStart"/>
            <w:r w:rsidRPr="00574496">
              <w:rPr>
                <w:rFonts w:ascii="Times New Roman" w:hAnsi="Times New Roman" w:cs="Times New Roman"/>
                <w:sz w:val="21"/>
                <w:szCs w:val="21"/>
              </w:rPr>
              <w:t>DiD</w:t>
            </w:r>
            <w:proofErr w:type="spellEnd"/>
          </w:p>
        </w:tc>
        <w:tc>
          <w:tcPr>
            <w:tcW w:w="0" w:type="auto"/>
            <w:tcBorders>
              <w:top w:val="single" w:sz="2" w:space="0" w:color="auto"/>
            </w:tcBorders>
          </w:tcPr>
          <w:p w14:paraId="19B3515E"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Actions</w:t>
            </w:r>
          </w:p>
        </w:tc>
        <w:tc>
          <w:tcPr>
            <w:tcW w:w="0" w:type="auto"/>
            <w:tcBorders>
              <w:top w:val="single" w:sz="2" w:space="0" w:color="auto"/>
            </w:tcBorders>
          </w:tcPr>
          <w:p w14:paraId="0F454431" w14:textId="7B205E9F"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0.2287</w:t>
            </w:r>
            <w:r>
              <w:rPr>
                <w:rFonts w:ascii="Times New Roman" w:hAnsi="Times New Roman" w:cs="Times New Roman"/>
                <w:sz w:val="21"/>
                <w:szCs w:val="21"/>
              </w:rPr>
              <w:t>***</w:t>
            </w:r>
          </w:p>
        </w:tc>
        <w:tc>
          <w:tcPr>
            <w:tcW w:w="0" w:type="auto"/>
            <w:tcBorders>
              <w:top w:val="single" w:sz="2" w:space="0" w:color="auto"/>
            </w:tcBorders>
          </w:tcPr>
          <w:p w14:paraId="6F55B263"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0.1954</w:t>
            </w:r>
          </w:p>
        </w:tc>
        <w:tc>
          <w:tcPr>
            <w:tcW w:w="0" w:type="auto"/>
            <w:tcBorders>
              <w:top w:val="single" w:sz="2" w:space="0" w:color="auto"/>
            </w:tcBorders>
          </w:tcPr>
          <w:p w14:paraId="45A96EB5"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0.2621</w:t>
            </w:r>
          </w:p>
        </w:tc>
      </w:tr>
      <w:tr w:rsidR="00574496" w:rsidRPr="007A1B5D" w14:paraId="06A092DB" w14:textId="77777777" w:rsidTr="00574496">
        <w:trPr>
          <w:jc w:val="center"/>
        </w:trPr>
        <w:tc>
          <w:tcPr>
            <w:tcW w:w="0" w:type="auto"/>
          </w:tcPr>
          <w:p w14:paraId="44888D1C"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 xml:space="preserve">Classic </w:t>
            </w:r>
            <w:proofErr w:type="spellStart"/>
            <w:r w:rsidRPr="00574496">
              <w:rPr>
                <w:rFonts w:ascii="Times New Roman" w:hAnsi="Times New Roman" w:cs="Times New Roman"/>
                <w:sz w:val="21"/>
                <w:szCs w:val="21"/>
              </w:rPr>
              <w:t>DiD</w:t>
            </w:r>
            <w:proofErr w:type="spellEnd"/>
          </w:p>
        </w:tc>
        <w:tc>
          <w:tcPr>
            <w:tcW w:w="0" w:type="auto"/>
          </w:tcPr>
          <w:p w14:paraId="459A5532"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Facilities</w:t>
            </w:r>
          </w:p>
        </w:tc>
        <w:tc>
          <w:tcPr>
            <w:tcW w:w="0" w:type="auto"/>
          </w:tcPr>
          <w:p w14:paraId="4CC339D4" w14:textId="13A2F2CF"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0.1589</w:t>
            </w:r>
            <w:r>
              <w:rPr>
                <w:rFonts w:ascii="Times New Roman" w:hAnsi="Times New Roman" w:cs="Times New Roman"/>
                <w:sz w:val="21"/>
                <w:szCs w:val="21"/>
              </w:rPr>
              <w:t>***</w:t>
            </w:r>
          </w:p>
        </w:tc>
        <w:tc>
          <w:tcPr>
            <w:tcW w:w="0" w:type="auto"/>
          </w:tcPr>
          <w:p w14:paraId="788E4B9C"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0.1362</w:t>
            </w:r>
          </w:p>
        </w:tc>
        <w:tc>
          <w:tcPr>
            <w:tcW w:w="0" w:type="auto"/>
          </w:tcPr>
          <w:p w14:paraId="05F79876"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0.1815</w:t>
            </w:r>
          </w:p>
        </w:tc>
      </w:tr>
      <w:tr w:rsidR="00574496" w:rsidRPr="007A1B5D" w14:paraId="0A896B45" w14:textId="77777777" w:rsidTr="00574496">
        <w:trPr>
          <w:jc w:val="center"/>
        </w:trPr>
        <w:tc>
          <w:tcPr>
            <w:tcW w:w="0" w:type="auto"/>
          </w:tcPr>
          <w:p w14:paraId="592E8092"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 xml:space="preserve">Classic </w:t>
            </w:r>
            <w:proofErr w:type="spellStart"/>
            <w:r w:rsidRPr="00574496">
              <w:rPr>
                <w:rFonts w:ascii="Times New Roman" w:hAnsi="Times New Roman" w:cs="Times New Roman"/>
                <w:sz w:val="21"/>
                <w:szCs w:val="21"/>
              </w:rPr>
              <w:t>DiD</w:t>
            </w:r>
            <w:proofErr w:type="spellEnd"/>
          </w:p>
        </w:tc>
        <w:tc>
          <w:tcPr>
            <w:tcW w:w="0" w:type="auto"/>
          </w:tcPr>
          <w:p w14:paraId="680756E6"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Formal</w:t>
            </w:r>
          </w:p>
        </w:tc>
        <w:tc>
          <w:tcPr>
            <w:tcW w:w="0" w:type="auto"/>
          </w:tcPr>
          <w:p w14:paraId="7C9DAB0A" w14:textId="3EFAE11D"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0.2092</w:t>
            </w:r>
            <w:r>
              <w:rPr>
                <w:rFonts w:ascii="Times New Roman" w:hAnsi="Times New Roman" w:cs="Times New Roman"/>
                <w:sz w:val="21"/>
                <w:szCs w:val="21"/>
              </w:rPr>
              <w:t>***</w:t>
            </w:r>
          </w:p>
        </w:tc>
        <w:tc>
          <w:tcPr>
            <w:tcW w:w="0" w:type="auto"/>
          </w:tcPr>
          <w:p w14:paraId="47B797A4"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0.1714</w:t>
            </w:r>
          </w:p>
        </w:tc>
        <w:tc>
          <w:tcPr>
            <w:tcW w:w="0" w:type="auto"/>
          </w:tcPr>
          <w:p w14:paraId="694155E7"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0.2470</w:t>
            </w:r>
          </w:p>
        </w:tc>
      </w:tr>
      <w:tr w:rsidR="00574496" w:rsidRPr="007A1B5D" w14:paraId="2F70233C" w14:textId="77777777" w:rsidTr="00574496">
        <w:trPr>
          <w:jc w:val="center"/>
        </w:trPr>
        <w:tc>
          <w:tcPr>
            <w:tcW w:w="0" w:type="auto"/>
          </w:tcPr>
          <w:p w14:paraId="54E4DC34"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DML (Chang 2020)</w:t>
            </w:r>
          </w:p>
        </w:tc>
        <w:tc>
          <w:tcPr>
            <w:tcW w:w="0" w:type="auto"/>
          </w:tcPr>
          <w:p w14:paraId="6AE0A230"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Actions</w:t>
            </w:r>
          </w:p>
        </w:tc>
        <w:tc>
          <w:tcPr>
            <w:tcW w:w="0" w:type="auto"/>
          </w:tcPr>
          <w:p w14:paraId="46BAE979" w14:textId="0543258E"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0.2333</w:t>
            </w:r>
            <w:r>
              <w:rPr>
                <w:rFonts w:ascii="Times New Roman" w:hAnsi="Times New Roman" w:cs="Times New Roman"/>
                <w:sz w:val="21"/>
                <w:szCs w:val="21"/>
              </w:rPr>
              <w:t>***</w:t>
            </w:r>
          </w:p>
        </w:tc>
        <w:tc>
          <w:tcPr>
            <w:tcW w:w="0" w:type="auto"/>
          </w:tcPr>
          <w:p w14:paraId="0B9B9F4D"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0.2003</w:t>
            </w:r>
          </w:p>
        </w:tc>
        <w:tc>
          <w:tcPr>
            <w:tcW w:w="0" w:type="auto"/>
          </w:tcPr>
          <w:p w14:paraId="6C3B065E"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0.2663</w:t>
            </w:r>
          </w:p>
        </w:tc>
      </w:tr>
      <w:tr w:rsidR="00574496" w:rsidRPr="007A1B5D" w14:paraId="06A753AD" w14:textId="77777777" w:rsidTr="00574496">
        <w:trPr>
          <w:jc w:val="center"/>
        </w:trPr>
        <w:tc>
          <w:tcPr>
            <w:tcW w:w="0" w:type="auto"/>
          </w:tcPr>
          <w:p w14:paraId="7C047B9A"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DML (Chang 2020)</w:t>
            </w:r>
          </w:p>
        </w:tc>
        <w:tc>
          <w:tcPr>
            <w:tcW w:w="0" w:type="auto"/>
          </w:tcPr>
          <w:p w14:paraId="5306B5BC"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Facilities</w:t>
            </w:r>
          </w:p>
        </w:tc>
        <w:tc>
          <w:tcPr>
            <w:tcW w:w="0" w:type="auto"/>
          </w:tcPr>
          <w:p w14:paraId="4376D1A0" w14:textId="502E396F"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0.1609</w:t>
            </w:r>
            <w:r>
              <w:rPr>
                <w:rFonts w:ascii="Times New Roman" w:hAnsi="Times New Roman" w:cs="Times New Roman"/>
                <w:sz w:val="21"/>
                <w:szCs w:val="21"/>
              </w:rPr>
              <w:t>***</w:t>
            </w:r>
          </w:p>
        </w:tc>
        <w:tc>
          <w:tcPr>
            <w:tcW w:w="0" w:type="auto"/>
          </w:tcPr>
          <w:p w14:paraId="4054C948"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0.1385</w:t>
            </w:r>
          </w:p>
        </w:tc>
        <w:tc>
          <w:tcPr>
            <w:tcW w:w="0" w:type="auto"/>
          </w:tcPr>
          <w:p w14:paraId="0FBAA70D"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0.1833</w:t>
            </w:r>
          </w:p>
        </w:tc>
      </w:tr>
      <w:tr w:rsidR="00574496" w:rsidRPr="007A1B5D" w14:paraId="754F2B52" w14:textId="77777777" w:rsidTr="00574496">
        <w:trPr>
          <w:jc w:val="center"/>
        </w:trPr>
        <w:tc>
          <w:tcPr>
            <w:tcW w:w="0" w:type="auto"/>
            <w:tcBorders>
              <w:bottom w:val="single" w:sz="4" w:space="0" w:color="auto"/>
            </w:tcBorders>
          </w:tcPr>
          <w:p w14:paraId="5C41BEEE"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DML (Chang 2020)</w:t>
            </w:r>
          </w:p>
        </w:tc>
        <w:tc>
          <w:tcPr>
            <w:tcW w:w="0" w:type="auto"/>
            <w:tcBorders>
              <w:bottom w:val="single" w:sz="4" w:space="0" w:color="auto"/>
            </w:tcBorders>
          </w:tcPr>
          <w:p w14:paraId="61469B4F"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Formal</w:t>
            </w:r>
          </w:p>
        </w:tc>
        <w:tc>
          <w:tcPr>
            <w:tcW w:w="0" w:type="auto"/>
            <w:tcBorders>
              <w:bottom w:val="single" w:sz="4" w:space="0" w:color="auto"/>
            </w:tcBorders>
          </w:tcPr>
          <w:p w14:paraId="6CC10049" w14:textId="70296E95"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0.2062</w:t>
            </w:r>
            <w:r>
              <w:rPr>
                <w:rFonts w:ascii="Times New Roman" w:hAnsi="Times New Roman" w:cs="Times New Roman"/>
                <w:sz w:val="21"/>
                <w:szCs w:val="21"/>
              </w:rPr>
              <w:t>***</w:t>
            </w:r>
          </w:p>
        </w:tc>
        <w:tc>
          <w:tcPr>
            <w:tcW w:w="0" w:type="auto"/>
            <w:tcBorders>
              <w:bottom w:val="single" w:sz="4" w:space="0" w:color="auto"/>
            </w:tcBorders>
          </w:tcPr>
          <w:p w14:paraId="4334E183"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0.1689</w:t>
            </w:r>
          </w:p>
        </w:tc>
        <w:tc>
          <w:tcPr>
            <w:tcW w:w="0" w:type="auto"/>
            <w:tcBorders>
              <w:bottom w:val="single" w:sz="4" w:space="0" w:color="auto"/>
            </w:tcBorders>
          </w:tcPr>
          <w:p w14:paraId="5EBC3521" w14:textId="77777777" w:rsidR="00574496" w:rsidRPr="00574496" w:rsidRDefault="00574496" w:rsidP="00574496">
            <w:pPr>
              <w:pStyle w:val="Compact"/>
              <w:spacing w:line="360" w:lineRule="auto"/>
              <w:jc w:val="both"/>
              <w:rPr>
                <w:rFonts w:ascii="Times New Roman" w:hAnsi="Times New Roman" w:cs="Times New Roman"/>
                <w:sz w:val="21"/>
                <w:szCs w:val="21"/>
              </w:rPr>
            </w:pPr>
            <w:r w:rsidRPr="00574496">
              <w:rPr>
                <w:rFonts w:ascii="Times New Roman" w:hAnsi="Times New Roman" w:cs="Times New Roman"/>
                <w:sz w:val="21"/>
                <w:szCs w:val="21"/>
              </w:rPr>
              <w:t>0.2434</w:t>
            </w:r>
          </w:p>
        </w:tc>
      </w:tr>
    </w:tbl>
    <w:p w14:paraId="793DDE0C" w14:textId="77777777" w:rsidR="007A1B5D" w:rsidRPr="007A1B5D" w:rsidRDefault="007A1B5D" w:rsidP="007A1B5D">
      <w:pPr>
        <w:spacing w:line="360" w:lineRule="auto"/>
        <w:jc w:val="both"/>
      </w:pPr>
    </w:p>
    <w:p w14:paraId="1D97D8D2" w14:textId="67799850" w:rsidR="00574496" w:rsidRPr="00574496" w:rsidRDefault="00574496" w:rsidP="00574496">
      <w:pPr>
        <w:pStyle w:val="Caption"/>
        <w:keepNext/>
        <w:rPr>
          <w:rFonts w:ascii="Times New Roman" w:hAnsi="Times New Roman" w:cs="Times New Roman"/>
          <w:sz w:val="18"/>
          <w:szCs w:val="18"/>
        </w:rPr>
      </w:pPr>
      <w:r w:rsidRPr="00574496">
        <w:rPr>
          <w:rFonts w:ascii="Times New Roman" w:hAnsi="Times New Roman" w:cs="Times New Roman"/>
          <w:sz w:val="18"/>
          <w:szCs w:val="18"/>
        </w:rPr>
        <w:t xml:space="preserve">Table </w:t>
      </w:r>
      <w:r w:rsidRPr="00574496">
        <w:rPr>
          <w:rFonts w:ascii="Times New Roman" w:hAnsi="Times New Roman" w:cs="Times New Roman"/>
          <w:sz w:val="18"/>
          <w:szCs w:val="18"/>
        </w:rPr>
        <w:fldChar w:fldCharType="begin"/>
      </w:r>
      <w:r w:rsidRPr="00574496">
        <w:rPr>
          <w:rFonts w:ascii="Times New Roman" w:hAnsi="Times New Roman" w:cs="Times New Roman"/>
          <w:sz w:val="18"/>
          <w:szCs w:val="18"/>
        </w:rPr>
        <w:instrText xml:space="preserve"> SEQ Table \* ARABIC </w:instrText>
      </w:r>
      <w:r w:rsidRPr="00574496">
        <w:rPr>
          <w:rFonts w:ascii="Times New Roman" w:hAnsi="Times New Roman" w:cs="Times New Roman"/>
          <w:sz w:val="18"/>
          <w:szCs w:val="18"/>
        </w:rPr>
        <w:fldChar w:fldCharType="separate"/>
      </w:r>
      <w:r w:rsidR="0003032F">
        <w:rPr>
          <w:rFonts w:ascii="Times New Roman" w:hAnsi="Times New Roman" w:cs="Times New Roman"/>
          <w:noProof/>
          <w:sz w:val="18"/>
          <w:szCs w:val="18"/>
        </w:rPr>
        <w:t>5</w:t>
      </w:r>
      <w:r w:rsidRPr="00574496">
        <w:rPr>
          <w:rFonts w:ascii="Times New Roman" w:hAnsi="Times New Roman" w:cs="Times New Roman"/>
          <w:sz w:val="18"/>
          <w:szCs w:val="18"/>
        </w:rPr>
        <w:fldChar w:fldCharType="end"/>
      </w:r>
      <w:r w:rsidRPr="00574496">
        <w:rPr>
          <w:rFonts w:ascii="Times New Roman" w:hAnsi="Times New Roman" w:cs="Times New Roman"/>
          <w:sz w:val="18"/>
          <w:szCs w:val="18"/>
        </w:rPr>
        <w:t xml:space="preserve">: Model Comparison Results for Chapter 4: Two-Way Fixed Effects (TWFE) versus Double Machine Learning </w:t>
      </w:r>
      <w:proofErr w:type="spellStart"/>
      <w:r w:rsidRPr="00574496">
        <w:rPr>
          <w:rFonts w:ascii="Times New Roman" w:hAnsi="Times New Roman" w:cs="Times New Roman"/>
          <w:sz w:val="18"/>
          <w:szCs w:val="18"/>
        </w:rPr>
        <w:t>DiD</w:t>
      </w:r>
      <w:proofErr w:type="spellEnd"/>
      <w:r w:rsidRPr="00574496">
        <w:rPr>
          <w:rFonts w:ascii="Times New Roman" w:hAnsi="Times New Roman" w:cs="Times New Roman"/>
          <w:sz w:val="18"/>
          <w:szCs w:val="18"/>
        </w:rPr>
        <w:t xml:space="preserve"> estimates for the Castle Doctrine’s effect on log homicide rates. DML estimates show statistical significance at the 1% level (***), while TWFE estimates are not statistically significant.</w:t>
      </w:r>
    </w:p>
    <w:tbl>
      <w:tblPr>
        <w:tblStyle w:val="Table"/>
        <w:tblW w:w="0" w:type="auto"/>
        <w:jc w:val="center"/>
        <w:tblLook w:val="0020" w:firstRow="1" w:lastRow="0" w:firstColumn="0" w:lastColumn="0" w:noHBand="0" w:noVBand="0"/>
      </w:tblPr>
      <w:tblGrid>
        <w:gridCol w:w="870"/>
        <w:gridCol w:w="1556"/>
        <w:gridCol w:w="1116"/>
        <w:gridCol w:w="836"/>
        <w:gridCol w:w="795"/>
      </w:tblGrid>
      <w:tr w:rsidR="007A1B5D" w:rsidRPr="007A1B5D" w14:paraId="08751089" w14:textId="77777777" w:rsidTr="0057449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23D07E37" w14:textId="77777777" w:rsidR="007A1B5D" w:rsidRPr="00574496" w:rsidRDefault="007A1B5D" w:rsidP="00574496">
            <w:pPr>
              <w:pStyle w:val="Compact"/>
              <w:spacing w:line="360" w:lineRule="auto"/>
              <w:jc w:val="center"/>
              <w:rPr>
                <w:rFonts w:ascii="Times New Roman" w:hAnsi="Times New Roman" w:cs="Times New Roman"/>
                <w:b/>
                <w:bCs/>
                <w:sz w:val="21"/>
                <w:szCs w:val="21"/>
              </w:rPr>
            </w:pPr>
            <w:r w:rsidRPr="00574496">
              <w:rPr>
                <w:rFonts w:ascii="Times New Roman" w:hAnsi="Times New Roman" w:cs="Times New Roman"/>
                <w:b/>
                <w:bCs/>
                <w:sz w:val="21"/>
                <w:szCs w:val="21"/>
              </w:rPr>
              <w:t>Model</w:t>
            </w:r>
          </w:p>
        </w:tc>
        <w:tc>
          <w:tcPr>
            <w:tcW w:w="0" w:type="auto"/>
            <w:tcBorders>
              <w:top w:val="single" w:sz="4" w:space="0" w:color="auto"/>
              <w:bottom w:val="single" w:sz="2" w:space="0" w:color="auto"/>
            </w:tcBorders>
          </w:tcPr>
          <w:p w14:paraId="1086C4B9" w14:textId="77777777" w:rsidR="007A1B5D" w:rsidRPr="00574496" w:rsidRDefault="007A1B5D" w:rsidP="00574496">
            <w:pPr>
              <w:pStyle w:val="Compact"/>
              <w:spacing w:line="360" w:lineRule="auto"/>
              <w:jc w:val="center"/>
              <w:rPr>
                <w:rFonts w:ascii="Times New Roman" w:hAnsi="Times New Roman" w:cs="Times New Roman"/>
                <w:b/>
                <w:bCs/>
                <w:sz w:val="21"/>
                <w:szCs w:val="21"/>
              </w:rPr>
            </w:pPr>
            <w:r w:rsidRPr="00574496">
              <w:rPr>
                <w:rFonts w:ascii="Times New Roman" w:hAnsi="Times New Roman" w:cs="Times New Roman"/>
                <w:b/>
                <w:bCs/>
                <w:sz w:val="21"/>
                <w:szCs w:val="21"/>
              </w:rPr>
              <w:t>Dep. Var.</w:t>
            </w:r>
          </w:p>
        </w:tc>
        <w:tc>
          <w:tcPr>
            <w:tcW w:w="0" w:type="auto"/>
            <w:tcBorders>
              <w:top w:val="single" w:sz="4" w:space="0" w:color="auto"/>
              <w:bottom w:val="single" w:sz="2" w:space="0" w:color="auto"/>
            </w:tcBorders>
          </w:tcPr>
          <w:p w14:paraId="1D359E4A" w14:textId="77777777" w:rsidR="007A1B5D" w:rsidRPr="00574496" w:rsidRDefault="007A1B5D" w:rsidP="00574496">
            <w:pPr>
              <w:pStyle w:val="Compact"/>
              <w:spacing w:line="360" w:lineRule="auto"/>
              <w:jc w:val="center"/>
              <w:rPr>
                <w:rFonts w:ascii="Times New Roman" w:hAnsi="Times New Roman" w:cs="Times New Roman"/>
                <w:b/>
                <w:bCs/>
                <w:sz w:val="21"/>
                <w:szCs w:val="21"/>
              </w:rPr>
            </w:pPr>
            <w:proofErr w:type="spellStart"/>
            <w:r w:rsidRPr="00574496">
              <w:rPr>
                <w:rFonts w:ascii="Times New Roman" w:hAnsi="Times New Roman" w:cs="Times New Roman"/>
                <w:b/>
                <w:bCs/>
                <w:sz w:val="21"/>
                <w:szCs w:val="21"/>
              </w:rPr>
              <w:t>Coef</w:t>
            </w:r>
            <w:proofErr w:type="spellEnd"/>
          </w:p>
        </w:tc>
        <w:tc>
          <w:tcPr>
            <w:tcW w:w="0" w:type="auto"/>
            <w:tcBorders>
              <w:top w:val="single" w:sz="4" w:space="0" w:color="auto"/>
              <w:bottom w:val="single" w:sz="2" w:space="0" w:color="auto"/>
            </w:tcBorders>
          </w:tcPr>
          <w:p w14:paraId="2D062F63" w14:textId="1430CE89" w:rsidR="007A1B5D" w:rsidRPr="00574496" w:rsidRDefault="00574496" w:rsidP="00574496">
            <w:pPr>
              <w:pStyle w:val="Compact"/>
              <w:spacing w:line="360" w:lineRule="auto"/>
              <w:jc w:val="center"/>
              <w:rPr>
                <w:rFonts w:ascii="Times New Roman" w:hAnsi="Times New Roman" w:cs="Times New Roman"/>
                <w:b/>
                <w:bCs/>
                <w:sz w:val="21"/>
                <w:szCs w:val="21"/>
              </w:rPr>
            </w:pPr>
            <m:oMathPara>
              <m:oMath>
                <m:r>
                  <m:rPr>
                    <m:sty m:val="bi"/>
                  </m:rPr>
                  <w:rPr>
                    <w:rFonts w:ascii="Cambria Math" w:hAnsi="Cambria Math" w:cs="Times New Roman"/>
                    <w:sz w:val="21"/>
                    <w:szCs w:val="21"/>
                  </w:rPr>
                  <m:t>C</m:t>
                </m:r>
                <m:sSub>
                  <m:sSubPr>
                    <m:ctrlPr>
                      <w:rPr>
                        <w:rFonts w:ascii="Cambria Math" w:hAnsi="Cambria Math" w:cs="Times New Roman"/>
                        <w:b/>
                        <w:bCs/>
                        <w:sz w:val="21"/>
                        <w:szCs w:val="21"/>
                      </w:rPr>
                    </m:ctrlPr>
                  </m:sSubPr>
                  <m:e>
                    <m:r>
                      <m:rPr>
                        <m:sty m:val="bi"/>
                      </m:rPr>
                      <w:rPr>
                        <w:rFonts w:ascii="Cambria Math" w:hAnsi="Cambria Math" w:cs="Times New Roman"/>
                        <w:sz w:val="21"/>
                        <w:szCs w:val="21"/>
                      </w:rPr>
                      <m:t>I</m:t>
                    </m:r>
                  </m:e>
                  <m:sub>
                    <m:r>
                      <m:rPr>
                        <m:sty m:val="bi"/>
                      </m:rPr>
                      <w:rPr>
                        <w:rFonts w:ascii="Cambria Math" w:hAnsi="Cambria Math" w:cs="Times New Roman"/>
                        <w:sz w:val="21"/>
                        <w:szCs w:val="21"/>
                      </w:rPr>
                      <m:t>low</m:t>
                    </m:r>
                  </m:sub>
                </m:sSub>
              </m:oMath>
            </m:oMathPara>
          </w:p>
        </w:tc>
        <w:tc>
          <w:tcPr>
            <w:tcW w:w="0" w:type="auto"/>
            <w:tcBorders>
              <w:top w:val="single" w:sz="4" w:space="0" w:color="auto"/>
              <w:bottom w:val="single" w:sz="2" w:space="0" w:color="auto"/>
            </w:tcBorders>
          </w:tcPr>
          <w:p w14:paraId="6154ACC6" w14:textId="24374344" w:rsidR="007A1B5D" w:rsidRPr="00574496" w:rsidRDefault="00574496" w:rsidP="00574496">
            <w:pPr>
              <w:pStyle w:val="Compact"/>
              <w:spacing w:line="360" w:lineRule="auto"/>
              <w:jc w:val="center"/>
              <w:rPr>
                <w:rFonts w:ascii="Times New Roman" w:hAnsi="Times New Roman" w:cs="Times New Roman"/>
                <w:b/>
                <w:bCs/>
                <w:sz w:val="21"/>
                <w:szCs w:val="21"/>
              </w:rPr>
            </w:pPr>
            <m:oMathPara>
              <m:oMath>
                <m:r>
                  <m:rPr>
                    <m:sty m:val="bi"/>
                  </m:rPr>
                  <w:rPr>
                    <w:rFonts w:ascii="Cambria Math" w:hAnsi="Cambria Math" w:cs="Times New Roman"/>
                    <w:sz w:val="21"/>
                    <w:szCs w:val="21"/>
                  </w:rPr>
                  <m:t>C</m:t>
                </m:r>
                <m:sSub>
                  <m:sSubPr>
                    <m:ctrlPr>
                      <w:rPr>
                        <w:rFonts w:ascii="Cambria Math" w:hAnsi="Cambria Math" w:cs="Times New Roman"/>
                        <w:b/>
                        <w:bCs/>
                        <w:sz w:val="21"/>
                        <w:szCs w:val="21"/>
                      </w:rPr>
                    </m:ctrlPr>
                  </m:sSubPr>
                  <m:e>
                    <m:r>
                      <m:rPr>
                        <m:sty m:val="bi"/>
                      </m:rPr>
                      <w:rPr>
                        <w:rFonts w:ascii="Cambria Math" w:hAnsi="Cambria Math" w:cs="Times New Roman"/>
                        <w:sz w:val="21"/>
                        <w:szCs w:val="21"/>
                      </w:rPr>
                      <m:t>I</m:t>
                    </m:r>
                  </m:e>
                  <m:sub>
                    <m:r>
                      <m:rPr>
                        <m:sty m:val="bi"/>
                      </m:rPr>
                      <w:rPr>
                        <w:rFonts w:ascii="Cambria Math" w:hAnsi="Cambria Math" w:cs="Times New Roman"/>
                        <w:sz w:val="21"/>
                        <w:szCs w:val="21"/>
                      </w:rPr>
                      <m:t>high</m:t>
                    </m:r>
                  </m:sub>
                </m:sSub>
              </m:oMath>
            </m:oMathPara>
          </w:p>
        </w:tc>
      </w:tr>
      <w:tr w:rsidR="007A1B5D" w:rsidRPr="007A1B5D" w14:paraId="2F0122EA" w14:textId="77777777" w:rsidTr="00574496">
        <w:trPr>
          <w:jc w:val="center"/>
        </w:trPr>
        <w:tc>
          <w:tcPr>
            <w:tcW w:w="0" w:type="auto"/>
            <w:tcBorders>
              <w:top w:val="single" w:sz="2" w:space="0" w:color="auto"/>
            </w:tcBorders>
          </w:tcPr>
          <w:p w14:paraId="0E07FAC4"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TWFE</w:t>
            </w:r>
          </w:p>
        </w:tc>
        <w:tc>
          <w:tcPr>
            <w:tcW w:w="0" w:type="auto"/>
            <w:tcBorders>
              <w:top w:val="single" w:sz="2" w:space="0" w:color="auto"/>
            </w:tcBorders>
          </w:tcPr>
          <w:p w14:paraId="632BDE02"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Log homicide</w:t>
            </w:r>
          </w:p>
        </w:tc>
        <w:tc>
          <w:tcPr>
            <w:tcW w:w="0" w:type="auto"/>
            <w:tcBorders>
              <w:top w:val="single" w:sz="2" w:space="0" w:color="auto"/>
            </w:tcBorders>
          </w:tcPr>
          <w:p w14:paraId="24F0E465"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0.087</w:t>
            </w:r>
          </w:p>
        </w:tc>
        <w:tc>
          <w:tcPr>
            <w:tcW w:w="0" w:type="auto"/>
            <w:tcBorders>
              <w:top w:val="single" w:sz="2" w:space="0" w:color="auto"/>
            </w:tcBorders>
          </w:tcPr>
          <w:p w14:paraId="4876BF39"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-0.032</w:t>
            </w:r>
          </w:p>
        </w:tc>
        <w:tc>
          <w:tcPr>
            <w:tcW w:w="0" w:type="auto"/>
            <w:tcBorders>
              <w:top w:val="single" w:sz="2" w:space="0" w:color="auto"/>
            </w:tcBorders>
          </w:tcPr>
          <w:p w14:paraId="0E92C0F5"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0.206</w:t>
            </w:r>
          </w:p>
        </w:tc>
      </w:tr>
      <w:tr w:rsidR="007A1B5D" w:rsidRPr="007A1B5D" w14:paraId="3C2B4EBC" w14:textId="77777777" w:rsidTr="00574496">
        <w:trPr>
          <w:jc w:val="center"/>
        </w:trPr>
        <w:tc>
          <w:tcPr>
            <w:tcW w:w="0" w:type="auto"/>
            <w:tcBorders>
              <w:bottom w:val="single" w:sz="4" w:space="0" w:color="auto"/>
            </w:tcBorders>
          </w:tcPr>
          <w:p w14:paraId="59A52F6B"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DML</w:t>
            </w:r>
          </w:p>
        </w:tc>
        <w:tc>
          <w:tcPr>
            <w:tcW w:w="0" w:type="auto"/>
            <w:tcBorders>
              <w:bottom w:val="single" w:sz="4" w:space="0" w:color="auto"/>
            </w:tcBorders>
          </w:tcPr>
          <w:p w14:paraId="3118EF7E"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Log homicide</w:t>
            </w:r>
          </w:p>
        </w:tc>
        <w:tc>
          <w:tcPr>
            <w:tcW w:w="0" w:type="auto"/>
            <w:tcBorders>
              <w:bottom w:val="single" w:sz="4" w:space="0" w:color="auto"/>
            </w:tcBorders>
          </w:tcPr>
          <w:p w14:paraId="24A88386"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0.130***</w:t>
            </w:r>
          </w:p>
        </w:tc>
        <w:tc>
          <w:tcPr>
            <w:tcW w:w="0" w:type="auto"/>
            <w:tcBorders>
              <w:bottom w:val="single" w:sz="4" w:space="0" w:color="auto"/>
            </w:tcBorders>
          </w:tcPr>
          <w:p w14:paraId="6FCA81D8"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0.036</w:t>
            </w:r>
          </w:p>
        </w:tc>
        <w:tc>
          <w:tcPr>
            <w:tcW w:w="0" w:type="auto"/>
            <w:tcBorders>
              <w:bottom w:val="single" w:sz="4" w:space="0" w:color="auto"/>
            </w:tcBorders>
          </w:tcPr>
          <w:p w14:paraId="46E43753" w14:textId="77777777" w:rsidR="007A1B5D" w:rsidRPr="007A1B5D" w:rsidRDefault="007A1B5D" w:rsidP="007A1B5D">
            <w:pPr>
              <w:pStyle w:val="Compact"/>
              <w:spacing w:line="360" w:lineRule="auto"/>
              <w:jc w:val="both"/>
              <w:rPr>
                <w:rFonts w:ascii="Times New Roman" w:hAnsi="Times New Roman" w:cs="Times New Roman"/>
              </w:rPr>
            </w:pPr>
            <w:r w:rsidRPr="007A1B5D">
              <w:rPr>
                <w:rFonts w:ascii="Times New Roman" w:hAnsi="Times New Roman" w:cs="Times New Roman"/>
              </w:rPr>
              <w:t>0.222</w:t>
            </w:r>
          </w:p>
        </w:tc>
      </w:tr>
      <w:bookmarkEnd w:id="104"/>
    </w:tbl>
    <w:p w14:paraId="64784522" w14:textId="77777777" w:rsidR="007A1B5D" w:rsidRPr="00002482" w:rsidRDefault="007A1B5D" w:rsidP="007A1B5D">
      <w:pPr>
        <w:jc w:val="both"/>
      </w:pPr>
    </w:p>
    <w:p w14:paraId="4A9F8524" w14:textId="0E76C49F" w:rsidR="009610A9" w:rsidRPr="007A1B5D" w:rsidRDefault="009610A9" w:rsidP="009610A9">
      <w:pPr>
        <w:pStyle w:val="Caption"/>
        <w:keepNext/>
        <w:spacing w:line="360" w:lineRule="auto"/>
        <w:rPr>
          <w:rFonts w:ascii="Times New Roman" w:hAnsi="Times New Roman" w:cs="Times New Roman"/>
          <w:sz w:val="18"/>
          <w:szCs w:val="18"/>
        </w:rPr>
      </w:pPr>
      <w:r w:rsidRPr="007A1B5D">
        <w:rPr>
          <w:rFonts w:ascii="Times New Roman" w:hAnsi="Times New Roman" w:cs="Times New Roman"/>
          <w:sz w:val="18"/>
          <w:szCs w:val="18"/>
        </w:rPr>
        <w:t xml:space="preserve">Table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Table \* ARABIC </w:instrText>
      </w:r>
      <w:r w:rsidRPr="007A1B5D">
        <w:rPr>
          <w:rFonts w:ascii="Times New Roman" w:hAnsi="Times New Roman" w:cs="Times New Roman"/>
          <w:sz w:val="18"/>
          <w:szCs w:val="18"/>
        </w:rPr>
        <w:fldChar w:fldCharType="separate"/>
      </w:r>
      <w:r w:rsidR="0003032F">
        <w:rPr>
          <w:rFonts w:ascii="Times New Roman" w:hAnsi="Times New Roman" w:cs="Times New Roman"/>
          <w:noProof/>
          <w:sz w:val="18"/>
          <w:szCs w:val="18"/>
        </w:rPr>
        <w:t>6</w:t>
      </w:r>
      <w:r w:rsidRPr="007A1B5D">
        <w:rPr>
          <w:rFonts w:ascii="Times New Roman" w:hAnsi="Times New Roman" w:cs="Times New Roman"/>
          <w:sz w:val="18"/>
          <w:szCs w:val="18"/>
        </w:rPr>
        <w:fldChar w:fldCharType="end"/>
      </w:r>
      <w:r w:rsidRPr="007A1B5D">
        <w:rPr>
          <w:rFonts w:ascii="Times New Roman" w:hAnsi="Times New Roman" w:cs="Times New Roman"/>
          <w:sz w:val="18"/>
          <w:szCs w:val="18"/>
        </w:rPr>
        <w:t>: Simulation results for all scenarios and units, using ‘default'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9610A9" w:rsidRPr="007A1B5D" w14:paraId="6282D2B4" w14:textId="77777777" w:rsidTr="001058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4C395FC"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Scenario</w:t>
            </w:r>
          </w:p>
        </w:tc>
        <w:tc>
          <w:tcPr>
            <w:tcW w:w="0" w:type="auto"/>
            <w:tcBorders>
              <w:bottom w:val="single" w:sz="4" w:space="0" w:color="auto"/>
            </w:tcBorders>
            <w:hideMark/>
          </w:tcPr>
          <w:p w14:paraId="3E5DD191"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Model</w:t>
            </w:r>
          </w:p>
        </w:tc>
        <w:tc>
          <w:tcPr>
            <w:tcW w:w="0" w:type="auto"/>
            <w:tcBorders>
              <w:bottom w:val="single" w:sz="4" w:space="0" w:color="auto"/>
            </w:tcBorders>
            <w:hideMark/>
          </w:tcPr>
          <w:p w14:paraId="303D8C88"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True ATT</w:t>
            </w:r>
          </w:p>
        </w:tc>
        <w:tc>
          <w:tcPr>
            <w:tcW w:w="0" w:type="auto"/>
            <w:hideMark/>
          </w:tcPr>
          <w:p w14:paraId="4445039D"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(500)</w:t>
            </w:r>
          </w:p>
        </w:tc>
        <w:tc>
          <w:tcPr>
            <w:tcW w:w="0" w:type="auto"/>
            <w:hideMark/>
          </w:tcPr>
          <w:p w14:paraId="26A87F72"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(2,500)</w:t>
            </w:r>
          </w:p>
        </w:tc>
        <w:tc>
          <w:tcPr>
            <w:tcW w:w="0" w:type="auto"/>
            <w:hideMark/>
          </w:tcPr>
          <w:p w14:paraId="292DF0FD"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(10,000)</w:t>
            </w:r>
          </w:p>
        </w:tc>
      </w:tr>
      <w:tr w:rsidR="009610A9" w:rsidRPr="007A1B5D" w14:paraId="11FAD26B"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4FDA3774"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1</w:t>
            </w:r>
          </w:p>
        </w:tc>
        <w:tc>
          <w:tcPr>
            <w:tcW w:w="0" w:type="auto"/>
            <w:tcBorders>
              <w:top w:val="single" w:sz="4" w:space="0" w:color="auto"/>
              <w:bottom w:val="nil"/>
            </w:tcBorders>
          </w:tcPr>
          <w:p w14:paraId="018E44D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49F3D4EE"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0.040</w:t>
            </w:r>
          </w:p>
        </w:tc>
        <w:tc>
          <w:tcPr>
            <w:tcW w:w="0" w:type="auto"/>
          </w:tcPr>
          <w:p w14:paraId="2A3C8CB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0.568</w:t>
            </w:r>
          </w:p>
        </w:tc>
        <w:tc>
          <w:tcPr>
            <w:tcW w:w="0" w:type="auto"/>
          </w:tcPr>
          <w:p w14:paraId="6FEF677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0.123</w:t>
            </w:r>
          </w:p>
        </w:tc>
        <w:tc>
          <w:tcPr>
            <w:tcW w:w="0" w:type="auto"/>
          </w:tcPr>
          <w:p w14:paraId="4E619E1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0.047</w:t>
            </w:r>
          </w:p>
        </w:tc>
      </w:tr>
      <w:tr w:rsidR="009610A9" w:rsidRPr="007A1B5D" w14:paraId="5FD2AE71"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5E670239"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nil"/>
              <w:bottom w:val="single" w:sz="4" w:space="0" w:color="auto"/>
            </w:tcBorders>
          </w:tcPr>
          <w:p w14:paraId="30CD3D1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4CAE7DC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5D1BA82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0.147</w:t>
            </w:r>
          </w:p>
        </w:tc>
        <w:tc>
          <w:tcPr>
            <w:tcW w:w="0" w:type="auto"/>
          </w:tcPr>
          <w:p w14:paraId="09100711"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0.064</w:t>
            </w:r>
          </w:p>
        </w:tc>
        <w:tc>
          <w:tcPr>
            <w:tcW w:w="0" w:type="auto"/>
          </w:tcPr>
          <w:p w14:paraId="46EBD18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0.033</w:t>
            </w:r>
          </w:p>
        </w:tc>
      </w:tr>
      <w:tr w:rsidR="009610A9" w:rsidRPr="007A1B5D" w14:paraId="6D10050D"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307B02F0"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2</w:t>
            </w:r>
          </w:p>
        </w:tc>
        <w:tc>
          <w:tcPr>
            <w:tcW w:w="0" w:type="auto"/>
            <w:tcBorders>
              <w:top w:val="single" w:sz="4" w:space="0" w:color="auto"/>
              <w:bottom w:val="nil"/>
            </w:tcBorders>
          </w:tcPr>
          <w:p w14:paraId="7A2C7B8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178B57F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0.051</w:t>
            </w:r>
          </w:p>
        </w:tc>
        <w:tc>
          <w:tcPr>
            <w:tcW w:w="0" w:type="auto"/>
          </w:tcPr>
          <w:p w14:paraId="57BB411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0.636</w:t>
            </w:r>
          </w:p>
        </w:tc>
        <w:tc>
          <w:tcPr>
            <w:tcW w:w="0" w:type="auto"/>
          </w:tcPr>
          <w:p w14:paraId="45BC70A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0.151</w:t>
            </w:r>
          </w:p>
        </w:tc>
        <w:tc>
          <w:tcPr>
            <w:tcW w:w="0" w:type="auto"/>
          </w:tcPr>
          <w:p w14:paraId="6939E4E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0.058</w:t>
            </w:r>
          </w:p>
        </w:tc>
      </w:tr>
      <w:tr w:rsidR="009610A9" w:rsidRPr="007A1B5D" w14:paraId="5A65FC0F"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1A9EC354"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nil"/>
              <w:bottom w:val="single" w:sz="4" w:space="0" w:color="auto"/>
            </w:tcBorders>
          </w:tcPr>
          <w:p w14:paraId="57B82DE1"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4FC4EBB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50931F7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0.210</w:t>
            </w:r>
          </w:p>
        </w:tc>
        <w:tc>
          <w:tcPr>
            <w:tcW w:w="0" w:type="auto"/>
          </w:tcPr>
          <w:p w14:paraId="372C337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0.157</w:t>
            </w:r>
          </w:p>
        </w:tc>
        <w:tc>
          <w:tcPr>
            <w:tcW w:w="0" w:type="auto"/>
          </w:tcPr>
          <w:p w14:paraId="35BE238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0.142</w:t>
            </w:r>
          </w:p>
        </w:tc>
      </w:tr>
      <w:tr w:rsidR="009610A9" w:rsidRPr="007A1B5D" w14:paraId="5CE04AB4"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1583BB9F"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3</w:t>
            </w:r>
          </w:p>
        </w:tc>
        <w:tc>
          <w:tcPr>
            <w:tcW w:w="0" w:type="auto"/>
            <w:tcBorders>
              <w:top w:val="single" w:sz="4" w:space="0" w:color="auto"/>
              <w:bottom w:val="nil"/>
            </w:tcBorders>
          </w:tcPr>
          <w:p w14:paraId="79C1730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0D66396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-0.625</w:t>
            </w:r>
          </w:p>
        </w:tc>
        <w:tc>
          <w:tcPr>
            <w:tcW w:w="0" w:type="auto"/>
          </w:tcPr>
          <w:p w14:paraId="25B4A28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0.789</w:t>
            </w:r>
          </w:p>
        </w:tc>
        <w:tc>
          <w:tcPr>
            <w:tcW w:w="0" w:type="auto"/>
          </w:tcPr>
          <w:p w14:paraId="1DCC99F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0.391</w:t>
            </w:r>
          </w:p>
        </w:tc>
        <w:tc>
          <w:tcPr>
            <w:tcW w:w="0" w:type="auto"/>
          </w:tcPr>
          <w:p w14:paraId="4D3A9E8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0.352</w:t>
            </w:r>
          </w:p>
        </w:tc>
      </w:tr>
      <w:tr w:rsidR="009610A9" w:rsidRPr="007A1B5D" w14:paraId="58E6AA63"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239EB4EF"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nil"/>
              <w:bottom w:val="single" w:sz="4" w:space="0" w:color="auto"/>
            </w:tcBorders>
          </w:tcPr>
          <w:p w14:paraId="1A8FEAA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1E28BFA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1C4C9CF2"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0.233</w:t>
            </w:r>
          </w:p>
        </w:tc>
        <w:tc>
          <w:tcPr>
            <w:tcW w:w="0" w:type="auto"/>
          </w:tcPr>
          <w:p w14:paraId="422DA36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0.145</w:t>
            </w:r>
          </w:p>
        </w:tc>
        <w:tc>
          <w:tcPr>
            <w:tcW w:w="0" w:type="auto"/>
          </w:tcPr>
          <w:p w14:paraId="6BE204F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0.121</w:t>
            </w:r>
          </w:p>
        </w:tc>
      </w:tr>
      <w:tr w:rsidR="009610A9" w:rsidRPr="007A1B5D" w14:paraId="1E574880"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24238CA1"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4</w:t>
            </w:r>
          </w:p>
        </w:tc>
        <w:tc>
          <w:tcPr>
            <w:tcW w:w="0" w:type="auto"/>
            <w:tcBorders>
              <w:top w:val="single" w:sz="4" w:space="0" w:color="auto"/>
              <w:bottom w:val="nil"/>
            </w:tcBorders>
            <w:hideMark/>
          </w:tcPr>
          <w:p w14:paraId="02D6CF3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05D8127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0.118</w:t>
            </w:r>
          </w:p>
        </w:tc>
        <w:tc>
          <w:tcPr>
            <w:tcW w:w="0" w:type="auto"/>
            <w:hideMark/>
          </w:tcPr>
          <w:p w14:paraId="4D498D3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0.262</w:t>
            </w:r>
          </w:p>
        </w:tc>
        <w:tc>
          <w:tcPr>
            <w:tcW w:w="0" w:type="auto"/>
            <w:hideMark/>
          </w:tcPr>
          <w:p w14:paraId="19BB5EF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0.076</w:t>
            </w:r>
          </w:p>
        </w:tc>
        <w:tc>
          <w:tcPr>
            <w:tcW w:w="0" w:type="auto"/>
            <w:hideMark/>
          </w:tcPr>
          <w:p w14:paraId="4437738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0.032</w:t>
            </w:r>
          </w:p>
        </w:tc>
      </w:tr>
      <w:tr w:rsidR="009610A9" w:rsidRPr="007A1B5D" w14:paraId="59912912"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15851D29"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2EBC6C6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0D96D82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EEFF16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0.136</w:t>
            </w:r>
          </w:p>
        </w:tc>
        <w:tc>
          <w:tcPr>
            <w:tcW w:w="0" w:type="auto"/>
            <w:hideMark/>
          </w:tcPr>
          <w:p w14:paraId="060C684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0.061</w:t>
            </w:r>
          </w:p>
        </w:tc>
        <w:tc>
          <w:tcPr>
            <w:tcW w:w="0" w:type="auto"/>
            <w:hideMark/>
          </w:tcPr>
          <w:p w14:paraId="2508B19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0.030</w:t>
            </w:r>
          </w:p>
        </w:tc>
      </w:tr>
      <w:tr w:rsidR="009610A9" w:rsidRPr="007A1B5D" w14:paraId="51E47ECC"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30E17B1F"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5</w:t>
            </w:r>
          </w:p>
        </w:tc>
        <w:tc>
          <w:tcPr>
            <w:tcW w:w="0" w:type="auto"/>
            <w:tcBorders>
              <w:top w:val="single" w:sz="4" w:space="0" w:color="auto"/>
              <w:bottom w:val="nil"/>
            </w:tcBorders>
            <w:hideMark/>
          </w:tcPr>
          <w:p w14:paraId="553D171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23ABF4D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0.106</w:t>
            </w:r>
          </w:p>
        </w:tc>
        <w:tc>
          <w:tcPr>
            <w:tcW w:w="0" w:type="auto"/>
            <w:hideMark/>
          </w:tcPr>
          <w:p w14:paraId="16DBF4D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0.365</w:t>
            </w:r>
          </w:p>
        </w:tc>
        <w:tc>
          <w:tcPr>
            <w:tcW w:w="0" w:type="auto"/>
            <w:hideMark/>
          </w:tcPr>
          <w:p w14:paraId="0F4D43D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0.098</w:t>
            </w:r>
          </w:p>
        </w:tc>
        <w:tc>
          <w:tcPr>
            <w:tcW w:w="0" w:type="auto"/>
            <w:hideMark/>
          </w:tcPr>
          <w:p w14:paraId="223121A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0.041</w:t>
            </w:r>
          </w:p>
        </w:tc>
      </w:tr>
      <w:tr w:rsidR="009610A9" w:rsidRPr="007A1B5D" w14:paraId="27ABA845"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45E1395E"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6C629C2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1E0D1ED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865116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0.219</w:t>
            </w:r>
          </w:p>
        </w:tc>
        <w:tc>
          <w:tcPr>
            <w:tcW w:w="0" w:type="auto"/>
            <w:hideMark/>
          </w:tcPr>
          <w:p w14:paraId="585A249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0.184</w:t>
            </w:r>
          </w:p>
        </w:tc>
        <w:tc>
          <w:tcPr>
            <w:tcW w:w="0" w:type="auto"/>
            <w:hideMark/>
          </w:tcPr>
          <w:p w14:paraId="153B86B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0.174</w:t>
            </w:r>
          </w:p>
        </w:tc>
      </w:tr>
      <w:tr w:rsidR="009610A9" w:rsidRPr="007A1B5D" w14:paraId="5B49E92E"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7F6322B9"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lastRenderedPageBreak/>
              <w:t>6</w:t>
            </w:r>
          </w:p>
        </w:tc>
        <w:tc>
          <w:tcPr>
            <w:tcW w:w="0" w:type="auto"/>
            <w:tcBorders>
              <w:top w:val="single" w:sz="4" w:space="0" w:color="auto"/>
              <w:bottom w:val="nil"/>
            </w:tcBorders>
            <w:hideMark/>
          </w:tcPr>
          <w:p w14:paraId="1938143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176D136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-0.922</w:t>
            </w:r>
          </w:p>
        </w:tc>
        <w:tc>
          <w:tcPr>
            <w:tcW w:w="0" w:type="auto"/>
            <w:hideMark/>
          </w:tcPr>
          <w:p w14:paraId="4E8DDC1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0.661</w:t>
            </w:r>
          </w:p>
        </w:tc>
        <w:tc>
          <w:tcPr>
            <w:tcW w:w="0" w:type="auto"/>
            <w:hideMark/>
          </w:tcPr>
          <w:p w14:paraId="334216E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0.180</w:t>
            </w:r>
          </w:p>
        </w:tc>
        <w:tc>
          <w:tcPr>
            <w:tcW w:w="0" w:type="auto"/>
            <w:hideMark/>
          </w:tcPr>
          <w:p w14:paraId="0974A77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0.077</w:t>
            </w:r>
          </w:p>
        </w:tc>
      </w:tr>
      <w:tr w:rsidR="009610A9" w:rsidRPr="007A1B5D" w14:paraId="6BB44A02"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tcBorders>
            <w:vAlign w:val="center"/>
            <w:hideMark/>
          </w:tcPr>
          <w:p w14:paraId="3D837F33"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78B39A2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nil"/>
            </w:tcBorders>
            <w:vAlign w:val="center"/>
            <w:hideMark/>
          </w:tcPr>
          <w:p w14:paraId="1D2E713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19BAF02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0.240</w:t>
            </w:r>
          </w:p>
        </w:tc>
        <w:tc>
          <w:tcPr>
            <w:tcW w:w="0" w:type="auto"/>
            <w:hideMark/>
          </w:tcPr>
          <w:p w14:paraId="339CBEF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0.181</w:t>
            </w:r>
          </w:p>
        </w:tc>
        <w:tc>
          <w:tcPr>
            <w:tcW w:w="0" w:type="auto"/>
            <w:hideMark/>
          </w:tcPr>
          <w:p w14:paraId="1F571B0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0.170</w:t>
            </w:r>
          </w:p>
        </w:tc>
      </w:tr>
      <w:tr w:rsidR="009610A9" w:rsidRPr="007A1B5D" w14:paraId="7B046FE9"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E881B98"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7</w:t>
            </w:r>
          </w:p>
        </w:tc>
        <w:tc>
          <w:tcPr>
            <w:tcW w:w="0" w:type="auto"/>
            <w:tcBorders>
              <w:top w:val="single" w:sz="4" w:space="0" w:color="auto"/>
              <w:bottom w:val="nil"/>
            </w:tcBorders>
            <w:hideMark/>
          </w:tcPr>
          <w:p w14:paraId="4697939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vAlign w:val="center"/>
            <w:hideMark/>
          </w:tcPr>
          <w:p w14:paraId="400543E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0.079</w:t>
            </w:r>
          </w:p>
        </w:tc>
        <w:tc>
          <w:tcPr>
            <w:tcW w:w="0" w:type="auto"/>
            <w:hideMark/>
          </w:tcPr>
          <w:p w14:paraId="250A8BB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0.593</w:t>
            </w:r>
          </w:p>
        </w:tc>
        <w:tc>
          <w:tcPr>
            <w:tcW w:w="0" w:type="auto"/>
            <w:hideMark/>
          </w:tcPr>
          <w:p w14:paraId="209E0DE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0.141</w:t>
            </w:r>
          </w:p>
        </w:tc>
        <w:tc>
          <w:tcPr>
            <w:tcW w:w="0" w:type="auto"/>
            <w:hideMark/>
          </w:tcPr>
          <w:p w14:paraId="6A87E90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0.067</w:t>
            </w:r>
          </w:p>
        </w:tc>
      </w:tr>
      <w:tr w:rsidR="009610A9" w:rsidRPr="007A1B5D" w14:paraId="3BA0E948"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44635D4"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448BED57"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vAlign w:val="center"/>
            <w:hideMark/>
          </w:tcPr>
          <w:p w14:paraId="471D0F07"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0D6530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0.148</w:t>
            </w:r>
          </w:p>
        </w:tc>
        <w:tc>
          <w:tcPr>
            <w:tcW w:w="0" w:type="auto"/>
            <w:hideMark/>
          </w:tcPr>
          <w:p w14:paraId="793B814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0.064</w:t>
            </w:r>
          </w:p>
        </w:tc>
        <w:tc>
          <w:tcPr>
            <w:tcW w:w="0" w:type="auto"/>
            <w:hideMark/>
          </w:tcPr>
          <w:p w14:paraId="7ADAEC1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0.032</w:t>
            </w:r>
          </w:p>
        </w:tc>
      </w:tr>
      <w:tr w:rsidR="009610A9" w:rsidRPr="007A1B5D" w14:paraId="029E2CAB"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722336B"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8</w:t>
            </w:r>
          </w:p>
        </w:tc>
        <w:tc>
          <w:tcPr>
            <w:tcW w:w="0" w:type="auto"/>
            <w:tcBorders>
              <w:top w:val="single" w:sz="4" w:space="0" w:color="auto"/>
              <w:bottom w:val="nil"/>
            </w:tcBorders>
            <w:hideMark/>
          </w:tcPr>
          <w:p w14:paraId="661B558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vAlign w:val="center"/>
            <w:hideMark/>
          </w:tcPr>
          <w:p w14:paraId="41ADFF9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0.124</w:t>
            </w:r>
          </w:p>
        </w:tc>
        <w:tc>
          <w:tcPr>
            <w:tcW w:w="0" w:type="auto"/>
            <w:hideMark/>
          </w:tcPr>
          <w:p w14:paraId="4B32A62F"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0.619</w:t>
            </w:r>
          </w:p>
        </w:tc>
        <w:tc>
          <w:tcPr>
            <w:tcW w:w="0" w:type="auto"/>
            <w:hideMark/>
          </w:tcPr>
          <w:p w14:paraId="711E359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0.162</w:t>
            </w:r>
          </w:p>
        </w:tc>
        <w:tc>
          <w:tcPr>
            <w:tcW w:w="0" w:type="auto"/>
            <w:hideMark/>
          </w:tcPr>
          <w:p w14:paraId="2EFB880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0.084</w:t>
            </w:r>
          </w:p>
        </w:tc>
      </w:tr>
      <w:tr w:rsidR="009610A9" w:rsidRPr="007A1B5D" w14:paraId="7D634F33"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9245179"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51564F0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vAlign w:val="center"/>
            <w:hideMark/>
          </w:tcPr>
          <w:p w14:paraId="77226F4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F1342F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0.213</w:t>
            </w:r>
          </w:p>
        </w:tc>
        <w:tc>
          <w:tcPr>
            <w:tcW w:w="0" w:type="auto"/>
            <w:hideMark/>
          </w:tcPr>
          <w:p w14:paraId="20FBFD1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0.155</w:t>
            </w:r>
          </w:p>
        </w:tc>
        <w:tc>
          <w:tcPr>
            <w:tcW w:w="0" w:type="auto"/>
            <w:hideMark/>
          </w:tcPr>
          <w:p w14:paraId="7E28C6E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0.144</w:t>
            </w:r>
          </w:p>
        </w:tc>
      </w:tr>
      <w:tr w:rsidR="009610A9" w:rsidRPr="007A1B5D" w14:paraId="4976555F"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5E25C13"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9</w:t>
            </w:r>
          </w:p>
        </w:tc>
        <w:tc>
          <w:tcPr>
            <w:tcW w:w="0" w:type="auto"/>
            <w:tcBorders>
              <w:top w:val="single" w:sz="4" w:space="0" w:color="auto"/>
              <w:bottom w:val="nil"/>
            </w:tcBorders>
            <w:hideMark/>
          </w:tcPr>
          <w:p w14:paraId="37F32B2E"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vAlign w:val="center"/>
            <w:hideMark/>
          </w:tcPr>
          <w:p w14:paraId="06CC5B3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-0.572</w:t>
            </w:r>
          </w:p>
        </w:tc>
        <w:tc>
          <w:tcPr>
            <w:tcW w:w="0" w:type="auto"/>
            <w:hideMark/>
          </w:tcPr>
          <w:p w14:paraId="68D49FE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0.741</w:t>
            </w:r>
          </w:p>
        </w:tc>
        <w:tc>
          <w:tcPr>
            <w:tcW w:w="0" w:type="auto"/>
            <w:hideMark/>
          </w:tcPr>
          <w:p w14:paraId="400746F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0.349</w:t>
            </w:r>
          </w:p>
        </w:tc>
        <w:tc>
          <w:tcPr>
            <w:tcW w:w="0" w:type="auto"/>
            <w:hideMark/>
          </w:tcPr>
          <w:p w14:paraId="723A8111"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0.301</w:t>
            </w:r>
          </w:p>
        </w:tc>
      </w:tr>
      <w:tr w:rsidR="009610A9" w:rsidRPr="007A1B5D" w14:paraId="5E9EB718"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BB60270"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7088763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vAlign w:val="center"/>
            <w:hideMark/>
          </w:tcPr>
          <w:p w14:paraId="3E2C6C5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945BE71"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0.230</w:t>
            </w:r>
          </w:p>
        </w:tc>
        <w:tc>
          <w:tcPr>
            <w:tcW w:w="0" w:type="auto"/>
            <w:hideMark/>
          </w:tcPr>
          <w:p w14:paraId="13A7D7A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0.145</w:t>
            </w:r>
          </w:p>
        </w:tc>
        <w:tc>
          <w:tcPr>
            <w:tcW w:w="0" w:type="auto"/>
            <w:hideMark/>
          </w:tcPr>
          <w:p w14:paraId="2909235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0.122</w:t>
            </w:r>
          </w:p>
        </w:tc>
      </w:tr>
      <w:tr w:rsidR="009610A9" w:rsidRPr="007A1B5D" w14:paraId="20262DA1"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E30DC8"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10</w:t>
            </w:r>
          </w:p>
        </w:tc>
        <w:tc>
          <w:tcPr>
            <w:tcW w:w="0" w:type="auto"/>
            <w:tcBorders>
              <w:top w:val="single" w:sz="4" w:space="0" w:color="auto"/>
              <w:bottom w:val="nil"/>
            </w:tcBorders>
            <w:hideMark/>
          </w:tcPr>
          <w:p w14:paraId="6694610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vAlign w:val="center"/>
            <w:hideMark/>
          </w:tcPr>
          <w:p w14:paraId="655A822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-0.050</w:t>
            </w:r>
          </w:p>
        </w:tc>
        <w:tc>
          <w:tcPr>
            <w:tcW w:w="0" w:type="auto"/>
            <w:hideMark/>
          </w:tcPr>
          <w:p w14:paraId="5C3F4E9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0.154</w:t>
            </w:r>
          </w:p>
        </w:tc>
        <w:tc>
          <w:tcPr>
            <w:tcW w:w="0" w:type="auto"/>
            <w:hideMark/>
          </w:tcPr>
          <w:p w14:paraId="03B68A1E"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0.058</w:t>
            </w:r>
          </w:p>
        </w:tc>
        <w:tc>
          <w:tcPr>
            <w:tcW w:w="0" w:type="auto"/>
            <w:hideMark/>
          </w:tcPr>
          <w:p w14:paraId="0CDD482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0.027</w:t>
            </w:r>
          </w:p>
        </w:tc>
      </w:tr>
      <w:tr w:rsidR="009610A9" w:rsidRPr="007A1B5D" w14:paraId="4094AB53"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3B14011"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71F3D06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vAlign w:val="center"/>
            <w:hideMark/>
          </w:tcPr>
          <w:p w14:paraId="318FB001"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05FD81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0.330</w:t>
            </w:r>
          </w:p>
        </w:tc>
        <w:tc>
          <w:tcPr>
            <w:tcW w:w="0" w:type="auto"/>
            <w:hideMark/>
          </w:tcPr>
          <w:p w14:paraId="27F1363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0.200</w:t>
            </w:r>
          </w:p>
        </w:tc>
        <w:tc>
          <w:tcPr>
            <w:tcW w:w="0" w:type="auto"/>
            <w:hideMark/>
          </w:tcPr>
          <w:p w14:paraId="6BB958E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0.166</w:t>
            </w:r>
          </w:p>
        </w:tc>
      </w:tr>
      <w:tr w:rsidR="009610A9" w:rsidRPr="007A1B5D" w14:paraId="04BAB07D"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27D7056"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11</w:t>
            </w:r>
          </w:p>
        </w:tc>
        <w:tc>
          <w:tcPr>
            <w:tcW w:w="0" w:type="auto"/>
            <w:tcBorders>
              <w:top w:val="single" w:sz="4" w:space="0" w:color="auto"/>
              <w:bottom w:val="nil"/>
            </w:tcBorders>
            <w:hideMark/>
          </w:tcPr>
          <w:p w14:paraId="414B5D4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vAlign w:val="center"/>
            <w:hideMark/>
          </w:tcPr>
          <w:p w14:paraId="03460B9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-0.125</w:t>
            </w:r>
          </w:p>
        </w:tc>
        <w:tc>
          <w:tcPr>
            <w:tcW w:w="0" w:type="auto"/>
            <w:hideMark/>
          </w:tcPr>
          <w:p w14:paraId="31376C6F"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0.172</w:t>
            </w:r>
          </w:p>
        </w:tc>
        <w:tc>
          <w:tcPr>
            <w:tcW w:w="0" w:type="auto"/>
            <w:hideMark/>
          </w:tcPr>
          <w:p w14:paraId="3647AA3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0.067</w:t>
            </w:r>
          </w:p>
        </w:tc>
        <w:tc>
          <w:tcPr>
            <w:tcW w:w="0" w:type="auto"/>
            <w:hideMark/>
          </w:tcPr>
          <w:p w14:paraId="765A63F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0.029</w:t>
            </w:r>
          </w:p>
        </w:tc>
      </w:tr>
      <w:tr w:rsidR="009610A9" w:rsidRPr="007A1B5D" w14:paraId="4311EEC9"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9115B25"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79E2429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vAlign w:val="center"/>
            <w:hideMark/>
          </w:tcPr>
          <w:p w14:paraId="7821F591"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9D6C3F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0.373</w:t>
            </w:r>
          </w:p>
        </w:tc>
        <w:tc>
          <w:tcPr>
            <w:tcW w:w="0" w:type="auto"/>
            <w:hideMark/>
          </w:tcPr>
          <w:p w14:paraId="4F28EA8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0.293</w:t>
            </w:r>
          </w:p>
        </w:tc>
        <w:tc>
          <w:tcPr>
            <w:tcW w:w="0" w:type="auto"/>
            <w:hideMark/>
          </w:tcPr>
          <w:p w14:paraId="6FB9B99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0.274</w:t>
            </w:r>
          </w:p>
        </w:tc>
      </w:tr>
      <w:tr w:rsidR="009610A9" w:rsidRPr="007A1B5D" w14:paraId="073F066B"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2026485"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12</w:t>
            </w:r>
          </w:p>
        </w:tc>
        <w:tc>
          <w:tcPr>
            <w:tcW w:w="0" w:type="auto"/>
            <w:tcBorders>
              <w:top w:val="single" w:sz="4" w:space="0" w:color="auto"/>
              <w:bottom w:val="nil"/>
            </w:tcBorders>
            <w:hideMark/>
          </w:tcPr>
          <w:p w14:paraId="50D71171"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vAlign w:val="center"/>
            <w:hideMark/>
          </w:tcPr>
          <w:p w14:paraId="65C4EEB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-1.195</w:t>
            </w:r>
          </w:p>
        </w:tc>
        <w:tc>
          <w:tcPr>
            <w:tcW w:w="0" w:type="auto"/>
            <w:hideMark/>
          </w:tcPr>
          <w:p w14:paraId="4F0609E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0.242</w:t>
            </w:r>
          </w:p>
        </w:tc>
        <w:tc>
          <w:tcPr>
            <w:tcW w:w="0" w:type="auto"/>
            <w:hideMark/>
          </w:tcPr>
          <w:p w14:paraId="35B73B6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0.103</w:t>
            </w:r>
          </w:p>
        </w:tc>
        <w:tc>
          <w:tcPr>
            <w:tcW w:w="0" w:type="auto"/>
            <w:hideMark/>
          </w:tcPr>
          <w:p w14:paraId="516E159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0.044</w:t>
            </w:r>
          </w:p>
        </w:tc>
      </w:tr>
      <w:tr w:rsidR="009610A9" w:rsidRPr="007A1B5D" w14:paraId="01458ADA"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17E5F211"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nil"/>
              <w:bottom w:val="single" w:sz="4" w:space="0" w:color="auto"/>
            </w:tcBorders>
            <w:hideMark/>
          </w:tcPr>
          <w:p w14:paraId="6B843CA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hideMark/>
          </w:tcPr>
          <w:p w14:paraId="4B18DC7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13CF9C3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0.596</w:t>
            </w:r>
          </w:p>
        </w:tc>
        <w:tc>
          <w:tcPr>
            <w:tcW w:w="0" w:type="auto"/>
            <w:hideMark/>
          </w:tcPr>
          <w:p w14:paraId="1EA9175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0.555</w:t>
            </w:r>
          </w:p>
        </w:tc>
        <w:tc>
          <w:tcPr>
            <w:tcW w:w="0" w:type="auto"/>
            <w:hideMark/>
          </w:tcPr>
          <w:p w14:paraId="57F230C3" w14:textId="77777777" w:rsidR="009610A9" w:rsidRPr="007A1B5D" w:rsidRDefault="009610A9" w:rsidP="00105899">
            <w:pPr>
              <w:pStyle w:val="Compact"/>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0.550</w:t>
            </w:r>
          </w:p>
        </w:tc>
      </w:tr>
    </w:tbl>
    <w:p w14:paraId="63EC70C9" w14:textId="77777777" w:rsidR="009610A9" w:rsidRPr="007A1B5D" w:rsidRDefault="009610A9" w:rsidP="009610A9">
      <w:pPr>
        <w:pStyle w:val="BodyText"/>
        <w:spacing w:line="360" w:lineRule="auto"/>
      </w:pPr>
    </w:p>
    <w:p w14:paraId="00AFB394" w14:textId="3F5289B1" w:rsidR="009610A9" w:rsidRPr="007A1B5D" w:rsidRDefault="009610A9" w:rsidP="009610A9">
      <w:pPr>
        <w:pStyle w:val="Caption"/>
        <w:keepNext/>
        <w:spacing w:line="360" w:lineRule="auto"/>
        <w:rPr>
          <w:rFonts w:ascii="Times New Roman" w:hAnsi="Times New Roman" w:cs="Times New Roman"/>
          <w:sz w:val="18"/>
          <w:szCs w:val="18"/>
        </w:rPr>
      </w:pPr>
      <w:r w:rsidRPr="007A1B5D">
        <w:rPr>
          <w:rFonts w:ascii="Times New Roman" w:hAnsi="Times New Roman" w:cs="Times New Roman"/>
          <w:sz w:val="18"/>
          <w:szCs w:val="18"/>
        </w:rPr>
        <w:t xml:space="preserve">Table </w:t>
      </w:r>
      <w:r w:rsidRPr="007A1B5D">
        <w:rPr>
          <w:rFonts w:ascii="Times New Roman" w:hAnsi="Times New Roman" w:cs="Times New Roman"/>
          <w:sz w:val="18"/>
          <w:szCs w:val="18"/>
        </w:rPr>
        <w:fldChar w:fldCharType="begin"/>
      </w:r>
      <w:r w:rsidRPr="007A1B5D">
        <w:rPr>
          <w:rFonts w:ascii="Times New Roman" w:hAnsi="Times New Roman" w:cs="Times New Roman"/>
          <w:sz w:val="18"/>
          <w:szCs w:val="18"/>
        </w:rPr>
        <w:instrText xml:space="preserve"> SEQ Table \* ARABIC </w:instrText>
      </w:r>
      <w:r w:rsidRPr="007A1B5D">
        <w:rPr>
          <w:rFonts w:ascii="Times New Roman" w:hAnsi="Times New Roman" w:cs="Times New Roman"/>
          <w:sz w:val="18"/>
          <w:szCs w:val="18"/>
        </w:rPr>
        <w:fldChar w:fldCharType="separate"/>
      </w:r>
      <w:r w:rsidR="0003032F">
        <w:rPr>
          <w:rFonts w:ascii="Times New Roman" w:hAnsi="Times New Roman" w:cs="Times New Roman"/>
          <w:noProof/>
          <w:sz w:val="18"/>
          <w:szCs w:val="18"/>
        </w:rPr>
        <w:t>7</w:t>
      </w:r>
      <w:r w:rsidRPr="007A1B5D">
        <w:rPr>
          <w:rFonts w:ascii="Times New Roman" w:hAnsi="Times New Roman" w:cs="Times New Roman"/>
          <w:sz w:val="18"/>
          <w:szCs w:val="18"/>
        </w:rPr>
        <w:fldChar w:fldCharType="end"/>
      </w:r>
      <w:r w:rsidRPr="007A1B5D">
        <w:rPr>
          <w:rFonts w:ascii="Times New Roman" w:hAnsi="Times New Roman" w:cs="Times New Roman"/>
          <w:sz w:val="18"/>
          <w:szCs w:val="18"/>
        </w:rPr>
        <w:t>: Simulation results for all scenarios and units, using ‘flexible'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9610A9" w:rsidRPr="007A1B5D" w14:paraId="3E0A62D3" w14:textId="77777777" w:rsidTr="001058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F88EA90"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sz w:val="21"/>
                <w:szCs w:val="21"/>
              </w:rPr>
              <w:t>Scenario</w:t>
            </w:r>
          </w:p>
        </w:tc>
        <w:tc>
          <w:tcPr>
            <w:tcW w:w="0" w:type="auto"/>
            <w:tcBorders>
              <w:bottom w:val="single" w:sz="4" w:space="0" w:color="auto"/>
            </w:tcBorders>
            <w:hideMark/>
          </w:tcPr>
          <w:p w14:paraId="729B802F"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Model</w:t>
            </w:r>
          </w:p>
        </w:tc>
        <w:tc>
          <w:tcPr>
            <w:tcW w:w="0" w:type="auto"/>
            <w:tcBorders>
              <w:bottom w:val="single" w:sz="4" w:space="0" w:color="auto"/>
            </w:tcBorders>
            <w:hideMark/>
          </w:tcPr>
          <w:p w14:paraId="529189A1"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True ATT</w:t>
            </w:r>
          </w:p>
        </w:tc>
        <w:tc>
          <w:tcPr>
            <w:tcW w:w="0" w:type="auto"/>
            <w:hideMark/>
          </w:tcPr>
          <w:p w14:paraId="3459B763"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(500)</w:t>
            </w:r>
          </w:p>
        </w:tc>
        <w:tc>
          <w:tcPr>
            <w:tcW w:w="0" w:type="auto"/>
            <w:hideMark/>
          </w:tcPr>
          <w:p w14:paraId="70DD18E5"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(2,500)</w:t>
            </w:r>
          </w:p>
        </w:tc>
        <w:tc>
          <w:tcPr>
            <w:tcW w:w="0" w:type="auto"/>
            <w:hideMark/>
          </w:tcPr>
          <w:p w14:paraId="6D10F16A" w14:textId="77777777" w:rsidR="009610A9" w:rsidRPr="007A1B5D" w:rsidRDefault="009610A9" w:rsidP="00105899">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RMSE (10,000)</w:t>
            </w:r>
          </w:p>
        </w:tc>
      </w:tr>
      <w:tr w:rsidR="009610A9" w:rsidRPr="007A1B5D" w14:paraId="36D3F2AA"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2F7E011C"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1</w:t>
            </w:r>
          </w:p>
        </w:tc>
        <w:tc>
          <w:tcPr>
            <w:tcW w:w="0" w:type="auto"/>
            <w:tcBorders>
              <w:top w:val="single" w:sz="4" w:space="0" w:color="auto"/>
              <w:bottom w:val="single" w:sz="4" w:space="0" w:color="auto"/>
            </w:tcBorders>
          </w:tcPr>
          <w:p w14:paraId="0FFD5B7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05AA212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0.040</w:t>
            </w:r>
          </w:p>
        </w:tc>
        <w:tc>
          <w:tcPr>
            <w:tcW w:w="0" w:type="auto"/>
          </w:tcPr>
          <w:p w14:paraId="6AC7590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1.148</w:t>
            </w:r>
          </w:p>
        </w:tc>
        <w:tc>
          <w:tcPr>
            <w:tcW w:w="0" w:type="auto"/>
          </w:tcPr>
          <w:p w14:paraId="7CAEEBF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0.300</w:t>
            </w:r>
          </w:p>
        </w:tc>
        <w:tc>
          <w:tcPr>
            <w:tcW w:w="0" w:type="auto"/>
          </w:tcPr>
          <w:p w14:paraId="5D9EF96F"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0.071</w:t>
            </w:r>
          </w:p>
        </w:tc>
      </w:tr>
      <w:tr w:rsidR="009610A9" w:rsidRPr="007A1B5D" w14:paraId="739945AE"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7C112757"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391F2EA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7C4E058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5837CB3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0.147</w:t>
            </w:r>
          </w:p>
        </w:tc>
        <w:tc>
          <w:tcPr>
            <w:tcW w:w="0" w:type="auto"/>
          </w:tcPr>
          <w:p w14:paraId="6F7CB4E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0.064</w:t>
            </w:r>
          </w:p>
        </w:tc>
        <w:tc>
          <w:tcPr>
            <w:tcW w:w="0" w:type="auto"/>
          </w:tcPr>
          <w:p w14:paraId="1E3508A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0.033</w:t>
            </w:r>
          </w:p>
        </w:tc>
      </w:tr>
      <w:tr w:rsidR="009610A9" w:rsidRPr="007A1B5D" w14:paraId="6C845A54"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5A1316B3"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2</w:t>
            </w:r>
          </w:p>
        </w:tc>
        <w:tc>
          <w:tcPr>
            <w:tcW w:w="0" w:type="auto"/>
            <w:tcBorders>
              <w:top w:val="single" w:sz="4" w:space="0" w:color="auto"/>
              <w:bottom w:val="single" w:sz="4" w:space="0" w:color="auto"/>
            </w:tcBorders>
          </w:tcPr>
          <w:p w14:paraId="295ABFD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197EB41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0.051</w:t>
            </w:r>
          </w:p>
        </w:tc>
        <w:tc>
          <w:tcPr>
            <w:tcW w:w="0" w:type="auto"/>
          </w:tcPr>
          <w:p w14:paraId="2CD06C91"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1.207</w:t>
            </w:r>
          </w:p>
        </w:tc>
        <w:tc>
          <w:tcPr>
            <w:tcW w:w="0" w:type="auto"/>
          </w:tcPr>
          <w:p w14:paraId="52E1BAB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0.301</w:t>
            </w:r>
          </w:p>
        </w:tc>
        <w:tc>
          <w:tcPr>
            <w:tcW w:w="0" w:type="auto"/>
          </w:tcPr>
          <w:p w14:paraId="38C4AF4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0.086</w:t>
            </w:r>
          </w:p>
        </w:tc>
      </w:tr>
      <w:tr w:rsidR="009610A9" w:rsidRPr="007A1B5D" w14:paraId="7C6859C3"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2C8A432D"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4F3FD62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5F07C14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478FA21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0.210</w:t>
            </w:r>
          </w:p>
        </w:tc>
        <w:tc>
          <w:tcPr>
            <w:tcW w:w="0" w:type="auto"/>
          </w:tcPr>
          <w:p w14:paraId="6C49C3D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0.157</w:t>
            </w:r>
          </w:p>
        </w:tc>
        <w:tc>
          <w:tcPr>
            <w:tcW w:w="0" w:type="auto"/>
          </w:tcPr>
          <w:p w14:paraId="64E9E7A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0.142</w:t>
            </w:r>
          </w:p>
        </w:tc>
      </w:tr>
      <w:tr w:rsidR="009610A9" w:rsidRPr="007A1B5D" w14:paraId="61629BCC"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4A489037" w14:textId="77777777" w:rsidR="009610A9" w:rsidRPr="007A1B5D" w:rsidRDefault="009610A9" w:rsidP="00105899">
            <w:pPr>
              <w:pStyle w:val="Compact"/>
              <w:spacing w:line="360" w:lineRule="auto"/>
              <w:jc w:val="center"/>
              <w:rPr>
                <w:rFonts w:ascii="Times New Roman" w:hAnsi="Times New Roman" w:cs="Times New Roman"/>
                <w:sz w:val="21"/>
                <w:szCs w:val="21"/>
              </w:rPr>
            </w:pPr>
            <w:r w:rsidRPr="007A1B5D">
              <w:rPr>
                <w:rFonts w:ascii="Times New Roman" w:hAnsi="Times New Roman" w:cs="Times New Roman"/>
                <w:b w:val="0"/>
                <w:bCs w:val="0"/>
                <w:sz w:val="21"/>
                <w:szCs w:val="21"/>
              </w:rPr>
              <w:t>3</w:t>
            </w:r>
          </w:p>
        </w:tc>
        <w:tc>
          <w:tcPr>
            <w:tcW w:w="0" w:type="auto"/>
            <w:tcBorders>
              <w:top w:val="single" w:sz="4" w:space="0" w:color="auto"/>
              <w:bottom w:val="single" w:sz="4" w:space="0" w:color="auto"/>
            </w:tcBorders>
          </w:tcPr>
          <w:p w14:paraId="5CD169E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tcBorders>
            <w:vAlign w:val="center"/>
          </w:tcPr>
          <w:p w14:paraId="68D9315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-0.625</w:t>
            </w:r>
          </w:p>
        </w:tc>
        <w:tc>
          <w:tcPr>
            <w:tcW w:w="0" w:type="auto"/>
          </w:tcPr>
          <w:p w14:paraId="6F46AFB1"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1.189</w:t>
            </w:r>
          </w:p>
        </w:tc>
        <w:tc>
          <w:tcPr>
            <w:tcW w:w="0" w:type="auto"/>
          </w:tcPr>
          <w:p w14:paraId="05CF186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0.465</w:t>
            </w:r>
          </w:p>
        </w:tc>
        <w:tc>
          <w:tcPr>
            <w:tcW w:w="0" w:type="auto"/>
          </w:tcPr>
          <w:p w14:paraId="74E71D7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0.356</w:t>
            </w:r>
          </w:p>
        </w:tc>
      </w:tr>
      <w:tr w:rsidR="009610A9" w:rsidRPr="007A1B5D" w14:paraId="53CC6588"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1EFFD015" w14:textId="77777777" w:rsidR="009610A9" w:rsidRPr="007A1B5D" w:rsidRDefault="009610A9" w:rsidP="00105899">
            <w:pPr>
              <w:pStyle w:val="Compact"/>
              <w:spacing w:line="360" w:lineRule="auto"/>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56DE697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bottom w:val="single" w:sz="4" w:space="0" w:color="auto"/>
            </w:tcBorders>
            <w:vAlign w:val="center"/>
          </w:tcPr>
          <w:p w14:paraId="2D8161D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5793138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0.233</w:t>
            </w:r>
          </w:p>
        </w:tc>
        <w:tc>
          <w:tcPr>
            <w:tcW w:w="0" w:type="auto"/>
          </w:tcPr>
          <w:p w14:paraId="4060F22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0.145</w:t>
            </w:r>
          </w:p>
        </w:tc>
        <w:tc>
          <w:tcPr>
            <w:tcW w:w="0" w:type="auto"/>
          </w:tcPr>
          <w:p w14:paraId="62362F9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0.121</w:t>
            </w:r>
          </w:p>
        </w:tc>
      </w:tr>
      <w:tr w:rsidR="009610A9" w:rsidRPr="007A1B5D" w14:paraId="0F122486"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635FFCA7"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4</w:t>
            </w:r>
          </w:p>
        </w:tc>
        <w:tc>
          <w:tcPr>
            <w:tcW w:w="0" w:type="auto"/>
            <w:tcBorders>
              <w:top w:val="single" w:sz="4" w:space="0" w:color="auto"/>
            </w:tcBorders>
            <w:hideMark/>
          </w:tcPr>
          <w:p w14:paraId="746C823C"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01CD236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0.118</w:t>
            </w:r>
          </w:p>
        </w:tc>
        <w:tc>
          <w:tcPr>
            <w:tcW w:w="0" w:type="auto"/>
            <w:hideMark/>
          </w:tcPr>
          <w:p w14:paraId="35D3AD3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0.876</w:t>
            </w:r>
          </w:p>
        </w:tc>
        <w:tc>
          <w:tcPr>
            <w:tcW w:w="0" w:type="auto"/>
            <w:hideMark/>
          </w:tcPr>
          <w:p w14:paraId="14A9C4F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0.138</w:t>
            </w:r>
          </w:p>
        </w:tc>
        <w:tc>
          <w:tcPr>
            <w:tcW w:w="0" w:type="auto"/>
            <w:hideMark/>
          </w:tcPr>
          <w:p w14:paraId="4FF542D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0.040</w:t>
            </w:r>
          </w:p>
        </w:tc>
      </w:tr>
      <w:tr w:rsidR="009610A9" w:rsidRPr="007A1B5D" w14:paraId="0F30650A"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460FEA2B"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6B97440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251949D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6325E4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0.136</w:t>
            </w:r>
          </w:p>
        </w:tc>
        <w:tc>
          <w:tcPr>
            <w:tcW w:w="0" w:type="auto"/>
            <w:hideMark/>
          </w:tcPr>
          <w:p w14:paraId="6558755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0.061</w:t>
            </w:r>
          </w:p>
        </w:tc>
        <w:tc>
          <w:tcPr>
            <w:tcW w:w="0" w:type="auto"/>
            <w:hideMark/>
          </w:tcPr>
          <w:p w14:paraId="0D9B058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0.030</w:t>
            </w:r>
          </w:p>
        </w:tc>
      </w:tr>
      <w:tr w:rsidR="009610A9" w:rsidRPr="007A1B5D" w14:paraId="16B81174"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4EA0E54F"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5</w:t>
            </w:r>
          </w:p>
        </w:tc>
        <w:tc>
          <w:tcPr>
            <w:tcW w:w="0" w:type="auto"/>
            <w:hideMark/>
          </w:tcPr>
          <w:p w14:paraId="0D89D5C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7BDAF11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0.106</w:t>
            </w:r>
          </w:p>
        </w:tc>
        <w:tc>
          <w:tcPr>
            <w:tcW w:w="0" w:type="auto"/>
            <w:hideMark/>
          </w:tcPr>
          <w:p w14:paraId="1960936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1.001</w:t>
            </w:r>
          </w:p>
        </w:tc>
        <w:tc>
          <w:tcPr>
            <w:tcW w:w="0" w:type="auto"/>
            <w:hideMark/>
          </w:tcPr>
          <w:p w14:paraId="29034376"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0.203</w:t>
            </w:r>
          </w:p>
        </w:tc>
        <w:tc>
          <w:tcPr>
            <w:tcW w:w="0" w:type="auto"/>
            <w:hideMark/>
          </w:tcPr>
          <w:p w14:paraId="7D3FE16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0.059</w:t>
            </w:r>
          </w:p>
        </w:tc>
      </w:tr>
      <w:tr w:rsidR="009610A9" w:rsidRPr="007A1B5D" w14:paraId="745192C2"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2E82568C"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593F16A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645587D8"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0494E9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0.219</w:t>
            </w:r>
          </w:p>
        </w:tc>
        <w:tc>
          <w:tcPr>
            <w:tcW w:w="0" w:type="auto"/>
            <w:hideMark/>
          </w:tcPr>
          <w:p w14:paraId="575A0BD7"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0.184</w:t>
            </w:r>
          </w:p>
        </w:tc>
        <w:tc>
          <w:tcPr>
            <w:tcW w:w="0" w:type="auto"/>
            <w:hideMark/>
          </w:tcPr>
          <w:p w14:paraId="34852E6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0.174</w:t>
            </w:r>
          </w:p>
        </w:tc>
      </w:tr>
      <w:tr w:rsidR="009610A9" w:rsidRPr="007A1B5D" w14:paraId="5B663A89"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787813E9"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6</w:t>
            </w:r>
          </w:p>
        </w:tc>
        <w:tc>
          <w:tcPr>
            <w:tcW w:w="0" w:type="auto"/>
            <w:hideMark/>
          </w:tcPr>
          <w:p w14:paraId="31A0C00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7EF3225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-0.922</w:t>
            </w:r>
          </w:p>
        </w:tc>
        <w:tc>
          <w:tcPr>
            <w:tcW w:w="0" w:type="auto"/>
            <w:hideMark/>
          </w:tcPr>
          <w:p w14:paraId="5079F32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1.372</w:t>
            </w:r>
          </w:p>
        </w:tc>
        <w:tc>
          <w:tcPr>
            <w:tcW w:w="0" w:type="auto"/>
            <w:hideMark/>
          </w:tcPr>
          <w:p w14:paraId="7171B67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0.315</w:t>
            </w:r>
          </w:p>
        </w:tc>
        <w:tc>
          <w:tcPr>
            <w:tcW w:w="0" w:type="auto"/>
            <w:hideMark/>
          </w:tcPr>
          <w:p w14:paraId="3272063E"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0.103</w:t>
            </w:r>
          </w:p>
        </w:tc>
      </w:tr>
      <w:tr w:rsidR="009610A9" w:rsidRPr="007A1B5D" w14:paraId="4CB3FC0F"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BE07494"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6CE557A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3560DF03"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058503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0.240</w:t>
            </w:r>
          </w:p>
        </w:tc>
        <w:tc>
          <w:tcPr>
            <w:tcW w:w="0" w:type="auto"/>
            <w:hideMark/>
          </w:tcPr>
          <w:p w14:paraId="370AAE9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0.181</w:t>
            </w:r>
          </w:p>
        </w:tc>
        <w:tc>
          <w:tcPr>
            <w:tcW w:w="0" w:type="auto"/>
            <w:hideMark/>
          </w:tcPr>
          <w:p w14:paraId="2FD9AC4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0.170</w:t>
            </w:r>
          </w:p>
        </w:tc>
      </w:tr>
      <w:tr w:rsidR="009610A9" w:rsidRPr="007A1B5D" w14:paraId="68D8617A"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2FD9AF7B"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7</w:t>
            </w:r>
          </w:p>
        </w:tc>
        <w:tc>
          <w:tcPr>
            <w:tcW w:w="0" w:type="auto"/>
            <w:hideMark/>
          </w:tcPr>
          <w:p w14:paraId="4D2DC7F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705D371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0.079</w:t>
            </w:r>
          </w:p>
        </w:tc>
        <w:tc>
          <w:tcPr>
            <w:tcW w:w="0" w:type="auto"/>
            <w:hideMark/>
          </w:tcPr>
          <w:p w14:paraId="4317E19F"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1.153</w:t>
            </w:r>
          </w:p>
        </w:tc>
        <w:tc>
          <w:tcPr>
            <w:tcW w:w="0" w:type="auto"/>
            <w:hideMark/>
          </w:tcPr>
          <w:p w14:paraId="0637704D"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0.308</w:t>
            </w:r>
          </w:p>
        </w:tc>
        <w:tc>
          <w:tcPr>
            <w:tcW w:w="0" w:type="auto"/>
            <w:hideMark/>
          </w:tcPr>
          <w:p w14:paraId="17DBDDC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0.087</w:t>
            </w:r>
          </w:p>
        </w:tc>
      </w:tr>
      <w:tr w:rsidR="009610A9" w:rsidRPr="007A1B5D" w14:paraId="15D78601"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50207004"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07763C7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5DFA9A77"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2049D0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0.148</w:t>
            </w:r>
          </w:p>
        </w:tc>
        <w:tc>
          <w:tcPr>
            <w:tcW w:w="0" w:type="auto"/>
            <w:hideMark/>
          </w:tcPr>
          <w:p w14:paraId="3608C832"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0.064</w:t>
            </w:r>
          </w:p>
        </w:tc>
        <w:tc>
          <w:tcPr>
            <w:tcW w:w="0" w:type="auto"/>
            <w:hideMark/>
          </w:tcPr>
          <w:p w14:paraId="09F4F7E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0.032</w:t>
            </w:r>
          </w:p>
        </w:tc>
      </w:tr>
      <w:tr w:rsidR="009610A9" w:rsidRPr="007A1B5D" w14:paraId="4148AAE3"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083C9E79"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8</w:t>
            </w:r>
          </w:p>
        </w:tc>
        <w:tc>
          <w:tcPr>
            <w:tcW w:w="0" w:type="auto"/>
            <w:hideMark/>
          </w:tcPr>
          <w:p w14:paraId="18982DB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211EDAA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0.124</w:t>
            </w:r>
          </w:p>
        </w:tc>
        <w:tc>
          <w:tcPr>
            <w:tcW w:w="0" w:type="auto"/>
            <w:hideMark/>
          </w:tcPr>
          <w:p w14:paraId="37B7780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1.142</w:t>
            </w:r>
          </w:p>
        </w:tc>
        <w:tc>
          <w:tcPr>
            <w:tcW w:w="0" w:type="auto"/>
            <w:hideMark/>
          </w:tcPr>
          <w:p w14:paraId="1484C7A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0.319</w:t>
            </w:r>
          </w:p>
        </w:tc>
        <w:tc>
          <w:tcPr>
            <w:tcW w:w="0" w:type="auto"/>
            <w:hideMark/>
          </w:tcPr>
          <w:p w14:paraId="44EC88C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0.102</w:t>
            </w:r>
          </w:p>
        </w:tc>
      </w:tr>
      <w:tr w:rsidR="009610A9" w:rsidRPr="007A1B5D" w14:paraId="6543637A"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1BD0A9D3"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2F0FB19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081C883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9A316E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0.213</w:t>
            </w:r>
          </w:p>
        </w:tc>
        <w:tc>
          <w:tcPr>
            <w:tcW w:w="0" w:type="auto"/>
            <w:hideMark/>
          </w:tcPr>
          <w:p w14:paraId="10B1683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0.155</w:t>
            </w:r>
          </w:p>
        </w:tc>
        <w:tc>
          <w:tcPr>
            <w:tcW w:w="0" w:type="auto"/>
            <w:hideMark/>
          </w:tcPr>
          <w:p w14:paraId="00F8D65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0.144</w:t>
            </w:r>
          </w:p>
        </w:tc>
      </w:tr>
      <w:tr w:rsidR="009610A9" w:rsidRPr="007A1B5D" w14:paraId="4BC8F709"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654C2F0A"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9</w:t>
            </w:r>
          </w:p>
        </w:tc>
        <w:tc>
          <w:tcPr>
            <w:tcW w:w="0" w:type="auto"/>
            <w:hideMark/>
          </w:tcPr>
          <w:p w14:paraId="36B57145"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69C7275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-0.572</w:t>
            </w:r>
          </w:p>
        </w:tc>
        <w:tc>
          <w:tcPr>
            <w:tcW w:w="0" w:type="auto"/>
            <w:hideMark/>
          </w:tcPr>
          <w:p w14:paraId="183D85E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1.166</w:t>
            </w:r>
          </w:p>
        </w:tc>
        <w:tc>
          <w:tcPr>
            <w:tcW w:w="0" w:type="auto"/>
            <w:hideMark/>
          </w:tcPr>
          <w:p w14:paraId="0B45EEF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0.444</w:t>
            </w:r>
          </w:p>
        </w:tc>
        <w:tc>
          <w:tcPr>
            <w:tcW w:w="0" w:type="auto"/>
            <w:hideMark/>
          </w:tcPr>
          <w:p w14:paraId="14EC641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0.308</w:t>
            </w:r>
          </w:p>
        </w:tc>
      </w:tr>
      <w:tr w:rsidR="009610A9" w:rsidRPr="007A1B5D" w14:paraId="69CCA162"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7B9F9F2"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34B6A56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5DF48795"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09024230"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0.230</w:t>
            </w:r>
          </w:p>
        </w:tc>
        <w:tc>
          <w:tcPr>
            <w:tcW w:w="0" w:type="auto"/>
            <w:hideMark/>
          </w:tcPr>
          <w:p w14:paraId="36B1E3DC"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0.145</w:t>
            </w:r>
          </w:p>
        </w:tc>
        <w:tc>
          <w:tcPr>
            <w:tcW w:w="0" w:type="auto"/>
            <w:hideMark/>
          </w:tcPr>
          <w:p w14:paraId="617F402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0.122</w:t>
            </w:r>
          </w:p>
        </w:tc>
      </w:tr>
      <w:tr w:rsidR="009610A9" w:rsidRPr="007A1B5D" w14:paraId="1B8BD450"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6A58138D"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10</w:t>
            </w:r>
          </w:p>
        </w:tc>
        <w:tc>
          <w:tcPr>
            <w:tcW w:w="0" w:type="auto"/>
            <w:hideMark/>
          </w:tcPr>
          <w:p w14:paraId="4FF2F81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37246B77"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-0.050</w:t>
            </w:r>
          </w:p>
        </w:tc>
        <w:tc>
          <w:tcPr>
            <w:tcW w:w="0" w:type="auto"/>
            <w:hideMark/>
          </w:tcPr>
          <w:p w14:paraId="0B3B774B"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0.208</w:t>
            </w:r>
          </w:p>
        </w:tc>
        <w:tc>
          <w:tcPr>
            <w:tcW w:w="0" w:type="auto"/>
            <w:hideMark/>
          </w:tcPr>
          <w:p w14:paraId="035C418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0.087</w:t>
            </w:r>
          </w:p>
        </w:tc>
        <w:tc>
          <w:tcPr>
            <w:tcW w:w="0" w:type="auto"/>
            <w:hideMark/>
          </w:tcPr>
          <w:p w14:paraId="054AA440"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0.032</w:t>
            </w:r>
          </w:p>
        </w:tc>
      </w:tr>
      <w:tr w:rsidR="009610A9" w:rsidRPr="007A1B5D" w14:paraId="2BA4D439"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vAlign w:val="center"/>
            <w:hideMark/>
          </w:tcPr>
          <w:p w14:paraId="5E5CC938"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28A0401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26C8590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F0D0A42"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0.330</w:t>
            </w:r>
          </w:p>
        </w:tc>
        <w:tc>
          <w:tcPr>
            <w:tcW w:w="0" w:type="auto"/>
            <w:hideMark/>
          </w:tcPr>
          <w:p w14:paraId="624F6B3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0.200</w:t>
            </w:r>
          </w:p>
        </w:tc>
        <w:tc>
          <w:tcPr>
            <w:tcW w:w="0" w:type="auto"/>
            <w:hideMark/>
          </w:tcPr>
          <w:p w14:paraId="1BD0930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0.166</w:t>
            </w:r>
          </w:p>
        </w:tc>
      </w:tr>
      <w:tr w:rsidR="009610A9" w:rsidRPr="007A1B5D" w14:paraId="366063A9"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6D6E6B64"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11</w:t>
            </w:r>
          </w:p>
        </w:tc>
        <w:tc>
          <w:tcPr>
            <w:tcW w:w="0" w:type="auto"/>
            <w:hideMark/>
          </w:tcPr>
          <w:p w14:paraId="401ACF9E"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5F9BB6A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-0.125</w:t>
            </w:r>
          </w:p>
        </w:tc>
        <w:tc>
          <w:tcPr>
            <w:tcW w:w="0" w:type="auto"/>
            <w:hideMark/>
          </w:tcPr>
          <w:p w14:paraId="73BA8E09"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0.219</w:t>
            </w:r>
          </w:p>
        </w:tc>
        <w:tc>
          <w:tcPr>
            <w:tcW w:w="0" w:type="auto"/>
            <w:hideMark/>
          </w:tcPr>
          <w:p w14:paraId="56E7F504"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0.094</w:t>
            </w:r>
          </w:p>
        </w:tc>
        <w:tc>
          <w:tcPr>
            <w:tcW w:w="0" w:type="auto"/>
            <w:hideMark/>
          </w:tcPr>
          <w:p w14:paraId="1BAF7D23"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0.036</w:t>
            </w:r>
          </w:p>
        </w:tc>
      </w:tr>
      <w:tr w:rsidR="009610A9" w:rsidRPr="007A1B5D" w14:paraId="1F671BBD"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2ADC09DC"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567310FE"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175FB279"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D4E896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0.373</w:t>
            </w:r>
          </w:p>
        </w:tc>
        <w:tc>
          <w:tcPr>
            <w:tcW w:w="0" w:type="auto"/>
            <w:hideMark/>
          </w:tcPr>
          <w:p w14:paraId="58F9E5CB"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0.293</w:t>
            </w:r>
          </w:p>
        </w:tc>
        <w:tc>
          <w:tcPr>
            <w:tcW w:w="0" w:type="auto"/>
            <w:hideMark/>
          </w:tcPr>
          <w:p w14:paraId="05F1917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0.274</w:t>
            </w:r>
          </w:p>
        </w:tc>
      </w:tr>
      <w:tr w:rsidR="009610A9" w:rsidRPr="007A1B5D" w14:paraId="75612A2E" w14:textId="77777777" w:rsidTr="001058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19FE565"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r w:rsidRPr="007A1B5D">
              <w:rPr>
                <w:rFonts w:ascii="Times New Roman" w:hAnsi="Times New Roman" w:cs="Times New Roman"/>
                <w:b w:val="0"/>
                <w:bCs w:val="0"/>
                <w:sz w:val="21"/>
                <w:szCs w:val="21"/>
              </w:rPr>
              <w:t>12</w:t>
            </w:r>
          </w:p>
        </w:tc>
        <w:tc>
          <w:tcPr>
            <w:tcW w:w="0" w:type="auto"/>
            <w:hideMark/>
          </w:tcPr>
          <w:p w14:paraId="7E303552"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DML-Multi</w:t>
            </w:r>
          </w:p>
        </w:tc>
        <w:tc>
          <w:tcPr>
            <w:tcW w:w="0" w:type="auto"/>
            <w:vMerge w:val="restart"/>
            <w:tcBorders>
              <w:top w:val="single" w:sz="4" w:space="0" w:color="auto"/>
            </w:tcBorders>
            <w:vAlign w:val="center"/>
            <w:hideMark/>
          </w:tcPr>
          <w:p w14:paraId="1A7A7EA1"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-1.195</w:t>
            </w:r>
          </w:p>
        </w:tc>
        <w:tc>
          <w:tcPr>
            <w:tcW w:w="0" w:type="auto"/>
            <w:hideMark/>
          </w:tcPr>
          <w:p w14:paraId="6858B94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0.285</w:t>
            </w:r>
          </w:p>
        </w:tc>
        <w:tc>
          <w:tcPr>
            <w:tcW w:w="0" w:type="auto"/>
            <w:hideMark/>
          </w:tcPr>
          <w:p w14:paraId="2EC8F458"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0.134</w:t>
            </w:r>
          </w:p>
        </w:tc>
        <w:tc>
          <w:tcPr>
            <w:tcW w:w="0" w:type="auto"/>
            <w:hideMark/>
          </w:tcPr>
          <w:p w14:paraId="6E52B11A" w14:textId="77777777" w:rsidR="009610A9" w:rsidRPr="007A1B5D" w:rsidRDefault="009610A9" w:rsidP="0010589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0.058</w:t>
            </w:r>
          </w:p>
        </w:tc>
      </w:tr>
      <w:tr w:rsidR="009610A9" w:rsidRPr="007A1B5D" w14:paraId="09057D9F" w14:textId="77777777" w:rsidTr="0010589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hideMark/>
          </w:tcPr>
          <w:p w14:paraId="2B9C0A98" w14:textId="77777777" w:rsidR="009610A9" w:rsidRPr="007A1B5D" w:rsidRDefault="009610A9" w:rsidP="00105899">
            <w:pPr>
              <w:pStyle w:val="Compact"/>
              <w:spacing w:line="360" w:lineRule="auto"/>
              <w:jc w:val="center"/>
              <w:rPr>
                <w:rFonts w:ascii="Times New Roman" w:hAnsi="Times New Roman" w:cs="Times New Roman"/>
                <w:b w:val="0"/>
                <w:bCs w:val="0"/>
                <w:sz w:val="21"/>
                <w:szCs w:val="21"/>
              </w:rPr>
            </w:pPr>
          </w:p>
        </w:tc>
        <w:tc>
          <w:tcPr>
            <w:tcW w:w="0" w:type="auto"/>
            <w:hideMark/>
          </w:tcPr>
          <w:p w14:paraId="1C4F21A4"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7F7F7F" w:themeColor="text1" w:themeTint="80"/>
            </w:tcBorders>
            <w:hideMark/>
          </w:tcPr>
          <w:p w14:paraId="22CA61CD"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916CB6A"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0.596</w:t>
            </w:r>
          </w:p>
        </w:tc>
        <w:tc>
          <w:tcPr>
            <w:tcW w:w="0" w:type="auto"/>
            <w:hideMark/>
          </w:tcPr>
          <w:p w14:paraId="0A868876"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0.555</w:t>
            </w:r>
          </w:p>
        </w:tc>
        <w:tc>
          <w:tcPr>
            <w:tcW w:w="0" w:type="auto"/>
            <w:hideMark/>
          </w:tcPr>
          <w:p w14:paraId="662DE05F" w14:textId="77777777" w:rsidR="009610A9" w:rsidRPr="007A1B5D" w:rsidRDefault="009610A9" w:rsidP="0010589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7A1B5D">
              <w:rPr>
                <w:rFonts w:ascii="Times New Roman" w:hAnsi="Times New Roman" w:cs="Times New Roman"/>
                <w:sz w:val="21"/>
                <w:szCs w:val="21"/>
              </w:rPr>
              <w:t>0.550</w:t>
            </w:r>
          </w:p>
        </w:tc>
      </w:tr>
    </w:tbl>
    <w:p w14:paraId="1FDCCD65" w14:textId="77777777" w:rsidR="007A1B5D" w:rsidRDefault="007A1B5D" w:rsidP="009610A9">
      <w:pPr>
        <w:pStyle w:val="BodyTextIndent2"/>
        <w:spacing w:line="360" w:lineRule="auto"/>
        <w:ind w:left="0"/>
        <w:rPr>
          <w:rFonts w:ascii="Times New Roman" w:hAnsi="Times New Roman" w:cs="Times New Roman"/>
          <w:lang w:val="es-ES"/>
        </w:rPr>
      </w:pPr>
    </w:p>
    <w:p w14:paraId="128440F5" w14:textId="77777777" w:rsidR="007A1B5D" w:rsidRDefault="007A1B5D" w:rsidP="00E02F19">
      <w:pPr>
        <w:pStyle w:val="BodyTextIndent2"/>
        <w:spacing w:line="360" w:lineRule="auto"/>
        <w:ind w:left="0" w:firstLine="708"/>
        <w:rPr>
          <w:rFonts w:ascii="Times New Roman" w:hAnsi="Times New Roman" w:cs="Times New Roman"/>
          <w:lang w:val="es-ES"/>
        </w:rPr>
      </w:pPr>
    </w:p>
    <w:p w14:paraId="57968539" w14:textId="1C1ECE88" w:rsidR="0078149C" w:rsidRPr="007A1B5D" w:rsidRDefault="0078149C" w:rsidP="00E02F19">
      <w:pPr>
        <w:pStyle w:val="Captulo"/>
        <w:spacing w:before="0" w:after="0"/>
        <w:jc w:val="both"/>
        <w:rPr>
          <w:rFonts w:ascii="Times New Roman" w:hAnsi="Times New Roman"/>
          <w:i w:val="0"/>
          <w:sz w:val="16"/>
          <w:szCs w:val="16"/>
          <w:lang w:val="es-ES"/>
        </w:rPr>
      </w:pPr>
    </w:p>
    <w:sectPr w:rsidR="0078149C" w:rsidRPr="007A1B5D" w:rsidSect="00492577">
      <w:footerReference w:type="even" r:id="rId20"/>
      <w:footerReference w:type="default" r:id="rId21"/>
      <w:headerReference w:type="first" r:id="rId22"/>
      <w:pgSz w:w="11907" w:h="16840" w:code="9"/>
      <w:pgMar w:top="2693" w:right="1418" w:bottom="993" w:left="1701"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7FEFF" w14:textId="77777777" w:rsidR="000A6BF7" w:rsidRPr="008619EB" w:rsidRDefault="000A6BF7" w:rsidP="009D6FD5">
      <w:r w:rsidRPr="008619EB">
        <w:separator/>
      </w:r>
    </w:p>
  </w:endnote>
  <w:endnote w:type="continuationSeparator" w:id="0">
    <w:p w14:paraId="047CE4D1" w14:textId="77777777" w:rsidR="000A6BF7" w:rsidRPr="008619EB" w:rsidRDefault="000A6BF7" w:rsidP="009D6FD5">
      <w:r w:rsidRPr="00861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6793248"/>
      <w:docPartObj>
        <w:docPartGallery w:val="Page Numbers (Bottom of Page)"/>
        <w:docPartUnique/>
      </w:docPartObj>
    </w:sdtPr>
    <w:sdtContent>
      <w:p w14:paraId="559B279A" w14:textId="2A6F8CC2" w:rsidR="00CC5F82" w:rsidRDefault="00CC5F82" w:rsidP="00293F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407610520"/>
      <w:docPartObj>
        <w:docPartGallery w:val="Page Numbers (Bottom of Page)"/>
        <w:docPartUnique/>
      </w:docPartObj>
    </w:sdtPr>
    <w:sdtContent>
      <w:p w14:paraId="5887CC50" w14:textId="1A5FA32A" w:rsidR="00492577" w:rsidRDefault="00492577" w:rsidP="00293F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96048606"/>
      <w:docPartObj>
        <w:docPartGallery w:val="Page Numbers (Bottom of Page)"/>
        <w:docPartUnique/>
      </w:docPartObj>
    </w:sdtPr>
    <w:sdtContent>
      <w:p w14:paraId="5CBFDD58" w14:textId="2F0666E1" w:rsidR="00492577" w:rsidRDefault="00492577" w:rsidP="00492577">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7FE5BD" w14:textId="77777777" w:rsidR="00492577" w:rsidRDefault="00492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7254941"/>
      <w:docPartObj>
        <w:docPartGallery w:val="Page Numbers (Bottom of Page)"/>
        <w:docPartUnique/>
      </w:docPartObj>
    </w:sdtPr>
    <w:sdtContent>
      <w:p w14:paraId="7DF2217F" w14:textId="5F584D82" w:rsidR="00CC5F82" w:rsidRDefault="00CC5F82" w:rsidP="00293F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B0C10F" w14:textId="77777777" w:rsidR="0078149C" w:rsidRPr="008619EB" w:rsidRDefault="0078149C" w:rsidP="00492577">
    <w:pPr>
      <w:pStyle w:val="Footer"/>
      <w:ind w:right="360"/>
      <w:jc w:val="center"/>
    </w:pPr>
  </w:p>
  <w:p w14:paraId="67EB2042" w14:textId="77777777" w:rsidR="0078149C" w:rsidRPr="008619EB"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A430" w14:textId="77777777" w:rsidR="000A6BF7" w:rsidRPr="008619EB" w:rsidRDefault="000A6BF7" w:rsidP="009D6FD5">
      <w:r w:rsidRPr="008619EB">
        <w:separator/>
      </w:r>
    </w:p>
  </w:footnote>
  <w:footnote w:type="continuationSeparator" w:id="0">
    <w:p w14:paraId="3743EEE5" w14:textId="77777777" w:rsidR="000A6BF7" w:rsidRPr="008619EB" w:rsidRDefault="000A6BF7" w:rsidP="009D6FD5">
      <w:r w:rsidRPr="008619EB">
        <w:continuationSeparator/>
      </w:r>
    </w:p>
  </w:footnote>
  <w:footnote w:id="1">
    <w:p w14:paraId="3FA6809D" w14:textId="77777777" w:rsidR="007A1B5D" w:rsidRDefault="007A1B5D" w:rsidP="007A1B5D">
      <w:pPr>
        <w:pStyle w:val="FootnoteText"/>
      </w:pPr>
      <w:r>
        <w:rPr>
          <w:rStyle w:val="FootnoteReference"/>
        </w:rPr>
        <w:footnoteRef/>
      </w:r>
      <w:r>
        <w:t xml:space="preserve"> </w:t>
      </w:r>
      <w:r>
        <w:rPr>
          <w:sz w:val="18"/>
          <w:szCs w:val="18"/>
        </w:rPr>
        <w:t>Tables with ‘default’ and ‘flexible’ configurations</w:t>
      </w:r>
      <w:r w:rsidRPr="000441CA">
        <w:rPr>
          <w:sz w:val="18"/>
          <w:szCs w:val="18"/>
        </w:rPr>
        <w:t xml:space="preserve"> are provided in the Appendi</w:t>
      </w:r>
      <w:r>
        <w:rPr>
          <w:sz w:val="18"/>
          <w:szCs w:val="18"/>
        </w:rPr>
        <w:t>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A46B" w14:textId="6E39785E" w:rsidR="00492577" w:rsidRDefault="00492577">
    <w:pPr>
      <w:pStyle w:val="Header"/>
    </w:pPr>
    <w:r w:rsidRPr="008619EB">
      <w:rPr>
        <w:rFonts w:ascii="Calibri" w:eastAsia="Calibri" w:hAnsi="Calibri"/>
        <w:b/>
        <w:noProof/>
        <w:sz w:val="40"/>
        <w:szCs w:val="40"/>
        <w:lang w:eastAsia="es-AR"/>
      </w:rPr>
      <w:drawing>
        <wp:inline distT="0" distB="0" distL="0" distR="0" wp14:anchorId="2DCBAECD" wp14:editId="79FDC3AA">
          <wp:extent cx="5042364" cy="1009591"/>
          <wp:effectExtent l="0" t="0" r="6350" b="635"/>
          <wp:docPr id="1161672723"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EC93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2"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8"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6"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7BAD76AF"/>
    <w:multiLevelType w:val="hybridMultilevel"/>
    <w:tmpl w:val="C986D774"/>
    <w:lvl w:ilvl="0" w:tplc="F3BC15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9"/>
  </w:num>
  <w:num w:numId="2" w16cid:durableId="847254785">
    <w:abstractNumId w:val="16"/>
  </w:num>
  <w:num w:numId="3" w16cid:durableId="1193492437">
    <w:abstractNumId w:val="22"/>
  </w:num>
  <w:num w:numId="4" w16cid:durableId="383603477">
    <w:abstractNumId w:val="26"/>
  </w:num>
  <w:num w:numId="5" w16cid:durableId="1950578358">
    <w:abstractNumId w:val="15"/>
  </w:num>
  <w:num w:numId="6" w16cid:durableId="1440291976">
    <w:abstractNumId w:val="1"/>
  </w:num>
  <w:num w:numId="7" w16cid:durableId="363092526">
    <w:abstractNumId w:val="2"/>
  </w:num>
  <w:num w:numId="8" w16cid:durableId="1481071737">
    <w:abstractNumId w:val="5"/>
  </w:num>
  <w:num w:numId="9" w16cid:durableId="112287882">
    <w:abstractNumId w:val="7"/>
  </w:num>
  <w:num w:numId="10" w16cid:durableId="1109200180">
    <w:abstractNumId w:val="9"/>
  </w:num>
  <w:num w:numId="11" w16cid:durableId="283736997">
    <w:abstractNumId w:val="24"/>
  </w:num>
  <w:num w:numId="12" w16cid:durableId="282613759">
    <w:abstractNumId w:val="28"/>
  </w:num>
  <w:num w:numId="13" w16cid:durableId="1502506529">
    <w:abstractNumId w:val="12"/>
  </w:num>
  <w:num w:numId="14" w16cid:durableId="95563900">
    <w:abstractNumId w:val="4"/>
  </w:num>
  <w:num w:numId="15" w16cid:durableId="1989626232">
    <w:abstractNumId w:val="13"/>
  </w:num>
  <w:num w:numId="16" w16cid:durableId="1686321335">
    <w:abstractNumId w:val="17"/>
  </w:num>
  <w:num w:numId="17" w16cid:durableId="2010064133">
    <w:abstractNumId w:val="10"/>
  </w:num>
  <w:num w:numId="18" w16cid:durableId="1498615270">
    <w:abstractNumId w:val="21"/>
  </w:num>
  <w:num w:numId="19" w16cid:durableId="333143637">
    <w:abstractNumId w:val="25"/>
  </w:num>
  <w:num w:numId="20" w16cid:durableId="1789885940">
    <w:abstractNumId w:val="14"/>
  </w:num>
  <w:num w:numId="21" w16cid:durableId="1620332559">
    <w:abstractNumId w:val="11"/>
  </w:num>
  <w:num w:numId="22" w16cid:durableId="1373576673">
    <w:abstractNumId w:val="8"/>
  </w:num>
  <w:num w:numId="23" w16cid:durableId="2051566427">
    <w:abstractNumId w:val="23"/>
  </w:num>
  <w:num w:numId="24" w16cid:durableId="1131096072">
    <w:abstractNumId w:val="3"/>
  </w:num>
  <w:num w:numId="25" w16cid:durableId="1201088980">
    <w:abstractNumId w:val="6"/>
  </w:num>
  <w:num w:numId="26" w16cid:durableId="1586301137">
    <w:abstractNumId w:val="20"/>
  </w:num>
  <w:num w:numId="27" w16cid:durableId="1072582611">
    <w:abstractNumId w:val="18"/>
  </w:num>
  <w:num w:numId="28" w16cid:durableId="784614777">
    <w:abstractNumId w:val="27"/>
  </w:num>
  <w:num w:numId="29" w16cid:durableId="887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2FB9"/>
    <w:rsid w:val="0000320C"/>
    <w:rsid w:val="000067FE"/>
    <w:rsid w:val="00011AC7"/>
    <w:rsid w:val="00015EEA"/>
    <w:rsid w:val="000261BB"/>
    <w:rsid w:val="0003032F"/>
    <w:rsid w:val="00032320"/>
    <w:rsid w:val="00035A6B"/>
    <w:rsid w:val="00050B13"/>
    <w:rsid w:val="00070D9A"/>
    <w:rsid w:val="0008297F"/>
    <w:rsid w:val="00084ED6"/>
    <w:rsid w:val="000A6BF7"/>
    <w:rsid w:val="000B7A70"/>
    <w:rsid w:val="000C462C"/>
    <w:rsid w:val="000C6729"/>
    <w:rsid w:val="000D1F15"/>
    <w:rsid w:val="000D6C2C"/>
    <w:rsid w:val="000D6CB5"/>
    <w:rsid w:val="000E0A57"/>
    <w:rsid w:val="000E1B47"/>
    <w:rsid w:val="000E303C"/>
    <w:rsid w:val="000E5376"/>
    <w:rsid w:val="000E57C4"/>
    <w:rsid w:val="000F107D"/>
    <w:rsid w:val="000F3B26"/>
    <w:rsid w:val="001011A7"/>
    <w:rsid w:val="001023B6"/>
    <w:rsid w:val="00103A96"/>
    <w:rsid w:val="001062A5"/>
    <w:rsid w:val="00111373"/>
    <w:rsid w:val="0012147E"/>
    <w:rsid w:val="00126A54"/>
    <w:rsid w:val="00131D4B"/>
    <w:rsid w:val="001321A7"/>
    <w:rsid w:val="00150B23"/>
    <w:rsid w:val="0016645A"/>
    <w:rsid w:val="001719A8"/>
    <w:rsid w:val="00176159"/>
    <w:rsid w:val="00180395"/>
    <w:rsid w:val="0018343D"/>
    <w:rsid w:val="00185DA9"/>
    <w:rsid w:val="00195FD9"/>
    <w:rsid w:val="00197030"/>
    <w:rsid w:val="001A6C71"/>
    <w:rsid w:val="001B7BAB"/>
    <w:rsid w:val="001C3B3D"/>
    <w:rsid w:val="001F0FA4"/>
    <w:rsid w:val="001F44DE"/>
    <w:rsid w:val="002005A7"/>
    <w:rsid w:val="00207C6A"/>
    <w:rsid w:val="002127ED"/>
    <w:rsid w:val="002155BD"/>
    <w:rsid w:val="00227DCA"/>
    <w:rsid w:val="0024089A"/>
    <w:rsid w:val="00245163"/>
    <w:rsid w:val="00247F2B"/>
    <w:rsid w:val="00250265"/>
    <w:rsid w:val="00256FAB"/>
    <w:rsid w:val="00261E58"/>
    <w:rsid w:val="00261EEC"/>
    <w:rsid w:val="00271DAE"/>
    <w:rsid w:val="00277956"/>
    <w:rsid w:val="002826A2"/>
    <w:rsid w:val="00287559"/>
    <w:rsid w:val="00292931"/>
    <w:rsid w:val="00293A48"/>
    <w:rsid w:val="00296984"/>
    <w:rsid w:val="002A0A11"/>
    <w:rsid w:val="002B7567"/>
    <w:rsid w:val="002C0D91"/>
    <w:rsid w:val="002C1785"/>
    <w:rsid w:val="002C2C94"/>
    <w:rsid w:val="002D0089"/>
    <w:rsid w:val="002D51BA"/>
    <w:rsid w:val="002E3DE5"/>
    <w:rsid w:val="002E7CE7"/>
    <w:rsid w:val="002F64C4"/>
    <w:rsid w:val="00300415"/>
    <w:rsid w:val="00300936"/>
    <w:rsid w:val="0030101C"/>
    <w:rsid w:val="00302F38"/>
    <w:rsid w:val="003046AA"/>
    <w:rsid w:val="00305535"/>
    <w:rsid w:val="003058C1"/>
    <w:rsid w:val="0031188A"/>
    <w:rsid w:val="00311DF6"/>
    <w:rsid w:val="0031423E"/>
    <w:rsid w:val="00315918"/>
    <w:rsid w:val="0032263D"/>
    <w:rsid w:val="00324FEF"/>
    <w:rsid w:val="003271DB"/>
    <w:rsid w:val="003300EF"/>
    <w:rsid w:val="003449C2"/>
    <w:rsid w:val="003472EF"/>
    <w:rsid w:val="003534C0"/>
    <w:rsid w:val="00355960"/>
    <w:rsid w:val="00360481"/>
    <w:rsid w:val="00363A7B"/>
    <w:rsid w:val="00366027"/>
    <w:rsid w:val="00382ACA"/>
    <w:rsid w:val="003847AE"/>
    <w:rsid w:val="00385CC7"/>
    <w:rsid w:val="00386B96"/>
    <w:rsid w:val="00390317"/>
    <w:rsid w:val="0039743D"/>
    <w:rsid w:val="003D2572"/>
    <w:rsid w:val="003D4641"/>
    <w:rsid w:val="003D5A97"/>
    <w:rsid w:val="003D6BCA"/>
    <w:rsid w:val="003F0BA2"/>
    <w:rsid w:val="00404256"/>
    <w:rsid w:val="00417A25"/>
    <w:rsid w:val="00435AD1"/>
    <w:rsid w:val="004459BC"/>
    <w:rsid w:val="004471E2"/>
    <w:rsid w:val="00452495"/>
    <w:rsid w:val="00464ABC"/>
    <w:rsid w:val="004656B7"/>
    <w:rsid w:val="0047088D"/>
    <w:rsid w:val="004802C0"/>
    <w:rsid w:val="0048669A"/>
    <w:rsid w:val="00492577"/>
    <w:rsid w:val="00495FB1"/>
    <w:rsid w:val="004A037E"/>
    <w:rsid w:val="004A662D"/>
    <w:rsid w:val="004B001B"/>
    <w:rsid w:val="004C10BF"/>
    <w:rsid w:val="004D0538"/>
    <w:rsid w:val="004D43ED"/>
    <w:rsid w:val="004D5FCE"/>
    <w:rsid w:val="004E388F"/>
    <w:rsid w:val="004F36CD"/>
    <w:rsid w:val="005257AE"/>
    <w:rsid w:val="00541CE6"/>
    <w:rsid w:val="00553510"/>
    <w:rsid w:val="0055422C"/>
    <w:rsid w:val="005701AF"/>
    <w:rsid w:val="00573863"/>
    <w:rsid w:val="00574496"/>
    <w:rsid w:val="005807B6"/>
    <w:rsid w:val="00582578"/>
    <w:rsid w:val="005963FA"/>
    <w:rsid w:val="0059640F"/>
    <w:rsid w:val="005B398D"/>
    <w:rsid w:val="005C3964"/>
    <w:rsid w:val="005D0712"/>
    <w:rsid w:val="005D6E24"/>
    <w:rsid w:val="005D7120"/>
    <w:rsid w:val="005D7B45"/>
    <w:rsid w:val="005E63B8"/>
    <w:rsid w:val="005F6522"/>
    <w:rsid w:val="005F6A5F"/>
    <w:rsid w:val="00602362"/>
    <w:rsid w:val="00603E00"/>
    <w:rsid w:val="00613FDE"/>
    <w:rsid w:val="00633DA7"/>
    <w:rsid w:val="00644EE7"/>
    <w:rsid w:val="00645D65"/>
    <w:rsid w:val="00653680"/>
    <w:rsid w:val="006548C1"/>
    <w:rsid w:val="00656D7B"/>
    <w:rsid w:val="0065732B"/>
    <w:rsid w:val="006675F4"/>
    <w:rsid w:val="00680056"/>
    <w:rsid w:val="006822CB"/>
    <w:rsid w:val="00687995"/>
    <w:rsid w:val="006A3930"/>
    <w:rsid w:val="006A6B00"/>
    <w:rsid w:val="006C21DB"/>
    <w:rsid w:val="006D583C"/>
    <w:rsid w:val="006D621E"/>
    <w:rsid w:val="006E5E95"/>
    <w:rsid w:val="006E64A3"/>
    <w:rsid w:val="006F1177"/>
    <w:rsid w:val="006F3697"/>
    <w:rsid w:val="006F4EC6"/>
    <w:rsid w:val="00705A79"/>
    <w:rsid w:val="007154D2"/>
    <w:rsid w:val="00717075"/>
    <w:rsid w:val="00720CD3"/>
    <w:rsid w:val="0075584E"/>
    <w:rsid w:val="007640AB"/>
    <w:rsid w:val="0076480F"/>
    <w:rsid w:val="00776AD2"/>
    <w:rsid w:val="0078149C"/>
    <w:rsid w:val="0078589A"/>
    <w:rsid w:val="0078613E"/>
    <w:rsid w:val="00786DCC"/>
    <w:rsid w:val="00787DBC"/>
    <w:rsid w:val="00790F43"/>
    <w:rsid w:val="00792312"/>
    <w:rsid w:val="007A1B5D"/>
    <w:rsid w:val="007A692B"/>
    <w:rsid w:val="007B4059"/>
    <w:rsid w:val="007C6B3D"/>
    <w:rsid w:val="007C73BD"/>
    <w:rsid w:val="007C7C5D"/>
    <w:rsid w:val="007D6ADF"/>
    <w:rsid w:val="007E6793"/>
    <w:rsid w:val="007E7E62"/>
    <w:rsid w:val="007F3F98"/>
    <w:rsid w:val="007F55C4"/>
    <w:rsid w:val="007F6312"/>
    <w:rsid w:val="00806858"/>
    <w:rsid w:val="008102ED"/>
    <w:rsid w:val="00810535"/>
    <w:rsid w:val="008508F1"/>
    <w:rsid w:val="00855E2A"/>
    <w:rsid w:val="008619EB"/>
    <w:rsid w:val="008753DB"/>
    <w:rsid w:val="0087620B"/>
    <w:rsid w:val="008768DC"/>
    <w:rsid w:val="0088553E"/>
    <w:rsid w:val="008A257F"/>
    <w:rsid w:val="008B7125"/>
    <w:rsid w:val="008C0A6D"/>
    <w:rsid w:val="008D71FE"/>
    <w:rsid w:val="008E2090"/>
    <w:rsid w:val="008E2C33"/>
    <w:rsid w:val="008E30FA"/>
    <w:rsid w:val="008E4268"/>
    <w:rsid w:val="00900D08"/>
    <w:rsid w:val="009035FE"/>
    <w:rsid w:val="00913BDF"/>
    <w:rsid w:val="00913F32"/>
    <w:rsid w:val="009203ED"/>
    <w:rsid w:val="009225C6"/>
    <w:rsid w:val="0092423F"/>
    <w:rsid w:val="009264BB"/>
    <w:rsid w:val="00940268"/>
    <w:rsid w:val="00957FF1"/>
    <w:rsid w:val="009610A9"/>
    <w:rsid w:val="00961F9A"/>
    <w:rsid w:val="009752BD"/>
    <w:rsid w:val="00993AE2"/>
    <w:rsid w:val="00995503"/>
    <w:rsid w:val="0099763D"/>
    <w:rsid w:val="009A47A9"/>
    <w:rsid w:val="009B34C3"/>
    <w:rsid w:val="009B75C1"/>
    <w:rsid w:val="009B7E4A"/>
    <w:rsid w:val="009D6FD5"/>
    <w:rsid w:val="009D7FE5"/>
    <w:rsid w:val="009E3CCC"/>
    <w:rsid w:val="009E3E1B"/>
    <w:rsid w:val="009E3F4B"/>
    <w:rsid w:val="009E44CA"/>
    <w:rsid w:val="009E6F9E"/>
    <w:rsid w:val="009F7E33"/>
    <w:rsid w:val="00A2047D"/>
    <w:rsid w:val="00A37FA4"/>
    <w:rsid w:val="00A441D9"/>
    <w:rsid w:val="00A724C9"/>
    <w:rsid w:val="00A90191"/>
    <w:rsid w:val="00A92522"/>
    <w:rsid w:val="00AA1D29"/>
    <w:rsid w:val="00AA3419"/>
    <w:rsid w:val="00AA4318"/>
    <w:rsid w:val="00AB5998"/>
    <w:rsid w:val="00AC0A03"/>
    <w:rsid w:val="00AC20CB"/>
    <w:rsid w:val="00AC2511"/>
    <w:rsid w:val="00AD3646"/>
    <w:rsid w:val="00AE1CFA"/>
    <w:rsid w:val="00AF182E"/>
    <w:rsid w:val="00AF389B"/>
    <w:rsid w:val="00B00CD9"/>
    <w:rsid w:val="00B03D32"/>
    <w:rsid w:val="00B05330"/>
    <w:rsid w:val="00B06B58"/>
    <w:rsid w:val="00B1524B"/>
    <w:rsid w:val="00B1576B"/>
    <w:rsid w:val="00B228DE"/>
    <w:rsid w:val="00B316E5"/>
    <w:rsid w:val="00B35C1D"/>
    <w:rsid w:val="00B4409A"/>
    <w:rsid w:val="00B5509F"/>
    <w:rsid w:val="00B61112"/>
    <w:rsid w:val="00B70752"/>
    <w:rsid w:val="00B7140F"/>
    <w:rsid w:val="00B76072"/>
    <w:rsid w:val="00B83798"/>
    <w:rsid w:val="00B8427C"/>
    <w:rsid w:val="00B929F5"/>
    <w:rsid w:val="00B96391"/>
    <w:rsid w:val="00B967C9"/>
    <w:rsid w:val="00B96E5E"/>
    <w:rsid w:val="00BA1618"/>
    <w:rsid w:val="00BA1F38"/>
    <w:rsid w:val="00BA6174"/>
    <w:rsid w:val="00BB247B"/>
    <w:rsid w:val="00BB4AFD"/>
    <w:rsid w:val="00BC1AAA"/>
    <w:rsid w:val="00BD56D7"/>
    <w:rsid w:val="00BE052F"/>
    <w:rsid w:val="00BF0474"/>
    <w:rsid w:val="00BF697B"/>
    <w:rsid w:val="00C1140E"/>
    <w:rsid w:val="00C17005"/>
    <w:rsid w:val="00C206C2"/>
    <w:rsid w:val="00C20FAD"/>
    <w:rsid w:val="00C24A46"/>
    <w:rsid w:val="00C2694E"/>
    <w:rsid w:val="00C27DB1"/>
    <w:rsid w:val="00C32084"/>
    <w:rsid w:val="00C35D17"/>
    <w:rsid w:val="00C42EDA"/>
    <w:rsid w:val="00C714B8"/>
    <w:rsid w:val="00C71884"/>
    <w:rsid w:val="00C83DE6"/>
    <w:rsid w:val="00C84121"/>
    <w:rsid w:val="00C861C3"/>
    <w:rsid w:val="00C87DD5"/>
    <w:rsid w:val="00C87E59"/>
    <w:rsid w:val="00C960DD"/>
    <w:rsid w:val="00CB4A13"/>
    <w:rsid w:val="00CC1952"/>
    <w:rsid w:val="00CC5F82"/>
    <w:rsid w:val="00CD3378"/>
    <w:rsid w:val="00CE7F52"/>
    <w:rsid w:val="00CF3D1F"/>
    <w:rsid w:val="00D0106E"/>
    <w:rsid w:val="00D140F7"/>
    <w:rsid w:val="00D15730"/>
    <w:rsid w:val="00D16BBC"/>
    <w:rsid w:val="00D17B5B"/>
    <w:rsid w:val="00D20775"/>
    <w:rsid w:val="00D35081"/>
    <w:rsid w:val="00D50916"/>
    <w:rsid w:val="00D637D4"/>
    <w:rsid w:val="00D75289"/>
    <w:rsid w:val="00D81E5C"/>
    <w:rsid w:val="00D851F9"/>
    <w:rsid w:val="00DA4296"/>
    <w:rsid w:val="00DB1D20"/>
    <w:rsid w:val="00DC6026"/>
    <w:rsid w:val="00DD0103"/>
    <w:rsid w:val="00DD01BC"/>
    <w:rsid w:val="00DD06F1"/>
    <w:rsid w:val="00DE3D2A"/>
    <w:rsid w:val="00E01080"/>
    <w:rsid w:val="00E02F19"/>
    <w:rsid w:val="00E169C2"/>
    <w:rsid w:val="00E226CB"/>
    <w:rsid w:val="00E2524C"/>
    <w:rsid w:val="00E328EC"/>
    <w:rsid w:val="00E33DBF"/>
    <w:rsid w:val="00E35EDD"/>
    <w:rsid w:val="00E37E07"/>
    <w:rsid w:val="00E504EE"/>
    <w:rsid w:val="00E509AB"/>
    <w:rsid w:val="00E6515E"/>
    <w:rsid w:val="00E70AD3"/>
    <w:rsid w:val="00E73793"/>
    <w:rsid w:val="00E95526"/>
    <w:rsid w:val="00E97ABC"/>
    <w:rsid w:val="00EA5C14"/>
    <w:rsid w:val="00EA6C11"/>
    <w:rsid w:val="00EB07FC"/>
    <w:rsid w:val="00EB6242"/>
    <w:rsid w:val="00EB7BCA"/>
    <w:rsid w:val="00EC343F"/>
    <w:rsid w:val="00EC3E0D"/>
    <w:rsid w:val="00ED1BBA"/>
    <w:rsid w:val="00ED4D63"/>
    <w:rsid w:val="00EE6837"/>
    <w:rsid w:val="00EF4A80"/>
    <w:rsid w:val="00EF5CD5"/>
    <w:rsid w:val="00F03137"/>
    <w:rsid w:val="00F2425C"/>
    <w:rsid w:val="00F30F8A"/>
    <w:rsid w:val="00F36AAA"/>
    <w:rsid w:val="00F4496D"/>
    <w:rsid w:val="00F45462"/>
    <w:rsid w:val="00F46058"/>
    <w:rsid w:val="00F47628"/>
    <w:rsid w:val="00F535E7"/>
    <w:rsid w:val="00F552F0"/>
    <w:rsid w:val="00F60896"/>
    <w:rsid w:val="00F6213A"/>
    <w:rsid w:val="00F7698D"/>
    <w:rsid w:val="00F8458B"/>
    <w:rsid w:val="00F92E81"/>
    <w:rsid w:val="00F95BC7"/>
    <w:rsid w:val="00FC1A46"/>
    <w:rsid w:val="00FC5BD1"/>
    <w:rsid w:val="00FC6929"/>
    <w:rsid w:val="00FD69D3"/>
    <w:rsid w:val="00FE00B9"/>
    <w:rsid w:val="00FE0765"/>
    <w:rsid w:val="00FE783B"/>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0"/>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6B7"/>
    <w:pPr>
      <w:spacing w:after="0" w:line="240" w:lineRule="auto"/>
    </w:pPr>
    <w:rPr>
      <w:rFonts w:ascii="Times New Roman" w:eastAsia="Times New Roman" w:hAnsi="Times New Roman" w:cs="Times New Roman"/>
      <w:sz w:val="24"/>
      <w:szCs w:val="24"/>
      <w:lang w:val="en-US"/>
    </w:rPr>
  </w:style>
  <w:style w:type="paragraph" w:styleId="Heading1">
    <w:name w:val="heading 1"/>
    <w:basedOn w:val="Heading2"/>
    <w:next w:val="Normal"/>
    <w:link w:val="Heading1Char"/>
    <w:autoRedefine/>
    <w:uiPriority w:val="9"/>
    <w:qFormat/>
    <w:rsid w:val="00EB6242"/>
    <w:pPr>
      <w:jc w:val="center"/>
      <w:outlineLvl w:val="0"/>
    </w:pPr>
    <w:rPr>
      <w:sz w:val="28"/>
    </w:rPr>
  </w:style>
  <w:style w:type="paragraph" w:styleId="Heading2">
    <w:name w:val="heading 2"/>
    <w:basedOn w:val="Heading3"/>
    <w:next w:val="Normal"/>
    <w:link w:val="Heading2Char"/>
    <w:autoRedefine/>
    <w:uiPriority w:val="9"/>
    <w:qFormat/>
    <w:rsid w:val="00EB6242"/>
    <w:pPr>
      <w:outlineLvl w:val="1"/>
    </w:pPr>
    <w:rPr>
      <w:sz w:val="26"/>
    </w:rPr>
  </w:style>
  <w:style w:type="paragraph" w:styleId="Heading3">
    <w:name w:val="heading 3"/>
    <w:basedOn w:val="Normal"/>
    <w:next w:val="Normal"/>
    <w:link w:val="Heading3Char"/>
    <w:autoRedefine/>
    <w:uiPriority w:val="9"/>
    <w:unhideWhenUsed/>
    <w:qFormat/>
    <w:rsid w:val="00BF697B"/>
    <w:pPr>
      <w:keepNext/>
      <w:keepLines/>
      <w:spacing w:before="40" w:line="360" w:lineRule="auto"/>
      <w:jc w:val="both"/>
      <w:outlineLvl w:val="2"/>
    </w:pPr>
    <w:rPr>
      <w:rFonts w:eastAsiaTheme="majorEastAsia"/>
      <w:b/>
      <w:bCs/>
      <w:color w:val="000000" w:themeColor="text1"/>
    </w:rPr>
  </w:style>
  <w:style w:type="paragraph" w:styleId="Heading4">
    <w:name w:val="heading 4"/>
    <w:basedOn w:val="Normal"/>
    <w:next w:val="BodyText"/>
    <w:link w:val="Heading4Char"/>
    <w:uiPriority w:val="9"/>
    <w:semiHidden/>
    <w:unhideWhenUsed/>
    <w:qFormat/>
    <w:rsid w:val="007A1B5D"/>
    <w:pPr>
      <w:keepNext/>
      <w:keepLines/>
      <w:spacing w:before="80" w:after="40"/>
      <w:outlineLvl w:val="3"/>
    </w:pPr>
    <w:rPr>
      <w:rFonts w:asciiTheme="minorHAnsi" w:eastAsiaTheme="majorEastAsia" w:hAnsiTheme="minorHAnsi" w:cstheme="majorBidi"/>
      <w:i/>
      <w:iCs/>
      <w:color w:val="365F91" w:themeColor="accent1" w:themeShade="BF"/>
      <w:lang w:eastAsia="zh-CN"/>
    </w:rPr>
  </w:style>
  <w:style w:type="paragraph" w:styleId="Heading5">
    <w:name w:val="heading 5"/>
    <w:basedOn w:val="Normal"/>
    <w:next w:val="BodyText"/>
    <w:link w:val="Heading5Char"/>
    <w:uiPriority w:val="9"/>
    <w:semiHidden/>
    <w:unhideWhenUsed/>
    <w:qFormat/>
    <w:rsid w:val="007A1B5D"/>
    <w:pPr>
      <w:keepNext/>
      <w:keepLines/>
      <w:spacing w:before="80" w:after="40"/>
      <w:outlineLvl w:val="4"/>
    </w:pPr>
    <w:rPr>
      <w:rFonts w:asciiTheme="minorHAnsi" w:eastAsiaTheme="majorEastAsia" w:hAnsiTheme="minorHAnsi" w:cstheme="majorBidi"/>
      <w:color w:val="365F91" w:themeColor="accent1" w:themeShade="BF"/>
      <w:lang w:eastAsia="zh-CN"/>
    </w:rPr>
  </w:style>
  <w:style w:type="paragraph" w:styleId="Heading6">
    <w:name w:val="heading 6"/>
    <w:basedOn w:val="Normal"/>
    <w:next w:val="BodyText"/>
    <w:link w:val="Heading6Char"/>
    <w:uiPriority w:val="9"/>
    <w:semiHidden/>
    <w:unhideWhenUsed/>
    <w:qFormat/>
    <w:rsid w:val="007A1B5D"/>
    <w:pPr>
      <w:keepNext/>
      <w:keepLines/>
      <w:spacing w:before="40"/>
      <w:outlineLvl w:val="5"/>
    </w:pPr>
    <w:rPr>
      <w:rFonts w:asciiTheme="minorHAnsi" w:eastAsiaTheme="majorEastAsia" w:hAnsiTheme="minorHAnsi" w:cstheme="majorBidi"/>
      <w:i/>
      <w:iCs/>
      <w:color w:val="595959" w:themeColor="text1" w:themeTint="A6"/>
      <w:lang w:eastAsia="zh-CN"/>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BodyText"/>
    <w:link w:val="Heading8Char"/>
    <w:uiPriority w:val="9"/>
    <w:semiHidden/>
    <w:unhideWhenUsed/>
    <w:qFormat/>
    <w:rsid w:val="007A1B5D"/>
    <w:pPr>
      <w:keepNext/>
      <w:keepLines/>
      <w:outlineLvl w:val="7"/>
    </w:pPr>
    <w:rPr>
      <w:rFonts w:asciiTheme="minorHAnsi" w:eastAsiaTheme="majorEastAsia" w:hAnsiTheme="minorHAnsi" w:cstheme="majorBidi"/>
      <w:i/>
      <w:iCs/>
      <w:color w:val="272727" w:themeColor="text1" w:themeTint="D8"/>
      <w:lang w:eastAsia="zh-CN"/>
    </w:rPr>
  </w:style>
  <w:style w:type="paragraph" w:styleId="Heading9">
    <w:name w:val="heading 9"/>
    <w:basedOn w:val="Normal"/>
    <w:next w:val="BodyText"/>
    <w:link w:val="Heading9Char"/>
    <w:uiPriority w:val="9"/>
    <w:semiHidden/>
    <w:unhideWhenUsed/>
    <w:qFormat/>
    <w:rsid w:val="007A1B5D"/>
    <w:pPr>
      <w:keepNext/>
      <w:keepLines/>
      <w:outlineLvl w:val="8"/>
    </w:pPr>
    <w:rPr>
      <w:rFonts w:asciiTheme="minorHAnsi" w:eastAsiaTheme="majorEastAsia" w:hAnsiTheme="minorHAnsi"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6242"/>
    <w:rPr>
      <w:rFonts w:ascii="Times New Roman" w:eastAsiaTheme="majorEastAsia" w:hAnsi="Times New Roman" w:cs="Times New Roman"/>
      <w:b/>
      <w:bCs/>
      <w:color w:val="000000" w:themeColor="text1"/>
      <w:sz w:val="26"/>
      <w:szCs w:val="24"/>
      <w:lang w:val="en-US"/>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nhideWhenUsed/>
    <w:rsid w:val="00D16BBC"/>
    <w:rPr>
      <w:sz w:val="16"/>
      <w:szCs w:val="16"/>
    </w:rPr>
  </w:style>
  <w:style w:type="paragraph" w:styleId="CommentText">
    <w:name w:val="annotation text"/>
    <w:basedOn w:val="Normal"/>
    <w:link w:val="CommentTextChar"/>
    <w:unhideWhenUsed/>
    <w:rsid w:val="00D16BBC"/>
    <w:rPr>
      <w:sz w:val="20"/>
      <w:szCs w:val="20"/>
    </w:rPr>
  </w:style>
  <w:style w:type="character" w:customStyle="1" w:styleId="CommentTextChar">
    <w:name w:val="Comment Text Char"/>
    <w:basedOn w:val="DefaultParagraphFont"/>
    <w:link w:val="CommentText"/>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nhideWhenUsed/>
    <w:rsid w:val="00D16BBC"/>
    <w:rPr>
      <w:b/>
      <w:bCs/>
    </w:rPr>
  </w:style>
  <w:style w:type="character" w:customStyle="1" w:styleId="CommentSubjectChar">
    <w:name w:val="Comment Subject Char"/>
    <w:basedOn w:val="CommentTextChar"/>
    <w:link w:val="CommentSubject"/>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uiPriority w:val="10"/>
    <w:qFormat/>
    <w:rsid w:val="003058C1"/>
    <w:pPr>
      <w:jc w:val="center"/>
    </w:pPr>
    <w:rPr>
      <w:rFonts w:ascii="Tahoma" w:hAnsi="Tahoma"/>
      <w:b/>
      <w:bCs/>
    </w:rPr>
  </w:style>
  <w:style w:type="character" w:customStyle="1" w:styleId="TitleChar">
    <w:name w:val="Title Char"/>
    <w:basedOn w:val="DefaultParagraphFont"/>
    <w:link w:val="Title"/>
    <w:uiPriority w:val="10"/>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
    <w:unhideWhenUsed/>
    <w:qFormat/>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unhideWhenUsed/>
    <w:rsid w:val="00776AD2"/>
    <w:pPr>
      <w:spacing w:before="100" w:beforeAutospacing="1" w:after="100" w:afterAutospacing="1"/>
    </w:pPr>
  </w:style>
  <w:style w:type="character" w:customStyle="1" w:styleId="apple-converted-space">
    <w:name w:val="apple-converted-space"/>
    <w:basedOn w:val="DefaultParagraphFont"/>
    <w:rsid w:val="00776AD2"/>
  </w:style>
  <w:style w:type="paragraph" w:styleId="Revision">
    <w:name w:val="Revision"/>
    <w:hidden/>
    <w:rsid w:val="00355960"/>
    <w:pPr>
      <w:spacing w:after="0" w:line="240" w:lineRule="auto"/>
    </w:pPr>
    <w:rPr>
      <w:rFonts w:ascii="Times New Roman" w:eastAsia="Times New Roman" w:hAnsi="Times New Roman" w:cs="Times New Roman"/>
      <w:sz w:val="24"/>
      <w:szCs w:val="24"/>
      <w:lang w:val="es-ES" w:eastAsia="es-ES"/>
    </w:rPr>
  </w:style>
  <w:style w:type="paragraph" w:customStyle="1" w:styleId="query-text-line">
    <w:name w:val="query-text-line"/>
    <w:basedOn w:val="Normal"/>
    <w:rsid w:val="005D6E24"/>
    <w:pPr>
      <w:spacing w:before="100" w:beforeAutospacing="1" w:after="100" w:afterAutospacing="1"/>
    </w:pPr>
  </w:style>
  <w:style w:type="character" w:customStyle="1" w:styleId="Heading3Char">
    <w:name w:val="Heading 3 Char"/>
    <w:basedOn w:val="DefaultParagraphFont"/>
    <w:link w:val="Heading3"/>
    <w:uiPriority w:val="9"/>
    <w:rsid w:val="00BF697B"/>
    <w:rPr>
      <w:rFonts w:ascii="Times New Roman" w:eastAsiaTheme="majorEastAsia" w:hAnsi="Times New Roman" w:cs="Times New Roman"/>
      <w:b/>
      <w:bCs/>
      <w:color w:val="000000" w:themeColor="text1"/>
      <w:sz w:val="24"/>
      <w:szCs w:val="24"/>
      <w:lang w:val="en-US"/>
    </w:rPr>
  </w:style>
  <w:style w:type="character" w:customStyle="1" w:styleId="Heading1Char">
    <w:name w:val="Heading 1 Char"/>
    <w:basedOn w:val="DefaultParagraphFont"/>
    <w:link w:val="Heading1"/>
    <w:uiPriority w:val="9"/>
    <w:rsid w:val="00EB6242"/>
    <w:rPr>
      <w:rFonts w:ascii="Times New Roman" w:eastAsiaTheme="majorEastAsia" w:hAnsi="Times New Roman" w:cs="Times New Roman"/>
      <w:b/>
      <w:bCs/>
      <w:color w:val="000000" w:themeColor="text1"/>
      <w:sz w:val="28"/>
      <w:szCs w:val="24"/>
      <w:lang w:val="en-US"/>
    </w:rPr>
  </w:style>
  <w:style w:type="character" w:customStyle="1" w:styleId="Heading4Char">
    <w:name w:val="Heading 4 Char"/>
    <w:basedOn w:val="DefaultParagraphFont"/>
    <w:link w:val="Heading4"/>
    <w:uiPriority w:val="9"/>
    <w:semiHidden/>
    <w:rsid w:val="007A1B5D"/>
    <w:rPr>
      <w:rFonts w:eastAsiaTheme="majorEastAsia" w:cstheme="majorBidi"/>
      <w:i/>
      <w:iCs/>
      <w:color w:val="365F91" w:themeColor="accent1" w:themeShade="BF"/>
      <w:sz w:val="24"/>
      <w:szCs w:val="24"/>
      <w:lang w:val="en-US" w:eastAsia="zh-CN"/>
    </w:rPr>
  </w:style>
  <w:style w:type="character" w:customStyle="1" w:styleId="Heading5Char">
    <w:name w:val="Heading 5 Char"/>
    <w:basedOn w:val="DefaultParagraphFont"/>
    <w:link w:val="Heading5"/>
    <w:uiPriority w:val="9"/>
    <w:semiHidden/>
    <w:rsid w:val="007A1B5D"/>
    <w:rPr>
      <w:rFonts w:eastAsiaTheme="majorEastAsia" w:cstheme="majorBidi"/>
      <w:color w:val="365F91" w:themeColor="accent1" w:themeShade="BF"/>
      <w:sz w:val="24"/>
      <w:szCs w:val="24"/>
      <w:lang w:val="en-US" w:eastAsia="zh-CN"/>
    </w:rPr>
  </w:style>
  <w:style w:type="character" w:customStyle="1" w:styleId="Heading6Char">
    <w:name w:val="Heading 6 Char"/>
    <w:basedOn w:val="DefaultParagraphFont"/>
    <w:link w:val="Heading6"/>
    <w:uiPriority w:val="9"/>
    <w:semiHidden/>
    <w:rsid w:val="007A1B5D"/>
    <w:rPr>
      <w:rFonts w:eastAsiaTheme="majorEastAsia" w:cstheme="majorBidi"/>
      <w:i/>
      <w:iCs/>
      <w:color w:val="595959" w:themeColor="text1" w:themeTint="A6"/>
      <w:sz w:val="24"/>
      <w:szCs w:val="24"/>
      <w:lang w:val="en-US" w:eastAsia="zh-CN"/>
    </w:rPr>
  </w:style>
  <w:style w:type="character" w:customStyle="1" w:styleId="Heading8Char">
    <w:name w:val="Heading 8 Char"/>
    <w:basedOn w:val="DefaultParagraphFont"/>
    <w:link w:val="Heading8"/>
    <w:uiPriority w:val="9"/>
    <w:semiHidden/>
    <w:rsid w:val="007A1B5D"/>
    <w:rPr>
      <w:rFonts w:eastAsiaTheme="majorEastAsia" w:cstheme="majorBidi"/>
      <w:i/>
      <w:iCs/>
      <w:color w:val="272727" w:themeColor="text1" w:themeTint="D8"/>
      <w:sz w:val="24"/>
      <w:szCs w:val="24"/>
      <w:lang w:val="en-US" w:eastAsia="zh-CN"/>
    </w:rPr>
  </w:style>
  <w:style w:type="character" w:customStyle="1" w:styleId="Heading9Char">
    <w:name w:val="Heading 9 Char"/>
    <w:basedOn w:val="DefaultParagraphFont"/>
    <w:link w:val="Heading9"/>
    <w:uiPriority w:val="9"/>
    <w:semiHidden/>
    <w:rsid w:val="007A1B5D"/>
    <w:rPr>
      <w:rFonts w:eastAsiaTheme="majorEastAsia" w:cstheme="majorBidi"/>
      <w:color w:val="272727" w:themeColor="text1" w:themeTint="D8"/>
      <w:sz w:val="24"/>
      <w:szCs w:val="24"/>
      <w:lang w:val="en-US" w:eastAsia="zh-CN"/>
    </w:rPr>
  </w:style>
  <w:style w:type="paragraph" w:customStyle="1" w:styleId="FirstParagraph">
    <w:name w:val="First Paragraph"/>
    <w:basedOn w:val="BodyText"/>
    <w:next w:val="BodyText"/>
    <w:qFormat/>
    <w:rsid w:val="007A1B5D"/>
    <w:pPr>
      <w:spacing w:before="180" w:after="180"/>
    </w:pPr>
    <w:rPr>
      <w:rFonts w:asciiTheme="minorHAnsi" w:eastAsiaTheme="minorEastAsia" w:hAnsiTheme="minorHAnsi" w:cstheme="minorBidi"/>
      <w:lang w:eastAsia="zh-CN"/>
    </w:rPr>
  </w:style>
  <w:style w:type="paragraph" w:customStyle="1" w:styleId="Compact">
    <w:name w:val="Compact"/>
    <w:basedOn w:val="BodyText"/>
    <w:qFormat/>
    <w:rsid w:val="007A1B5D"/>
    <w:pPr>
      <w:spacing w:before="36" w:after="36"/>
    </w:pPr>
    <w:rPr>
      <w:rFonts w:asciiTheme="minorHAnsi" w:eastAsiaTheme="minorEastAsia" w:hAnsiTheme="minorHAnsi" w:cstheme="minorBidi"/>
      <w:lang w:eastAsia="zh-CN"/>
    </w:rPr>
  </w:style>
  <w:style w:type="paragraph" w:styleId="Subtitle">
    <w:name w:val="Subtitle"/>
    <w:basedOn w:val="Title"/>
    <w:next w:val="BodyText"/>
    <w:link w:val="SubtitleChar"/>
    <w:uiPriority w:val="11"/>
    <w:qFormat/>
    <w:rsid w:val="007A1B5D"/>
    <w:pPr>
      <w:numPr>
        <w:ilvl w:val="1"/>
      </w:numPr>
      <w:spacing w:after="80"/>
      <w:contextualSpacing/>
    </w:pPr>
    <w:rPr>
      <w:rFonts w:asciiTheme="majorHAnsi" w:eastAsiaTheme="majorEastAsia" w:hAnsiTheme="majorHAnsi" w:cstheme="majorBidi"/>
      <w:b w:val="0"/>
      <w:bCs w:val="0"/>
      <w:spacing w:val="15"/>
      <w:sz w:val="28"/>
      <w:szCs w:val="28"/>
      <w:lang w:eastAsia="zh-CN"/>
    </w:rPr>
  </w:style>
  <w:style w:type="character" w:customStyle="1" w:styleId="SubtitleChar">
    <w:name w:val="Subtitle Char"/>
    <w:basedOn w:val="DefaultParagraphFont"/>
    <w:link w:val="Subtitle"/>
    <w:uiPriority w:val="11"/>
    <w:rsid w:val="007A1B5D"/>
    <w:rPr>
      <w:rFonts w:asciiTheme="majorHAnsi" w:eastAsiaTheme="majorEastAsia" w:hAnsiTheme="majorHAnsi" w:cstheme="majorBidi"/>
      <w:spacing w:val="15"/>
      <w:sz w:val="28"/>
      <w:szCs w:val="28"/>
      <w:lang w:val="en-US" w:eastAsia="zh-CN"/>
    </w:rPr>
  </w:style>
  <w:style w:type="paragraph" w:customStyle="1" w:styleId="Author">
    <w:name w:val="Author"/>
    <w:basedOn w:val="Title"/>
    <w:next w:val="BodyText"/>
    <w:qFormat/>
    <w:rsid w:val="007A1B5D"/>
    <w:pPr>
      <w:keepNext/>
      <w:keepLines/>
      <w:spacing w:after="80"/>
      <w:contextualSpacing/>
    </w:pPr>
    <w:rPr>
      <w:rFonts w:asciiTheme="majorHAnsi" w:eastAsiaTheme="majorEastAsia" w:hAnsiTheme="majorHAnsi" w:cstheme="majorBidi"/>
      <w:b w:val="0"/>
      <w:bCs w:val="0"/>
      <w:lang w:eastAsia="zh-CN"/>
    </w:rPr>
  </w:style>
  <w:style w:type="paragraph" w:styleId="Date">
    <w:name w:val="Date"/>
    <w:basedOn w:val="Title"/>
    <w:next w:val="BodyText"/>
    <w:link w:val="DateChar"/>
    <w:qFormat/>
    <w:rsid w:val="007A1B5D"/>
    <w:pPr>
      <w:keepNext/>
      <w:keepLines/>
      <w:spacing w:after="80"/>
      <w:contextualSpacing/>
    </w:pPr>
    <w:rPr>
      <w:rFonts w:asciiTheme="majorHAnsi" w:eastAsiaTheme="majorEastAsia" w:hAnsiTheme="majorHAnsi" w:cstheme="majorBidi"/>
      <w:b w:val="0"/>
      <w:bCs w:val="0"/>
      <w:lang w:eastAsia="zh-CN"/>
    </w:rPr>
  </w:style>
  <w:style w:type="character" w:customStyle="1" w:styleId="DateChar">
    <w:name w:val="Date Char"/>
    <w:basedOn w:val="DefaultParagraphFont"/>
    <w:link w:val="Date"/>
    <w:rsid w:val="007A1B5D"/>
    <w:rPr>
      <w:rFonts w:asciiTheme="majorHAnsi" w:eastAsiaTheme="majorEastAsia" w:hAnsiTheme="majorHAnsi" w:cstheme="majorBidi"/>
      <w:sz w:val="24"/>
      <w:szCs w:val="24"/>
      <w:lang w:val="en-US" w:eastAsia="zh-CN"/>
    </w:rPr>
  </w:style>
  <w:style w:type="paragraph" w:customStyle="1" w:styleId="AbstractTitle">
    <w:name w:val="Abstract Title"/>
    <w:basedOn w:val="Normal"/>
    <w:next w:val="Abstract"/>
    <w:qFormat/>
    <w:rsid w:val="007A1B5D"/>
    <w:pPr>
      <w:keepNext/>
      <w:keepLines/>
      <w:spacing w:before="300"/>
      <w:jc w:val="center"/>
    </w:pPr>
    <w:rPr>
      <w:rFonts w:asciiTheme="minorHAnsi" w:eastAsiaTheme="minorEastAsia" w:hAnsiTheme="minorHAnsi" w:cstheme="minorBidi"/>
      <w:b/>
      <w:sz w:val="20"/>
      <w:szCs w:val="20"/>
      <w:lang w:eastAsia="zh-CN"/>
    </w:rPr>
  </w:style>
  <w:style w:type="paragraph" w:customStyle="1" w:styleId="Abstract">
    <w:name w:val="Abstract"/>
    <w:basedOn w:val="Normal"/>
    <w:next w:val="BodyText"/>
    <w:qFormat/>
    <w:rsid w:val="007A1B5D"/>
    <w:pPr>
      <w:keepNext/>
      <w:keepLines/>
      <w:spacing w:before="100" w:after="300"/>
    </w:pPr>
    <w:rPr>
      <w:rFonts w:asciiTheme="minorHAnsi" w:eastAsiaTheme="minorEastAsia" w:hAnsiTheme="minorHAnsi" w:cstheme="minorBidi"/>
      <w:sz w:val="20"/>
      <w:szCs w:val="20"/>
      <w:lang w:eastAsia="zh-CN"/>
    </w:rPr>
  </w:style>
  <w:style w:type="paragraph" w:styleId="Bibliography">
    <w:name w:val="Bibliography"/>
    <w:basedOn w:val="Normal"/>
    <w:qFormat/>
    <w:rsid w:val="007A1B5D"/>
    <w:pPr>
      <w:spacing w:line="480" w:lineRule="auto"/>
      <w:ind w:left="720" w:hanging="720"/>
    </w:pPr>
    <w:rPr>
      <w:rFonts w:asciiTheme="minorHAnsi" w:eastAsiaTheme="minorEastAsia" w:hAnsiTheme="minorHAnsi" w:cstheme="minorBidi"/>
      <w:lang w:eastAsia="zh-CN"/>
    </w:rPr>
  </w:style>
  <w:style w:type="paragraph" w:styleId="BlockText">
    <w:name w:val="Block Text"/>
    <w:basedOn w:val="BodyText"/>
    <w:next w:val="BodyText"/>
    <w:uiPriority w:val="9"/>
    <w:unhideWhenUsed/>
    <w:qFormat/>
    <w:rsid w:val="007A1B5D"/>
    <w:pPr>
      <w:spacing w:before="100" w:after="100"/>
      <w:ind w:left="480" w:right="480"/>
    </w:pPr>
    <w:rPr>
      <w:rFonts w:asciiTheme="minorHAnsi" w:eastAsiaTheme="minorEastAsia" w:hAnsiTheme="minorHAnsi" w:cstheme="minorBidi"/>
      <w:lang w:eastAsia="zh-CN"/>
    </w:rPr>
  </w:style>
  <w:style w:type="paragraph" w:customStyle="1" w:styleId="FootnoteBlockText">
    <w:name w:val="Footnote Block Text"/>
    <w:basedOn w:val="FootnoteText"/>
    <w:next w:val="FootnoteText"/>
    <w:uiPriority w:val="9"/>
    <w:unhideWhenUsed/>
    <w:qFormat/>
    <w:rsid w:val="007A1B5D"/>
    <w:pPr>
      <w:spacing w:before="100" w:after="100"/>
      <w:ind w:left="480" w:right="480"/>
    </w:pPr>
    <w:rPr>
      <w:rFonts w:asciiTheme="minorHAnsi" w:eastAsiaTheme="minorEastAsia" w:hAnsiTheme="minorHAnsi" w:cstheme="minorBidi"/>
      <w:sz w:val="24"/>
      <w:szCs w:val="24"/>
      <w:lang w:eastAsia="zh-CN"/>
    </w:rPr>
  </w:style>
  <w:style w:type="table" w:customStyle="1" w:styleId="Table">
    <w:name w:val="Table"/>
    <w:semiHidden/>
    <w:unhideWhenUsed/>
    <w:qFormat/>
    <w:rsid w:val="007A1B5D"/>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7A1B5D"/>
    <w:pPr>
      <w:keepNext/>
      <w:keepLines/>
    </w:pPr>
    <w:rPr>
      <w:rFonts w:asciiTheme="minorHAnsi" w:eastAsiaTheme="minorEastAsia" w:hAnsiTheme="minorHAnsi" w:cstheme="minorBidi"/>
      <w:b/>
      <w:lang w:eastAsia="zh-CN"/>
    </w:rPr>
  </w:style>
  <w:style w:type="paragraph" w:customStyle="1" w:styleId="Definition">
    <w:name w:val="Definition"/>
    <w:basedOn w:val="Normal"/>
    <w:rsid w:val="007A1B5D"/>
    <w:pPr>
      <w:spacing w:after="200"/>
    </w:pPr>
    <w:rPr>
      <w:rFonts w:asciiTheme="minorHAnsi" w:eastAsiaTheme="minorEastAsia" w:hAnsiTheme="minorHAnsi" w:cstheme="minorBidi"/>
      <w:lang w:eastAsia="zh-CN"/>
    </w:rPr>
  </w:style>
  <w:style w:type="paragraph" w:styleId="Caption">
    <w:name w:val="caption"/>
    <w:basedOn w:val="Normal"/>
    <w:link w:val="CaptionChar"/>
    <w:rsid w:val="007A1B5D"/>
    <w:pPr>
      <w:spacing w:after="120"/>
    </w:pPr>
    <w:rPr>
      <w:rFonts w:asciiTheme="minorHAnsi" w:eastAsiaTheme="minorEastAsia" w:hAnsiTheme="minorHAnsi" w:cstheme="minorBidi"/>
      <w:i/>
      <w:lang w:eastAsia="zh-CN"/>
    </w:rPr>
  </w:style>
  <w:style w:type="paragraph" w:customStyle="1" w:styleId="TableCaption">
    <w:name w:val="Table Caption"/>
    <w:basedOn w:val="Caption"/>
    <w:rsid w:val="007A1B5D"/>
    <w:pPr>
      <w:keepNext/>
    </w:pPr>
  </w:style>
  <w:style w:type="paragraph" w:customStyle="1" w:styleId="ImageCaption">
    <w:name w:val="Image Caption"/>
    <w:basedOn w:val="Caption"/>
    <w:rsid w:val="007A1B5D"/>
  </w:style>
  <w:style w:type="paragraph" w:customStyle="1" w:styleId="Figure">
    <w:name w:val="Figure"/>
    <w:basedOn w:val="Normal"/>
    <w:rsid w:val="007A1B5D"/>
    <w:pPr>
      <w:spacing w:after="200"/>
    </w:pPr>
    <w:rPr>
      <w:rFonts w:asciiTheme="minorHAnsi" w:eastAsiaTheme="minorEastAsia" w:hAnsiTheme="minorHAnsi" w:cstheme="minorBidi"/>
      <w:lang w:eastAsia="zh-CN"/>
    </w:rPr>
  </w:style>
  <w:style w:type="paragraph" w:customStyle="1" w:styleId="CaptionedFigure">
    <w:name w:val="Captioned Figure"/>
    <w:basedOn w:val="Figure"/>
    <w:rsid w:val="007A1B5D"/>
  </w:style>
  <w:style w:type="character" w:customStyle="1" w:styleId="CaptionChar">
    <w:name w:val="Caption Char"/>
    <w:basedOn w:val="DefaultParagraphFont"/>
    <w:link w:val="Caption"/>
    <w:rsid w:val="007A1B5D"/>
    <w:rPr>
      <w:rFonts w:eastAsiaTheme="minorEastAsia"/>
      <w:i/>
      <w:sz w:val="24"/>
      <w:szCs w:val="24"/>
      <w:lang w:val="en-US" w:eastAsia="zh-CN"/>
    </w:rPr>
  </w:style>
  <w:style w:type="character" w:customStyle="1" w:styleId="VerbatimChar">
    <w:name w:val="Verbatim Char"/>
    <w:basedOn w:val="CaptionChar"/>
    <w:link w:val="SourceCode"/>
    <w:rsid w:val="007A1B5D"/>
    <w:rPr>
      <w:rFonts w:ascii="Consolas" w:eastAsiaTheme="minorEastAsia" w:hAnsi="Consolas"/>
      <w:i/>
      <w:sz w:val="24"/>
      <w:szCs w:val="24"/>
      <w:lang w:val="en-US" w:eastAsia="zh-CN"/>
    </w:rPr>
  </w:style>
  <w:style w:type="character" w:customStyle="1" w:styleId="SectionNumber">
    <w:name w:val="Section Number"/>
    <w:basedOn w:val="CaptionChar"/>
    <w:rsid w:val="007A1B5D"/>
    <w:rPr>
      <w:rFonts w:eastAsiaTheme="minorEastAsia"/>
      <w:i/>
      <w:sz w:val="24"/>
      <w:szCs w:val="24"/>
      <w:lang w:val="en-US" w:eastAsia="zh-CN"/>
    </w:rPr>
  </w:style>
  <w:style w:type="paragraph" w:styleId="TOCHeading">
    <w:name w:val="TOC Heading"/>
    <w:basedOn w:val="Heading1"/>
    <w:next w:val="BodyText"/>
    <w:uiPriority w:val="39"/>
    <w:unhideWhenUsed/>
    <w:qFormat/>
    <w:rsid w:val="007A1B5D"/>
    <w:pPr>
      <w:spacing w:after="80" w:line="259" w:lineRule="auto"/>
      <w:outlineLvl w:val="9"/>
    </w:pPr>
    <w:rPr>
      <w:sz w:val="40"/>
      <w:szCs w:val="40"/>
      <w:lang w:eastAsia="zh-CN"/>
    </w:rPr>
  </w:style>
  <w:style w:type="paragraph" w:customStyle="1" w:styleId="SourceCode">
    <w:name w:val="Source Code"/>
    <w:basedOn w:val="Normal"/>
    <w:link w:val="VerbatimChar"/>
    <w:rsid w:val="007A1B5D"/>
    <w:pPr>
      <w:wordWrap w:val="0"/>
      <w:spacing w:after="200"/>
    </w:pPr>
    <w:rPr>
      <w:rFonts w:ascii="Consolas" w:eastAsiaTheme="minorEastAsia" w:hAnsi="Consolas" w:cstheme="minorBidi"/>
      <w:i/>
      <w:sz w:val="22"/>
      <w:lang w:eastAsia="zh-CN"/>
    </w:rPr>
  </w:style>
  <w:style w:type="character" w:customStyle="1" w:styleId="KeywordTok">
    <w:name w:val="KeywordTok"/>
    <w:basedOn w:val="VerbatimChar"/>
    <w:rsid w:val="007A1B5D"/>
    <w:rPr>
      <w:rFonts w:ascii="Consolas" w:eastAsiaTheme="minorEastAsia" w:hAnsi="Consolas"/>
      <w:i/>
      <w:sz w:val="24"/>
      <w:szCs w:val="24"/>
      <w:lang w:val="en-US" w:eastAsia="zh-CN"/>
    </w:rPr>
  </w:style>
  <w:style w:type="character" w:customStyle="1" w:styleId="DataTypeTok">
    <w:name w:val="DataTypeTok"/>
    <w:basedOn w:val="VerbatimChar"/>
    <w:rsid w:val="007A1B5D"/>
    <w:rPr>
      <w:rFonts w:ascii="Consolas" w:eastAsiaTheme="minorEastAsia" w:hAnsi="Consolas"/>
      <w:i/>
      <w:sz w:val="24"/>
      <w:szCs w:val="24"/>
      <w:lang w:val="en-US" w:eastAsia="zh-CN"/>
    </w:rPr>
  </w:style>
  <w:style w:type="character" w:customStyle="1" w:styleId="DecValTok">
    <w:name w:val="DecValTok"/>
    <w:basedOn w:val="VerbatimChar"/>
    <w:rsid w:val="007A1B5D"/>
    <w:rPr>
      <w:rFonts w:ascii="Consolas" w:eastAsiaTheme="minorEastAsia" w:hAnsi="Consolas"/>
      <w:i/>
      <w:sz w:val="24"/>
      <w:szCs w:val="24"/>
      <w:lang w:val="en-US" w:eastAsia="zh-CN"/>
    </w:rPr>
  </w:style>
  <w:style w:type="character" w:customStyle="1" w:styleId="BaseNTok">
    <w:name w:val="BaseNTok"/>
    <w:basedOn w:val="VerbatimChar"/>
    <w:rsid w:val="007A1B5D"/>
    <w:rPr>
      <w:rFonts w:ascii="Consolas" w:eastAsiaTheme="minorEastAsia" w:hAnsi="Consolas"/>
      <w:i/>
      <w:sz w:val="24"/>
      <w:szCs w:val="24"/>
      <w:lang w:val="en-US" w:eastAsia="zh-CN"/>
    </w:rPr>
  </w:style>
  <w:style w:type="character" w:customStyle="1" w:styleId="FloatTok">
    <w:name w:val="FloatTok"/>
    <w:basedOn w:val="VerbatimChar"/>
    <w:rsid w:val="007A1B5D"/>
    <w:rPr>
      <w:rFonts w:ascii="Consolas" w:eastAsiaTheme="minorEastAsia" w:hAnsi="Consolas"/>
      <w:i/>
      <w:sz w:val="24"/>
      <w:szCs w:val="24"/>
      <w:lang w:val="en-US" w:eastAsia="zh-CN"/>
    </w:rPr>
  </w:style>
  <w:style w:type="character" w:customStyle="1" w:styleId="ConstantTok">
    <w:name w:val="ConstantTok"/>
    <w:basedOn w:val="VerbatimChar"/>
    <w:rsid w:val="007A1B5D"/>
    <w:rPr>
      <w:rFonts w:ascii="Consolas" w:eastAsiaTheme="minorEastAsia" w:hAnsi="Consolas"/>
      <w:i/>
      <w:sz w:val="24"/>
      <w:szCs w:val="24"/>
      <w:lang w:val="en-US" w:eastAsia="zh-CN"/>
    </w:rPr>
  </w:style>
  <w:style w:type="character" w:customStyle="1" w:styleId="CharTok">
    <w:name w:val="CharTok"/>
    <w:basedOn w:val="VerbatimChar"/>
    <w:rsid w:val="007A1B5D"/>
    <w:rPr>
      <w:rFonts w:ascii="Consolas" w:eastAsiaTheme="minorEastAsia" w:hAnsi="Consolas"/>
      <w:i/>
      <w:sz w:val="24"/>
      <w:szCs w:val="24"/>
      <w:lang w:val="en-US" w:eastAsia="zh-CN"/>
    </w:rPr>
  </w:style>
  <w:style w:type="character" w:customStyle="1" w:styleId="SpecialCharTok">
    <w:name w:val="SpecialCharTok"/>
    <w:basedOn w:val="VerbatimChar"/>
    <w:rsid w:val="007A1B5D"/>
    <w:rPr>
      <w:rFonts w:ascii="Consolas" w:eastAsiaTheme="minorEastAsia" w:hAnsi="Consolas"/>
      <w:i/>
      <w:sz w:val="24"/>
      <w:szCs w:val="24"/>
      <w:lang w:val="en-US" w:eastAsia="zh-CN"/>
    </w:rPr>
  </w:style>
  <w:style w:type="character" w:customStyle="1" w:styleId="StringTok">
    <w:name w:val="StringTok"/>
    <w:basedOn w:val="VerbatimChar"/>
    <w:rsid w:val="007A1B5D"/>
    <w:rPr>
      <w:rFonts w:ascii="Consolas" w:eastAsiaTheme="minorEastAsia" w:hAnsi="Consolas"/>
      <w:i/>
      <w:sz w:val="24"/>
      <w:szCs w:val="24"/>
      <w:lang w:val="en-US" w:eastAsia="zh-CN"/>
    </w:rPr>
  </w:style>
  <w:style w:type="character" w:customStyle="1" w:styleId="VerbatimStringTok">
    <w:name w:val="VerbatimStringTok"/>
    <w:basedOn w:val="VerbatimChar"/>
    <w:rsid w:val="007A1B5D"/>
    <w:rPr>
      <w:rFonts w:ascii="Consolas" w:eastAsiaTheme="minorEastAsia" w:hAnsi="Consolas"/>
      <w:i/>
      <w:sz w:val="24"/>
      <w:szCs w:val="24"/>
      <w:lang w:val="en-US" w:eastAsia="zh-CN"/>
    </w:rPr>
  </w:style>
  <w:style w:type="character" w:customStyle="1" w:styleId="SpecialStringTok">
    <w:name w:val="SpecialStringTok"/>
    <w:basedOn w:val="VerbatimChar"/>
    <w:rsid w:val="007A1B5D"/>
    <w:rPr>
      <w:rFonts w:ascii="Consolas" w:eastAsiaTheme="minorEastAsia" w:hAnsi="Consolas"/>
      <w:i/>
      <w:sz w:val="24"/>
      <w:szCs w:val="24"/>
      <w:lang w:val="en-US" w:eastAsia="zh-CN"/>
    </w:rPr>
  </w:style>
  <w:style w:type="character" w:customStyle="1" w:styleId="ImportTok">
    <w:name w:val="ImportTok"/>
    <w:basedOn w:val="VerbatimChar"/>
    <w:rsid w:val="007A1B5D"/>
    <w:rPr>
      <w:rFonts w:ascii="Consolas" w:eastAsiaTheme="minorEastAsia" w:hAnsi="Consolas"/>
      <w:i/>
      <w:sz w:val="24"/>
      <w:szCs w:val="24"/>
      <w:lang w:val="en-US" w:eastAsia="zh-CN"/>
    </w:rPr>
  </w:style>
  <w:style w:type="character" w:customStyle="1" w:styleId="CommentTok">
    <w:name w:val="CommentTok"/>
    <w:basedOn w:val="VerbatimChar"/>
    <w:rsid w:val="007A1B5D"/>
    <w:rPr>
      <w:rFonts w:ascii="Consolas" w:eastAsiaTheme="minorEastAsia" w:hAnsi="Consolas"/>
      <w:i/>
      <w:sz w:val="24"/>
      <w:szCs w:val="24"/>
      <w:lang w:val="en-US" w:eastAsia="zh-CN"/>
    </w:rPr>
  </w:style>
  <w:style w:type="character" w:customStyle="1" w:styleId="DocumentationTok">
    <w:name w:val="DocumentationTok"/>
    <w:basedOn w:val="VerbatimChar"/>
    <w:rsid w:val="007A1B5D"/>
    <w:rPr>
      <w:rFonts w:ascii="Consolas" w:eastAsiaTheme="minorEastAsia" w:hAnsi="Consolas"/>
      <w:i/>
      <w:sz w:val="24"/>
      <w:szCs w:val="24"/>
      <w:lang w:val="en-US" w:eastAsia="zh-CN"/>
    </w:rPr>
  </w:style>
  <w:style w:type="character" w:customStyle="1" w:styleId="AnnotationTok">
    <w:name w:val="AnnotationTok"/>
    <w:basedOn w:val="VerbatimChar"/>
    <w:rsid w:val="007A1B5D"/>
    <w:rPr>
      <w:rFonts w:ascii="Consolas" w:eastAsiaTheme="minorEastAsia" w:hAnsi="Consolas"/>
      <w:i/>
      <w:sz w:val="24"/>
      <w:szCs w:val="24"/>
      <w:lang w:val="en-US" w:eastAsia="zh-CN"/>
    </w:rPr>
  </w:style>
  <w:style w:type="character" w:customStyle="1" w:styleId="CommentVarTok">
    <w:name w:val="CommentVarTok"/>
    <w:basedOn w:val="VerbatimChar"/>
    <w:rsid w:val="007A1B5D"/>
    <w:rPr>
      <w:rFonts w:ascii="Consolas" w:eastAsiaTheme="minorEastAsia" w:hAnsi="Consolas"/>
      <w:i/>
      <w:sz w:val="24"/>
      <w:szCs w:val="24"/>
      <w:lang w:val="en-US" w:eastAsia="zh-CN"/>
    </w:rPr>
  </w:style>
  <w:style w:type="character" w:customStyle="1" w:styleId="OtherTok">
    <w:name w:val="OtherTok"/>
    <w:basedOn w:val="VerbatimChar"/>
    <w:rsid w:val="007A1B5D"/>
    <w:rPr>
      <w:rFonts w:ascii="Consolas" w:eastAsiaTheme="minorEastAsia" w:hAnsi="Consolas"/>
      <w:i/>
      <w:sz w:val="24"/>
      <w:szCs w:val="24"/>
      <w:lang w:val="en-US" w:eastAsia="zh-CN"/>
    </w:rPr>
  </w:style>
  <w:style w:type="character" w:customStyle="1" w:styleId="FunctionTok">
    <w:name w:val="FunctionTok"/>
    <w:basedOn w:val="VerbatimChar"/>
    <w:rsid w:val="007A1B5D"/>
    <w:rPr>
      <w:rFonts w:ascii="Consolas" w:eastAsiaTheme="minorEastAsia" w:hAnsi="Consolas"/>
      <w:i/>
      <w:sz w:val="24"/>
      <w:szCs w:val="24"/>
      <w:lang w:val="en-US" w:eastAsia="zh-CN"/>
    </w:rPr>
  </w:style>
  <w:style w:type="character" w:customStyle="1" w:styleId="VariableTok">
    <w:name w:val="VariableTok"/>
    <w:basedOn w:val="VerbatimChar"/>
    <w:rsid w:val="007A1B5D"/>
    <w:rPr>
      <w:rFonts w:ascii="Consolas" w:eastAsiaTheme="minorEastAsia" w:hAnsi="Consolas"/>
      <w:i/>
      <w:sz w:val="24"/>
      <w:szCs w:val="24"/>
      <w:lang w:val="en-US" w:eastAsia="zh-CN"/>
    </w:rPr>
  </w:style>
  <w:style w:type="character" w:customStyle="1" w:styleId="ControlFlowTok">
    <w:name w:val="ControlFlowTok"/>
    <w:basedOn w:val="VerbatimChar"/>
    <w:rsid w:val="007A1B5D"/>
    <w:rPr>
      <w:rFonts w:ascii="Consolas" w:eastAsiaTheme="minorEastAsia" w:hAnsi="Consolas"/>
      <w:i/>
      <w:sz w:val="24"/>
      <w:szCs w:val="24"/>
      <w:lang w:val="en-US" w:eastAsia="zh-CN"/>
    </w:rPr>
  </w:style>
  <w:style w:type="character" w:customStyle="1" w:styleId="OperatorTok">
    <w:name w:val="OperatorTok"/>
    <w:basedOn w:val="VerbatimChar"/>
    <w:rsid w:val="007A1B5D"/>
    <w:rPr>
      <w:rFonts w:ascii="Consolas" w:eastAsiaTheme="minorEastAsia" w:hAnsi="Consolas"/>
      <w:i/>
      <w:sz w:val="24"/>
      <w:szCs w:val="24"/>
      <w:lang w:val="en-US" w:eastAsia="zh-CN"/>
    </w:rPr>
  </w:style>
  <w:style w:type="character" w:customStyle="1" w:styleId="BuiltInTok">
    <w:name w:val="BuiltInTok"/>
    <w:basedOn w:val="VerbatimChar"/>
    <w:rsid w:val="007A1B5D"/>
    <w:rPr>
      <w:rFonts w:ascii="Consolas" w:eastAsiaTheme="minorEastAsia" w:hAnsi="Consolas"/>
      <w:i/>
      <w:sz w:val="24"/>
      <w:szCs w:val="24"/>
      <w:lang w:val="en-US" w:eastAsia="zh-CN"/>
    </w:rPr>
  </w:style>
  <w:style w:type="character" w:customStyle="1" w:styleId="ExtensionTok">
    <w:name w:val="ExtensionTok"/>
    <w:basedOn w:val="VerbatimChar"/>
    <w:rsid w:val="007A1B5D"/>
    <w:rPr>
      <w:rFonts w:ascii="Consolas" w:eastAsiaTheme="minorEastAsia" w:hAnsi="Consolas"/>
      <w:i/>
      <w:sz w:val="24"/>
      <w:szCs w:val="24"/>
      <w:lang w:val="en-US" w:eastAsia="zh-CN"/>
    </w:rPr>
  </w:style>
  <w:style w:type="character" w:customStyle="1" w:styleId="PreprocessorTok">
    <w:name w:val="PreprocessorTok"/>
    <w:basedOn w:val="VerbatimChar"/>
    <w:rsid w:val="007A1B5D"/>
    <w:rPr>
      <w:rFonts w:ascii="Consolas" w:eastAsiaTheme="minorEastAsia" w:hAnsi="Consolas"/>
      <w:i/>
      <w:sz w:val="24"/>
      <w:szCs w:val="24"/>
      <w:lang w:val="en-US" w:eastAsia="zh-CN"/>
    </w:rPr>
  </w:style>
  <w:style w:type="character" w:customStyle="1" w:styleId="AttributeTok">
    <w:name w:val="AttributeTok"/>
    <w:basedOn w:val="VerbatimChar"/>
    <w:rsid w:val="007A1B5D"/>
    <w:rPr>
      <w:rFonts w:ascii="Consolas" w:eastAsiaTheme="minorEastAsia" w:hAnsi="Consolas"/>
      <w:i/>
      <w:sz w:val="24"/>
      <w:szCs w:val="24"/>
      <w:lang w:val="en-US" w:eastAsia="zh-CN"/>
    </w:rPr>
  </w:style>
  <w:style w:type="character" w:customStyle="1" w:styleId="RegionMarkerTok">
    <w:name w:val="RegionMarkerTok"/>
    <w:basedOn w:val="VerbatimChar"/>
    <w:rsid w:val="007A1B5D"/>
    <w:rPr>
      <w:rFonts w:ascii="Consolas" w:eastAsiaTheme="minorEastAsia" w:hAnsi="Consolas"/>
      <w:i/>
      <w:sz w:val="24"/>
      <w:szCs w:val="24"/>
      <w:lang w:val="en-US" w:eastAsia="zh-CN"/>
    </w:rPr>
  </w:style>
  <w:style w:type="character" w:customStyle="1" w:styleId="InformationTok">
    <w:name w:val="InformationTok"/>
    <w:basedOn w:val="VerbatimChar"/>
    <w:rsid w:val="007A1B5D"/>
    <w:rPr>
      <w:rFonts w:ascii="Consolas" w:eastAsiaTheme="minorEastAsia" w:hAnsi="Consolas"/>
      <w:i/>
      <w:sz w:val="24"/>
      <w:szCs w:val="24"/>
      <w:lang w:val="en-US" w:eastAsia="zh-CN"/>
    </w:rPr>
  </w:style>
  <w:style w:type="character" w:customStyle="1" w:styleId="WarningTok">
    <w:name w:val="WarningTok"/>
    <w:basedOn w:val="VerbatimChar"/>
    <w:rsid w:val="007A1B5D"/>
    <w:rPr>
      <w:rFonts w:ascii="Consolas" w:eastAsiaTheme="minorEastAsia" w:hAnsi="Consolas"/>
      <w:i/>
      <w:sz w:val="24"/>
      <w:szCs w:val="24"/>
      <w:lang w:val="en-US" w:eastAsia="zh-CN"/>
    </w:rPr>
  </w:style>
  <w:style w:type="character" w:customStyle="1" w:styleId="AlertTok">
    <w:name w:val="AlertTok"/>
    <w:basedOn w:val="VerbatimChar"/>
    <w:rsid w:val="007A1B5D"/>
    <w:rPr>
      <w:rFonts w:ascii="Consolas" w:eastAsiaTheme="minorEastAsia" w:hAnsi="Consolas"/>
      <w:i/>
      <w:sz w:val="24"/>
      <w:szCs w:val="24"/>
      <w:lang w:val="en-US" w:eastAsia="zh-CN"/>
    </w:rPr>
  </w:style>
  <w:style w:type="character" w:customStyle="1" w:styleId="ErrorTok">
    <w:name w:val="ErrorTok"/>
    <w:basedOn w:val="VerbatimChar"/>
    <w:rsid w:val="007A1B5D"/>
    <w:rPr>
      <w:rFonts w:ascii="Consolas" w:eastAsiaTheme="minorEastAsia" w:hAnsi="Consolas"/>
      <w:i/>
      <w:sz w:val="24"/>
      <w:szCs w:val="24"/>
      <w:lang w:val="en-US" w:eastAsia="zh-CN"/>
    </w:rPr>
  </w:style>
  <w:style w:type="character" w:customStyle="1" w:styleId="NormalTok">
    <w:name w:val="NormalTok"/>
    <w:basedOn w:val="VerbatimChar"/>
    <w:rsid w:val="007A1B5D"/>
    <w:rPr>
      <w:rFonts w:ascii="Consolas" w:eastAsiaTheme="minorEastAsia" w:hAnsi="Consolas"/>
      <w:i/>
      <w:sz w:val="24"/>
      <w:szCs w:val="24"/>
      <w:lang w:val="en-US" w:eastAsia="zh-CN"/>
    </w:rPr>
  </w:style>
  <w:style w:type="table" w:styleId="PlainTable1">
    <w:name w:val="Plain Table 1"/>
    <w:basedOn w:val="TableNormal"/>
    <w:rsid w:val="007A1B5D"/>
    <w:pPr>
      <w:spacing w:after="0" w:line="240" w:lineRule="auto"/>
    </w:pPr>
    <w:rPr>
      <w:rFonts w:eastAsiaTheme="minorEastAsia"/>
      <w:sz w:val="24"/>
      <w:szCs w:val="24"/>
      <w:lang w:val="en-US"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A1B5D"/>
    <w:pPr>
      <w:spacing w:after="0" w:line="240" w:lineRule="auto"/>
    </w:pPr>
    <w:rPr>
      <w:rFonts w:eastAsiaTheme="minorEastAsia"/>
      <w:sz w:val="24"/>
      <w:szCs w:val="24"/>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ageNumber">
    <w:name w:val="page number"/>
    <w:basedOn w:val="DefaultParagraphFont"/>
    <w:uiPriority w:val="99"/>
    <w:semiHidden/>
    <w:unhideWhenUsed/>
    <w:rsid w:val="00492577"/>
  </w:style>
  <w:style w:type="paragraph" w:styleId="TOC1">
    <w:name w:val="toc 1"/>
    <w:basedOn w:val="Normal"/>
    <w:next w:val="Normal"/>
    <w:autoRedefine/>
    <w:uiPriority w:val="39"/>
    <w:unhideWhenUsed/>
    <w:rsid w:val="00BF697B"/>
    <w:pPr>
      <w:tabs>
        <w:tab w:val="right" w:leader="dot" w:pos="8778"/>
      </w:tabs>
      <w:spacing w:before="120"/>
    </w:pPr>
    <w:rPr>
      <w:b/>
      <w:bCs/>
      <w:noProof/>
    </w:rPr>
  </w:style>
  <w:style w:type="paragraph" w:styleId="TOC3">
    <w:name w:val="toc 3"/>
    <w:basedOn w:val="Normal"/>
    <w:next w:val="Normal"/>
    <w:autoRedefine/>
    <w:uiPriority w:val="39"/>
    <w:unhideWhenUsed/>
    <w:rsid w:val="00CC5F82"/>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BF697B"/>
    <w:pPr>
      <w:tabs>
        <w:tab w:val="right" w:leader="dot" w:pos="8778"/>
      </w:tabs>
      <w:spacing w:before="120"/>
      <w:ind w:left="240"/>
    </w:pPr>
    <w:rPr>
      <w:b/>
      <w:bCs/>
      <w:noProof/>
      <w:sz w:val="22"/>
      <w:szCs w:val="22"/>
    </w:rPr>
  </w:style>
  <w:style w:type="paragraph" w:styleId="TOC4">
    <w:name w:val="toc 4"/>
    <w:basedOn w:val="Normal"/>
    <w:next w:val="Normal"/>
    <w:autoRedefine/>
    <w:uiPriority w:val="39"/>
    <w:semiHidden/>
    <w:unhideWhenUsed/>
    <w:rsid w:val="00CC5F82"/>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C5F82"/>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C5F82"/>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C5F82"/>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C5F82"/>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C5F82"/>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551618175">
      <w:bodyDiv w:val="1"/>
      <w:marLeft w:val="0"/>
      <w:marRight w:val="0"/>
      <w:marTop w:val="0"/>
      <w:marBottom w:val="0"/>
      <w:divBdr>
        <w:top w:val="none" w:sz="0" w:space="0" w:color="auto"/>
        <w:left w:val="none" w:sz="0" w:space="0" w:color="auto"/>
        <w:bottom w:val="none" w:sz="0" w:space="0" w:color="auto"/>
        <w:right w:val="none" w:sz="0" w:space="0" w:color="auto"/>
      </w:divBdr>
    </w:div>
    <w:div w:id="980038701">
      <w:bodyDiv w:val="1"/>
      <w:marLeft w:val="0"/>
      <w:marRight w:val="0"/>
      <w:marTop w:val="0"/>
      <w:marBottom w:val="0"/>
      <w:divBdr>
        <w:top w:val="none" w:sz="0" w:space="0" w:color="auto"/>
        <w:left w:val="none" w:sz="0" w:space="0" w:color="auto"/>
        <w:bottom w:val="none" w:sz="0" w:space="0" w:color="auto"/>
        <w:right w:val="none" w:sz="0" w:space="0" w:color="auto"/>
      </w:divBdr>
    </w:div>
    <w:div w:id="1175194704">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Sco21</b:Tag>
    <b:SourceType>Book</b:SourceType>
    <b:Guid>{DDB9050B-1037-497C-BD25-0A524E1E922E}</b:Guid>
    <b:Author>
      <b:Author>
        <b:NameList>
          <b:Person>
            <b:Last>Cunningham</b:Last>
            <b:First>Scott</b:First>
          </b:Person>
        </b:NameList>
      </b:Author>
    </b:Author>
    <b:Title>Causal inference: The mixtape</b:Title>
    <b:Year>2021</b:Year>
    <b:Publisher>Yale University Pess</b:Publishe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D3FC76-D98F-4D0D-9E6B-542DAEFFF269}">
  <ds:schemaRefs>
    <ds:schemaRef ds:uri="http://schemas.microsoft.com/sharepoint/v3/contenttype/forms"/>
  </ds:schemaRefs>
</ds:datastoreItem>
</file>

<file path=customXml/itemProps2.xml><?xml version="1.0" encoding="utf-8"?>
<ds:datastoreItem xmlns:ds="http://schemas.openxmlformats.org/officeDocument/2006/customXml" ds:itemID="{6347BE12-E7C6-4CD0-A129-007D06E88F4C}">
  <ds:schemaRefs>
    <ds:schemaRef ds:uri="http://schemas.openxmlformats.org/officeDocument/2006/bibliography"/>
  </ds:schemaRefs>
</ds:datastoreItem>
</file>

<file path=customXml/itemProps3.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customXml/itemProps4.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2346</TotalTime>
  <Pages>54</Pages>
  <Words>22659</Words>
  <Characters>129161</Characters>
  <Application>Microsoft Office Word</Application>
  <DocSecurity>0</DocSecurity>
  <Lines>1076</Lines>
  <Paragraphs>303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151517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Gabriel Cargnel</cp:lastModifiedBy>
  <cp:revision>41</cp:revision>
  <cp:lastPrinted>2026-02-26T13:31:00Z</cp:lastPrinted>
  <dcterms:created xsi:type="dcterms:W3CDTF">2026-03-19T20:07:00Z</dcterms:created>
  <dcterms:modified xsi:type="dcterms:W3CDTF">2026-04-25T14:19:00Z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y fmtid="{D5CDD505-2E9C-101B-9397-08002B2CF9AE}" pid="3" name="ZOTERO_PREF_1">
    <vt:lpwstr>&lt;data data-version="3" zotero-version="8.0.5"&gt;&lt;session id="2JUUZnpr"/&gt;&lt;style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