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74E0B" w14:textId="48464903" w:rsidR="003C184F" w:rsidRDefault="007B5B34" w:rsidP="00514857">
      <w:pPr>
        <w:pStyle w:val="Title"/>
      </w:pPr>
      <w:r w:rsidRPr="007B5B34">
        <w:t xml:space="preserve">Is TWFE Enough? When to Switch to Double Machine Learning in </w:t>
      </w:r>
      <w:r>
        <w:t>Differences in Differences</w:t>
      </w:r>
    </w:p>
    <w:p w14:paraId="46AFA994" w14:textId="77777777" w:rsidR="004B1D41" w:rsidRDefault="004B1D41" w:rsidP="004B1D41">
      <w:pPr>
        <w:pStyle w:val="Author"/>
      </w:pPr>
      <w:r w:rsidRPr="009A287D">
        <w:rPr>
          <w:highlight w:val="yellow"/>
        </w:rPr>
        <w:t xml:space="preserve">[Do not include </w:t>
      </w:r>
      <w:r>
        <w:rPr>
          <w:highlight w:val="yellow"/>
        </w:rPr>
        <w:t>author</w:t>
      </w:r>
      <w:r w:rsidRPr="009A287D">
        <w:rPr>
          <w:highlight w:val="yellow"/>
        </w:rPr>
        <w:t xml:space="preserve"> details in the initial submission to facilitate </w:t>
      </w:r>
      <w:r>
        <w:rPr>
          <w:highlight w:val="yellow"/>
        </w:rPr>
        <w:t xml:space="preserve">a </w:t>
      </w:r>
      <w:r w:rsidRPr="009A287D">
        <w:rPr>
          <w:highlight w:val="yellow"/>
        </w:rPr>
        <w:t>double-blind review]</w:t>
      </w:r>
    </w:p>
    <w:p w14:paraId="5C097F2F" w14:textId="413BD911" w:rsidR="004B1D41" w:rsidRPr="009A287D" w:rsidRDefault="004B1D41" w:rsidP="004B1D41">
      <w:pPr>
        <w:pStyle w:val="Author"/>
      </w:pPr>
      <w:r>
        <w:t>Martin Gabriel Cargnel</w:t>
      </w:r>
      <w:r>
        <w:rPr>
          <w:vertAlign w:val="superscript"/>
        </w:rPr>
        <w:t xml:space="preserve">1 </w:t>
      </w:r>
      <w:r>
        <w:rPr>
          <w:noProof/>
          <w:lang w:val="es-ES"/>
        </w:rPr>
        <w:drawing>
          <wp:inline distT="0" distB="0" distL="0" distR="0" wp14:anchorId="78E424FC" wp14:editId="20BF930A">
            <wp:extent cx="123190" cy="121285"/>
            <wp:effectExtent l="0" t="0" r="3810" b="5715"/>
            <wp:docPr id="323090628" name="Picture 323090628">
              <a:hlinkClick xmlns:a="http://schemas.openxmlformats.org/drawingml/2006/main" r:id="rId8"/>
            </wp:docPr>
            <wp:cNvGraphicFramePr/>
            <a:graphic xmlns:a="http://schemas.openxmlformats.org/drawingml/2006/main">
              <a:graphicData uri="http://schemas.openxmlformats.org/drawingml/2006/picture">
                <pic:pic xmlns:pic="http://schemas.openxmlformats.org/drawingml/2006/picture">
                  <pic:nvPicPr>
                    <pic:cNvPr id="323090628" name="Picture 323090628">
                      <a:hlinkClick r:id="rId8"/>
                    </pic:cNvPr>
                    <pic:cNvPicPr/>
                  </pic:nvPicPr>
                  <pic:blipFill rotWithShape="1">
                    <a:blip r:embed="rId9" cstate="print">
                      <a:extLst>
                        <a:ext uri="{28A0092B-C50C-407E-A947-70E740481C1C}">
                          <a14:useLocalDpi xmlns:a14="http://schemas.microsoft.com/office/drawing/2010/main" val="0"/>
                        </a:ext>
                      </a:extLst>
                    </a:blip>
                    <a:srcRect l="36525" t="36377" r="36229" b="36819"/>
                    <a:stretch/>
                  </pic:blipFill>
                  <pic:spPr bwMode="auto">
                    <a:xfrm>
                      <a:off x="0" y="0"/>
                      <a:ext cx="123190" cy="121285"/>
                    </a:xfrm>
                    <a:prstGeom prst="rect">
                      <a:avLst/>
                    </a:prstGeom>
                    <a:ln>
                      <a:noFill/>
                    </a:ln>
                    <a:extLst>
                      <a:ext uri="{53640926-AAD7-44D8-BBD7-CCE9431645EC}">
                        <a14:shadowObscured xmlns:a14="http://schemas.microsoft.com/office/drawing/2010/main"/>
                      </a:ext>
                    </a:extLst>
                  </pic:spPr>
                </pic:pic>
              </a:graphicData>
            </a:graphic>
          </wp:inline>
        </w:drawing>
      </w:r>
      <w:r>
        <w:rPr>
          <w:rStyle w:val="Affiliation"/>
        </w:rPr>
        <w:t xml:space="preserve"> </w:t>
      </w:r>
      <w:r w:rsidRPr="009A287D">
        <w:rPr>
          <w:rStyle w:val="Affiliation"/>
          <w:b w:val="0"/>
          <w:bCs/>
        </w:rPr>
        <w:t>(ORCID hyp</w:t>
      </w:r>
      <w:r w:rsidRPr="009A287D">
        <w:rPr>
          <w:rStyle w:val="Affiliation"/>
          <w:b w:val="0"/>
          <w:bCs/>
        </w:rPr>
        <w:t>erlink linked to the image)</w:t>
      </w:r>
      <w:r w:rsidRPr="009A287D">
        <w:t>,</w:t>
      </w:r>
      <w:r w:rsidRPr="00834AF4">
        <w:t xml:space="preserve"> </w:t>
      </w:r>
      <w:r>
        <w:t>Rose</w:t>
      </w:r>
      <w:r w:rsidRPr="00834AF4">
        <w:t xml:space="preserve"> </w:t>
      </w:r>
      <w:r w:rsidRPr="00C33264">
        <w:t>Thompson</w:t>
      </w:r>
      <w:r>
        <w:rPr>
          <w:vertAlign w:val="superscript"/>
        </w:rPr>
        <w:t>2</w:t>
      </w:r>
      <w:r>
        <w:rPr>
          <w:noProof/>
          <w:lang w:val="es-ES"/>
        </w:rPr>
        <w:drawing>
          <wp:inline distT="0" distB="0" distL="0" distR="0" wp14:anchorId="3B8B6F23" wp14:editId="6F3353A6">
            <wp:extent cx="123190" cy="121285"/>
            <wp:effectExtent l="0" t="0" r="0" b="0"/>
            <wp:docPr id="2080279118" name="Picture 2080279118"/>
            <wp:cNvGraphicFramePr/>
            <a:graphic xmlns:a="http://schemas.openxmlformats.org/drawingml/2006/main">
              <a:graphicData uri="http://schemas.openxmlformats.org/drawingml/2006/picture">
                <pic:pic xmlns:pic="http://schemas.openxmlformats.org/drawingml/2006/picture">
                  <pic:nvPicPr>
                    <pic:cNvPr id="4" name="0 Imagen">
                      <a:hlinkClick r:id="rId10"/>
                    </pic:cNvPr>
                    <pic:cNvPicPr/>
                  </pic:nvPicPr>
                  <pic:blipFill rotWithShape="1">
                    <a:blip r:embed="rId9" cstate="print">
                      <a:extLst>
                        <a:ext uri="{28A0092B-C50C-407E-A947-70E740481C1C}">
                          <a14:useLocalDpi xmlns:a14="http://schemas.microsoft.com/office/drawing/2010/main" val="0"/>
                        </a:ext>
                      </a:extLst>
                    </a:blip>
                    <a:srcRect l="36525" t="36377" r="36229" b="36819"/>
                    <a:stretch/>
                  </pic:blipFill>
                  <pic:spPr bwMode="auto">
                    <a:xfrm>
                      <a:off x="0" y="0"/>
                      <a:ext cx="123190" cy="121285"/>
                    </a:xfrm>
                    <a:prstGeom prst="rect">
                      <a:avLst/>
                    </a:prstGeom>
                    <a:ln>
                      <a:noFill/>
                    </a:ln>
                    <a:extLst>
                      <a:ext uri="{53640926-AAD7-44D8-BBD7-CCE9431645EC}">
                        <a14:shadowObscured xmlns:a14="http://schemas.microsoft.com/office/drawing/2010/main"/>
                      </a:ext>
                    </a:extLst>
                  </pic:spPr>
                </pic:pic>
              </a:graphicData>
            </a:graphic>
          </wp:inline>
        </w:drawing>
      </w:r>
    </w:p>
    <w:p w14:paraId="736127E8" w14:textId="080CEDD8" w:rsidR="004B1D41" w:rsidRPr="0090654C" w:rsidRDefault="004B1D41" w:rsidP="004B1D41">
      <w:pPr>
        <w:spacing w:after="240"/>
        <w:rPr>
          <w:rStyle w:val="Affiliation"/>
        </w:rPr>
      </w:pPr>
      <w:r w:rsidRPr="0090654C">
        <w:rPr>
          <w:rStyle w:val="Affiliation"/>
          <w:vertAlign w:val="superscript"/>
        </w:rPr>
        <w:t>1</w:t>
      </w:r>
      <w:r w:rsidRPr="0090654C">
        <w:rPr>
          <w:rStyle w:val="Affiliation"/>
        </w:rPr>
        <w:t xml:space="preserve">Department, University, Country, </w:t>
      </w:r>
      <w:r w:rsidRPr="0090654C">
        <w:rPr>
          <w:rStyle w:val="Affiliation"/>
          <w:vertAlign w:val="superscript"/>
        </w:rPr>
        <w:t>2</w:t>
      </w:r>
      <w:r w:rsidRPr="0090654C">
        <w:rPr>
          <w:rStyle w:val="Affiliation"/>
        </w:rPr>
        <w:t xml:space="preserve">Department of Economics, </w:t>
      </w:r>
      <w:proofErr w:type="spellStart"/>
      <w:r w:rsidRPr="0090654C">
        <w:rPr>
          <w:rStyle w:val="Affiliation"/>
        </w:rPr>
        <w:t>Universitat</w:t>
      </w:r>
      <w:proofErr w:type="spellEnd"/>
      <w:r w:rsidRPr="0090654C">
        <w:rPr>
          <w:rStyle w:val="Affiliation"/>
        </w:rPr>
        <w:t xml:space="preserve"> </w:t>
      </w:r>
      <w:proofErr w:type="spellStart"/>
      <w:r w:rsidRPr="0090654C">
        <w:rPr>
          <w:rStyle w:val="Affiliation"/>
        </w:rPr>
        <w:t>Politècnica</w:t>
      </w:r>
      <w:proofErr w:type="spellEnd"/>
      <w:r w:rsidRPr="0090654C">
        <w:rPr>
          <w:rStyle w:val="Affiliation"/>
        </w:rPr>
        <w:t xml:space="preserve"> de València, Spain.</w:t>
      </w:r>
    </w:p>
    <w:p w14:paraId="35C0F625" w14:textId="6226DC7D" w:rsidR="004B1D41" w:rsidRPr="004B1D41" w:rsidRDefault="004B1D41" w:rsidP="004B1D41">
      <w:pPr>
        <w:pStyle w:val="Howtocite"/>
      </w:pPr>
      <w:bookmarkStart w:id="0" w:name="_Hlk165745066"/>
      <w:r w:rsidRPr="0090654C">
        <w:t xml:space="preserve">How to cite: </w:t>
      </w:r>
      <w:r>
        <w:t>Cargnel</w:t>
      </w:r>
      <w:r w:rsidRPr="0090654C">
        <w:t xml:space="preserve">, </w:t>
      </w:r>
      <w:r>
        <w:t>M</w:t>
      </w:r>
      <w:r w:rsidRPr="0090654C">
        <w:t xml:space="preserve">.; </w:t>
      </w:r>
      <w:proofErr w:type="gramStart"/>
      <w:r>
        <w:t xml:space="preserve">Romero </w:t>
      </w:r>
      <w:r>
        <w:t>,</w:t>
      </w:r>
      <w:proofErr w:type="gramEnd"/>
      <w:r w:rsidRPr="0090654C">
        <w:t xml:space="preserve"> R. </w:t>
      </w:r>
      <w:r>
        <w:t>(</w:t>
      </w:r>
      <w:r w:rsidRPr="0090654C">
        <w:t>202</w:t>
      </w:r>
      <w:r>
        <w:t>6)</w:t>
      </w:r>
      <w:r w:rsidRPr="0090654C">
        <w:t xml:space="preserve">. </w:t>
      </w:r>
      <w:r w:rsidRPr="004B1D41">
        <w:t>Is TWFE Enough? When to Switch to Double Machine Learning in Differences in Differences</w:t>
      </w:r>
      <w:r w:rsidRPr="0090654C">
        <w:t xml:space="preserve">. In: </w:t>
      </w:r>
      <w:r>
        <w:t>8</w:t>
      </w:r>
      <w:r w:rsidRPr="0090654C">
        <w:t xml:space="preserve">th </w:t>
      </w:r>
      <w:r w:rsidRPr="001A36B7">
        <w:t xml:space="preserve">International Conference on Advanced Research Methods and Analytics </w:t>
      </w:r>
      <w:r w:rsidRPr="0090654C">
        <w:t>(</w:t>
      </w:r>
      <w:r>
        <w:t>CARMA 20</w:t>
      </w:r>
      <w:r w:rsidRPr="0090654C">
        <w:t>2</w:t>
      </w:r>
      <w:r>
        <w:t>6</w:t>
      </w:r>
      <w:r w:rsidRPr="0090654C">
        <w:t xml:space="preserve">). Valencia, </w:t>
      </w:r>
      <w:r>
        <w:t>26</w:t>
      </w:r>
      <w:r w:rsidRPr="0090654C">
        <w:t>-2</w:t>
      </w:r>
      <w:r>
        <w:t>8</w:t>
      </w:r>
      <w:r w:rsidRPr="0090654C">
        <w:t xml:space="preserve"> June 202</w:t>
      </w:r>
      <w:r>
        <w:t>6</w:t>
      </w:r>
      <w:r w:rsidRPr="0090654C">
        <w:t>.</w:t>
      </w:r>
      <w:r>
        <w:t xml:space="preserve"> </w:t>
      </w:r>
      <w:bookmarkStart w:id="1" w:name="_Hlk165838439"/>
      <w:r w:rsidRPr="0090654C">
        <w:rPr>
          <w:highlight w:val="yellow"/>
        </w:rPr>
        <w:t>https://doi.org/10.4995/</w:t>
      </w:r>
      <w:r>
        <w:rPr>
          <w:highlight w:val="yellow"/>
        </w:rPr>
        <w:t>CARMA2026</w:t>
      </w:r>
      <w:r w:rsidRPr="0090654C">
        <w:rPr>
          <w:highlight w:val="yellow"/>
        </w:rPr>
        <w:t>.202</w:t>
      </w:r>
      <w:r>
        <w:rPr>
          <w:highlight w:val="yellow"/>
        </w:rPr>
        <w:t>6</w:t>
      </w:r>
      <w:r w:rsidRPr="0090654C">
        <w:rPr>
          <w:highlight w:val="yellow"/>
        </w:rPr>
        <w:t>.*</w:t>
      </w:r>
      <w:bookmarkEnd w:id="1"/>
      <w:r w:rsidRPr="0090654C">
        <w:rPr>
          <w:highlight w:val="yellow"/>
        </w:rPr>
        <w:t xml:space="preserve"> [To be completed by the publisher]</w:t>
      </w:r>
      <w:bookmarkEnd w:id="0"/>
    </w:p>
    <w:p w14:paraId="1C957A14" w14:textId="77777777" w:rsidR="006E6764" w:rsidRPr="0099101C" w:rsidRDefault="006E6764" w:rsidP="000B2372">
      <w:pPr>
        <w:pStyle w:val="Abstracttitle"/>
      </w:pPr>
      <w:bookmarkStart w:id="2" w:name="_Hlk165744459"/>
      <w:r w:rsidRPr="0099101C">
        <w:t>Abstract</w:t>
      </w:r>
    </w:p>
    <w:bookmarkEnd w:id="2"/>
    <w:p w14:paraId="2D79044B" w14:textId="12C60E5A" w:rsidR="00681F8A" w:rsidRPr="00181943" w:rsidRDefault="0095755C" w:rsidP="0095755C">
      <w:pPr>
        <w:pStyle w:val="Abstract"/>
      </w:pPr>
      <w:r w:rsidRPr="0095755C">
        <w:t xml:space="preserve">While Machine Learning (ML) excels at prediction, causal inference has traditionally relied on simpler models. Double Machine Learning (DML) bridges this gap, leveraging flexible ML algorithms for robust causal estimation. The primary aim </w:t>
      </w:r>
      <w:r w:rsidR="007B5B34">
        <w:t xml:space="preserve">of this work </w:t>
      </w:r>
      <w:r w:rsidRPr="0095755C">
        <w:t xml:space="preserve">is to establish when DML is preferred over classical TWFE. We compare both approaches using two empirical cases: a standard setup where both methods yield </w:t>
      </w:r>
      <w:r w:rsidR="007B5B34">
        <w:t>similar</w:t>
      </w:r>
      <w:r w:rsidRPr="0095755C">
        <w:t xml:space="preserve"> estimates, and a complex scenario where TWFE produces counter-intuitive results while DML maintains accuracy. Our findings demonstrate that DML successfully isolates causal effects where traditional linear estimators fail. We conclude that while TWFE suffices for standard setups, DML provides a necessary, robust alternative for unbiased causal inference in complex </w:t>
      </w:r>
      <w:proofErr w:type="spellStart"/>
      <w:r w:rsidRPr="0095755C">
        <w:t>DiD</w:t>
      </w:r>
      <w:proofErr w:type="spellEnd"/>
      <w:r w:rsidRPr="0095755C">
        <w:t xml:space="preserve"> environments.</w:t>
      </w:r>
    </w:p>
    <w:p w14:paraId="16A67F79" w14:textId="1A606D87" w:rsidR="006579E7" w:rsidRDefault="005175C0" w:rsidP="00623C64">
      <w:pPr>
        <w:pStyle w:val="Keywords"/>
      </w:pPr>
      <w:r w:rsidRPr="00623C64">
        <w:rPr>
          <w:b/>
        </w:rPr>
        <w:t>Keywords:</w:t>
      </w:r>
      <w:r w:rsidR="003E4DB5" w:rsidRPr="00623C64">
        <w:t xml:space="preserve"> </w:t>
      </w:r>
      <w:r w:rsidR="0095755C">
        <w:t>Double Machine Learning</w:t>
      </w:r>
      <w:r w:rsidR="0000219D" w:rsidRPr="00623C64">
        <w:t xml:space="preserve">; </w:t>
      </w:r>
      <w:r w:rsidR="0095755C">
        <w:t>Differences in Differences</w:t>
      </w:r>
      <w:r w:rsidR="0000219D" w:rsidRPr="00623C64">
        <w:t xml:space="preserve">; </w:t>
      </w:r>
      <w:r w:rsidR="0095755C">
        <w:t>Causal Inference</w:t>
      </w:r>
      <w:r w:rsidR="007B5B34">
        <w:t>; TWFE</w:t>
      </w:r>
      <w:r w:rsidR="00623C64" w:rsidRPr="00623C64">
        <w:t>.</w:t>
      </w:r>
    </w:p>
    <w:p w14:paraId="0C7510B7" w14:textId="77777777" w:rsidR="003C184F" w:rsidRPr="005C51EA" w:rsidRDefault="004A12E9" w:rsidP="005C51EA">
      <w:pPr>
        <w:pStyle w:val="Heading1"/>
      </w:pPr>
      <w:r w:rsidRPr="005C51EA">
        <w:t xml:space="preserve">1. </w:t>
      </w:r>
      <w:r w:rsidR="00132C00" w:rsidRPr="005C51EA">
        <w:t>Introduction</w:t>
      </w:r>
      <w:r w:rsidR="00492468" w:rsidRPr="005C51EA">
        <w:t xml:space="preserve"> </w:t>
      </w:r>
    </w:p>
    <w:p w14:paraId="16E5510E" w14:textId="5B0BBF07" w:rsidR="00167F35" w:rsidRDefault="00167F35" w:rsidP="00167F35">
      <w:r>
        <w:t>When working in applied statistics, there is a fundamental distinction between predicting outcomes and explaining relationships</w:t>
      </w:r>
      <w:r w:rsidR="003F2ED2">
        <w:t xml:space="preserve"> </w:t>
      </w:r>
      <w:r w:rsidR="003F2ED2">
        <w:fldChar w:fldCharType="begin"/>
      </w:r>
      <w:r w:rsidR="003F2ED2">
        <w:instrText xml:space="preserve"> ADDIN ZOTERO_ITEM CSL_CITATION {"citationID":"W2QQJ9pH","properties":{"unsorted":false,"formattedCitation":"(Shmueli, 2010)","plainCitation":"(Shmueli, 2010)","noteIndex":0},"citationItems":[{"id":17,"uris":["http://zotero.org/users/local/ik3vdrlJ/items/FJSS9GXY"],"itemData":{"id":17,"type":"article-journal","container-title":"Statistical Science","DOI":"10.1214/10-STS330","issue":"3","page":"289 – 310","publisher":"Institute of Mathematical Statistics","title":"To Explain or to Predict?","volume":"25","author":[{"family":"Shmueli","given":"Galit"}],"issued":{"date-parts":[["2010"]]}}}],"schema":"https://github.com/citation-style-language/schema/raw/master/csl-citation.json"} </w:instrText>
      </w:r>
      <w:r w:rsidR="003F2ED2">
        <w:fldChar w:fldCharType="separate"/>
      </w:r>
      <w:r w:rsidR="00087FCB">
        <w:rPr>
          <w:noProof/>
        </w:rPr>
        <w:t>(Shmueli, 2010)</w:t>
      </w:r>
      <w:r w:rsidR="003F2ED2">
        <w:fldChar w:fldCharType="end"/>
      </w:r>
      <w:r>
        <w:t>. Highly flexible machine learning (ML) algorithms excel at maximizing predictive performance, but their black-box nature often precludes the estimation of causal relationships</w:t>
      </w:r>
      <w:r w:rsidR="00B62F41">
        <w:t xml:space="preserve"> </w:t>
      </w:r>
      <w:r w:rsidR="00B62F41">
        <w:fldChar w:fldCharType="begin"/>
      </w:r>
      <w:r w:rsidR="00B62F41">
        <w:instrText xml:space="preserve"> ADDIN ZOTERO_ITEM CSL_CITATION {"citationID":"CwtGjnTk","properties":{"unsorted":false,"formattedCitation":"(Mullainathan &amp; Spiess, 2017)","plainCitation":"(Mullainathan &amp; Spiess, 2017)","noteIndex":0},"citationItems":[{"id":10,"uris":["http://zotero.org/users/local/ik3vdrlJ/items/WR4TIC8M"],"itemData":{"id":10,"type":"article-journal","container-title":"Journal of Economic Perspectives","DOI":"10.1257/jep.31.2.87","issue":"2","page":"87–106","title":"Machine Learning: An Applied Econometric Approach","volume":"31","author":[{"family":"Mullainathan","given":"Sendhil"},{"family":"Spiess","given":"Jann"}],"issued":{"date-parts":[["2017",5]]}}}],"schema":"https://github.com/citation-style-language/schema/raw/master/csl-citation.json"} </w:instrText>
      </w:r>
      <w:r w:rsidR="00B62F41">
        <w:fldChar w:fldCharType="separate"/>
      </w:r>
      <w:r w:rsidR="00087FCB">
        <w:rPr>
          <w:noProof/>
        </w:rPr>
        <w:t>(Mullainathan &amp; Spiess, 2017)</w:t>
      </w:r>
      <w:r w:rsidR="00B62F41">
        <w:fldChar w:fldCharType="end"/>
      </w:r>
      <w:r>
        <w:t>. Consequently, economists and social scientists have historically favored simpler, interpretable approaches like linear regressions to estimate causality.</w:t>
      </w:r>
    </w:p>
    <w:p w14:paraId="57761D0D" w14:textId="0A8B0BB6" w:rsidR="00167F35" w:rsidRDefault="00167F35" w:rsidP="00167F35">
      <w:r>
        <w:t>While recent advancements in interpretable ML address model transparency</w:t>
      </w:r>
      <w:r w:rsidR="00B62F41">
        <w:t xml:space="preserve"> </w:t>
      </w:r>
      <w:r w:rsidR="00B62F41">
        <w:fldChar w:fldCharType="begin"/>
      </w:r>
      <w:r w:rsidR="00B62F41">
        <w:instrText xml:space="preserve"> ADDIN ZOTERO_ITEM CSL_CITATION {"citationID":"sk1bb4Ak","properties":{"unsorted":false,"formattedCitation":"(Molnar, 2025)","plainCitation":"(Molnar, 2025)","noteIndex":0},"citationItems":[{"id":15,"uris":["http://zotero.org/users/local/ik3vdrlJ/items/Y9EDCAPR"],"itemData":{"id":15,"type":"book","edition":"3","ISBN":"978-3-911578-03-5","title":"Interpretable Machine Learning: A Guide for Making Black Box Models Explainable","URL":"https://christophm.github.io/interpretable-ml-book","author":[{"family":"Molnar","given":"Christoph"}],"issued":{"date-parts":[["2025"]]}}}],"schema":"https://github.com/citation-style-language/schema/raw/master/csl-citation.json"} </w:instrText>
      </w:r>
      <w:r w:rsidR="00B62F41">
        <w:fldChar w:fldCharType="separate"/>
      </w:r>
      <w:r w:rsidR="00087FCB">
        <w:rPr>
          <w:noProof/>
        </w:rPr>
        <w:t>(Molnar, 2025)</w:t>
      </w:r>
      <w:r w:rsidR="00B62F41">
        <w:fldChar w:fldCharType="end"/>
      </w:r>
      <w:r>
        <w:t xml:space="preserve">, they do not inherently solve the challenge of uncovering the underlying data-generating process with formal statistical guarantees. To bridge the gap between predictive ML and causal inference, the Double Machine Learning (DML) framework </w:t>
      </w:r>
      <w:r w:rsidR="003F2ED2">
        <w:fldChar w:fldCharType="begin"/>
      </w:r>
      <w:r w:rsidR="003F2ED2">
        <w:instrText xml:space="preserve"> ADDIN ZOTERO_ITEM CSL_CITATION {"citationID":"PQhGR4Mm","properties":{"unsorted":false,"formattedCitation":"(Chernozhukov et al., 2018)","plainCitation":"(Chernozhukov et al., 2018)","noteIndex":0},"citationItems":[{"id":24,"uris":["http://zotero.org/users/local/ik3vdrlJ/items/6S45RE2C"],"itemData":{"id":24,"type":"article-journal","abstract":"We revisit the classic semi‐parametric problem of inference on a low‐dimensional parameter θ0 in the presence of high‐dimensional nuisance parameters η0. We depart from the classical setting by allowing for η0 to be so high‐dimensional that the traditional assumptions (e.g. Donsker properties) that limit complexity of the parameter space for this object break down. To estimate η0, we consider the use of statistical or machine learning (ML) methods, which are particularly well suited to estimation in modern, very high‐dimensional cases. ML methods perform well by employing regularization to reduce variance and trading off regularization bias with overfitting in practice. However, both regularization bias and overfitting in estimating η0 cause a heavy bias in estimators of θ0 that are obtained by naively plugging ML estimators of η0 into estimating equations for θ0. This bias results in the naive estimator failing to be N−1/2 consistent, where N is the sample size. We show that the impact of regularization bias and overfitting on estimation of the parameter of interest θ0 can be removed by using two simple, yet critical, ingredients: (1) using Neyman‐orthogonal moments/scores that have reduced sensitivity with respect to nuisance parameters to estimate θ0; (2) making use of cross‐fitting, which provides an efficient form of data‐splitting. We call the resulting set of methods double or debiased ML (DML). We verify that DML delivers point estimators that concentrate in an N−1/2‐neighbourhood of the true parameter values and are approximately unbiased and normally distributed, which allows construction of valid confidence statements. The generic statistical theory of DML is elementary and simultaneously relies on only weak theoretical requirements, which will admit the use of a broad array of modern ML methods for estimating the nuisance parameters, such as random forests, lasso, ridge, deep neural nets, boosted trees, and various hybrids and ensembles of these methods. We illustrate the general theory by applying it to provide theoretical properties of the following: DML applied to learn the main regression parameter in a partially linear regression model; DML applied to learn the coefficient on an endogenous variable in a partially linear instrumental variables model; DML applied to learn the average treatment effect and the average treatment effect on the treated under unconfoundedness; DML applied to learn the local average treatment effect in an instrumental variables setting. In addition to these theoretical applications, we also illustrate the use of DML in three empirical examples.","container-title":"The Econometrics Journal","DOI":"10.1111/ectj.12097","ISSN":"1368-4221","issue":"1","note":"_eprint: https://academic.oup.com/ectj/article-pdf/21/1/C1/27684918/ectj00c1.pdf","page":"C1-C68","title":"Double/debiased machine learning for treatment and structural parameters","volume":"21","author":[{"family":"Chernozhukov","given":"Victor"},{"family":"Chetverikov","given":"Denis"},{"family":"Demirer","given":"Mert"},{"family":"Duflo","given":"Esther"},{"family":"Hansen","given":"Christian"},{"family":"Newey","given":"Whitney"},{"family":"Robins","given":"James"}],"issued":{"date-parts":[["2018",1]]}}}],"schema":"https://github.com/citation-style-language/schema/raw/master/csl-citation.json"} </w:instrText>
      </w:r>
      <w:r w:rsidR="003F2ED2">
        <w:fldChar w:fldCharType="separate"/>
      </w:r>
      <w:r w:rsidR="00087FCB">
        <w:rPr>
          <w:noProof/>
        </w:rPr>
        <w:t>(Chernozhukov et al., 2018)</w:t>
      </w:r>
      <w:r w:rsidR="003F2ED2">
        <w:fldChar w:fldCharType="end"/>
      </w:r>
      <w:r w:rsidR="003F2ED2">
        <w:t xml:space="preserve"> </w:t>
      </w:r>
      <w:r>
        <w:lastRenderedPageBreak/>
        <w:t>emerged. DML utilizes machine learning not to explain predictions, but to flexibly control for high-dimensional confounding variables while maintaining valid statistical inference on targeted causal parameters.</w:t>
      </w:r>
    </w:p>
    <w:p w14:paraId="020EE219" w14:textId="68E69B72" w:rsidR="00132C00" w:rsidRDefault="00167F35" w:rsidP="00167F35">
      <w:r>
        <w:t>This paper examines the application of DML within the Difference-in-Differences (</w:t>
      </w:r>
      <w:proofErr w:type="spellStart"/>
      <w:r>
        <w:t>DiD</w:t>
      </w:r>
      <w:proofErr w:type="spellEnd"/>
      <w:r>
        <w:t>) framework.</w:t>
      </w:r>
      <w:r w:rsidR="00A70D22">
        <w:t xml:space="preserve"> </w:t>
      </w:r>
      <w:r w:rsidR="00A70D22" w:rsidRPr="00A70D22">
        <w:t xml:space="preserve">We evaluate DML against traditional TWFE estimators in both a canonical simultaneous adoption setting and a complex staggered adoption scenario to demonstrate when DML is </w:t>
      </w:r>
      <w:r w:rsidR="00A70D22">
        <w:t>preferred</w:t>
      </w:r>
      <w:r w:rsidR="00A70D22" w:rsidRPr="00A70D22">
        <w:t xml:space="preserve"> for unbiased causal estimation</w:t>
      </w:r>
      <w:r>
        <w:t>.</w:t>
      </w:r>
    </w:p>
    <w:p w14:paraId="1A9F4F78" w14:textId="550DA10E" w:rsidR="00681F8A" w:rsidRPr="005C51EA" w:rsidRDefault="004A12E9" w:rsidP="005C51EA">
      <w:pPr>
        <w:pStyle w:val="Heading1"/>
      </w:pPr>
      <w:r w:rsidRPr="005C51EA">
        <w:t xml:space="preserve">2. </w:t>
      </w:r>
      <w:r w:rsidR="00167F35">
        <w:t>Methodology: Difference in Differences and DML</w:t>
      </w:r>
    </w:p>
    <w:p w14:paraId="7B689DBF" w14:textId="06EE7D05" w:rsidR="00A7635D" w:rsidRPr="005C51EA" w:rsidRDefault="004A12E9" w:rsidP="005C51EA">
      <w:pPr>
        <w:pStyle w:val="Heading2"/>
      </w:pPr>
      <w:r w:rsidRPr="005C51EA">
        <w:t xml:space="preserve">2.1. </w:t>
      </w:r>
      <w:r w:rsidR="00167F35">
        <w:t xml:space="preserve">The Traditional </w:t>
      </w:r>
      <w:proofErr w:type="spellStart"/>
      <w:r w:rsidR="00167F35">
        <w:t>DiD</w:t>
      </w:r>
      <w:proofErr w:type="spellEnd"/>
      <w:r w:rsidR="00167F35">
        <w:t xml:space="preserve"> and TWFE Limitations</w:t>
      </w:r>
    </w:p>
    <w:p w14:paraId="2E29DAE2" w14:textId="2F204768" w:rsidR="00167F35" w:rsidRDefault="00A70D22" w:rsidP="00167F35">
      <w:proofErr w:type="spellStart"/>
      <w:r>
        <w:t>DiD</w:t>
      </w:r>
      <w:proofErr w:type="spellEnd"/>
      <w:r w:rsidR="00167F35">
        <w:t xml:space="preserve"> estimates causal effects by comparing changes in outcomes over time between a treated group and an untreated control group.</w:t>
      </w:r>
    </w:p>
    <w:p w14:paraId="6B10B8CA" w14:textId="6B684A02" w:rsidR="004A12E9" w:rsidRDefault="00167F35" w:rsidP="00167F35">
      <w:r>
        <w:t>The traditional approach often relies on a TWFE regression:</w:t>
      </w:r>
    </w:p>
    <w:p w14:paraId="2BC0C818" w14:textId="2B605478" w:rsidR="00167F35" w:rsidRDefault="00000000" w:rsidP="00167F35">
      <m:oMathPara>
        <m:oMath>
          <m:eqArr>
            <m:eqArrPr>
              <m:maxDist m:val="1"/>
              <m:ctrlPr>
                <w:rPr>
                  <w:rFonts w:ascii="Cambria Math" w:hAnsi="Cambria Math"/>
                  <w:i/>
                  <w:sz w:val="22"/>
                  <w:szCs w:val="22"/>
                </w:rPr>
              </m:ctrlPr>
            </m:eqArrPr>
            <m:e>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it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α</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λ</m:t>
                  </m:r>
                </m:e>
                <m:sub>
                  <m:r>
                    <w:rPr>
                      <w:rFonts w:ascii="Cambria Math" w:hAnsi="Cambria Math"/>
                      <w:sz w:val="22"/>
                      <w:szCs w:val="22"/>
                    </w:rPr>
                    <m:t>t</m:t>
                  </m:r>
                </m:sub>
              </m:sSub>
              <m:r>
                <w:rPr>
                  <w:rFonts w:ascii="Cambria Math" w:hAnsi="Cambria Math"/>
                  <w:sz w:val="22"/>
                  <w:szCs w:val="22"/>
                </w:rPr>
                <m:t>+δ</m:t>
              </m:r>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it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ϵ</m:t>
                  </m:r>
                </m:e>
                <m:sub>
                  <m:r>
                    <w:rPr>
                      <w:rFonts w:ascii="Cambria Math" w:hAnsi="Cambria Math"/>
                      <w:sz w:val="22"/>
                      <w:szCs w:val="22"/>
                    </w:rPr>
                    <m:t>it</m:t>
                  </m:r>
                </m:sub>
              </m:sSub>
              <m:r>
                <w:rPr>
                  <w:rFonts w:ascii="Cambria Math" w:hAnsi="Cambria Math"/>
                  <w:sz w:val="22"/>
                  <w:szCs w:val="22"/>
                </w:rPr>
                <m:t> #</m:t>
              </m:r>
              <m:d>
                <m:dPr>
                  <m:ctrlPr>
                    <w:rPr>
                      <w:rFonts w:ascii="Cambria Math" w:hAnsi="Cambria Math"/>
                      <w:i/>
                      <w:sz w:val="22"/>
                      <w:szCs w:val="22"/>
                    </w:rPr>
                  </m:ctrlPr>
                </m:dPr>
                <m:e>
                  <m:r>
                    <w:rPr>
                      <w:rFonts w:ascii="Cambria Math" w:hAnsi="Cambria Math"/>
                      <w:sz w:val="22"/>
                      <w:szCs w:val="22"/>
                    </w:rPr>
                    <m:t>1</m:t>
                  </m:r>
                </m:e>
              </m:d>
            </m:e>
          </m:eqArr>
        </m:oMath>
      </m:oMathPara>
    </w:p>
    <w:p w14:paraId="14292B3A" w14:textId="7F1ECDDC" w:rsidR="004A12E9" w:rsidRDefault="00167F35" w:rsidP="00A7635D">
      <w:r w:rsidRPr="00167F35">
        <w:t>where</w:t>
      </w:r>
      <w:r>
        <w:t xml:space="preserve"> </w:t>
      </w:r>
      <m:oMath>
        <m:sSub>
          <m:sSubPr>
            <m:ctrlPr>
              <w:rPr>
                <w:rFonts w:ascii="Cambria Math" w:hAnsi="Cambria Math"/>
                <w:i/>
              </w:rPr>
            </m:ctrlPr>
          </m:sSubPr>
          <m:e>
            <m:r>
              <w:rPr>
                <w:rFonts w:ascii="Cambria Math" w:hAnsi="Cambria Math"/>
              </w:rPr>
              <m:t>Y</m:t>
            </m:r>
          </m:e>
          <m:sub>
            <m:r>
              <w:rPr>
                <w:rFonts w:ascii="Cambria Math" w:hAnsi="Cambria Math"/>
              </w:rPr>
              <m:t>it</m:t>
            </m:r>
          </m:sub>
        </m:sSub>
      </m:oMath>
      <w:r w:rsidRPr="00167F35">
        <w:t xml:space="preserve"> is the outcome, </w:t>
      </w:r>
      <m:oMath>
        <m:sSub>
          <m:sSubPr>
            <m:ctrlPr>
              <w:rPr>
                <w:rFonts w:ascii="Cambria Math" w:hAnsi="Cambria Math"/>
                <w:i/>
              </w:rPr>
            </m:ctrlPr>
          </m:sSubPr>
          <m:e>
            <m:r>
              <m:rPr>
                <m:sty m:val="p"/>
              </m:rPr>
              <w:rPr>
                <w:rFonts w:ascii="Cambria Math" w:hAnsi="Cambria Math"/>
              </w:rPr>
              <m:t>α</m:t>
            </m:r>
            <m:ctrlPr>
              <w:rPr>
                <w:rFonts w:ascii="Cambria Math" w:hAnsi="Cambria Math"/>
              </w:rPr>
            </m:ctrlPr>
          </m:e>
          <m:sub>
            <m:r>
              <w:rPr>
                <w:rFonts w:ascii="Cambria Math" w:hAnsi="Cambria Math"/>
              </w:rPr>
              <m:t>i</m:t>
            </m:r>
          </m:sub>
        </m:sSub>
      </m:oMath>
      <w:r w:rsidRPr="00167F35">
        <w:t xml:space="preserve"> and </w:t>
      </w:r>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t</m:t>
            </m:r>
          </m:sub>
        </m:sSub>
      </m:oMath>
      <w:r w:rsidRPr="00167F35">
        <w:t xml:space="preserve"> are unit and time fixed effects, </w:t>
      </w:r>
      <m:oMath>
        <m:sSub>
          <m:sSubPr>
            <m:ctrlPr>
              <w:rPr>
                <w:rFonts w:ascii="Cambria Math" w:hAnsi="Cambria Math"/>
                <w:i/>
              </w:rPr>
            </m:ctrlPr>
          </m:sSubPr>
          <m:e>
            <m:r>
              <w:rPr>
                <w:rFonts w:ascii="Cambria Math" w:hAnsi="Cambria Math"/>
              </w:rPr>
              <m:t>D</m:t>
            </m:r>
          </m:e>
          <m:sub>
            <m:r>
              <w:rPr>
                <w:rFonts w:ascii="Cambria Math" w:hAnsi="Cambria Math"/>
              </w:rPr>
              <m:t>it</m:t>
            </m:r>
          </m:sub>
        </m:sSub>
      </m:oMath>
      <w:r w:rsidRPr="00167F35">
        <w:t xml:space="preserve"> is the treatment indicator, and </w:t>
      </w:r>
      <m:oMath>
        <m:r>
          <m:rPr>
            <m:sty m:val="p"/>
          </m:rPr>
          <w:rPr>
            <w:rFonts w:ascii="Cambria Math" w:hAnsi="Cambria Math"/>
          </w:rPr>
          <m:t>δ</m:t>
        </m:r>
      </m:oMath>
      <w:r w:rsidRPr="00167F35">
        <w:t xml:space="preserve"> represents the average treatment effect. While TWFE is robust in</w:t>
      </w:r>
      <w:r w:rsidR="00A70D22">
        <w:t xml:space="preserve"> simultaneous adoption </w:t>
      </w:r>
      <w:r w:rsidRPr="00167F35">
        <w:t xml:space="preserve">settings, it often produces biased estimates under staggered adoption designs </w:t>
      </w:r>
      <w:r w:rsidR="00B62F41">
        <w:fldChar w:fldCharType="begin"/>
      </w:r>
      <w:r w:rsidR="00B62F41">
        <w:instrText xml:space="preserve"> ADDIN ZOTERO_ITEM CSL_CITATION {"citationID":"UVXcN6JD","properties":{"unsorted":false,"formattedCitation":"(Goodman-Bacon, 2021)","plainCitation":"(Goodman-Bacon, 2021)","noteIndex":0},"citationItems":[{"id":26,"uris":["http://zotero.org/users/local/ik3vdrlJ/items/YHIZ44CT"],"itemData":{"id":26,"type":"article-journal","abstract":"The canonical difference-in-differences (DD) estimator contains two time periods, â€preâ€ and â€postâ€, and two groups, â€treatmentâ€ and â€controlâ€. Most DD applications, however, exploit variation across groups of units that receive treatment at different times. This paper shows that the two-way fixed effects estimator equals a weighted average of all possible two-group/two-period DD estimators in the data. A causal interpretation of two-way fixed effects DD estimates requires both a parallel trends assumption and treatment effects that are constant over time. I show how to decompose the difference between two specifications, and provide a new analysis of models that include time-varying controls.","container-title":"Journal of Econometrics","DOI":"10.1016/j.jeconom.2021.03.014","issue":"2","page":"254-277","title":"Difference-in-differences with variation in treatment timing","volume":"225","author":[{"family":"Goodman-Bacon","given":"Andrew"}],"issued":{"date-parts":[["2021"]]}}}],"schema":"https://github.com/citation-style-language/schema/raw/master/csl-citation.json"} </w:instrText>
      </w:r>
      <w:r w:rsidR="00B62F41">
        <w:fldChar w:fldCharType="separate"/>
      </w:r>
      <w:r w:rsidR="00087FCB">
        <w:rPr>
          <w:noProof/>
        </w:rPr>
        <w:t>(Goodman-Bacon, 2021)</w:t>
      </w:r>
      <w:r w:rsidR="00B62F41">
        <w:fldChar w:fldCharType="end"/>
      </w:r>
      <w:r w:rsidRPr="00167F35">
        <w:t xml:space="preserve">. Furthermore, incorporating covariates </w:t>
      </w:r>
      <m:oMath>
        <m:sSub>
          <m:sSubPr>
            <m:ctrlPr>
              <w:rPr>
                <w:rFonts w:ascii="Cambria Math" w:hAnsi="Cambria Math"/>
                <w:i/>
              </w:rPr>
            </m:ctrlPr>
          </m:sSubPr>
          <m:e>
            <m:r>
              <w:rPr>
                <w:rFonts w:ascii="Cambria Math" w:hAnsi="Cambria Math"/>
              </w:rPr>
              <m:t>X</m:t>
            </m:r>
          </m:e>
          <m:sub>
            <m:r>
              <w:rPr>
                <w:rFonts w:ascii="Cambria Math" w:hAnsi="Cambria Math"/>
              </w:rPr>
              <m:t>it</m:t>
            </m:r>
          </m:sub>
        </m:sSub>
      </m:oMath>
      <w:r w:rsidRPr="00167F35">
        <w:t xml:space="preserve"> linearly into this model risks bias if the true data-generating process involves complex, nonlinear interactions.</w:t>
      </w:r>
    </w:p>
    <w:p w14:paraId="2EC00416" w14:textId="124243F2" w:rsidR="00167F35" w:rsidRDefault="00167F35" w:rsidP="00167F35">
      <w:pPr>
        <w:pStyle w:val="Heading2"/>
      </w:pPr>
      <w:r w:rsidRPr="005C51EA">
        <w:t>2.</w:t>
      </w:r>
      <w:r w:rsidR="00EC631F">
        <w:t>2</w:t>
      </w:r>
      <w:r w:rsidRPr="005C51EA">
        <w:t xml:space="preserve">. </w:t>
      </w:r>
      <w:r w:rsidR="00EC631F">
        <w:t>The Double Machine Learning Framework</w:t>
      </w:r>
    </w:p>
    <w:p w14:paraId="3D58726B" w14:textId="275302B4" w:rsidR="00EC631F" w:rsidRDefault="00EC631F" w:rsidP="00EC631F">
      <w:r w:rsidRPr="00EC631F">
        <w:t xml:space="preserve">DML addresses confounding without imposing strict functional forms. The objective is to estimate the Average Treatment Effect (ATE), represented by </w:t>
      </w:r>
      <m:oMath>
        <m:r>
          <m:rPr>
            <m:sty m:val="p"/>
          </m:rPr>
          <w:rPr>
            <w:rFonts w:ascii="Cambria Math" w:hAnsi="Cambria Math"/>
          </w:rPr>
          <m:t>θ</m:t>
        </m:r>
      </m:oMath>
      <w:r w:rsidRPr="00EC631F">
        <w:t>, within a partially linear model:</w:t>
      </w:r>
    </w:p>
    <w:p w14:paraId="3F22D300" w14:textId="0A9F25EA" w:rsidR="00EC631F" w:rsidRPr="00B62F41" w:rsidRDefault="00000000" w:rsidP="00EC631F">
      <w:pPr>
        <w:rPr>
          <w:i/>
          <w:sz w:val="22"/>
          <w:szCs w:val="22"/>
        </w:rPr>
      </w:pPr>
      <m:oMathPara>
        <m:oMath>
          <m:eqArr>
            <m:eqArrPr>
              <m:maxDist m:val="1"/>
              <m:ctrlPr>
                <w:rPr>
                  <w:rFonts w:ascii="Cambria Math" w:hAnsi="Cambria Math"/>
                  <w:i/>
                  <w:sz w:val="22"/>
                  <w:szCs w:val="22"/>
                </w:rPr>
              </m:ctrlPr>
            </m:eqArrPr>
            <m:e>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i</m:t>
                  </m:r>
                </m:sub>
              </m:sSub>
              <m:r>
                <w:rPr>
                  <w:rFonts w:ascii="Cambria Math" w:hAnsi="Cambria Math"/>
                  <w:sz w:val="22"/>
                  <w:szCs w:val="22"/>
                </w:rPr>
                <m:t>=θ</m:t>
              </m:r>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i</m:t>
                  </m:r>
                </m:sub>
              </m:sSub>
              <m:r>
                <w:rPr>
                  <w:rFonts w:ascii="Cambria Math" w:hAnsi="Cambria Math"/>
                  <w:sz w:val="22"/>
                  <w:szCs w:val="22"/>
                </w:rPr>
                <m:t>+g</m:t>
              </m:r>
              <m:d>
                <m:dPr>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i</m:t>
                      </m:r>
                    </m:sub>
                  </m:sSub>
                </m:e>
              </m:d>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ϵ</m:t>
                  </m:r>
                </m:e>
                <m:sub>
                  <m:r>
                    <w:rPr>
                      <w:rFonts w:ascii="Cambria Math" w:hAnsi="Cambria Math"/>
                      <w:sz w:val="22"/>
                      <w:szCs w:val="22"/>
                    </w:rPr>
                    <m:t>i</m:t>
                  </m:r>
                </m:sub>
              </m:sSub>
              <m:r>
                <w:rPr>
                  <w:rFonts w:ascii="Cambria Math" w:hAnsi="Cambria Math"/>
                  <w:sz w:val="22"/>
                  <w:szCs w:val="22"/>
                </w:rPr>
                <m:t>#</m:t>
              </m:r>
              <m:d>
                <m:dPr>
                  <m:ctrlPr>
                    <w:rPr>
                      <w:rFonts w:ascii="Cambria Math" w:hAnsi="Cambria Math"/>
                      <w:i/>
                      <w:sz w:val="22"/>
                      <w:szCs w:val="22"/>
                    </w:rPr>
                  </m:ctrlPr>
                </m:dPr>
                <m:e>
                  <m:r>
                    <w:rPr>
                      <w:rFonts w:ascii="Cambria Math" w:hAnsi="Cambria Math"/>
                      <w:sz w:val="22"/>
                      <w:szCs w:val="22"/>
                    </w:rPr>
                    <m:t>2</m:t>
                  </m:r>
                </m:e>
              </m:d>
            </m:e>
          </m:eqArr>
        </m:oMath>
      </m:oMathPara>
    </w:p>
    <w:p w14:paraId="584AAA77" w14:textId="1922057B" w:rsidR="00EC631F" w:rsidRPr="007B5B34" w:rsidRDefault="00000000" w:rsidP="00EC631F">
      <w:pPr>
        <w:pStyle w:val="Heading2"/>
        <w:rPr>
          <w:b w:val="0"/>
          <w:bCs/>
          <w:i/>
          <w:sz w:val="22"/>
          <w:szCs w:val="22"/>
        </w:rPr>
      </w:pPr>
      <m:oMathPara>
        <m:oMath>
          <m:eqArr>
            <m:eqArrPr>
              <m:maxDist m:val="1"/>
              <m:ctrlPr>
                <w:rPr>
                  <w:rFonts w:ascii="Cambria Math" w:hAnsi="Cambria Math"/>
                  <w:b w:val="0"/>
                  <w:bCs/>
                  <w:i/>
                  <w:sz w:val="22"/>
                  <w:szCs w:val="22"/>
                </w:rPr>
              </m:ctrlPr>
            </m:eqArrPr>
            <m:e>
              <m:sSub>
                <m:sSubPr>
                  <m:ctrlPr>
                    <w:rPr>
                      <w:rFonts w:ascii="Cambria Math" w:hAnsi="Cambria Math"/>
                      <w:b w:val="0"/>
                      <w:bCs/>
                      <w:i/>
                      <w:sz w:val="22"/>
                      <w:szCs w:val="22"/>
                    </w:rPr>
                  </m:ctrlPr>
                </m:sSubPr>
                <m:e>
                  <m:r>
                    <m:rPr>
                      <m:sty m:val="bi"/>
                    </m:rPr>
                    <w:rPr>
                      <w:rFonts w:ascii="Cambria Math" w:hAnsi="Cambria Math"/>
                      <w:sz w:val="22"/>
                      <w:szCs w:val="22"/>
                    </w:rPr>
                    <m:t>D</m:t>
                  </m:r>
                </m:e>
                <m:sub>
                  <m:r>
                    <m:rPr>
                      <m:sty m:val="bi"/>
                    </m:rPr>
                    <w:rPr>
                      <w:rFonts w:ascii="Cambria Math" w:hAnsi="Cambria Math"/>
                      <w:sz w:val="22"/>
                      <w:szCs w:val="22"/>
                    </w:rPr>
                    <m:t>i</m:t>
                  </m:r>
                </m:sub>
              </m:sSub>
              <m:r>
                <m:rPr>
                  <m:sty m:val="bi"/>
                </m:rPr>
                <w:rPr>
                  <w:rFonts w:ascii="Cambria Math" w:hAnsi="Cambria Math"/>
                  <w:sz w:val="22"/>
                  <w:szCs w:val="22"/>
                </w:rPr>
                <m:t>=m</m:t>
              </m:r>
              <m:d>
                <m:dPr>
                  <m:ctrlPr>
                    <w:rPr>
                      <w:rFonts w:ascii="Cambria Math" w:hAnsi="Cambria Math"/>
                      <w:b w:val="0"/>
                      <w:bCs/>
                      <w:i/>
                      <w:sz w:val="22"/>
                      <w:szCs w:val="22"/>
                    </w:rPr>
                  </m:ctrlPr>
                </m:dPr>
                <m:e>
                  <m:sSub>
                    <m:sSubPr>
                      <m:ctrlPr>
                        <w:rPr>
                          <w:rFonts w:ascii="Cambria Math" w:hAnsi="Cambria Math"/>
                          <w:b w:val="0"/>
                          <w:bCs/>
                          <w:i/>
                          <w:sz w:val="22"/>
                          <w:szCs w:val="22"/>
                        </w:rPr>
                      </m:ctrlPr>
                    </m:sSubPr>
                    <m:e>
                      <m:r>
                        <m:rPr>
                          <m:sty m:val="bi"/>
                        </m:rPr>
                        <w:rPr>
                          <w:rFonts w:ascii="Cambria Math" w:hAnsi="Cambria Math"/>
                          <w:sz w:val="22"/>
                          <w:szCs w:val="22"/>
                        </w:rPr>
                        <m:t>X</m:t>
                      </m:r>
                    </m:e>
                    <m:sub>
                      <m:r>
                        <m:rPr>
                          <m:sty m:val="bi"/>
                        </m:rPr>
                        <w:rPr>
                          <w:rFonts w:ascii="Cambria Math" w:hAnsi="Cambria Math"/>
                          <w:sz w:val="22"/>
                          <w:szCs w:val="22"/>
                        </w:rPr>
                        <m:t>i</m:t>
                      </m:r>
                    </m:sub>
                  </m:sSub>
                </m:e>
              </m:d>
              <m:r>
                <m:rPr>
                  <m:sty m:val="bi"/>
                </m:rPr>
                <w:rPr>
                  <w:rFonts w:ascii="Cambria Math" w:hAnsi="Cambria Math"/>
                  <w:sz w:val="22"/>
                  <w:szCs w:val="22"/>
                </w:rPr>
                <m:t>+</m:t>
              </m:r>
              <m:sSub>
                <m:sSubPr>
                  <m:ctrlPr>
                    <w:rPr>
                      <w:rFonts w:ascii="Cambria Math" w:hAnsi="Cambria Math"/>
                      <w:b w:val="0"/>
                      <w:bCs/>
                      <w:i/>
                      <w:sz w:val="22"/>
                      <w:szCs w:val="22"/>
                    </w:rPr>
                  </m:ctrlPr>
                </m:sSubPr>
                <m:e>
                  <m:r>
                    <m:rPr>
                      <m:sty m:val="bi"/>
                    </m:rPr>
                    <w:rPr>
                      <w:rFonts w:ascii="Cambria Math" w:hAnsi="Cambria Math"/>
                      <w:sz w:val="22"/>
                      <w:szCs w:val="22"/>
                    </w:rPr>
                    <m:t>u</m:t>
                  </m:r>
                </m:e>
                <m:sub>
                  <m:r>
                    <m:rPr>
                      <m:sty m:val="bi"/>
                    </m:rPr>
                    <w:rPr>
                      <w:rFonts w:ascii="Cambria Math" w:hAnsi="Cambria Math"/>
                      <w:sz w:val="22"/>
                      <w:szCs w:val="22"/>
                    </w:rPr>
                    <m:t>i</m:t>
                  </m:r>
                </m:sub>
              </m:sSub>
              <m:r>
                <m:rPr>
                  <m:sty m:val="bi"/>
                </m:rPr>
                <w:rPr>
                  <w:rFonts w:ascii="Cambria Math" w:hAnsi="Cambria Math"/>
                  <w:sz w:val="22"/>
                  <w:szCs w:val="22"/>
                </w:rPr>
                <m:t>#</m:t>
              </m:r>
              <m:d>
                <m:dPr>
                  <m:ctrlPr>
                    <w:rPr>
                      <w:rFonts w:ascii="Cambria Math" w:hAnsi="Cambria Math"/>
                      <w:b w:val="0"/>
                      <w:bCs/>
                      <w:i/>
                      <w:sz w:val="22"/>
                      <w:szCs w:val="22"/>
                    </w:rPr>
                  </m:ctrlPr>
                </m:dPr>
                <m:e>
                  <m:r>
                    <m:rPr>
                      <m:sty m:val="bi"/>
                    </m:rPr>
                    <w:rPr>
                      <w:rFonts w:ascii="Cambria Math" w:hAnsi="Cambria Math"/>
                      <w:sz w:val="22"/>
                      <w:szCs w:val="22"/>
                    </w:rPr>
                    <m:t>3</m:t>
                  </m:r>
                </m:e>
              </m:d>
            </m:e>
          </m:eqArr>
        </m:oMath>
      </m:oMathPara>
    </w:p>
    <w:p w14:paraId="7567DD9D" w14:textId="4489C08B" w:rsidR="00EC631F" w:rsidRDefault="00EC631F" w:rsidP="00EC631F">
      <w:r>
        <w:t xml:space="preserve">Here, </w:t>
      </w:r>
      <m:oMath>
        <m:r>
          <w:rPr>
            <w:rFonts w:ascii="Cambria Math" w:hAnsi="Cambria Math"/>
          </w:rPr>
          <m:t>g</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oMath>
      <w:r w:rsidRPr="00B62F41">
        <w:rPr>
          <w:iCs/>
        </w:rPr>
        <w:t xml:space="preserve"> and </w:t>
      </w:r>
      <m:oMath>
        <m:r>
          <w:rPr>
            <w:rFonts w:ascii="Cambria Math" w:hAnsi="Cambria Math"/>
          </w:rPr>
          <m:t>m</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oMath>
      <w:r>
        <w:t xml:space="preserve"> are unknown, complex nuisance functions that represent how covariates </w:t>
      </w:r>
      <m:oMath>
        <m:r>
          <w:rPr>
            <w:rFonts w:ascii="Cambria Math" w:hAnsi="Cambria Math"/>
          </w:rPr>
          <m:t>X</m:t>
        </m:r>
      </m:oMath>
      <w:r>
        <w:t xml:space="preserve"> affect the outcome and treatment, respectively.</w:t>
      </w:r>
    </w:p>
    <w:p w14:paraId="21825846" w14:textId="47D8B291" w:rsidR="00EC631F" w:rsidRDefault="00B62F41" w:rsidP="00EC631F">
      <w:r>
        <w:t>T</w:t>
      </w:r>
      <w:r w:rsidR="00EC631F">
        <w:t xml:space="preserve">he model orthogonalizes the variables, reducing the complex system to a simple linear regression of </w:t>
      </w:r>
      <w:proofErr w:type="spellStart"/>
      <w:r w:rsidR="00EC631F">
        <w:t>residualized</w:t>
      </w:r>
      <w:proofErr w:type="spellEnd"/>
      <w:r w:rsidR="00EC631F">
        <w:t xml:space="preserve"> outcomes on </w:t>
      </w:r>
      <w:proofErr w:type="spellStart"/>
      <w:r w:rsidR="00EC631F">
        <w:t>residualized</w:t>
      </w:r>
      <w:proofErr w:type="spellEnd"/>
      <w:r w:rsidR="00EC631F">
        <w:t xml:space="preserve"> treatments</w:t>
      </w:r>
      <w:r>
        <w:t>, leveraging</w:t>
      </w:r>
      <w:r w:rsidR="00EC631F">
        <w:t xml:space="preserve"> flexible ML algorithms (e.g., gradient boosting, random forests) to estimate the conditional expectations required to compute these residuals.</w:t>
      </w:r>
    </w:p>
    <w:p w14:paraId="2C5D26C9" w14:textId="0AFB08C1" w:rsidR="00EC631F" w:rsidRDefault="00EC631F" w:rsidP="00EC631F">
      <w:r>
        <w:lastRenderedPageBreak/>
        <w:t xml:space="preserve">To ensure valid inference, DML relies on two critical techniques: (1) Sample splitting ensures models are trained on different data folds than those used to generate residuals, eliminating overfitting bias and (2) Neyman Orthogonality prevents ML regularization bias from contaminating the causal estimate </w:t>
      </w:r>
      <m:oMath>
        <m:r>
          <m:rPr>
            <m:sty m:val="p"/>
          </m:rPr>
          <w:rPr>
            <w:rFonts w:ascii="Cambria Math" w:hAnsi="Cambria Math"/>
          </w:rPr>
          <m:t>θ</m:t>
        </m:r>
      </m:oMath>
      <w:r>
        <w:t>.</w:t>
      </w:r>
    </w:p>
    <w:p w14:paraId="75DC0E49" w14:textId="260392FD" w:rsidR="00EC631F" w:rsidRPr="00625898" w:rsidRDefault="00EC631F" w:rsidP="00EC631F">
      <w:pPr>
        <w:pStyle w:val="Heading2"/>
      </w:pPr>
      <w:r w:rsidRPr="00625898">
        <w:t>2.</w:t>
      </w:r>
      <w:r w:rsidR="00113558">
        <w:t xml:space="preserve">3. DML for </w:t>
      </w:r>
      <w:proofErr w:type="spellStart"/>
      <w:r w:rsidR="00113558">
        <w:t>DiD</w:t>
      </w:r>
      <w:proofErr w:type="spellEnd"/>
      <w:r w:rsidR="00113558">
        <w:t xml:space="preserve"> Settings</w:t>
      </w:r>
    </w:p>
    <w:p w14:paraId="1B1B0002" w14:textId="436C9B11" w:rsidR="00EC631F" w:rsidRDefault="00113558" w:rsidP="00EC631F">
      <w:r w:rsidRPr="00113558">
        <w:t xml:space="preserve">For a canonical </w:t>
      </w:r>
      <w:proofErr w:type="spellStart"/>
      <w:r w:rsidRPr="00113558">
        <w:t>DiD</w:t>
      </w:r>
      <w:proofErr w:type="spellEnd"/>
      <w:r w:rsidRPr="00113558">
        <w:t>, the framework utilizes a doubly robust Neyman-orthogonal score function, requiring cross-fitted ML estimates of both the propensity score and the expected counterfactual outcome change</w:t>
      </w:r>
      <w:r w:rsidR="002B1812">
        <w:t xml:space="preserve"> </w:t>
      </w:r>
      <w:r w:rsidR="002B1812">
        <w:fldChar w:fldCharType="begin"/>
      </w:r>
      <w:r w:rsidR="002B1812">
        <w:instrText xml:space="preserve"> ADDIN ZOTERO_ITEM CSL_CITATION {"citationID":"09FT9bzD","properties":{"unsorted":false,"formattedCitation":"(Chang, 2020)","plainCitation":"(Chang, 2020)","noteIndex":0},"citationItems":[{"id":29,"uris":["http://zotero.org/users/local/ik3vdrlJ/items/UR75CMTC"],"itemData":{"id":29,"type":"article-journal","abstract":"This paper provides an orthogonal extension of the semiparametric difference-in-differences estimator proposed in earlier literature. The proposed estimator enjoys the so-called Neyman orthogonality (Chernozhukov et al., 2018), and thus it allows researchers to flexibly use a rich set of machine learning methods in the first-step estimation. It is particularly useful when researchers confront a high-dimensional data set in which the number of potential control variables is larger than the sample size and the conventional nonparametric estimation methods, such as kernel and sieve estimators, do not apply. I apply this orthogonal difference-in-differences estimator to evaluate the effect of tariff reduction on corruption. The empirical results show that tariff reduction decreases corruption in large magnitude.","container-title":"The Econometrics Journal","DOI":"10.1093/ectj/utaa001","ISSN":"1368-4221","issue":"2","note":"_eprint: https://academic.oup.com/ectj/article-pdf/23/2/177/37933844/utaa001.pdf","page":"177-191","title":"Double/debiased machine learning for difference-in-differences models","volume":"23","author":[{"family":"Chang","given":"Neng-Chieh"}],"issued":{"date-parts":[["2020",2]]}}}],"schema":"https://github.com/citation-style-language/schema/raw/master/csl-citation.json"} </w:instrText>
      </w:r>
      <w:r w:rsidR="002B1812">
        <w:fldChar w:fldCharType="separate"/>
      </w:r>
      <w:r w:rsidR="00087FCB">
        <w:rPr>
          <w:noProof/>
        </w:rPr>
        <w:t>(Chang, 2020)</w:t>
      </w:r>
      <w:r w:rsidR="002B1812">
        <w:fldChar w:fldCharType="end"/>
      </w:r>
      <w:r w:rsidRPr="00113558">
        <w:t xml:space="preserve">. For staggered adoption, the framework estimates cohort-specific treatment effects, </w:t>
      </w:r>
      <m:oMath>
        <m:r>
          <w:rPr>
            <w:rFonts w:ascii="Cambria Math" w:hAnsi="Cambria Math"/>
          </w:rPr>
          <m:t>ATT(g,t)</m:t>
        </m:r>
      </m:oMath>
      <w:r w:rsidRPr="00113558">
        <w:t xml:space="preserve">, comparing treated units of cohort </w:t>
      </w:r>
      <m:oMath>
        <m:r>
          <w:rPr>
            <w:rFonts w:ascii="Cambria Math" w:hAnsi="Cambria Math"/>
          </w:rPr>
          <m:t>g</m:t>
        </m:r>
      </m:oMath>
      <w:r w:rsidRPr="00113558">
        <w:t xml:space="preserve"> against a control group of never-treated or not-yet-treated units. These specific effects are then aggregated using relative size weights to produce an overall dynamic event study or average treatment effect</w:t>
      </w:r>
      <w:r w:rsidR="002B1812">
        <w:t xml:space="preserve"> </w:t>
      </w:r>
      <w:r w:rsidR="002B1812">
        <w:fldChar w:fldCharType="begin"/>
      </w:r>
      <w:r w:rsidR="002B1812">
        <w:instrText xml:space="preserve"> ADDIN ZOTERO_ITEM CSL_CITATION {"citationID":"i4nglkE5","properties":{"unsorted":false,"formattedCitation":"(Callaway &amp; Santa\\uc0\\u8217{}Anna, 2021)","plainCitation":"(Callaway &amp; Santa’Anna, 2021)","noteIndex":0},"citationItems":[{"id":25,"uris":["http://zotero.org/users/local/ik3vdrlJ/items/JBF2LLR6"],"itemData":{"id":25,"type":"article-journal","abstract":"In this article, we consider identification, estimation, and inference procedures for treatment effect parameters using Difference-in-Differences (DiD) with (i) multiple time periods, (ii) variation in treatment timing, and (iii) when the â€œparallel trends assumptionâ€ holds potentially only after conditioning on observed covariates. We show that a family of causal effect parameters are identified in staggered DiD setups, even if differences in observed characteristics create non-parallel outcome dynamics between groups. Our identification results allow one to use outcome regression, inverse probability weighting, or doubly-robust estimands. We also propose different aggregation schemes that can be used to highlight treatment effect heterogeneity across different dimensions as well as to summarize the overall effect of participating in the treatment. We establish the asymptotic properties of the proposed estimators and prove the validity of a computationally convenient bootstrap procedure to conduct asymptotically valid simultaneous (instead of pointwise) inference. Finally, we illustrate the relevance of our proposed tools by analyzing the effect of the minimum wage on teen employment from 2001â€“2007. Open-source software is available for implementing the proposed methods.","container-title":"Journal of Econometrics","DOI":"10.1016/j.jeconom.2020.12.001","issue":"2","page":"200-230","title":"Difference-in-Differences with multiple time periods","volume":"225","author":[{"family":"Callaway","given":"Brantly"},{"family":"Santa'Anna","given":"Pedro H.C."}],"issued":{"date-parts":[["2021"]]}}}],"schema":"https://github.com/citation-style-language/schema/raw/master/csl-citation.json"} </w:instrText>
      </w:r>
      <w:r w:rsidR="002B1812">
        <w:fldChar w:fldCharType="separate"/>
      </w:r>
      <w:r w:rsidR="00087FCB" w:rsidRPr="00087FCB">
        <w:rPr>
          <w:szCs w:val="24"/>
        </w:rPr>
        <w:t>(Callaway &amp; Santa’Anna, 2021)</w:t>
      </w:r>
      <w:r w:rsidR="002B1812">
        <w:fldChar w:fldCharType="end"/>
      </w:r>
      <w:r w:rsidR="00EC631F" w:rsidRPr="0087215B">
        <w:t>.</w:t>
      </w:r>
    </w:p>
    <w:p w14:paraId="13724E44" w14:textId="597BA269" w:rsidR="00113558" w:rsidRPr="00113558" w:rsidRDefault="00AB04BC" w:rsidP="00113558">
      <w:pPr>
        <w:pStyle w:val="Heading1"/>
      </w:pPr>
      <w:r>
        <w:t>3</w:t>
      </w:r>
      <w:r w:rsidR="00113558" w:rsidRPr="005C51EA">
        <w:t xml:space="preserve">. </w:t>
      </w:r>
      <w:r w:rsidR="00113558">
        <w:t>Empirical Applications</w:t>
      </w:r>
    </w:p>
    <w:p w14:paraId="6F4F06D1" w14:textId="47BF4C47" w:rsidR="0087215B" w:rsidRDefault="00113558" w:rsidP="0087215B">
      <w:r w:rsidRPr="00113558">
        <w:t>We compare TWFE and DML-</w:t>
      </w:r>
      <w:proofErr w:type="spellStart"/>
      <w:r w:rsidRPr="00113558">
        <w:t>DiD</w:t>
      </w:r>
      <w:proofErr w:type="spellEnd"/>
      <w:r w:rsidRPr="00113558">
        <w:t xml:space="preserve"> estimators across two empirical settings: a canonical single</w:t>
      </w:r>
      <w:r w:rsidR="00297E54">
        <w:t xml:space="preserve">-period </w:t>
      </w:r>
      <w:r w:rsidRPr="00113558">
        <w:t>treatment application and a complex staggered adoption application</w:t>
      </w:r>
      <w:r w:rsidR="0087215B" w:rsidRPr="0087215B">
        <w:t>.</w:t>
      </w:r>
    </w:p>
    <w:p w14:paraId="24A4DAB4" w14:textId="11868355" w:rsidR="00AB04BC" w:rsidRPr="00625898" w:rsidRDefault="00AB04BC" w:rsidP="00AB04BC">
      <w:pPr>
        <w:pStyle w:val="Heading2"/>
      </w:pPr>
      <w:r>
        <w:t>3.1</w:t>
      </w:r>
      <w:r w:rsidRPr="00625898">
        <w:t xml:space="preserve">. </w:t>
      </w:r>
      <w:r>
        <w:t>Single-Period Treatment: Fracking Regulation</w:t>
      </w:r>
    </w:p>
    <w:p w14:paraId="0F94C113" w14:textId="40DD7AC1" w:rsidR="00AB04BC" w:rsidRDefault="00AB04BC" w:rsidP="00AB04BC">
      <w:bookmarkStart w:id="3" w:name="_Hlk224104556"/>
      <w:r>
        <w:t>We evaluate the effect of the 2005 fracking boom on environmental regulatory activities using zip-code-year level data</w:t>
      </w:r>
      <w:r w:rsidR="002B1812">
        <w:t>, following the approach and data from</w:t>
      </w:r>
      <w:r w:rsidR="00AB17C0">
        <w:t xml:space="preserve"> Gonz</w:t>
      </w:r>
      <w:r w:rsidR="00AB17C0" w:rsidRPr="00AB17C0">
        <w:t>ále</w:t>
      </w:r>
      <w:r w:rsidR="00AB17C0">
        <w:t xml:space="preserve">z </w:t>
      </w:r>
      <w:r w:rsidR="00AB17C0">
        <w:fldChar w:fldCharType="begin"/>
      </w:r>
      <w:r w:rsidR="00AB17C0">
        <w:instrText xml:space="preserve"> ADDIN ZOTERO_ITEM CSL_CITATION {"citationID":"kolDV5dn","properties":{"unsorted":false,"formattedCitation":"(2025)","plainCitation":"(2025)","noteIndex":0},"citationItems":[{"id":33,"uris":["http://zotero.org/users/local/ik3vdrlJ/items/MR42E5DZ"],"itemData":{"id":33,"type":"article-journal","abstract":"How do special interests react to an increase in their regulatory burden? In this paper, I use a shock to the regulatory environment by analyzing state-level enforcement of the Clean Air Act during the fracking boom. First, I show that fracking is associated with an increase in state regulatory activities for non-energy-related industries, generating regulatory spillovers to firms unrelated to fracking. Using the fact that fracking had regulatory spillovers to other industries, I use the presence of fracking as an instrument for environmental regulation for non-energy-related firms. I find that increased environmental enforcement is associated with an increase in state campaign contributions going to Republicans, and particularly to legislative races in competitive districts. These results provide some of the first evidence that changes in the regulatory environment can spur private sector mobilization with the potential to affect broader areas of policy through its electoral consequences.","container-title":"Public Choice","DOI":"10.1007/s11127-024-01189-7","issue":"1","page":"217-250","title":"Environmental regulation, regulatory spillovers and rent-seeking","volume":"202","author":[{"family":"González","given":"Juan Pablo"}],"issued":{"date-parts":[["2025",1]]}},"suppress-author":true}],"schema":"https://github.com/citation-style-language/schema/raw/master/csl-citation.json"} </w:instrText>
      </w:r>
      <w:r w:rsidR="00AB17C0">
        <w:fldChar w:fldCharType="separate"/>
      </w:r>
      <w:r w:rsidR="00AB17C0">
        <w:rPr>
          <w:noProof/>
        </w:rPr>
        <w:t>(2025)</w:t>
      </w:r>
      <w:r w:rsidR="00AB17C0">
        <w:fldChar w:fldCharType="end"/>
      </w:r>
      <w:r>
        <w:t xml:space="preserve">. Because treatment occurred simultaneously across all affected units, this represents a classic </w:t>
      </w:r>
      <w:proofErr w:type="spellStart"/>
      <w:r>
        <w:t>DiD</w:t>
      </w:r>
      <w:proofErr w:type="spellEnd"/>
      <w:r>
        <w:t xml:space="preserve"> design. We applied a TWFE specification and a DML-</w:t>
      </w:r>
      <w:proofErr w:type="spellStart"/>
      <w:r>
        <w:t>DiD</w:t>
      </w:r>
      <w:proofErr w:type="spellEnd"/>
      <w:r>
        <w:t xml:space="preserve"> estimator utilizing </w:t>
      </w:r>
      <w:proofErr w:type="spellStart"/>
      <w:r>
        <w:t>LightGBM</w:t>
      </w:r>
      <w:proofErr w:type="spellEnd"/>
      <w:r>
        <w:t xml:space="preserve"> gradient boosting trees </w:t>
      </w:r>
      <w:r w:rsidR="002B1812">
        <w:fldChar w:fldCharType="begin"/>
      </w:r>
      <w:r w:rsidR="002B1812">
        <w:instrText xml:space="preserve"> ADDIN ZOTERO_ITEM CSL_CITATION {"citationID":"6I1f6Z6h","properties":{"unsorted":false,"formattedCitation":"(Ke et al., 2017)","plainCitation":"(Ke et al., 2017)","noteIndex":0},"citationItems":[{"id":31,"uris":["http://zotero.org/users/local/ik3vdrlJ/items/WU3U3MKQ"],"itemData":{"id":31,"type":"paper-conference","abstract":"Gradient Boosting Decision Tree (GBDT) is a popular machine learning algorithm, and has quite a few effective implementations such as XGBoost and pGBRT. Although many engineering optimizations have been adopted in these implementations, the efficiency and scalability are still unsatisfactory when the feature dimension is high and data size is large. A major reason is that for each feature, they need to scan all the data instances to estimate the information gain of all possible split points, which is very time consuming. To tackle this problem, we propose two novel techniques: Gradient-based One-Side Sampling (GOSS) and Exclusive Feature Bundling (EFB). With GOSS, we exclude a significant proportion of data instances with small gradients, and only use the rest to estimate the information gain. We prove that, since the data instances with larger gradients play a more important role in the computation of information gain, GOSS can obtain quite accurate estimation of the information gain with a much smaller data size. With EFB, we bundle mutually exclusive features (i.e., they rarely take nonzero values simultaneously), to reduce the number of features. We prove that finding the optimal bundling of exclusive features is NP-hard, but a greedy algorithm can achieve quite good approximation ratio (and thus can effectively reduce the number of features without hurting the accuracy of split point determination by much). We call our new GBDT implementation with GOSS and EFB LightGBM. Our experiments on multiple public datasets show that, LightGBM speeds up the training process of conventional GBDT by up to over 20 times while achieving almost the same accuracy.","collection-title":"NIPS'17","container-title":"Proceedings of the 31st International Conference on Neural Information Processing Systems","event-place":"Long Beach, California, USA","ISBN":"978-1-5108-6096-4","page":"3149–3157","publisher":"Curran Associates Inc.","publisher-place":"Red Hook, NY, USA","title":"LightGBM: a highly efficient gradient boosting decision tree","author":[{"family":"Ke","given":"Guolin"},{"family":"Meng","given":"Qi"},{"family":"Finley","given":"Thomas"},{"family":"Wang","given":"Taifeng"},{"family":"Chen","given":"Wei"},{"family":"Ma","given":"Weidong"},{"family":"Ye","given":"Qiwei"},{"family":"Liu","given":"Tie-Yan"}],"issued":{"date-parts":[["2017"]]}}}],"schema":"https://github.com/citation-style-language/schema/raw/master/csl-citation.json"} </w:instrText>
      </w:r>
      <w:r w:rsidR="002B1812">
        <w:fldChar w:fldCharType="separate"/>
      </w:r>
      <w:r w:rsidR="00087FCB">
        <w:rPr>
          <w:noProof/>
        </w:rPr>
        <w:t>(Ke et al., 2017)</w:t>
      </w:r>
      <w:r w:rsidR="002B1812">
        <w:fldChar w:fldCharType="end"/>
      </w:r>
      <w:r w:rsidR="002B1812">
        <w:t xml:space="preserve"> </w:t>
      </w:r>
      <w:r>
        <w:t>to model the nuisance functions.</w:t>
      </w:r>
    </w:p>
    <w:bookmarkEnd w:id="3"/>
    <w:p w14:paraId="220A2C2B" w14:textId="63347E19" w:rsidR="008973BA" w:rsidRDefault="00184B02" w:rsidP="00AB04BC">
      <w:r>
        <w:t>B</w:t>
      </w:r>
      <w:r w:rsidR="00AB04BC">
        <w:t>oth estimators yielded nearly identical, positive, and statistically significant results</w:t>
      </w:r>
      <w:r w:rsidR="008C4E34">
        <w:t xml:space="preserve"> for all three </w:t>
      </w:r>
      <w:r w:rsidR="00BE3353">
        <w:t>outcomes</w:t>
      </w:r>
      <w:r>
        <w:t>, as show</w:t>
      </w:r>
      <w:r w:rsidR="006A172C">
        <w:t>n</w:t>
      </w:r>
      <w:r>
        <w:t xml:space="preserve"> in Figure 1</w:t>
      </w:r>
      <w:r w:rsidR="008C4E34">
        <w:t>.</w:t>
      </w:r>
      <w:r w:rsidR="00AB04BC">
        <w:t xml:space="preserve"> </w:t>
      </w:r>
      <w:r>
        <w:t>For actions, TWFE estimates a coefficient of 0.</w:t>
      </w:r>
      <w:r w:rsidR="002127E7">
        <w:t>2287</w:t>
      </w:r>
      <w:r>
        <w:t xml:space="preserve"> while DML yields 0.</w:t>
      </w:r>
      <w:r w:rsidR="002127E7">
        <w:t>2333</w:t>
      </w:r>
      <w:r>
        <w:t xml:space="preserve">; for Facilities, </w:t>
      </w:r>
      <w:r w:rsidR="002127E7">
        <w:t>TWFE</w:t>
      </w:r>
      <w:r>
        <w:t xml:space="preserve"> estimate</w:t>
      </w:r>
      <w:r w:rsidR="002127E7">
        <w:t>s</w:t>
      </w:r>
      <w:r>
        <w:t xml:space="preserve"> 0.</w:t>
      </w:r>
      <w:r w:rsidR="002127E7">
        <w:t>1589 and DML 0.1609</w:t>
      </w:r>
      <w:r>
        <w:t>; and for Formal Activities TWFE and DML produce 0.</w:t>
      </w:r>
      <w:r w:rsidR="002127E7">
        <w:t>2092</w:t>
      </w:r>
      <w:r>
        <w:t xml:space="preserve"> and 0.</w:t>
      </w:r>
      <w:r w:rsidR="002127E7">
        <w:t>2062</w:t>
      </w:r>
      <w:r>
        <w:t xml:space="preserve">, respectively. The confidence intervals are similar across all cases. </w:t>
      </w:r>
      <w:r w:rsidR="00DF3769">
        <w:t>These results</w:t>
      </w:r>
      <w:r w:rsidR="00AB04BC">
        <w:t xml:space="preserve"> confirm that in simple setups with parsimonious covariates, traditional linear specifications accurately capture the causal effect.</w:t>
      </w:r>
    </w:p>
    <w:p w14:paraId="5A154114" w14:textId="599390F4" w:rsidR="008973BA" w:rsidRDefault="002A3315" w:rsidP="008973BA">
      <w:pPr>
        <w:jc w:val="center"/>
      </w:pPr>
      <w:r>
        <w:rPr>
          <w:noProof/>
        </w:rPr>
        <w:lastRenderedPageBreak/>
        <w:drawing>
          <wp:inline distT="0" distB="0" distL="0" distR="0" wp14:anchorId="6E3C1666" wp14:editId="5B84EF26">
            <wp:extent cx="3802787" cy="2498400"/>
            <wp:effectExtent l="0" t="0" r="0" b="3810"/>
            <wp:docPr id="20542773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277371" name="Picture 2054277371"/>
                    <pic:cNvPicPr/>
                  </pic:nvPicPr>
                  <pic:blipFill>
                    <a:blip r:embed="rId11"/>
                    <a:stretch>
                      <a:fillRect/>
                    </a:stretch>
                  </pic:blipFill>
                  <pic:spPr>
                    <a:xfrm>
                      <a:off x="0" y="0"/>
                      <a:ext cx="3832665" cy="2518029"/>
                    </a:xfrm>
                    <a:prstGeom prst="rect">
                      <a:avLst/>
                    </a:prstGeom>
                  </pic:spPr>
                </pic:pic>
              </a:graphicData>
            </a:graphic>
          </wp:inline>
        </w:drawing>
      </w:r>
    </w:p>
    <w:p w14:paraId="6962D75D" w14:textId="13BC0B70" w:rsidR="00672A8D" w:rsidRDefault="00672A8D" w:rsidP="005E1E3B">
      <w:pPr>
        <w:pStyle w:val="Figurelegend"/>
      </w:pPr>
      <w:r w:rsidRPr="007057C9">
        <w:t xml:space="preserve">Figure </w:t>
      </w:r>
      <w:r>
        <w:t>1</w:t>
      </w:r>
      <w:r w:rsidRPr="007057C9">
        <w:t xml:space="preserve">. </w:t>
      </w:r>
      <w:r w:rsidR="008C4E34">
        <w:t>Treatment effect estimates for the impact of fracking on environmental regulation outcomes</w:t>
      </w:r>
      <w:r w:rsidR="005E1E3B">
        <w:t xml:space="preserve"> </w:t>
      </w:r>
      <w:r w:rsidR="008C4E34">
        <w:t>using TWFE (blue) and DML (violet) estimators. Point estimates and 95</w:t>
      </w:r>
      <w:r w:rsidR="005E1E3B">
        <w:t xml:space="preserve"> </w:t>
      </w:r>
      <w:r w:rsidR="008C4E34">
        <w:t>percent confidence intervals</w:t>
      </w:r>
      <w:r w:rsidR="005E1E3B">
        <w:t xml:space="preserve"> </w:t>
      </w:r>
      <w:r w:rsidR="008C4E34">
        <w:t>are shown for three outcomes: Actions (total regulatory activities), Facilities (facilities receiving</w:t>
      </w:r>
      <w:r w:rsidR="005E1E3B">
        <w:t xml:space="preserve"> </w:t>
      </w:r>
      <w:r w:rsidR="008C4E34">
        <w:t>actions), and Formal (formal enforcement activities). All</w:t>
      </w:r>
      <w:r w:rsidR="005E1E3B">
        <w:t xml:space="preserve"> </w:t>
      </w:r>
      <w:r w:rsidR="008C4E34">
        <w:t>outcomes use log transformations. Both</w:t>
      </w:r>
      <w:r w:rsidR="005E1E3B">
        <w:t xml:space="preserve"> </w:t>
      </w:r>
      <w:r w:rsidR="008C4E34">
        <w:t>estimators yield nearly identical results, with point</w:t>
      </w:r>
      <w:r w:rsidR="005E1E3B">
        <w:t xml:space="preserve"> </w:t>
      </w:r>
      <w:r w:rsidR="008C4E34">
        <w:t>estimates that are positive and statistically significant across all three outcomes</w:t>
      </w:r>
      <w:r w:rsidRPr="007057C9">
        <w:t>.</w:t>
      </w:r>
      <w:r w:rsidR="00571F03" w:rsidRPr="00571F03">
        <w:t xml:space="preserve"> </w:t>
      </w:r>
      <w:r w:rsidR="00571F03">
        <w:t>Source: Author’s elaboration.</w:t>
      </w:r>
    </w:p>
    <w:p w14:paraId="0D34DFEA" w14:textId="07BFEFE5" w:rsidR="00AB04BC" w:rsidRPr="00625898" w:rsidRDefault="00AB04BC" w:rsidP="00AB04BC">
      <w:pPr>
        <w:pStyle w:val="Heading2"/>
      </w:pPr>
      <w:r>
        <w:t>3.2</w:t>
      </w:r>
      <w:r w:rsidRPr="00625898">
        <w:t xml:space="preserve">. </w:t>
      </w:r>
      <w:r>
        <w:t>Staggered Adoption: Castle Doctrine Laws</w:t>
      </w:r>
    </w:p>
    <w:p w14:paraId="4A4B1C7A" w14:textId="77777777" w:rsidR="00087FCB" w:rsidRDefault="00AB04BC" w:rsidP="00087FCB">
      <w:r>
        <w:t>Next, we analyzed the impact of Castle Doctrine laws (which expand the right to use deadly force in self-defense) on state-level homicide rates from 2000 to 2010</w:t>
      </w:r>
      <w:r w:rsidR="00087FCB">
        <w:t>. Because states adopted these laws in different years, this presents a complex staggered adoption landscape.</w:t>
      </w:r>
    </w:p>
    <w:p w14:paraId="5B1C3333" w14:textId="5CF5C9E3" w:rsidR="008973BA" w:rsidRDefault="00087FCB" w:rsidP="00AB04BC">
      <w:r>
        <w:t>While</w:t>
      </w:r>
      <w:r w:rsidR="0050070E">
        <w:t xml:space="preserve"> </w:t>
      </w:r>
      <w:r w:rsidR="00297E54">
        <w:rPr>
          <w:noProof/>
        </w:rPr>
        <w:t xml:space="preserve">Cheng &amp; Hoekstra </w:t>
      </w:r>
      <w:r w:rsidR="00297E54">
        <w:rPr>
          <w:noProof/>
        </w:rPr>
        <w:fldChar w:fldCharType="begin"/>
      </w:r>
      <w:r w:rsidR="00297E54">
        <w:rPr>
          <w:noProof/>
        </w:rPr>
        <w:instrText xml:space="preserve"> ADDIN ZOTERO_ITEM CSL_CITATION {"citationID":"wt2dD7Tf","properties":{"unsorted":false,"formattedCitation":"(2013)","plainCitation":"(2013)","noteIndex":0},"citationItems":[{"id":34,"uris":["http://zotero.org/users/local/ik3vdrlJ/items/S2U3B7DN"],"itemData":{"id":34,"type":"article-journal","abstract":"From 2000 to 2010, more than 20 states passed so-called \"Castle Doctrine\" or \"stand your ground\" laws. These laws expand the legal justification for the use of lethal force in self-defense, thereby lowering the expected cost of using lethal force and increasing the expected cost of committing violent crime. This paper exploits the within-state variation in self-defense law to examine their effect on homicides and violent crime. Results indicate the laws do not deter burglary, robbery, or aggravated assault. In contrast, they lead to a statistically significant 8 percent net increase in the number of reported murders and nonnegligent manslaughters.","container-title":"The Journal of Human Resources","ISSN":"0022166X","issue":"3","page":"821–853","publisher":"[University of Wisconsin Press, Board of Regents of the University of Wisconsin System]","title":"Does Strengthening Self-Defense Law Deter Crime or Escalate Violence? Evidence from Expansions to Castle Doctrine","volume":"48","author":[{"family":"Cheng","given":"Cheng"},{"family":"Hoekstra","given":"Mark"}],"issued":{"date-parts":[["2013"]]}},"suppress-author":true}],"schema":"https://github.com/citation-style-language/schema/raw/master/csl-citation.json"} </w:instrText>
      </w:r>
      <w:r w:rsidR="00297E54">
        <w:rPr>
          <w:noProof/>
        </w:rPr>
        <w:fldChar w:fldCharType="separate"/>
      </w:r>
      <w:r w:rsidR="00297E54">
        <w:rPr>
          <w:noProof/>
        </w:rPr>
        <w:t>(2013)</w:t>
      </w:r>
      <w:r w:rsidR="00297E54">
        <w:rPr>
          <w:noProof/>
        </w:rPr>
        <w:fldChar w:fldCharType="end"/>
      </w:r>
      <w:r w:rsidR="00297E54">
        <w:t>,</w:t>
      </w:r>
      <w:r w:rsidR="001C30C6">
        <w:t xml:space="preserve"> </w:t>
      </w:r>
      <w:r>
        <w:t>found a positive significant effect in this context, our</w:t>
      </w:r>
      <w:r w:rsidR="00AB04BC">
        <w:t xml:space="preserve"> TWFE </w:t>
      </w:r>
      <w:r>
        <w:t xml:space="preserve">specification </w:t>
      </w:r>
      <w:r w:rsidR="00AB04BC">
        <w:t xml:space="preserve">produced a point estimate </w:t>
      </w:r>
      <w:r w:rsidR="002B1812">
        <w:t xml:space="preserve">of </w:t>
      </w:r>
      <w:r w:rsidR="00AB04BC">
        <w:t>0.087 with wide confidence intervals (-0.032 to 0.206), suggesting a non-significant effect</w:t>
      </w:r>
      <w:r>
        <w:t xml:space="preserve"> that fails to replicate the established literature</w:t>
      </w:r>
      <w:r w:rsidR="00AB04BC">
        <w:t>. In contrast, the DML-</w:t>
      </w:r>
      <w:proofErr w:type="spellStart"/>
      <w:r w:rsidR="00AB04BC">
        <w:t>DiD</w:t>
      </w:r>
      <w:proofErr w:type="spellEnd"/>
      <w:r w:rsidR="00AB04BC">
        <w:t xml:space="preserve"> estimator</w:t>
      </w:r>
      <w:r>
        <w:t xml:space="preserve">, </w:t>
      </w:r>
      <w:r w:rsidR="00AB04BC">
        <w:t>using Random Forests</w:t>
      </w:r>
      <w:r>
        <w:t xml:space="preserve"> </w:t>
      </w:r>
      <w:r>
        <w:fldChar w:fldCharType="begin"/>
      </w:r>
      <w:r>
        <w:instrText xml:space="preserve"> ADDIN ZOTERO_ITEM CSL_CITATION {"citationID":"HzqJZUn0","properties":{"unsorted":false,"formattedCitation":"(Breiman, 2001)","plainCitation":"(Breiman, 2001)","noteIndex":0},"citationItems":[{"id":7,"uris":["http://zotero.org/users/local/ik3vdrlJ/items/RAI4NZPJ"],"itemData":{"id":7,"type":"article-journal","abstract":"Random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correlation between them. Using a random selection of features to split each node yields error rates that compare favorably to Adaboost (Y. Freund &amp; R. Schapire, Machine Learning: Proceedings of the Thirteenth International conference, ***, 148–156),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regression.","container-title":"Machine Learning","DOI":"10.1023/A:1010933404324","ISSN":"1573-0565","issue":"1","page":"5–32","title":"Random Forests","volume":"45","author":[{"family":"Breiman","given":"Leo"}],"issued":{"date-parts":[["2001"]]}}}],"schema":"https://github.com/citation-style-language/schema/raw/master/csl-citation.json"} </w:instrText>
      </w:r>
      <w:r>
        <w:fldChar w:fldCharType="separate"/>
      </w:r>
      <w:r>
        <w:rPr>
          <w:noProof/>
        </w:rPr>
        <w:t>(Breiman, 2001)</w:t>
      </w:r>
      <w:r>
        <w:fldChar w:fldCharType="end"/>
      </w:r>
      <w:r>
        <w:t>,</w:t>
      </w:r>
      <w:r w:rsidR="00AB04BC">
        <w:t xml:space="preserve"> </w:t>
      </w:r>
      <w:r w:rsidRPr="00087FCB">
        <w:t>successfully recovered a positive, significant effect of 0.130 (CI: 0.036 to 0.222), aligning with prior empirical evidence</w:t>
      </w:r>
      <w:r w:rsidR="00637BCA">
        <w:t>.</w:t>
      </w:r>
      <w:r w:rsidR="006A172C">
        <w:t xml:space="preserve"> These results are summarized in Figure 2.</w:t>
      </w:r>
    </w:p>
    <w:p w14:paraId="6405F914" w14:textId="5F27440D" w:rsidR="008973BA" w:rsidRDefault="002A3315" w:rsidP="008973BA">
      <w:pPr>
        <w:jc w:val="center"/>
      </w:pPr>
      <w:r>
        <w:rPr>
          <w:noProof/>
        </w:rPr>
        <w:lastRenderedPageBreak/>
        <w:drawing>
          <wp:inline distT="0" distB="0" distL="0" distR="0" wp14:anchorId="6FE700E0" wp14:editId="6E62F211">
            <wp:extent cx="4058014" cy="2419200"/>
            <wp:effectExtent l="0" t="0" r="0" b="0"/>
            <wp:docPr id="1386711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711095" name="Picture 1386711095"/>
                    <pic:cNvPicPr/>
                  </pic:nvPicPr>
                  <pic:blipFill>
                    <a:blip r:embed="rId12"/>
                    <a:stretch>
                      <a:fillRect/>
                    </a:stretch>
                  </pic:blipFill>
                  <pic:spPr>
                    <a:xfrm>
                      <a:off x="0" y="0"/>
                      <a:ext cx="4079124" cy="2431785"/>
                    </a:xfrm>
                    <a:prstGeom prst="rect">
                      <a:avLst/>
                    </a:prstGeom>
                  </pic:spPr>
                </pic:pic>
              </a:graphicData>
            </a:graphic>
          </wp:inline>
        </w:drawing>
      </w:r>
    </w:p>
    <w:p w14:paraId="7B6A6F36" w14:textId="3D74E34C" w:rsidR="008973BA" w:rsidRDefault="00672A8D" w:rsidP="005E1E3B">
      <w:pPr>
        <w:pStyle w:val="Figurelegend"/>
      </w:pPr>
      <w:r w:rsidRPr="007057C9">
        <w:t xml:space="preserve">Figure </w:t>
      </w:r>
      <w:r>
        <w:t>2</w:t>
      </w:r>
      <w:r w:rsidRPr="007057C9">
        <w:t xml:space="preserve">. </w:t>
      </w:r>
      <w:r w:rsidR="008C4E34">
        <w:t>Comparison of the estimated effects of Castle Doctrine laws on homicide rates</w:t>
      </w:r>
      <w:r w:rsidR="005E1E3B">
        <w:t xml:space="preserve"> </w:t>
      </w:r>
      <w:r w:rsidR="008C4E34">
        <w:t>using the</w:t>
      </w:r>
      <w:r w:rsidR="005E1E3B">
        <w:t xml:space="preserve"> </w:t>
      </w:r>
      <w:r w:rsidR="008C4E34">
        <w:t xml:space="preserve">traditional TWFE estimator and the Double Machine Learning </w:t>
      </w:r>
      <w:proofErr w:type="spellStart"/>
      <w:r w:rsidR="008C4E34">
        <w:t>DiD</w:t>
      </w:r>
      <w:proofErr w:type="spellEnd"/>
      <w:r w:rsidR="008C4E34">
        <w:t xml:space="preserve"> estimator</w:t>
      </w:r>
      <w:r w:rsidR="005E1E3B">
        <w:t xml:space="preserve"> </w:t>
      </w:r>
      <w:r w:rsidR="008C4E34">
        <w:t>adapted for staggered</w:t>
      </w:r>
      <w:r w:rsidR="005E1E3B">
        <w:t xml:space="preserve"> </w:t>
      </w:r>
      <w:r w:rsidR="008C4E34">
        <w:t>adoption settings. The confidence intervals are represented for both</w:t>
      </w:r>
      <w:r w:rsidR="005E1E3B">
        <w:t xml:space="preserve"> </w:t>
      </w:r>
      <w:r w:rsidR="008C4E34">
        <w:t>methods, and the horizontal line at zero indicates no effect</w:t>
      </w:r>
      <w:r w:rsidR="00571F03">
        <w:t>. Source: Author’s elaboration.</w:t>
      </w:r>
    </w:p>
    <w:p w14:paraId="3D7FD30E" w14:textId="78B315B7" w:rsidR="006B2C78" w:rsidRDefault="006B2C78" w:rsidP="006B2C78">
      <w:r>
        <w:t>Event study analysis (Table 1) assesses the parallel trends assumption and the dynamic evolution of treatment effects for Castle Doctrine laws on log homicide rates. Using our DML-</w:t>
      </w:r>
      <w:proofErr w:type="spellStart"/>
      <w:r>
        <w:t>DiD</w:t>
      </w:r>
      <w:proofErr w:type="spellEnd"/>
      <w:r>
        <w:t xml:space="preserve"> framework, we observe statistically significant pre-treatment coefficients at </w:t>
      </w:r>
      <m:oMath>
        <m:r>
          <w:rPr>
            <w:rFonts w:ascii="Cambria Math" w:hAnsi="Cambria Math"/>
          </w:rPr>
          <m:t>t=-6</m:t>
        </m:r>
      </m:oMath>
      <w:r>
        <w:t xml:space="preserve"> and </w:t>
      </w:r>
      <m:oMath>
        <m:r>
          <w:rPr>
            <w:rFonts w:ascii="Cambria Math" w:hAnsi="Cambria Math"/>
          </w:rPr>
          <m:t>t=-1</m:t>
        </m:r>
      </m:oMath>
      <w:r>
        <w:t xml:space="preserve">. However, rather than exhibiting a systematic, monotonic divergence that would threaten design validity, these estimates fluctuate around zero. This suggests the significance is likely driven by idiosyncratic state-year shocks rather than a fundamental violation of parallel trends. Furthermore, the significance at </w:t>
      </w:r>
      <m:oMath>
        <m:r>
          <w:rPr>
            <w:rFonts w:ascii="Cambria Math" w:hAnsi="Cambria Math"/>
          </w:rPr>
          <m:t>t=-1</m:t>
        </m:r>
      </m:oMath>
      <w:r>
        <w:t xml:space="preserve"> may capture anticipation effects occurring shortly before enactment.</w:t>
      </w:r>
    </w:p>
    <w:p w14:paraId="4B03995A" w14:textId="1E87C97F" w:rsidR="006B2C78" w:rsidRPr="006B2C78" w:rsidRDefault="006B2C78" w:rsidP="006B2C78">
      <w:r>
        <w:t xml:space="preserve">Post-treatment, a consistent pattern </w:t>
      </w:r>
      <w:proofErr w:type="gramStart"/>
      <w:r>
        <w:t>emerges:</w:t>
      </w:r>
      <w:proofErr w:type="gramEnd"/>
      <w:r>
        <w:t xml:space="preserve"> significant positive effects appear at </w:t>
      </w:r>
      <m:oMath>
        <m:r>
          <w:rPr>
            <w:rFonts w:ascii="Cambria Math" w:hAnsi="Cambria Math"/>
          </w:rPr>
          <m:t>t=0</m:t>
        </m:r>
      </m:oMath>
      <w:r>
        <w:t xml:space="preserve"> and persist in years 1, 2, and 4. Unlike the pre-period noise, these post-treatment coefficients are consistently positive, firmly reinforcing our main finding that Castle Doctrine laws increase homicide rates.</w:t>
      </w:r>
    </w:p>
    <w:p w14:paraId="4FF744B4" w14:textId="740CA0B8" w:rsidR="007B1713" w:rsidRPr="00AC0A78" w:rsidRDefault="007B1713" w:rsidP="007B1713">
      <w:pPr>
        <w:pStyle w:val="Caption"/>
        <w:spacing w:before="160"/>
        <w:rPr>
          <w:b w:val="0"/>
          <w:bCs/>
        </w:rPr>
      </w:pPr>
      <w:r w:rsidRPr="00B946A9">
        <w:t>Table 1.</w:t>
      </w:r>
      <w:r w:rsidRPr="00AC0A78">
        <w:rPr>
          <w:b w:val="0"/>
          <w:bCs/>
        </w:rPr>
        <w:t xml:space="preserve"> </w:t>
      </w:r>
      <w:r w:rsidRPr="00571F03">
        <w:t>Event Study Estimates of Castle Doctrine Laws on Log Homicide Rates</w:t>
      </w:r>
      <w:r w:rsidR="00DE10BA">
        <w:t>.</w:t>
      </w:r>
      <w:r w:rsidRPr="00571F03">
        <w:t xml:space="preserve"> Notes: This table</w:t>
      </w:r>
      <w:r w:rsidR="005E1E3B">
        <w:t xml:space="preserve"> </w:t>
      </w:r>
      <w:r w:rsidRPr="00571F03">
        <w:t>reports dynamic treatment effects by years relative to law adoption, estimated via Double Machine</w:t>
      </w:r>
      <w:r w:rsidR="005E1E3B">
        <w:t xml:space="preserve"> </w:t>
      </w:r>
      <w:r w:rsidRPr="00571F03">
        <w:t>Learning Difference-in-Differences (DML-</w:t>
      </w:r>
      <w:proofErr w:type="spellStart"/>
      <w:r w:rsidRPr="00571F03">
        <w:t>DiD</w:t>
      </w:r>
      <w:proofErr w:type="spellEnd"/>
      <w:r w:rsidRPr="00571F03">
        <w:t>). The columns display point estimates, standard</w:t>
      </w:r>
      <w:r w:rsidR="005E1E3B">
        <w:t xml:space="preserve"> </w:t>
      </w:r>
      <w:r w:rsidRPr="00571F03">
        <w:t>errors, and 95% confidence intervals. Significance levels for pre-trends and post-treatment effects</w:t>
      </w:r>
      <w:r w:rsidR="005E1E3B">
        <w:t xml:space="preserve"> </w:t>
      </w:r>
      <w:r w:rsidRPr="00571F03">
        <w:t>are denoted as: * p &lt; 0.10, ** p &lt; 0.05, *** p &lt; 0.01.</w:t>
      </w:r>
      <w:r w:rsidRPr="00AC0A78">
        <w:rPr>
          <w:b w:val="0"/>
          <w:bCs/>
        </w:rPr>
        <w:t xml:space="preserve"> Source: Author's calculations.</w:t>
      </w:r>
    </w:p>
    <w:tbl>
      <w:tblPr>
        <w:tblStyle w:val="Table"/>
        <w:tblW w:w="0" w:type="auto"/>
        <w:jc w:val="center"/>
        <w:tblLook w:val="0020" w:firstRow="1" w:lastRow="0" w:firstColumn="0" w:lastColumn="0" w:noHBand="0" w:noVBand="0"/>
        <w:tblCaption w:val="Event Study Results for Chapter 4: Dynamic treatment effects of Castle Doctrine laws on log homicide rates by years relative to adoption. Estimates from Double Machine Learning DiD with 95% confidence intervals. Significant pre-trends and post-treatment effects are marked with asterisks: * p&lt;0.10, ** p&lt;0.05, *** p&lt;0.01."/>
      </w:tblPr>
      <w:tblGrid>
        <w:gridCol w:w="791"/>
        <w:gridCol w:w="891"/>
        <w:gridCol w:w="891"/>
        <w:gridCol w:w="681"/>
        <w:gridCol w:w="767"/>
      </w:tblGrid>
      <w:tr w:rsidR="007B1713" w14:paraId="439380E2" w14:textId="77777777" w:rsidTr="007167CF">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auto"/>
              <w:bottom w:val="single" w:sz="2" w:space="0" w:color="auto"/>
            </w:tcBorders>
          </w:tcPr>
          <w:p w14:paraId="5C139BC2" w14:textId="77777777" w:rsidR="007B1713" w:rsidRPr="00AC0A78" w:rsidRDefault="007B1713" w:rsidP="007167CF">
            <w:pPr>
              <w:pStyle w:val="Tablecontent"/>
              <w:jc w:val="center"/>
              <w:rPr>
                <w:rFonts w:ascii="Times New Roman" w:eastAsia="Times New Roman" w:hAnsi="Times New Roman" w:cs="Times New Roman"/>
                <w:b/>
                <w:lang w:eastAsia="es-ES"/>
              </w:rPr>
            </w:pPr>
            <w:r w:rsidRPr="00AC0A78">
              <w:rPr>
                <w:rFonts w:ascii="Times New Roman" w:eastAsia="Times New Roman" w:hAnsi="Times New Roman" w:cs="Times New Roman"/>
                <w:b/>
                <w:lang w:eastAsia="es-ES"/>
              </w:rPr>
              <w:t>Years</w:t>
            </w:r>
          </w:p>
        </w:tc>
        <w:tc>
          <w:tcPr>
            <w:tcW w:w="0" w:type="auto"/>
            <w:tcBorders>
              <w:top w:val="single" w:sz="4" w:space="0" w:color="auto"/>
              <w:bottom w:val="single" w:sz="2" w:space="0" w:color="auto"/>
            </w:tcBorders>
          </w:tcPr>
          <w:p w14:paraId="774B50AB" w14:textId="77777777" w:rsidR="007B1713" w:rsidRPr="00AC0A78" w:rsidRDefault="007B1713" w:rsidP="007167CF">
            <w:pPr>
              <w:pStyle w:val="Tablecontent"/>
              <w:jc w:val="center"/>
              <w:rPr>
                <w:rFonts w:ascii="Times New Roman" w:eastAsia="Times New Roman" w:hAnsi="Times New Roman" w:cs="Times New Roman"/>
                <w:b/>
                <w:lang w:eastAsia="es-ES"/>
              </w:rPr>
            </w:pPr>
            <w:r w:rsidRPr="00AC0A78">
              <w:rPr>
                <w:rFonts w:ascii="Times New Roman" w:eastAsia="Times New Roman" w:hAnsi="Times New Roman" w:cs="Times New Roman"/>
                <w:b/>
                <w:lang w:eastAsia="es-ES"/>
              </w:rPr>
              <w:t>Coef</w:t>
            </w:r>
            <w:r>
              <w:rPr>
                <w:rFonts w:ascii="Times New Roman" w:eastAsia="Times New Roman" w:hAnsi="Times New Roman" w:cs="Times New Roman"/>
                <w:b/>
                <w:lang w:eastAsia="es-ES"/>
              </w:rPr>
              <w:t>f</w:t>
            </w:r>
          </w:p>
        </w:tc>
        <w:tc>
          <w:tcPr>
            <w:tcW w:w="0" w:type="auto"/>
            <w:tcBorders>
              <w:top w:val="single" w:sz="4" w:space="0" w:color="auto"/>
              <w:bottom w:val="single" w:sz="2" w:space="0" w:color="auto"/>
            </w:tcBorders>
          </w:tcPr>
          <w:p w14:paraId="1F629F3E" w14:textId="77777777" w:rsidR="007B1713" w:rsidRPr="00AC0A78" w:rsidRDefault="007B1713" w:rsidP="007167CF">
            <w:pPr>
              <w:pStyle w:val="Tablecontent"/>
              <w:jc w:val="center"/>
              <w:rPr>
                <w:rFonts w:ascii="Times New Roman" w:eastAsia="Times New Roman" w:hAnsi="Times New Roman" w:cs="Times New Roman"/>
                <w:b/>
                <w:lang w:eastAsia="es-ES"/>
              </w:rPr>
            </w:pPr>
            <w:r w:rsidRPr="00AC0A78">
              <w:rPr>
                <w:rFonts w:ascii="Times New Roman" w:eastAsia="Times New Roman" w:hAnsi="Times New Roman" w:cs="Times New Roman"/>
                <w:b/>
                <w:lang w:eastAsia="es-ES"/>
              </w:rPr>
              <w:t>Std. Err.</w:t>
            </w:r>
          </w:p>
        </w:tc>
        <w:tc>
          <w:tcPr>
            <w:tcW w:w="0" w:type="auto"/>
            <w:tcBorders>
              <w:top w:val="single" w:sz="4" w:space="0" w:color="auto"/>
              <w:bottom w:val="single" w:sz="2" w:space="0" w:color="auto"/>
            </w:tcBorders>
          </w:tcPr>
          <w:p w14:paraId="2583CF63" w14:textId="77777777" w:rsidR="007B1713" w:rsidRPr="00AC0A78" w:rsidRDefault="007B1713" w:rsidP="007167CF">
            <w:pPr>
              <w:pStyle w:val="Tablecontent"/>
              <w:jc w:val="center"/>
              <w:rPr>
                <w:rFonts w:ascii="Times New Roman" w:eastAsia="Times New Roman" w:hAnsi="Times New Roman" w:cs="Times New Roman"/>
                <w:b/>
                <w:lang w:eastAsia="es-ES"/>
              </w:rPr>
            </w:pPr>
            <m:oMathPara>
              <m:oMath>
                <m:r>
                  <m:rPr>
                    <m:sty m:val="b"/>
                  </m:rPr>
                  <w:rPr>
                    <w:rFonts w:ascii="Cambria Math" w:eastAsia="Times New Roman" w:hAnsi="Cambria Math" w:cs="Times New Roman"/>
                    <w:lang w:eastAsia="es-ES"/>
                  </w:rPr>
                  <m:t>2.5%</m:t>
                </m:r>
              </m:oMath>
            </m:oMathPara>
          </w:p>
        </w:tc>
        <w:tc>
          <w:tcPr>
            <w:tcW w:w="0" w:type="auto"/>
            <w:tcBorders>
              <w:top w:val="single" w:sz="4" w:space="0" w:color="auto"/>
              <w:bottom w:val="single" w:sz="2" w:space="0" w:color="auto"/>
            </w:tcBorders>
          </w:tcPr>
          <w:p w14:paraId="4CB7D5D7" w14:textId="77777777" w:rsidR="007B1713" w:rsidRPr="00AC0A78" w:rsidRDefault="007B1713" w:rsidP="007167CF">
            <w:pPr>
              <w:pStyle w:val="Tablecontent"/>
              <w:jc w:val="center"/>
              <w:rPr>
                <w:rFonts w:ascii="Times New Roman" w:eastAsia="Times New Roman" w:hAnsi="Times New Roman" w:cs="Times New Roman"/>
                <w:b/>
                <w:lang w:eastAsia="es-ES"/>
              </w:rPr>
            </w:pPr>
            <m:oMathPara>
              <m:oMath>
                <m:r>
                  <m:rPr>
                    <m:sty m:val="b"/>
                  </m:rPr>
                  <w:rPr>
                    <w:rFonts w:ascii="Cambria Math" w:eastAsia="Times New Roman" w:hAnsi="Cambria Math" w:cs="Times New Roman"/>
                    <w:lang w:eastAsia="es-ES"/>
                  </w:rPr>
                  <m:t>97.5%</m:t>
                </m:r>
              </m:oMath>
            </m:oMathPara>
          </w:p>
        </w:tc>
      </w:tr>
      <w:tr w:rsidR="007B1713" w14:paraId="0F6B7E9C" w14:textId="77777777" w:rsidTr="007167CF">
        <w:trPr>
          <w:jc w:val="center"/>
        </w:trPr>
        <w:tc>
          <w:tcPr>
            <w:tcW w:w="0" w:type="auto"/>
            <w:tcBorders>
              <w:top w:val="single" w:sz="2" w:space="0" w:color="auto"/>
            </w:tcBorders>
          </w:tcPr>
          <w:p w14:paraId="0CC42789" w14:textId="77777777" w:rsidR="007B1713" w:rsidRPr="00AC0A78" w:rsidRDefault="007B1713" w:rsidP="007167CF">
            <w:pPr>
              <w:pStyle w:val="Tablecontent"/>
              <w:jc w:val="center"/>
              <w:rPr>
                <w:rFonts w:ascii="Times New Roman" w:eastAsia="Times New Roman" w:hAnsi="Times New Roman" w:cs="Times New Roman"/>
                <w:bCs/>
                <w:lang w:eastAsia="es-ES"/>
              </w:rPr>
            </w:pPr>
            <w:r w:rsidRPr="00AC0A78">
              <w:rPr>
                <w:rFonts w:ascii="Times New Roman" w:eastAsia="Times New Roman" w:hAnsi="Times New Roman" w:cs="Times New Roman"/>
                <w:bCs/>
                <w:lang w:eastAsia="es-ES"/>
              </w:rPr>
              <w:t>-7 years</w:t>
            </w:r>
          </w:p>
        </w:tc>
        <w:tc>
          <w:tcPr>
            <w:tcW w:w="0" w:type="auto"/>
            <w:tcBorders>
              <w:top w:val="single" w:sz="2" w:space="0" w:color="auto"/>
            </w:tcBorders>
          </w:tcPr>
          <w:p w14:paraId="5C2D668B" w14:textId="77777777" w:rsidR="007B1713" w:rsidRPr="00AC0A78" w:rsidRDefault="007B1713" w:rsidP="007167CF">
            <w:pPr>
              <w:pStyle w:val="Tablecontent"/>
              <w:jc w:val="center"/>
              <w:rPr>
                <w:rFonts w:ascii="Times New Roman" w:eastAsia="Times New Roman" w:hAnsi="Times New Roman" w:cs="Times New Roman"/>
                <w:bCs/>
                <w:lang w:eastAsia="es-ES"/>
              </w:rPr>
            </w:pPr>
            <w:r w:rsidRPr="00AC0A78">
              <w:rPr>
                <w:rFonts w:ascii="Times New Roman" w:eastAsia="Times New Roman" w:hAnsi="Times New Roman" w:cs="Times New Roman"/>
                <w:bCs/>
                <w:lang w:eastAsia="es-ES"/>
              </w:rPr>
              <w:t>-0.069</w:t>
            </w:r>
          </w:p>
        </w:tc>
        <w:tc>
          <w:tcPr>
            <w:tcW w:w="0" w:type="auto"/>
            <w:tcBorders>
              <w:top w:val="single" w:sz="2" w:space="0" w:color="auto"/>
            </w:tcBorders>
          </w:tcPr>
          <w:p w14:paraId="54C3D00A" w14:textId="77777777" w:rsidR="007B1713" w:rsidRPr="00AC0A78" w:rsidRDefault="007B1713" w:rsidP="007167CF">
            <w:pPr>
              <w:pStyle w:val="Tablecontent"/>
              <w:jc w:val="center"/>
              <w:rPr>
                <w:rFonts w:ascii="Times New Roman" w:eastAsia="Times New Roman" w:hAnsi="Times New Roman" w:cs="Times New Roman"/>
                <w:bCs/>
                <w:lang w:eastAsia="es-ES"/>
              </w:rPr>
            </w:pPr>
            <w:r w:rsidRPr="00AC0A78">
              <w:rPr>
                <w:rFonts w:ascii="Times New Roman" w:eastAsia="Times New Roman" w:hAnsi="Times New Roman" w:cs="Times New Roman"/>
                <w:bCs/>
                <w:lang w:eastAsia="es-ES"/>
              </w:rPr>
              <w:t>0.110</w:t>
            </w:r>
          </w:p>
        </w:tc>
        <w:tc>
          <w:tcPr>
            <w:tcW w:w="0" w:type="auto"/>
            <w:tcBorders>
              <w:top w:val="single" w:sz="2" w:space="0" w:color="auto"/>
            </w:tcBorders>
          </w:tcPr>
          <w:p w14:paraId="7710FEE6" w14:textId="77777777" w:rsidR="007B1713" w:rsidRPr="00AC0A78" w:rsidRDefault="007B1713" w:rsidP="007167CF">
            <w:pPr>
              <w:pStyle w:val="Tablecontent"/>
              <w:jc w:val="center"/>
              <w:rPr>
                <w:rFonts w:ascii="Times New Roman" w:eastAsia="Times New Roman" w:hAnsi="Times New Roman" w:cs="Times New Roman"/>
                <w:bCs/>
                <w:lang w:eastAsia="es-ES"/>
              </w:rPr>
            </w:pPr>
            <w:r w:rsidRPr="00AC0A78">
              <w:rPr>
                <w:rFonts w:ascii="Times New Roman" w:eastAsia="Times New Roman" w:hAnsi="Times New Roman" w:cs="Times New Roman"/>
                <w:bCs/>
                <w:lang w:eastAsia="es-ES"/>
              </w:rPr>
              <w:t>-0.289</w:t>
            </w:r>
          </w:p>
        </w:tc>
        <w:tc>
          <w:tcPr>
            <w:tcW w:w="0" w:type="auto"/>
            <w:tcBorders>
              <w:top w:val="single" w:sz="2" w:space="0" w:color="auto"/>
            </w:tcBorders>
          </w:tcPr>
          <w:p w14:paraId="620FB3A4" w14:textId="77777777" w:rsidR="007B1713" w:rsidRPr="00AC0A78" w:rsidRDefault="007B1713" w:rsidP="007167CF">
            <w:pPr>
              <w:pStyle w:val="Tablecontent"/>
              <w:jc w:val="center"/>
              <w:rPr>
                <w:rFonts w:ascii="Times New Roman" w:eastAsia="Times New Roman" w:hAnsi="Times New Roman" w:cs="Times New Roman"/>
                <w:bCs/>
                <w:lang w:eastAsia="es-ES"/>
              </w:rPr>
            </w:pPr>
            <w:r w:rsidRPr="00AC0A78">
              <w:rPr>
                <w:rFonts w:ascii="Times New Roman" w:eastAsia="Times New Roman" w:hAnsi="Times New Roman" w:cs="Times New Roman"/>
                <w:bCs/>
                <w:lang w:eastAsia="es-ES"/>
              </w:rPr>
              <w:t>0.147</w:t>
            </w:r>
          </w:p>
        </w:tc>
      </w:tr>
      <w:tr w:rsidR="007B1713" w14:paraId="1E856BB4" w14:textId="77777777" w:rsidTr="007167CF">
        <w:trPr>
          <w:jc w:val="center"/>
        </w:trPr>
        <w:tc>
          <w:tcPr>
            <w:tcW w:w="0" w:type="auto"/>
          </w:tcPr>
          <w:p w14:paraId="29E4ECF5" w14:textId="77777777" w:rsidR="007B1713" w:rsidRPr="00AC0A78" w:rsidRDefault="007B1713" w:rsidP="007167CF">
            <w:pPr>
              <w:pStyle w:val="Tablecontent"/>
              <w:jc w:val="center"/>
              <w:rPr>
                <w:rFonts w:ascii="Times New Roman" w:eastAsia="Times New Roman" w:hAnsi="Times New Roman" w:cs="Times New Roman"/>
                <w:bCs/>
                <w:lang w:eastAsia="es-ES"/>
              </w:rPr>
            </w:pPr>
            <w:r w:rsidRPr="00AC0A78">
              <w:rPr>
                <w:rFonts w:ascii="Times New Roman" w:eastAsia="Times New Roman" w:hAnsi="Times New Roman" w:cs="Times New Roman"/>
                <w:bCs/>
                <w:lang w:eastAsia="es-ES"/>
              </w:rPr>
              <w:t>-6 years</w:t>
            </w:r>
          </w:p>
        </w:tc>
        <w:tc>
          <w:tcPr>
            <w:tcW w:w="0" w:type="auto"/>
          </w:tcPr>
          <w:p w14:paraId="4E633504" w14:textId="77777777" w:rsidR="007B1713" w:rsidRPr="00AC0A78" w:rsidRDefault="007B1713" w:rsidP="007167CF">
            <w:pPr>
              <w:pStyle w:val="Tablecontent"/>
              <w:jc w:val="center"/>
              <w:rPr>
                <w:rFonts w:ascii="Times New Roman" w:eastAsia="Times New Roman" w:hAnsi="Times New Roman" w:cs="Times New Roman"/>
                <w:bCs/>
                <w:lang w:eastAsia="es-ES"/>
              </w:rPr>
            </w:pPr>
            <w:r w:rsidRPr="00AC0A78">
              <w:rPr>
                <w:rFonts w:ascii="Times New Roman" w:eastAsia="Times New Roman" w:hAnsi="Times New Roman" w:cs="Times New Roman"/>
                <w:bCs/>
                <w:lang w:eastAsia="es-ES"/>
              </w:rPr>
              <w:t>0.253***</w:t>
            </w:r>
          </w:p>
        </w:tc>
        <w:tc>
          <w:tcPr>
            <w:tcW w:w="0" w:type="auto"/>
          </w:tcPr>
          <w:p w14:paraId="4EF5B544" w14:textId="77777777" w:rsidR="007B1713" w:rsidRPr="00AC0A78" w:rsidRDefault="007B1713" w:rsidP="007167CF">
            <w:pPr>
              <w:pStyle w:val="Tablecontent"/>
              <w:jc w:val="center"/>
              <w:rPr>
                <w:rFonts w:ascii="Times New Roman" w:eastAsia="Times New Roman" w:hAnsi="Times New Roman" w:cs="Times New Roman"/>
                <w:bCs/>
                <w:lang w:eastAsia="es-ES"/>
              </w:rPr>
            </w:pPr>
            <w:r w:rsidRPr="00AC0A78">
              <w:rPr>
                <w:rFonts w:ascii="Times New Roman" w:eastAsia="Times New Roman" w:hAnsi="Times New Roman" w:cs="Times New Roman"/>
                <w:bCs/>
                <w:lang w:eastAsia="es-ES"/>
              </w:rPr>
              <w:t>0.114</w:t>
            </w:r>
          </w:p>
        </w:tc>
        <w:tc>
          <w:tcPr>
            <w:tcW w:w="0" w:type="auto"/>
          </w:tcPr>
          <w:p w14:paraId="4337D13D" w14:textId="77777777" w:rsidR="007B1713" w:rsidRPr="00AC0A78" w:rsidRDefault="007B1713" w:rsidP="007167CF">
            <w:pPr>
              <w:pStyle w:val="Tablecontent"/>
              <w:jc w:val="center"/>
              <w:rPr>
                <w:rFonts w:ascii="Times New Roman" w:eastAsia="Times New Roman" w:hAnsi="Times New Roman" w:cs="Times New Roman"/>
                <w:bCs/>
                <w:lang w:eastAsia="es-ES"/>
              </w:rPr>
            </w:pPr>
            <w:r w:rsidRPr="00AC0A78">
              <w:rPr>
                <w:rFonts w:ascii="Times New Roman" w:eastAsia="Times New Roman" w:hAnsi="Times New Roman" w:cs="Times New Roman"/>
                <w:bCs/>
                <w:lang w:eastAsia="es-ES"/>
              </w:rPr>
              <w:t>0.044</w:t>
            </w:r>
          </w:p>
        </w:tc>
        <w:tc>
          <w:tcPr>
            <w:tcW w:w="0" w:type="auto"/>
          </w:tcPr>
          <w:p w14:paraId="4F62DB57" w14:textId="77777777" w:rsidR="007B1713" w:rsidRPr="00AC0A78" w:rsidRDefault="007B1713" w:rsidP="007167CF">
            <w:pPr>
              <w:pStyle w:val="Tablecontent"/>
              <w:jc w:val="center"/>
              <w:rPr>
                <w:rFonts w:ascii="Times New Roman" w:eastAsia="Times New Roman" w:hAnsi="Times New Roman" w:cs="Times New Roman"/>
                <w:bCs/>
                <w:lang w:eastAsia="es-ES"/>
              </w:rPr>
            </w:pPr>
            <w:r w:rsidRPr="00AC0A78">
              <w:rPr>
                <w:rFonts w:ascii="Times New Roman" w:eastAsia="Times New Roman" w:hAnsi="Times New Roman" w:cs="Times New Roman"/>
                <w:bCs/>
                <w:lang w:eastAsia="es-ES"/>
              </w:rPr>
              <w:t>0.476</w:t>
            </w:r>
          </w:p>
        </w:tc>
      </w:tr>
      <w:tr w:rsidR="007B1713" w14:paraId="1F1297AF" w14:textId="77777777" w:rsidTr="007167CF">
        <w:trPr>
          <w:jc w:val="center"/>
        </w:trPr>
        <w:tc>
          <w:tcPr>
            <w:tcW w:w="0" w:type="auto"/>
          </w:tcPr>
          <w:p w14:paraId="7F819CB9" w14:textId="77777777" w:rsidR="007B1713" w:rsidRPr="00AC0A78" w:rsidRDefault="007B1713" w:rsidP="007167CF">
            <w:pPr>
              <w:pStyle w:val="Tablecontent"/>
              <w:jc w:val="center"/>
              <w:rPr>
                <w:rFonts w:ascii="Times New Roman" w:eastAsia="Times New Roman" w:hAnsi="Times New Roman" w:cs="Times New Roman"/>
                <w:bCs/>
                <w:lang w:eastAsia="es-ES"/>
              </w:rPr>
            </w:pPr>
            <w:r w:rsidRPr="00AC0A78">
              <w:rPr>
                <w:rFonts w:ascii="Times New Roman" w:eastAsia="Times New Roman" w:hAnsi="Times New Roman" w:cs="Times New Roman"/>
                <w:bCs/>
                <w:lang w:eastAsia="es-ES"/>
              </w:rPr>
              <w:t>-5 years</w:t>
            </w:r>
          </w:p>
        </w:tc>
        <w:tc>
          <w:tcPr>
            <w:tcW w:w="0" w:type="auto"/>
          </w:tcPr>
          <w:p w14:paraId="2A665839" w14:textId="77777777" w:rsidR="007B1713" w:rsidRPr="00AC0A78" w:rsidRDefault="007B1713" w:rsidP="007167CF">
            <w:pPr>
              <w:pStyle w:val="Tablecontent"/>
              <w:jc w:val="center"/>
              <w:rPr>
                <w:rFonts w:ascii="Times New Roman" w:eastAsia="Times New Roman" w:hAnsi="Times New Roman" w:cs="Times New Roman"/>
                <w:bCs/>
                <w:lang w:eastAsia="es-ES"/>
              </w:rPr>
            </w:pPr>
            <w:r w:rsidRPr="00AC0A78">
              <w:rPr>
                <w:rFonts w:ascii="Times New Roman" w:eastAsia="Times New Roman" w:hAnsi="Times New Roman" w:cs="Times New Roman"/>
                <w:bCs/>
                <w:lang w:eastAsia="es-ES"/>
              </w:rPr>
              <w:t>-0.015</w:t>
            </w:r>
          </w:p>
        </w:tc>
        <w:tc>
          <w:tcPr>
            <w:tcW w:w="0" w:type="auto"/>
          </w:tcPr>
          <w:p w14:paraId="335355A7" w14:textId="77777777" w:rsidR="007B1713" w:rsidRPr="00AC0A78" w:rsidRDefault="007B1713" w:rsidP="007167CF">
            <w:pPr>
              <w:pStyle w:val="Tablecontent"/>
              <w:jc w:val="center"/>
              <w:rPr>
                <w:rFonts w:ascii="Times New Roman" w:eastAsia="Times New Roman" w:hAnsi="Times New Roman" w:cs="Times New Roman"/>
                <w:bCs/>
                <w:lang w:eastAsia="es-ES"/>
              </w:rPr>
            </w:pPr>
            <w:r w:rsidRPr="00AC0A78">
              <w:rPr>
                <w:rFonts w:ascii="Times New Roman" w:eastAsia="Times New Roman" w:hAnsi="Times New Roman" w:cs="Times New Roman"/>
                <w:bCs/>
                <w:lang w:eastAsia="es-ES"/>
              </w:rPr>
              <w:t>0.070</w:t>
            </w:r>
          </w:p>
        </w:tc>
        <w:tc>
          <w:tcPr>
            <w:tcW w:w="0" w:type="auto"/>
          </w:tcPr>
          <w:p w14:paraId="1F09C46E" w14:textId="77777777" w:rsidR="007B1713" w:rsidRPr="00AC0A78" w:rsidRDefault="007B1713" w:rsidP="007167CF">
            <w:pPr>
              <w:pStyle w:val="Tablecontent"/>
              <w:jc w:val="center"/>
              <w:rPr>
                <w:rFonts w:ascii="Times New Roman" w:eastAsia="Times New Roman" w:hAnsi="Times New Roman" w:cs="Times New Roman"/>
                <w:bCs/>
                <w:lang w:eastAsia="es-ES"/>
              </w:rPr>
            </w:pPr>
            <w:r w:rsidRPr="00AC0A78">
              <w:rPr>
                <w:rFonts w:ascii="Times New Roman" w:eastAsia="Times New Roman" w:hAnsi="Times New Roman" w:cs="Times New Roman"/>
                <w:bCs/>
                <w:lang w:eastAsia="es-ES"/>
              </w:rPr>
              <w:t>-0.151</w:t>
            </w:r>
          </w:p>
        </w:tc>
        <w:tc>
          <w:tcPr>
            <w:tcW w:w="0" w:type="auto"/>
          </w:tcPr>
          <w:p w14:paraId="54C184DB" w14:textId="77777777" w:rsidR="007B1713" w:rsidRPr="00AC0A78" w:rsidRDefault="007B1713" w:rsidP="007167CF">
            <w:pPr>
              <w:pStyle w:val="Tablecontent"/>
              <w:jc w:val="center"/>
              <w:rPr>
                <w:rFonts w:ascii="Times New Roman" w:eastAsia="Times New Roman" w:hAnsi="Times New Roman" w:cs="Times New Roman"/>
                <w:bCs/>
                <w:lang w:eastAsia="es-ES"/>
              </w:rPr>
            </w:pPr>
            <w:r w:rsidRPr="00AC0A78">
              <w:rPr>
                <w:rFonts w:ascii="Times New Roman" w:eastAsia="Times New Roman" w:hAnsi="Times New Roman" w:cs="Times New Roman"/>
                <w:bCs/>
                <w:lang w:eastAsia="es-ES"/>
              </w:rPr>
              <w:t>0.123</w:t>
            </w:r>
          </w:p>
        </w:tc>
      </w:tr>
      <w:tr w:rsidR="007B1713" w14:paraId="68CC294C" w14:textId="77777777" w:rsidTr="007167CF">
        <w:trPr>
          <w:jc w:val="center"/>
        </w:trPr>
        <w:tc>
          <w:tcPr>
            <w:tcW w:w="0" w:type="auto"/>
          </w:tcPr>
          <w:p w14:paraId="2751CB0D" w14:textId="77777777" w:rsidR="007B1713" w:rsidRPr="00AC0A78" w:rsidRDefault="007B1713" w:rsidP="007167CF">
            <w:pPr>
              <w:pStyle w:val="Tablecontent"/>
              <w:jc w:val="center"/>
              <w:rPr>
                <w:rFonts w:ascii="Times New Roman" w:eastAsia="Times New Roman" w:hAnsi="Times New Roman" w:cs="Times New Roman"/>
                <w:bCs/>
                <w:lang w:eastAsia="es-ES"/>
              </w:rPr>
            </w:pPr>
            <w:r w:rsidRPr="00AC0A78">
              <w:rPr>
                <w:rFonts w:ascii="Times New Roman" w:eastAsia="Times New Roman" w:hAnsi="Times New Roman" w:cs="Times New Roman"/>
                <w:bCs/>
                <w:lang w:eastAsia="es-ES"/>
              </w:rPr>
              <w:lastRenderedPageBreak/>
              <w:t>-4 years</w:t>
            </w:r>
          </w:p>
        </w:tc>
        <w:tc>
          <w:tcPr>
            <w:tcW w:w="0" w:type="auto"/>
          </w:tcPr>
          <w:p w14:paraId="07E7673A" w14:textId="77777777" w:rsidR="007B1713" w:rsidRPr="00AC0A78" w:rsidRDefault="007B1713" w:rsidP="007167CF">
            <w:pPr>
              <w:pStyle w:val="Tablecontent"/>
              <w:jc w:val="center"/>
              <w:rPr>
                <w:rFonts w:ascii="Times New Roman" w:eastAsia="Times New Roman" w:hAnsi="Times New Roman" w:cs="Times New Roman"/>
                <w:bCs/>
                <w:lang w:eastAsia="es-ES"/>
              </w:rPr>
            </w:pPr>
            <w:r w:rsidRPr="00AC0A78">
              <w:rPr>
                <w:rFonts w:ascii="Times New Roman" w:eastAsia="Times New Roman" w:hAnsi="Times New Roman" w:cs="Times New Roman"/>
                <w:bCs/>
                <w:lang w:eastAsia="es-ES"/>
              </w:rPr>
              <w:t>-0.028</w:t>
            </w:r>
          </w:p>
        </w:tc>
        <w:tc>
          <w:tcPr>
            <w:tcW w:w="0" w:type="auto"/>
          </w:tcPr>
          <w:p w14:paraId="536FC3B5" w14:textId="77777777" w:rsidR="007B1713" w:rsidRPr="00AC0A78" w:rsidRDefault="007B1713" w:rsidP="007167CF">
            <w:pPr>
              <w:pStyle w:val="Tablecontent"/>
              <w:jc w:val="center"/>
              <w:rPr>
                <w:rFonts w:ascii="Times New Roman" w:eastAsia="Times New Roman" w:hAnsi="Times New Roman" w:cs="Times New Roman"/>
                <w:bCs/>
                <w:lang w:eastAsia="es-ES"/>
              </w:rPr>
            </w:pPr>
            <w:r w:rsidRPr="00AC0A78">
              <w:rPr>
                <w:rFonts w:ascii="Times New Roman" w:eastAsia="Times New Roman" w:hAnsi="Times New Roman" w:cs="Times New Roman"/>
                <w:bCs/>
                <w:lang w:eastAsia="es-ES"/>
              </w:rPr>
              <w:t>0.067</w:t>
            </w:r>
          </w:p>
        </w:tc>
        <w:tc>
          <w:tcPr>
            <w:tcW w:w="0" w:type="auto"/>
          </w:tcPr>
          <w:p w14:paraId="01B3D3F8" w14:textId="77777777" w:rsidR="007B1713" w:rsidRPr="00AC0A78" w:rsidRDefault="007B1713" w:rsidP="007167CF">
            <w:pPr>
              <w:pStyle w:val="Tablecontent"/>
              <w:jc w:val="center"/>
              <w:rPr>
                <w:rFonts w:ascii="Times New Roman" w:eastAsia="Times New Roman" w:hAnsi="Times New Roman" w:cs="Times New Roman"/>
                <w:bCs/>
                <w:lang w:eastAsia="es-ES"/>
              </w:rPr>
            </w:pPr>
            <w:r w:rsidRPr="00AC0A78">
              <w:rPr>
                <w:rFonts w:ascii="Times New Roman" w:eastAsia="Times New Roman" w:hAnsi="Times New Roman" w:cs="Times New Roman"/>
                <w:bCs/>
                <w:lang w:eastAsia="es-ES"/>
              </w:rPr>
              <w:t>-0.160</w:t>
            </w:r>
          </w:p>
        </w:tc>
        <w:tc>
          <w:tcPr>
            <w:tcW w:w="0" w:type="auto"/>
          </w:tcPr>
          <w:p w14:paraId="6AD78312" w14:textId="77777777" w:rsidR="007B1713" w:rsidRPr="00AC0A78" w:rsidRDefault="007B1713" w:rsidP="007167CF">
            <w:pPr>
              <w:pStyle w:val="Tablecontent"/>
              <w:jc w:val="center"/>
              <w:rPr>
                <w:rFonts w:ascii="Times New Roman" w:eastAsia="Times New Roman" w:hAnsi="Times New Roman" w:cs="Times New Roman"/>
                <w:bCs/>
                <w:lang w:eastAsia="es-ES"/>
              </w:rPr>
            </w:pPr>
            <w:r w:rsidRPr="00AC0A78">
              <w:rPr>
                <w:rFonts w:ascii="Times New Roman" w:eastAsia="Times New Roman" w:hAnsi="Times New Roman" w:cs="Times New Roman"/>
                <w:bCs/>
                <w:lang w:eastAsia="es-ES"/>
              </w:rPr>
              <w:t>0.103</w:t>
            </w:r>
          </w:p>
        </w:tc>
      </w:tr>
      <w:tr w:rsidR="007B1713" w14:paraId="7789924A" w14:textId="77777777" w:rsidTr="007167CF">
        <w:trPr>
          <w:jc w:val="center"/>
        </w:trPr>
        <w:tc>
          <w:tcPr>
            <w:tcW w:w="0" w:type="auto"/>
          </w:tcPr>
          <w:p w14:paraId="7B593E9E" w14:textId="77777777" w:rsidR="007B1713" w:rsidRPr="00AC0A78" w:rsidRDefault="007B1713" w:rsidP="007167CF">
            <w:pPr>
              <w:pStyle w:val="Tablecontent"/>
              <w:jc w:val="center"/>
              <w:rPr>
                <w:rFonts w:ascii="Times New Roman" w:eastAsia="Times New Roman" w:hAnsi="Times New Roman" w:cs="Times New Roman"/>
                <w:bCs/>
                <w:lang w:eastAsia="es-ES"/>
              </w:rPr>
            </w:pPr>
            <w:r w:rsidRPr="00AC0A78">
              <w:rPr>
                <w:rFonts w:ascii="Times New Roman" w:eastAsia="Times New Roman" w:hAnsi="Times New Roman" w:cs="Times New Roman"/>
                <w:bCs/>
                <w:lang w:eastAsia="es-ES"/>
              </w:rPr>
              <w:t>-3 years</w:t>
            </w:r>
          </w:p>
        </w:tc>
        <w:tc>
          <w:tcPr>
            <w:tcW w:w="0" w:type="auto"/>
          </w:tcPr>
          <w:p w14:paraId="29C436D3" w14:textId="77777777" w:rsidR="007B1713" w:rsidRPr="00AC0A78" w:rsidRDefault="007B1713" w:rsidP="007167CF">
            <w:pPr>
              <w:pStyle w:val="Tablecontent"/>
              <w:jc w:val="center"/>
              <w:rPr>
                <w:rFonts w:ascii="Times New Roman" w:eastAsia="Times New Roman" w:hAnsi="Times New Roman" w:cs="Times New Roman"/>
                <w:bCs/>
                <w:lang w:eastAsia="es-ES"/>
              </w:rPr>
            </w:pPr>
            <w:r w:rsidRPr="00AC0A78">
              <w:rPr>
                <w:rFonts w:ascii="Times New Roman" w:eastAsia="Times New Roman" w:hAnsi="Times New Roman" w:cs="Times New Roman"/>
                <w:bCs/>
                <w:lang w:eastAsia="es-ES"/>
              </w:rPr>
              <w:t>0.008</w:t>
            </w:r>
          </w:p>
        </w:tc>
        <w:tc>
          <w:tcPr>
            <w:tcW w:w="0" w:type="auto"/>
          </w:tcPr>
          <w:p w14:paraId="6778070E" w14:textId="77777777" w:rsidR="007B1713" w:rsidRPr="00AC0A78" w:rsidRDefault="007B1713" w:rsidP="007167CF">
            <w:pPr>
              <w:pStyle w:val="Tablecontent"/>
              <w:jc w:val="center"/>
              <w:rPr>
                <w:rFonts w:ascii="Times New Roman" w:eastAsia="Times New Roman" w:hAnsi="Times New Roman" w:cs="Times New Roman"/>
                <w:bCs/>
                <w:lang w:eastAsia="es-ES"/>
              </w:rPr>
            </w:pPr>
            <w:r w:rsidRPr="00AC0A78">
              <w:rPr>
                <w:rFonts w:ascii="Times New Roman" w:eastAsia="Times New Roman" w:hAnsi="Times New Roman" w:cs="Times New Roman"/>
                <w:bCs/>
                <w:lang w:eastAsia="es-ES"/>
              </w:rPr>
              <w:t>0.061</w:t>
            </w:r>
          </w:p>
        </w:tc>
        <w:tc>
          <w:tcPr>
            <w:tcW w:w="0" w:type="auto"/>
          </w:tcPr>
          <w:p w14:paraId="02B38C17" w14:textId="77777777" w:rsidR="007B1713" w:rsidRPr="00AC0A78" w:rsidRDefault="007B1713" w:rsidP="007167CF">
            <w:pPr>
              <w:pStyle w:val="Tablecontent"/>
              <w:jc w:val="center"/>
              <w:rPr>
                <w:rFonts w:ascii="Times New Roman" w:eastAsia="Times New Roman" w:hAnsi="Times New Roman" w:cs="Times New Roman"/>
                <w:bCs/>
                <w:lang w:eastAsia="es-ES"/>
              </w:rPr>
            </w:pPr>
            <w:r w:rsidRPr="00AC0A78">
              <w:rPr>
                <w:rFonts w:ascii="Times New Roman" w:eastAsia="Times New Roman" w:hAnsi="Times New Roman" w:cs="Times New Roman"/>
                <w:bCs/>
                <w:lang w:eastAsia="es-ES"/>
              </w:rPr>
              <w:t>-0.105</w:t>
            </w:r>
          </w:p>
        </w:tc>
        <w:tc>
          <w:tcPr>
            <w:tcW w:w="0" w:type="auto"/>
          </w:tcPr>
          <w:p w14:paraId="3D120654" w14:textId="77777777" w:rsidR="007B1713" w:rsidRPr="00AC0A78" w:rsidRDefault="007B1713" w:rsidP="007167CF">
            <w:pPr>
              <w:pStyle w:val="Tablecontent"/>
              <w:jc w:val="center"/>
              <w:rPr>
                <w:rFonts w:ascii="Times New Roman" w:eastAsia="Times New Roman" w:hAnsi="Times New Roman" w:cs="Times New Roman"/>
                <w:bCs/>
                <w:lang w:eastAsia="es-ES"/>
              </w:rPr>
            </w:pPr>
            <w:r w:rsidRPr="00AC0A78">
              <w:rPr>
                <w:rFonts w:ascii="Times New Roman" w:eastAsia="Times New Roman" w:hAnsi="Times New Roman" w:cs="Times New Roman"/>
                <w:bCs/>
                <w:lang w:eastAsia="es-ES"/>
              </w:rPr>
              <w:t>0.127</w:t>
            </w:r>
          </w:p>
        </w:tc>
      </w:tr>
      <w:tr w:rsidR="007B1713" w14:paraId="601622BE" w14:textId="77777777" w:rsidTr="007167CF">
        <w:trPr>
          <w:jc w:val="center"/>
        </w:trPr>
        <w:tc>
          <w:tcPr>
            <w:tcW w:w="0" w:type="auto"/>
          </w:tcPr>
          <w:p w14:paraId="73BE268D" w14:textId="77777777" w:rsidR="007B1713" w:rsidRPr="00AC0A78" w:rsidRDefault="007B1713" w:rsidP="007167CF">
            <w:pPr>
              <w:pStyle w:val="Tablecontent"/>
              <w:jc w:val="center"/>
              <w:rPr>
                <w:rFonts w:ascii="Times New Roman" w:eastAsia="Times New Roman" w:hAnsi="Times New Roman" w:cs="Times New Roman"/>
                <w:bCs/>
                <w:lang w:eastAsia="es-ES"/>
              </w:rPr>
            </w:pPr>
            <w:r w:rsidRPr="00AC0A78">
              <w:rPr>
                <w:rFonts w:ascii="Times New Roman" w:eastAsia="Times New Roman" w:hAnsi="Times New Roman" w:cs="Times New Roman"/>
                <w:bCs/>
                <w:lang w:eastAsia="es-ES"/>
              </w:rPr>
              <w:t>-2 years</w:t>
            </w:r>
          </w:p>
        </w:tc>
        <w:tc>
          <w:tcPr>
            <w:tcW w:w="0" w:type="auto"/>
          </w:tcPr>
          <w:p w14:paraId="60D9F139" w14:textId="77777777" w:rsidR="007B1713" w:rsidRPr="00AC0A78" w:rsidRDefault="007B1713" w:rsidP="007167CF">
            <w:pPr>
              <w:pStyle w:val="Tablecontent"/>
              <w:jc w:val="center"/>
              <w:rPr>
                <w:rFonts w:ascii="Times New Roman" w:eastAsia="Times New Roman" w:hAnsi="Times New Roman" w:cs="Times New Roman"/>
                <w:bCs/>
                <w:lang w:eastAsia="es-ES"/>
              </w:rPr>
            </w:pPr>
            <w:r w:rsidRPr="00AC0A78">
              <w:rPr>
                <w:rFonts w:ascii="Times New Roman" w:eastAsia="Times New Roman" w:hAnsi="Times New Roman" w:cs="Times New Roman"/>
                <w:bCs/>
                <w:lang w:eastAsia="es-ES"/>
              </w:rPr>
              <w:t>0.057</w:t>
            </w:r>
          </w:p>
        </w:tc>
        <w:tc>
          <w:tcPr>
            <w:tcW w:w="0" w:type="auto"/>
          </w:tcPr>
          <w:p w14:paraId="2407F73E" w14:textId="77777777" w:rsidR="007B1713" w:rsidRPr="00AC0A78" w:rsidRDefault="007B1713" w:rsidP="007167CF">
            <w:pPr>
              <w:pStyle w:val="Tablecontent"/>
              <w:jc w:val="center"/>
              <w:rPr>
                <w:rFonts w:ascii="Times New Roman" w:eastAsia="Times New Roman" w:hAnsi="Times New Roman" w:cs="Times New Roman"/>
                <w:bCs/>
                <w:lang w:eastAsia="es-ES"/>
              </w:rPr>
            </w:pPr>
            <w:r w:rsidRPr="00AC0A78">
              <w:rPr>
                <w:rFonts w:ascii="Times New Roman" w:eastAsia="Times New Roman" w:hAnsi="Times New Roman" w:cs="Times New Roman"/>
                <w:bCs/>
                <w:lang w:eastAsia="es-ES"/>
              </w:rPr>
              <w:t>0.051</w:t>
            </w:r>
          </w:p>
        </w:tc>
        <w:tc>
          <w:tcPr>
            <w:tcW w:w="0" w:type="auto"/>
          </w:tcPr>
          <w:p w14:paraId="60A4CFB3" w14:textId="77777777" w:rsidR="007B1713" w:rsidRPr="00AC0A78" w:rsidRDefault="007B1713" w:rsidP="007167CF">
            <w:pPr>
              <w:pStyle w:val="Tablecontent"/>
              <w:jc w:val="center"/>
              <w:rPr>
                <w:rFonts w:ascii="Times New Roman" w:eastAsia="Times New Roman" w:hAnsi="Times New Roman" w:cs="Times New Roman"/>
                <w:bCs/>
                <w:lang w:eastAsia="es-ES"/>
              </w:rPr>
            </w:pPr>
            <w:r w:rsidRPr="00AC0A78">
              <w:rPr>
                <w:rFonts w:ascii="Times New Roman" w:eastAsia="Times New Roman" w:hAnsi="Times New Roman" w:cs="Times New Roman"/>
                <w:bCs/>
                <w:lang w:eastAsia="es-ES"/>
              </w:rPr>
              <w:t>-0.046</w:t>
            </w:r>
          </w:p>
        </w:tc>
        <w:tc>
          <w:tcPr>
            <w:tcW w:w="0" w:type="auto"/>
          </w:tcPr>
          <w:p w14:paraId="2DC0FF7D" w14:textId="77777777" w:rsidR="007B1713" w:rsidRPr="00AC0A78" w:rsidRDefault="007B1713" w:rsidP="007167CF">
            <w:pPr>
              <w:pStyle w:val="Tablecontent"/>
              <w:jc w:val="center"/>
              <w:rPr>
                <w:rFonts w:ascii="Times New Roman" w:eastAsia="Times New Roman" w:hAnsi="Times New Roman" w:cs="Times New Roman"/>
                <w:bCs/>
                <w:lang w:eastAsia="es-ES"/>
              </w:rPr>
            </w:pPr>
            <w:r w:rsidRPr="00AC0A78">
              <w:rPr>
                <w:rFonts w:ascii="Times New Roman" w:eastAsia="Times New Roman" w:hAnsi="Times New Roman" w:cs="Times New Roman"/>
                <w:bCs/>
                <w:lang w:eastAsia="es-ES"/>
              </w:rPr>
              <w:t>0.157</w:t>
            </w:r>
          </w:p>
        </w:tc>
      </w:tr>
      <w:tr w:rsidR="007B1713" w14:paraId="58AF1A2A" w14:textId="77777777" w:rsidTr="007167CF">
        <w:trPr>
          <w:jc w:val="center"/>
        </w:trPr>
        <w:tc>
          <w:tcPr>
            <w:tcW w:w="0" w:type="auto"/>
          </w:tcPr>
          <w:p w14:paraId="4C3FC60A" w14:textId="77777777" w:rsidR="007B1713" w:rsidRPr="00AC0A78" w:rsidRDefault="007B1713" w:rsidP="007167CF">
            <w:pPr>
              <w:pStyle w:val="Tablecontent"/>
              <w:jc w:val="center"/>
              <w:rPr>
                <w:rFonts w:ascii="Times New Roman" w:eastAsia="Times New Roman" w:hAnsi="Times New Roman" w:cs="Times New Roman"/>
                <w:bCs/>
                <w:lang w:eastAsia="es-ES"/>
              </w:rPr>
            </w:pPr>
            <w:r w:rsidRPr="00AC0A78">
              <w:rPr>
                <w:rFonts w:ascii="Times New Roman" w:eastAsia="Times New Roman" w:hAnsi="Times New Roman" w:cs="Times New Roman"/>
                <w:bCs/>
                <w:lang w:eastAsia="es-ES"/>
              </w:rPr>
              <w:t>-1 years</w:t>
            </w:r>
          </w:p>
        </w:tc>
        <w:tc>
          <w:tcPr>
            <w:tcW w:w="0" w:type="auto"/>
          </w:tcPr>
          <w:p w14:paraId="459D4081" w14:textId="77777777" w:rsidR="007B1713" w:rsidRPr="00AC0A78" w:rsidRDefault="007B1713" w:rsidP="007167CF">
            <w:pPr>
              <w:pStyle w:val="Tablecontent"/>
              <w:jc w:val="center"/>
              <w:rPr>
                <w:rFonts w:ascii="Times New Roman" w:eastAsia="Times New Roman" w:hAnsi="Times New Roman" w:cs="Times New Roman"/>
                <w:bCs/>
                <w:lang w:eastAsia="es-ES"/>
              </w:rPr>
            </w:pPr>
            <w:r w:rsidRPr="00AC0A78">
              <w:rPr>
                <w:rFonts w:ascii="Times New Roman" w:eastAsia="Times New Roman" w:hAnsi="Times New Roman" w:cs="Times New Roman"/>
                <w:bCs/>
                <w:lang w:eastAsia="es-ES"/>
              </w:rPr>
              <w:t>-0.113**</w:t>
            </w:r>
          </w:p>
        </w:tc>
        <w:tc>
          <w:tcPr>
            <w:tcW w:w="0" w:type="auto"/>
          </w:tcPr>
          <w:p w14:paraId="3CC06AA8" w14:textId="77777777" w:rsidR="007B1713" w:rsidRPr="00AC0A78" w:rsidRDefault="007B1713" w:rsidP="007167CF">
            <w:pPr>
              <w:pStyle w:val="Tablecontent"/>
              <w:jc w:val="center"/>
              <w:rPr>
                <w:rFonts w:ascii="Times New Roman" w:eastAsia="Times New Roman" w:hAnsi="Times New Roman" w:cs="Times New Roman"/>
                <w:bCs/>
                <w:lang w:eastAsia="es-ES"/>
              </w:rPr>
            </w:pPr>
            <w:r w:rsidRPr="00AC0A78">
              <w:rPr>
                <w:rFonts w:ascii="Times New Roman" w:eastAsia="Times New Roman" w:hAnsi="Times New Roman" w:cs="Times New Roman"/>
                <w:bCs/>
                <w:lang w:eastAsia="es-ES"/>
              </w:rPr>
              <w:t>0.054</w:t>
            </w:r>
          </w:p>
        </w:tc>
        <w:tc>
          <w:tcPr>
            <w:tcW w:w="0" w:type="auto"/>
          </w:tcPr>
          <w:p w14:paraId="3CC8880C" w14:textId="77777777" w:rsidR="007B1713" w:rsidRPr="00AC0A78" w:rsidRDefault="007B1713" w:rsidP="007167CF">
            <w:pPr>
              <w:pStyle w:val="Tablecontent"/>
              <w:jc w:val="center"/>
              <w:rPr>
                <w:rFonts w:ascii="Times New Roman" w:eastAsia="Times New Roman" w:hAnsi="Times New Roman" w:cs="Times New Roman"/>
                <w:bCs/>
                <w:lang w:eastAsia="es-ES"/>
              </w:rPr>
            </w:pPr>
            <w:r w:rsidRPr="00AC0A78">
              <w:rPr>
                <w:rFonts w:ascii="Times New Roman" w:eastAsia="Times New Roman" w:hAnsi="Times New Roman" w:cs="Times New Roman"/>
                <w:bCs/>
                <w:lang w:eastAsia="es-ES"/>
              </w:rPr>
              <w:t>-0.223</w:t>
            </w:r>
          </w:p>
        </w:tc>
        <w:tc>
          <w:tcPr>
            <w:tcW w:w="0" w:type="auto"/>
          </w:tcPr>
          <w:p w14:paraId="7418061A" w14:textId="77777777" w:rsidR="007B1713" w:rsidRPr="00AC0A78" w:rsidRDefault="007B1713" w:rsidP="007167CF">
            <w:pPr>
              <w:pStyle w:val="Tablecontent"/>
              <w:jc w:val="center"/>
              <w:rPr>
                <w:rFonts w:ascii="Times New Roman" w:eastAsia="Times New Roman" w:hAnsi="Times New Roman" w:cs="Times New Roman"/>
                <w:bCs/>
                <w:lang w:eastAsia="es-ES"/>
              </w:rPr>
            </w:pPr>
            <w:r w:rsidRPr="00AC0A78">
              <w:rPr>
                <w:rFonts w:ascii="Times New Roman" w:eastAsia="Times New Roman" w:hAnsi="Times New Roman" w:cs="Times New Roman"/>
                <w:bCs/>
                <w:lang w:eastAsia="es-ES"/>
              </w:rPr>
              <w:t>-0.006</w:t>
            </w:r>
          </w:p>
        </w:tc>
      </w:tr>
      <w:tr w:rsidR="007B1713" w14:paraId="662E20E4" w14:textId="77777777" w:rsidTr="007167CF">
        <w:trPr>
          <w:jc w:val="center"/>
        </w:trPr>
        <w:tc>
          <w:tcPr>
            <w:tcW w:w="0" w:type="auto"/>
          </w:tcPr>
          <w:p w14:paraId="508BADB9" w14:textId="77777777" w:rsidR="007B1713" w:rsidRPr="00AC0A78" w:rsidRDefault="007B1713" w:rsidP="007167CF">
            <w:pPr>
              <w:pStyle w:val="Tablecontent"/>
              <w:jc w:val="center"/>
              <w:rPr>
                <w:rFonts w:ascii="Times New Roman" w:eastAsia="Times New Roman" w:hAnsi="Times New Roman" w:cs="Times New Roman"/>
                <w:bCs/>
                <w:lang w:eastAsia="es-ES"/>
              </w:rPr>
            </w:pPr>
            <w:r w:rsidRPr="00AC0A78">
              <w:rPr>
                <w:rFonts w:ascii="Times New Roman" w:eastAsia="Times New Roman" w:hAnsi="Times New Roman" w:cs="Times New Roman"/>
                <w:bCs/>
                <w:lang w:eastAsia="es-ES"/>
              </w:rPr>
              <w:t>0 years</w:t>
            </w:r>
          </w:p>
        </w:tc>
        <w:tc>
          <w:tcPr>
            <w:tcW w:w="0" w:type="auto"/>
          </w:tcPr>
          <w:p w14:paraId="199484B3" w14:textId="77777777" w:rsidR="007B1713" w:rsidRPr="00AC0A78" w:rsidRDefault="007B1713" w:rsidP="007167CF">
            <w:pPr>
              <w:pStyle w:val="Tablecontent"/>
              <w:jc w:val="center"/>
              <w:rPr>
                <w:rFonts w:ascii="Times New Roman" w:eastAsia="Times New Roman" w:hAnsi="Times New Roman" w:cs="Times New Roman"/>
                <w:bCs/>
                <w:lang w:eastAsia="es-ES"/>
              </w:rPr>
            </w:pPr>
            <w:r w:rsidRPr="00AC0A78">
              <w:rPr>
                <w:rFonts w:ascii="Times New Roman" w:eastAsia="Times New Roman" w:hAnsi="Times New Roman" w:cs="Times New Roman"/>
                <w:bCs/>
                <w:lang w:eastAsia="es-ES"/>
              </w:rPr>
              <w:t>0.120**</w:t>
            </w:r>
          </w:p>
        </w:tc>
        <w:tc>
          <w:tcPr>
            <w:tcW w:w="0" w:type="auto"/>
          </w:tcPr>
          <w:p w14:paraId="71B38F7B" w14:textId="77777777" w:rsidR="007B1713" w:rsidRPr="00AC0A78" w:rsidRDefault="007B1713" w:rsidP="007167CF">
            <w:pPr>
              <w:pStyle w:val="Tablecontent"/>
              <w:jc w:val="center"/>
              <w:rPr>
                <w:rFonts w:ascii="Times New Roman" w:eastAsia="Times New Roman" w:hAnsi="Times New Roman" w:cs="Times New Roman"/>
                <w:bCs/>
                <w:lang w:eastAsia="es-ES"/>
              </w:rPr>
            </w:pPr>
            <w:r w:rsidRPr="00AC0A78">
              <w:rPr>
                <w:rFonts w:ascii="Times New Roman" w:eastAsia="Times New Roman" w:hAnsi="Times New Roman" w:cs="Times New Roman"/>
                <w:bCs/>
                <w:lang w:eastAsia="es-ES"/>
              </w:rPr>
              <w:t>0.046</w:t>
            </w:r>
          </w:p>
        </w:tc>
        <w:tc>
          <w:tcPr>
            <w:tcW w:w="0" w:type="auto"/>
          </w:tcPr>
          <w:p w14:paraId="10945454" w14:textId="77777777" w:rsidR="007B1713" w:rsidRPr="00AC0A78" w:rsidRDefault="007B1713" w:rsidP="007167CF">
            <w:pPr>
              <w:pStyle w:val="Tablecontent"/>
              <w:jc w:val="center"/>
              <w:rPr>
                <w:rFonts w:ascii="Times New Roman" w:eastAsia="Times New Roman" w:hAnsi="Times New Roman" w:cs="Times New Roman"/>
                <w:bCs/>
                <w:lang w:eastAsia="es-ES"/>
              </w:rPr>
            </w:pPr>
            <w:r w:rsidRPr="00AC0A78">
              <w:rPr>
                <w:rFonts w:ascii="Times New Roman" w:eastAsia="Times New Roman" w:hAnsi="Times New Roman" w:cs="Times New Roman"/>
                <w:bCs/>
                <w:lang w:eastAsia="es-ES"/>
              </w:rPr>
              <w:t>0.016</w:t>
            </w:r>
          </w:p>
        </w:tc>
        <w:tc>
          <w:tcPr>
            <w:tcW w:w="0" w:type="auto"/>
          </w:tcPr>
          <w:p w14:paraId="2573CA8C" w14:textId="77777777" w:rsidR="007B1713" w:rsidRPr="00AC0A78" w:rsidRDefault="007B1713" w:rsidP="007167CF">
            <w:pPr>
              <w:pStyle w:val="Tablecontent"/>
              <w:jc w:val="center"/>
              <w:rPr>
                <w:rFonts w:ascii="Times New Roman" w:eastAsia="Times New Roman" w:hAnsi="Times New Roman" w:cs="Times New Roman"/>
                <w:bCs/>
                <w:lang w:eastAsia="es-ES"/>
              </w:rPr>
            </w:pPr>
            <w:r w:rsidRPr="00AC0A78">
              <w:rPr>
                <w:rFonts w:ascii="Times New Roman" w:eastAsia="Times New Roman" w:hAnsi="Times New Roman" w:cs="Times New Roman"/>
                <w:bCs/>
                <w:lang w:eastAsia="es-ES"/>
              </w:rPr>
              <w:t>0.211</w:t>
            </w:r>
          </w:p>
        </w:tc>
      </w:tr>
      <w:tr w:rsidR="007B1713" w14:paraId="593062C7" w14:textId="77777777" w:rsidTr="007167CF">
        <w:trPr>
          <w:jc w:val="center"/>
        </w:trPr>
        <w:tc>
          <w:tcPr>
            <w:tcW w:w="0" w:type="auto"/>
          </w:tcPr>
          <w:p w14:paraId="12B0C856" w14:textId="77777777" w:rsidR="007B1713" w:rsidRPr="00AC0A78" w:rsidRDefault="007B1713" w:rsidP="007167CF">
            <w:pPr>
              <w:pStyle w:val="Tablecontent"/>
              <w:jc w:val="center"/>
              <w:rPr>
                <w:rFonts w:ascii="Times New Roman" w:eastAsia="Times New Roman" w:hAnsi="Times New Roman" w:cs="Times New Roman"/>
                <w:bCs/>
                <w:lang w:eastAsia="es-ES"/>
              </w:rPr>
            </w:pPr>
            <w:r w:rsidRPr="00AC0A78">
              <w:rPr>
                <w:rFonts w:ascii="Times New Roman" w:eastAsia="Times New Roman" w:hAnsi="Times New Roman" w:cs="Times New Roman"/>
                <w:bCs/>
                <w:lang w:eastAsia="es-ES"/>
              </w:rPr>
              <w:t>1 years</w:t>
            </w:r>
          </w:p>
        </w:tc>
        <w:tc>
          <w:tcPr>
            <w:tcW w:w="0" w:type="auto"/>
          </w:tcPr>
          <w:p w14:paraId="2302483C" w14:textId="77777777" w:rsidR="007B1713" w:rsidRPr="00AC0A78" w:rsidRDefault="007B1713" w:rsidP="007167CF">
            <w:pPr>
              <w:pStyle w:val="Tablecontent"/>
              <w:jc w:val="center"/>
              <w:rPr>
                <w:rFonts w:ascii="Times New Roman" w:eastAsia="Times New Roman" w:hAnsi="Times New Roman" w:cs="Times New Roman"/>
                <w:bCs/>
                <w:lang w:eastAsia="es-ES"/>
              </w:rPr>
            </w:pPr>
            <w:r w:rsidRPr="00AC0A78">
              <w:rPr>
                <w:rFonts w:ascii="Times New Roman" w:eastAsia="Times New Roman" w:hAnsi="Times New Roman" w:cs="Times New Roman"/>
                <w:bCs/>
                <w:lang w:eastAsia="es-ES"/>
              </w:rPr>
              <w:t>0.122*</w:t>
            </w:r>
          </w:p>
        </w:tc>
        <w:tc>
          <w:tcPr>
            <w:tcW w:w="0" w:type="auto"/>
          </w:tcPr>
          <w:p w14:paraId="2999FA18" w14:textId="77777777" w:rsidR="007B1713" w:rsidRPr="00AC0A78" w:rsidRDefault="007B1713" w:rsidP="007167CF">
            <w:pPr>
              <w:pStyle w:val="Tablecontent"/>
              <w:jc w:val="center"/>
              <w:rPr>
                <w:rFonts w:ascii="Times New Roman" w:eastAsia="Times New Roman" w:hAnsi="Times New Roman" w:cs="Times New Roman"/>
                <w:bCs/>
                <w:lang w:eastAsia="es-ES"/>
              </w:rPr>
            </w:pPr>
            <w:r w:rsidRPr="00AC0A78">
              <w:rPr>
                <w:rFonts w:ascii="Times New Roman" w:eastAsia="Times New Roman" w:hAnsi="Times New Roman" w:cs="Times New Roman"/>
                <w:bCs/>
                <w:lang w:eastAsia="es-ES"/>
              </w:rPr>
              <w:t>0.061</w:t>
            </w:r>
          </w:p>
        </w:tc>
        <w:tc>
          <w:tcPr>
            <w:tcW w:w="0" w:type="auto"/>
          </w:tcPr>
          <w:p w14:paraId="131C2B76" w14:textId="77777777" w:rsidR="007B1713" w:rsidRPr="00AC0A78" w:rsidRDefault="007B1713" w:rsidP="007167CF">
            <w:pPr>
              <w:pStyle w:val="Tablecontent"/>
              <w:jc w:val="center"/>
              <w:rPr>
                <w:rFonts w:ascii="Times New Roman" w:eastAsia="Times New Roman" w:hAnsi="Times New Roman" w:cs="Times New Roman"/>
                <w:bCs/>
                <w:lang w:eastAsia="es-ES"/>
              </w:rPr>
            </w:pPr>
            <w:r w:rsidRPr="00AC0A78">
              <w:rPr>
                <w:rFonts w:ascii="Times New Roman" w:eastAsia="Times New Roman" w:hAnsi="Times New Roman" w:cs="Times New Roman"/>
                <w:bCs/>
                <w:lang w:eastAsia="es-ES"/>
              </w:rPr>
              <w:t>-0.002</w:t>
            </w:r>
          </w:p>
        </w:tc>
        <w:tc>
          <w:tcPr>
            <w:tcW w:w="0" w:type="auto"/>
          </w:tcPr>
          <w:p w14:paraId="3ABBFEF2" w14:textId="77777777" w:rsidR="007B1713" w:rsidRPr="00AC0A78" w:rsidRDefault="007B1713" w:rsidP="007167CF">
            <w:pPr>
              <w:pStyle w:val="Tablecontent"/>
              <w:jc w:val="center"/>
              <w:rPr>
                <w:rFonts w:ascii="Times New Roman" w:eastAsia="Times New Roman" w:hAnsi="Times New Roman" w:cs="Times New Roman"/>
                <w:bCs/>
                <w:lang w:eastAsia="es-ES"/>
              </w:rPr>
            </w:pPr>
            <w:r w:rsidRPr="00AC0A78">
              <w:rPr>
                <w:rFonts w:ascii="Times New Roman" w:eastAsia="Times New Roman" w:hAnsi="Times New Roman" w:cs="Times New Roman"/>
                <w:bCs/>
                <w:lang w:eastAsia="es-ES"/>
              </w:rPr>
              <w:t>0.242</w:t>
            </w:r>
          </w:p>
        </w:tc>
      </w:tr>
      <w:tr w:rsidR="007B1713" w14:paraId="11D0D417" w14:textId="77777777" w:rsidTr="007167CF">
        <w:trPr>
          <w:jc w:val="center"/>
        </w:trPr>
        <w:tc>
          <w:tcPr>
            <w:tcW w:w="0" w:type="auto"/>
          </w:tcPr>
          <w:p w14:paraId="304A5678" w14:textId="77777777" w:rsidR="007B1713" w:rsidRPr="00AC0A78" w:rsidRDefault="007B1713" w:rsidP="007167CF">
            <w:pPr>
              <w:pStyle w:val="Tablecontent"/>
              <w:jc w:val="center"/>
              <w:rPr>
                <w:rFonts w:ascii="Times New Roman" w:eastAsia="Times New Roman" w:hAnsi="Times New Roman" w:cs="Times New Roman"/>
                <w:bCs/>
                <w:lang w:eastAsia="es-ES"/>
              </w:rPr>
            </w:pPr>
            <w:r w:rsidRPr="00AC0A78">
              <w:rPr>
                <w:rFonts w:ascii="Times New Roman" w:eastAsia="Times New Roman" w:hAnsi="Times New Roman" w:cs="Times New Roman"/>
                <w:bCs/>
                <w:lang w:eastAsia="es-ES"/>
              </w:rPr>
              <w:t>2 years</w:t>
            </w:r>
          </w:p>
        </w:tc>
        <w:tc>
          <w:tcPr>
            <w:tcW w:w="0" w:type="auto"/>
          </w:tcPr>
          <w:p w14:paraId="2EE3FBD5" w14:textId="77777777" w:rsidR="007B1713" w:rsidRPr="00AC0A78" w:rsidRDefault="007B1713" w:rsidP="007167CF">
            <w:pPr>
              <w:pStyle w:val="Tablecontent"/>
              <w:jc w:val="center"/>
              <w:rPr>
                <w:rFonts w:ascii="Times New Roman" w:eastAsia="Times New Roman" w:hAnsi="Times New Roman" w:cs="Times New Roman"/>
                <w:bCs/>
                <w:lang w:eastAsia="es-ES"/>
              </w:rPr>
            </w:pPr>
            <w:r w:rsidRPr="00AC0A78">
              <w:rPr>
                <w:rFonts w:ascii="Times New Roman" w:eastAsia="Times New Roman" w:hAnsi="Times New Roman" w:cs="Times New Roman"/>
                <w:bCs/>
                <w:lang w:eastAsia="es-ES"/>
              </w:rPr>
              <w:t>0.144*</w:t>
            </w:r>
          </w:p>
        </w:tc>
        <w:tc>
          <w:tcPr>
            <w:tcW w:w="0" w:type="auto"/>
          </w:tcPr>
          <w:p w14:paraId="7B40E3BB" w14:textId="77777777" w:rsidR="007B1713" w:rsidRPr="00AC0A78" w:rsidRDefault="007B1713" w:rsidP="007167CF">
            <w:pPr>
              <w:pStyle w:val="Tablecontent"/>
              <w:jc w:val="center"/>
              <w:rPr>
                <w:rFonts w:ascii="Times New Roman" w:eastAsia="Times New Roman" w:hAnsi="Times New Roman" w:cs="Times New Roman"/>
                <w:bCs/>
                <w:lang w:eastAsia="es-ES"/>
              </w:rPr>
            </w:pPr>
            <w:r w:rsidRPr="00AC0A78">
              <w:rPr>
                <w:rFonts w:ascii="Times New Roman" w:eastAsia="Times New Roman" w:hAnsi="Times New Roman" w:cs="Times New Roman"/>
                <w:bCs/>
                <w:lang w:eastAsia="es-ES"/>
              </w:rPr>
              <w:t>0.075</w:t>
            </w:r>
          </w:p>
        </w:tc>
        <w:tc>
          <w:tcPr>
            <w:tcW w:w="0" w:type="auto"/>
          </w:tcPr>
          <w:p w14:paraId="036D7679" w14:textId="77777777" w:rsidR="007B1713" w:rsidRPr="00AC0A78" w:rsidRDefault="007B1713" w:rsidP="007167CF">
            <w:pPr>
              <w:pStyle w:val="Tablecontent"/>
              <w:jc w:val="center"/>
              <w:rPr>
                <w:rFonts w:ascii="Times New Roman" w:eastAsia="Times New Roman" w:hAnsi="Times New Roman" w:cs="Times New Roman"/>
                <w:bCs/>
                <w:lang w:eastAsia="es-ES"/>
              </w:rPr>
            </w:pPr>
            <w:r w:rsidRPr="00AC0A78">
              <w:rPr>
                <w:rFonts w:ascii="Times New Roman" w:eastAsia="Times New Roman" w:hAnsi="Times New Roman" w:cs="Times New Roman"/>
                <w:bCs/>
                <w:lang w:eastAsia="es-ES"/>
              </w:rPr>
              <w:t>-0.003</w:t>
            </w:r>
          </w:p>
        </w:tc>
        <w:tc>
          <w:tcPr>
            <w:tcW w:w="0" w:type="auto"/>
          </w:tcPr>
          <w:p w14:paraId="1966A4E6" w14:textId="77777777" w:rsidR="007B1713" w:rsidRPr="00AC0A78" w:rsidRDefault="007B1713" w:rsidP="007167CF">
            <w:pPr>
              <w:pStyle w:val="Tablecontent"/>
              <w:jc w:val="center"/>
              <w:rPr>
                <w:rFonts w:ascii="Times New Roman" w:eastAsia="Times New Roman" w:hAnsi="Times New Roman" w:cs="Times New Roman"/>
                <w:bCs/>
                <w:lang w:eastAsia="es-ES"/>
              </w:rPr>
            </w:pPr>
            <w:r w:rsidRPr="00AC0A78">
              <w:rPr>
                <w:rFonts w:ascii="Times New Roman" w:eastAsia="Times New Roman" w:hAnsi="Times New Roman" w:cs="Times New Roman"/>
                <w:bCs/>
                <w:lang w:eastAsia="es-ES"/>
              </w:rPr>
              <w:t>0.291</w:t>
            </w:r>
          </w:p>
        </w:tc>
      </w:tr>
      <w:tr w:rsidR="007B1713" w14:paraId="3D5B1B6E" w14:textId="77777777" w:rsidTr="007167CF">
        <w:trPr>
          <w:jc w:val="center"/>
        </w:trPr>
        <w:tc>
          <w:tcPr>
            <w:tcW w:w="0" w:type="auto"/>
          </w:tcPr>
          <w:p w14:paraId="1365233E" w14:textId="77777777" w:rsidR="007B1713" w:rsidRPr="00AC0A78" w:rsidRDefault="007B1713" w:rsidP="007167CF">
            <w:pPr>
              <w:pStyle w:val="Tablecontent"/>
              <w:jc w:val="center"/>
              <w:rPr>
                <w:rFonts w:ascii="Times New Roman" w:eastAsia="Times New Roman" w:hAnsi="Times New Roman" w:cs="Times New Roman"/>
                <w:bCs/>
                <w:lang w:eastAsia="es-ES"/>
              </w:rPr>
            </w:pPr>
            <w:r w:rsidRPr="00AC0A78">
              <w:rPr>
                <w:rFonts w:ascii="Times New Roman" w:eastAsia="Times New Roman" w:hAnsi="Times New Roman" w:cs="Times New Roman"/>
                <w:bCs/>
                <w:lang w:eastAsia="es-ES"/>
              </w:rPr>
              <w:t>3 years</w:t>
            </w:r>
          </w:p>
        </w:tc>
        <w:tc>
          <w:tcPr>
            <w:tcW w:w="0" w:type="auto"/>
          </w:tcPr>
          <w:p w14:paraId="2A05AD6F" w14:textId="77777777" w:rsidR="007B1713" w:rsidRPr="00AC0A78" w:rsidRDefault="007B1713" w:rsidP="007167CF">
            <w:pPr>
              <w:pStyle w:val="Tablecontent"/>
              <w:jc w:val="center"/>
              <w:rPr>
                <w:rFonts w:ascii="Times New Roman" w:eastAsia="Times New Roman" w:hAnsi="Times New Roman" w:cs="Times New Roman"/>
                <w:bCs/>
                <w:lang w:eastAsia="es-ES"/>
              </w:rPr>
            </w:pPr>
            <w:r w:rsidRPr="00AC0A78">
              <w:rPr>
                <w:rFonts w:ascii="Times New Roman" w:eastAsia="Times New Roman" w:hAnsi="Times New Roman" w:cs="Times New Roman"/>
                <w:bCs/>
                <w:lang w:eastAsia="es-ES"/>
              </w:rPr>
              <w:t>0.113</w:t>
            </w:r>
          </w:p>
        </w:tc>
        <w:tc>
          <w:tcPr>
            <w:tcW w:w="0" w:type="auto"/>
          </w:tcPr>
          <w:p w14:paraId="36DB3FBC" w14:textId="77777777" w:rsidR="007B1713" w:rsidRPr="00AC0A78" w:rsidRDefault="007B1713" w:rsidP="007167CF">
            <w:pPr>
              <w:pStyle w:val="Tablecontent"/>
              <w:jc w:val="center"/>
              <w:rPr>
                <w:rFonts w:ascii="Times New Roman" w:eastAsia="Times New Roman" w:hAnsi="Times New Roman" w:cs="Times New Roman"/>
                <w:bCs/>
                <w:lang w:eastAsia="es-ES"/>
              </w:rPr>
            </w:pPr>
            <w:r w:rsidRPr="00AC0A78">
              <w:rPr>
                <w:rFonts w:ascii="Times New Roman" w:eastAsia="Times New Roman" w:hAnsi="Times New Roman" w:cs="Times New Roman"/>
                <w:bCs/>
                <w:lang w:eastAsia="es-ES"/>
              </w:rPr>
              <w:t>0.081</w:t>
            </w:r>
          </w:p>
        </w:tc>
        <w:tc>
          <w:tcPr>
            <w:tcW w:w="0" w:type="auto"/>
          </w:tcPr>
          <w:p w14:paraId="1428E2EB" w14:textId="77777777" w:rsidR="007B1713" w:rsidRPr="00AC0A78" w:rsidRDefault="007B1713" w:rsidP="007167CF">
            <w:pPr>
              <w:pStyle w:val="Tablecontent"/>
              <w:jc w:val="center"/>
              <w:rPr>
                <w:rFonts w:ascii="Times New Roman" w:eastAsia="Times New Roman" w:hAnsi="Times New Roman" w:cs="Times New Roman"/>
                <w:bCs/>
                <w:lang w:eastAsia="es-ES"/>
              </w:rPr>
            </w:pPr>
            <w:r w:rsidRPr="00AC0A78">
              <w:rPr>
                <w:rFonts w:ascii="Times New Roman" w:eastAsia="Times New Roman" w:hAnsi="Times New Roman" w:cs="Times New Roman"/>
                <w:bCs/>
                <w:lang w:eastAsia="es-ES"/>
              </w:rPr>
              <w:t>-0.049</w:t>
            </w:r>
          </w:p>
        </w:tc>
        <w:tc>
          <w:tcPr>
            <w:tcW w:w="0" w:type="auto"/>
          </w:tcPr>
          <w:p w14:paraId="7F96201E" w14:textId="77777777" w:rsidR="007B1713" w:rsidRPr="00AC0A78" w:rsidRDefault="007B1713" w:rsidP="007167CF">
            <w:pPr>
              <w:pStyle w:val="Tablecontent"/>
              <w:jc w:val="center"/>
              <w:rPr>
                <w:rFonts w:ascii="Times New Roman" w:eastAsia="Times New Roman" w:hAnsi="Times New Roman" w:cs="Times New Roman"/>
                <w:bCs/>
                <w:lang w:eastAsia="es-ES"/>
              </w:rPr>
            </w:pPr>
            <w:r w:rsidRPr="00AC0A78">
              <w:rPr>
                <w:rFonts w:ascii="Times New Roman" w:eastAsia="Times New Roman" w:hAnsi="Times New Roman" w:cs="Times New Roman"/>
                <w:bCs/>
                <w:lang w:eastAsia="es-ES"/>
              </w:rPr>
              <w:t>0.272</w:t>
            </w:r>
          </w:p>
        </w:tc>
      </w:tr>
      <w:tr w:rsidR="007B1713" w14:paraId="04876A4C" w14:textId="77777777" w:rsidTr="007167CF">
        <w:trPr>
          <w:jc w:val="center"/>
        </w:trPr>
        <w:tc>
          <w:tcPr>
            <w:tcW w:w="0" w:type="auto"/>
            <w:tcBorders>
              <w:bottom w:val="single" w:sz="4" w:space="0" w:color="auto"/>
            </w:tcBorders>
          </w:tcPr>
          <w:p w14:paraId="6B382074" w14:textId="77777777" w:rsidR="007B1713" w:rsidRPr="00AC0A78" w:rsidRDefault="007B1713" w:rsidP="007167CF">
            <w:pPr>
              <w:pStyle w:val="Tablecontent"/>
              <w:jc w:val="center"/>
              <w:rPr>
                <w:rFonts w:ascii="Times New Roman" w:eastAsia="Times New Roman" w:hAnsi="Times New Roman" w:cs="Times New Roman"/>
                <w:bCs/>
                <w:lang w:eastAsia="es-ES"/>
              </w:rPr>
            </w:pPr>
            <w:r w:rsidRPr="00AC0A78">
              <w:rPr>
                <w:rFonts w:ascii="Times New Roman" w:eastAsia="Times New Roman" w:hAnsi="Times New Roman" w:cs="Times New Roman"/>
                <w:bCs/>
                <w:lang w:eastAsia="es-ES"/>
              </w:rPr>
              <w:t>4 years</w:t>
            </w:r>
          </w:p>
        </w:tc>
        <w:tc>
          <w:tcPr>
            <w:tcW w:w="0" w:type="auto"/>
            <w:tcBorders>
              <w:bottom w:val="single" w:sz="4" w:space="0" w:color="auto"/>
            </w:tcBorders>
          </w:tcPr>
          <w:p w14:paraId="6341E5A5" w14:textId="77777777" w:rsidR="007B1713" w:rsidRPr="00AC0A78" w:rsidRDefault="007B1713" w:rsidP="007167CF">
            <w:pPr>
              <w:pStyle w:val="Tablecontent"/>
              <w:jc w:val="center"/>
              <w:rPr>
                <w:rFonts w:ascii="Times New Roman" w:eastAsia="Times New Roman" w:hAnsi="Times New Roman" w:cs="Times New Roman"/>
                <w:bCs/>
                <w:lang w:eastAsia="es-ES"/>
              </w:rPr>
            </w:pPr>
            <w:r w:rsidRPr="00AC0A78">
              <w:rPr>
                <w:rFonts w:ascii="Times New Roman" w:eastAsia="Times New Roman" w:hAnsi="Times New Roman" w:cs="Times New Roman"/>
                <w:bCs/>
                <w:lang w:eastAsia="es-ES"/>
              </w:rPr>
              <w:t>0.165**</w:t>
            </w:r>
          </w:p>
        </w:tc>
        <w:tc>
          <w:tcPr>
            <w:tcW w:w="0" w:type="auto"/>
            <w:tcBorders>
              <w:bottom w:val="single" w:sz="4" w:space="0" w:color="auto"/>
            </w:tcBorders>
          </w:tcPr>
          <w:p w14:paraId="7213CD2B" w14:textId="77777777" w:rsidR="007B1713" w:rsidRPr="00AC0A78" w:rsidRDefault="007B1713" w:rsidP="007167CF">
            <w:pPr>
              <w:pStyle w:val="Tablecontent"/>
              <w:jc w:val="center"/>
              <w:rPr>
                <w:rFonts w:ascii="Times New Roman" w:eastAsia="Times New Roman" w:hAnsi="Times New Roman" w:cs="Times New Roman"/>
                <w:bCs/>
                <w:lang w:eastAsia="es-ES"/>
              </w:rPr>
            </w:pPr>
            <w:r w:rsidRPr="00AC0A78">
              <w:rPr>
                <w:rFonts w:ascii="Times New Roman" w:eastAsia="Times New Roman" w:hAnsi="Times New Roman" w:cs="Times New Roman"/>
                <w:bCs/>
                <w:lang w:eastAsia="es-ES"/>
              </w:rPr>
              <w:t>0.078</w:t>
            </w:r>
          </w:p>
        </w:tc>
        <w:tc>
          <w:tcPr>
            <w:tcW w:w="0" w:type="auto"/>
            <w:tcBorders>
              <w:bottom w:val="single" w:sz="4" w:space="0" w:color="auto"/>
            </w:tcBorders>
          </w:tcPr>
          <w:p w14:paraId="7CB2EFD7" w14:textId="77777777" w:rsidR="007B1713" w:rsidRPr="00AC0A78" w:rsidRDefault="007B1713" w:rsidP="007167CF">
            <w:pPr>
              <w:pStyle w:val="Tablecontent"/>
              <w:jc w:val="center"/>
              <w:rPr>
                <w:rFonts w:ascii="Times New Roman" w:eastAsia="Times New Roman" w:hAnsi="Times New Roman" w:cs="Times New Roman"/>
                <w:bCs/>
                <w:lang w:eastAsia="es-ES"/>
              </w:rPr>
            </w:pPr>
            <w:r w:rsidRPr="00AC0A78">
              <w:rPr>
                <w:rFonts w:ascii="Times New Roman" w:eastAsia="Times New Roman" w:hAnsi="Times New Roman" w:cs="Times New Roman"/>
                <w:bCs/>
                <w:lang w:eastAsia="es-ES"/>
              </w:rPr>
              <w:t>0.011</w:t>
            </w:r>
          </w:p>
        </w:tc>
        <w:tc>
          <w:tcPr>
            <w:tcW w:w="0" w:type="auto"/>
            <w:tcBorders>
              <w:bottom w:val="single" w:sz="4" w:space="0" w:color="auto"/>
            </w:tcBorders>
          </w:tcPr>
          <w:p w14:paraId="77A809A8" w14:textId="77777777" w:rsidR="007B1713" w:rsidRPr="00AC0A78" w:rsidRDefault="007B1713" w:rsidP="007167CF">
            <w:pPr>
              <w:pStyle w:val="Tablecontent"/>
              <w:jc w:val="center"/>
              <w:rPr>
                <w:rFonts w:ascii="Times New Roman" w:eastAsia="Times New Roman" w:hAnsi="Times New Roman" w:cs="Times New Roman"/>
                <w:bCs/>
                <w:lang w:eastAsia="es-ES"/>
              </w:rPr>
            </w:pPr>
            <w:r w:rsidRPr="00AC0A78">
              <w:rPr>
                <w:rFonts w:ascii="Times New Roman" w:eastAsia="Times New Roman" w:hAnsi="Times New Roman" w:cs="Times New Roman"/>
                <w:bCs/>
                <w:lang w:eastAsia="es-ES"/>
              </w:rPr>
              <w:t>0.318</w:t>
            </w:r>
          </w:p>
        </w:tc>
      </w:tr>
    </w:tbl>
    <w:p w14:paraId="46D334E9" w14:textId="123C6258" w:rsidR="00113558" w:rsidRPr="00625898" w:rsidRDefault="008A1793" w:rsidP="007B1713">
      <w:pPr>
        <w:pStyle w:val="Heading1"/>
        <w:ind w:left="0" w:firstLine="0"/>
      </w:pPr>
      <w:r>
        <w:t>4</w:t>
      </w:r>
      <w:r w:rsidRPr="005C51EA">
        <w:t xml:space="preserve">. </w:t>
      </w:r>
      <w:r>
        <w:t>Conclusions</w:t>
      </w:r>
    </w:p>
    <w:p w14:paraId="2FA1A8A2" w14:textId="3805A948" w:rsidR="00113558" w:rsidRDefault="00A70D22" w:rsidP="00113558">
      <w:r w:rsidRPr="00A70D22">
        <w:t>In this study, we demonstrated that</w:t>
      </w:r>
      <w:r>
        <w:t xml:space="preserve"> int</w:t>
      </w:r>
      <w:r w:rsidRPr="00A70D22">
        <w:t>egrating flexible machine learning into the Difference-in-Differences (</w:t>
      </w:r>
      <w:proofErr w:type="spellStart"/>
      <w:r w:rsidRPr="00A70D22">
        <w:t>DiD</w:t>
      </w:r>
      <w:proofErr w:type="spellEnd"/>
      <w:r w:rsidRPr="00A70D22">
        <w:t>) framework provides a robust toolkit for causal inference in complex empirical settings. In canonical designs with simultaneous treatment and limited covariates, traditional TWFE and Double Machine Learning (DML) yield comparable results. However, in staggered adoption scenarios, DML successfully accounts for dynamic treatment effects and high-dimensional confounders where TWFE produces biased, non-significant estimates.  Ultimately, DML acts as an essential complement to economic intuition, enhancing the credibility of causal estimates within properly defined identification strategies</w:t>
      </w:r>
      <w:r w:rsidR="00113558" w:rsidRPr="0087215B">
        <w:t>.</w:t>
      </w:r>
    </w:p>
    <w:p w14:paraId="3E7297B1" w14:textId="77777777" w:rsidR="00520963" w:rsidRPr="00520963" w:rsidRDefault="00520963" w:rsidP="005C51EA">
      <w:pPr>
        <w:pStyle w:val="Heading1"/>
      </w:pPr>
      <w:bookmarkStart w:id="4" w:name="_Hlk165745975"/>
      <w:r w:rsidRPr="00520963">
        <w:t>References</w:t>
      </w:r>
    </w:p>
    <w:bookmarkEnd w:id="4"/>
    <w:p w14:paraId="6D447160" w14:textId="77777777" w:rsidR="00297E54" w:rsidRPr="00297E54" w:rsidRDefault="003F2ED2" w:rsidP="001C30C6">
      <w:pPr>
        <w:pStyle w:val="ReferenciasBibliogrficas"/>
      </w:pPr>
      <w:r>
        <w:fldChar w:fldCharType="begin"/>
      </w:r>
      <w:r w:rsidR="00087FCB">
        <w:instrText xml:space="preserve"> ADDIN ZOTERO_BIBL {"uncited":[],"omitted":[],"custom":[]} CSL_BIBLIOGRAPHY </w:instrText>
      </w:r>
      <w:r>
        <w:fldChar w:fldCharType="separate"/>
      </w:r>
      <w:r w:rsidR="00297E54" w:rsidRPr="00297E54">
        <w:t xml:space="preserve">Breiman, L. (2001). Random Forests. </w:t>
      </w:r>
      <w:r w:rsidR="00297E54" w:rsidRPr="001C30C6">
        <w:t>Machine Learning</w:t>
      </w:r>
      <w:r w:rsidR="00297E54" w:rsidRPr="00297E54">
        <w:t xml:space="preserve">, </w:t>
      </w:r>
      <w:r w:rsidR="00297E54" w:rsidRPr="001C30C6">
        <w:t>45</w:t>
      </w:r>
      <w:r w:rsidR="00297E54" w:rsidRPr="00297E54">
        <w:t>(1), 5–32. https://doi.org/10.1023/A:1010933404324</w:t>
      </w:r>
    </w:p>
    <w:p w14:paraId="75BE735F" w14:textId="77777777" w:rsidR="00297E54" w:rsidRPr="00297E54" w:rsidRDefault="00297E54" w:rsidP="001C30C6">
      <w:pPr>
        <w:pStyle w:val="ReferenciasBibliogrficas"/>
      </w:pPr>
      <w:r w:rsidRPr="00297E54">
        <w:t xml:space="preserve">Callaway, B., &amp; Santa’Anna, P. H. C. (2021). Difference-in-Differences with multiple time periods. </w:t>
      </w:r>
      <w:r w:rsidRPr="001C30C6">
        <w:t>Journal of Econometrics</w:t>
      </w:r>
      <w:r w:rsidRPr="00297E54">
        <w:t xml:space="preserve">, </w:t>
      </w:r>
      <w:r w:rsidRPr="001C30C6">
        <w:t>225</w:t>
      </w:r>
      <w:r w:rsidRPr="00297E54">
        <w:t>(2), 200–230. https://doi.org/10.1016/j.jeconom.2020.12.001</w:t>
      </w:r>
    </w:p>
    <w:p w14:paraId="265CFB53" w14:textId="77777777" w:rsidR="00297E54" w:rsidRPr="00297E54" w:rsidRDefault="00297E54" w:rsidP="001C30C6">
      <w:pPr>
        <w:pStyle w:val="ReferenciasBibliogrficas"/>
      </w:pPr>
      <w:r w:rsidRPr="00297E54">
        <w:t xml:space="preserve">Chang, N.-C. (2020). Double/debiased machine learning for difference-in-differences models. </w:t>
      </w:r>
      <w:r w:rsidRPr="001C30C6">
        <w:t>The Econometrics Journal</w:t>
      </w:r>
      <w:r w:rsidRPr="00297E54">
        <w:t xml:space="preserve">, </w:t>
      </w:r>
      <w:r w:rsidRPr="001C30C6">
        <w:t>23</w:t>
      </w:r>
      <w:r w:rsidRPr="00297E54">
        <w:t>(2), 177–191. https://doi.org/10.1093/ectj/utaa001</w:t>
      </w:r>
    </w:p>
    <w:p w14:paraId="582263B6" w14:textId="77777777" w:rsidR="00297E54" w:rsidRPr="00297E54" w:rsidRDefault="00297E54" w:rsidP="001C30C6">
      <w:pPr>
        <w:pStyle w:val="ReferenciasBibliogrficas"/>
      </w:pPr>
      <w:r w:rsidRPr="00297E54">
        <w:t xml:space="preserve">Cheng, C., &amp; Hoekstra, M. (2013). Does Strengthening Self-Defense Law Deter Crime or Escalate Violence? Evidence from Expansions to Castle Doctrine. </w:t>
      </w:r>
      <w:r w:rsidRPr="001C30C6">
        <w:t>The Journal of Human Resources</w:t>
      </w:r>
      <w:r w:rsidRPr="00297E54">
        <w:t xml:space="preserve">, </w:t>
      </w:r>
      <w:r w:rsidRPr="001C30C6">
        <w:t>48</w:t>
      </w:r>
      <w:r w:rsidRPr="00297E54">
        <w:t>(3), 821–853.</w:t>
      </w:r>
    </w:p>
    <w:p w14:paraId="3A581EAD" w14:textId="77777777" w:rsidR="00297E54" w:rsidRPr="00297E54" w:rsidRDefault="00297E54" w:rsidP="001C30C6">
      <w:pPr>
        <w:pStyle w:val="ReferenciasBibliogrficas"/>
      </w:pPr>
      <w:r w:rsidRPr="00297E54">
        <w:t xml:space="preserve">Chernozhukov, V., Chetverikov, D., Demirer, M., Duflo, E., Hansen, C., Newey, W., &amp; Robins, J. (2018). Double/debiased machine learning for treatment and structural parameters. </w:t>
      </w:r>
      <w:r w:rsidRPr="001C30C6">
        <w:t>The Econometrics Journal</w:t>
      </w:r>
      <w:r w:rsidRPr="00297E54">
        <w:t xml:space="preserve">, </w:t>
      </w:r>
      <w:r w:rsidRPr="001C30C6">
        <w:t>21</w:t>
      </w:r>
      <w:r w:rsidRPr="00297E54">
        <w:t>(1), C1–C68. https://doi.org/10.1111/ectj.12097</w:t>
      </w:r>
    </w:p>
    <w:p w14:paraId="619D995A" w14:textId="77777777" w:rsidR="00297E54" w:rsidRPr="00297E54" w:rsidRDefault="00297E54" w:rsidP="001C30C6">
      <w:pPr>
        <w:pStyle w:val="ReferenciasBibliogrficas"/>
      </w:pPr>
      <w:r w:rsidRPr="00297E54">
        <w:t xml:space="preserve">González, J. P. (2025). Environmental regulation, regulatory spillovers and rent-seeking. </w:t>
      </w:r>
      <w:r w:rsidRPr="001C30C6">
        <w:t>Public Choice</w:t>
      </w:r>
      <w:r w:rsidRPr="00297E54">
        <w:t xml:space="preserve">, </w:t>
      </w:r>
      <w:r w:rsidRPr="001C30C6">
        <w:t>202</w:t>
      </w:r>
      <w:r w:rsidRPr="00297E54">
        <w:t>(1), 217–250. https://doi.org/10.1007/s11127-024-01189-7</w:t>
      </w:r>
    </w:p>
    <w:p w14:paraId="76110EF9" w14:textId="77777777" w:rsidR="00297E54" w:rsidRPr="00297E54" w:rsidRDefault="00297E54" w:rsidP="001C30C6">
      <w:pPr>
        <w:pStyle w:val="ReferenciasBibliogrficas"/>
      </w:pPr>
      <w:r w:rsidRPr="00297E54">
        <w:t xml:space="preserve">Goodman-Bacon, A. (2021). Difference-in-differences with variation in treatment timing. </w:t>
      </w:r>
      <w:r w:rsidRPr="001C30C6">
        <w:t>Journal of Econometrics</w:t>
      </w:r>
      <w:r w:rsidRPr="00297E54">
        <w:t xml:space="preserve">, </w:t>
      </w:r>
      <w:r w:rsidRPr="001C30C6">
        <w:t>225</w:t>
      </w:r>
      <w:r w:rsidRPr="00297E54">
        <w:t>(2), 254–277. https://doi.org/10.1016/j.jeconom.2021.03.014</w:t>
      </w:r>
    </w:p>
    <w:p w14:paraId="07785B46" w14:textId="77777777" w:rsidR="00297E54" w:rsidRPr="00297E54" w:rsidRDefault="00297E54" w:rsidP="001C30C6">
      <w:pPr>
        <w:pStyle w:val="ReferenciasBibliogrficas"/>
      </w:pPr>
      <w:r w:rsidRPr="00297E54">
        <w:lastRenderedPageBreak/>
        <w:t xml:space="preserve">Ke, G., Meng, Q., Finley, T., Wang, T., Chen, W., Ma, W., Ye, Q., &amp; Liu, T.-Y. (2017). LightGBM: a highly efficient gradient boosting decision tree. </w:t>
      </w:r>
      <w:r w:rsidRPr="001C30C6">
        <w:t>Proceedings of the 31st International Conference on Neural Information Processing Systems, NIPS’17</w:t>
      </w:r>
      <w:r w:rsidRPr="00297E54">
        <w:t>, 3149–3157.</w:t>
      </w:r>
    </w:p>
    <w:p w14:paraId="2F5246CD" w14:textId="77777777" w:rsidR="00297E54" w:rsidRPr="00297E54" w:rsidRDefault="00297E54" w:rsidP="001C30C6">
      <w:pPr>
        <w:pStyle w:val="ReferenciasBibliogrficas"/>
      </w:pPr>
      <w:r w:rsidRPr="00297E54">
        <w:t xml:space="preserve">Molnar, C. (2025). </w:t>
      </w:r>
      <w:r w:rsidRPr="001C30C6">
        <w:t>Interpretable Machine Learning: A Guide for Making Black Box Models Explainable</w:t>
      </w:r>
      <w:r w:rsidRPr="00297E54">
        <w:t xml:space="preserve"> (3rd ed.). https://christophm.github.io/interpretable-ml-book</w:t>
      </w:r>
    </w:p>
    <w:p w14:paraId="0272ED0F" w14:textId="77777777" w:rsidR="00297E54" w:rsidRPr="00297E54" w:rsidRDefault="00297E54" w:rsidP="001C30C6">
      <w:pPr>
        <w:pStyle w:val="ReferenciasBibliogrficas"/>
      </w:pPr>
      <w:r w:rsidRPr="00297E54">
        <w:t xml:space="preserve">Mullainathan, S., &amp; Spiess, J. (2017). Machine Learning: An Applied Econometric Approach. </w:t>
      </w:r>
      <w:r w:rsidRPr="001C30C6">
        <w:t>Journal of Economic Perspectives</w:t>
      </w:r>
      <w:r w:rsidRPr="00297E54">
        <w:t xml:space="preserve">, </w:t>
      </w:r>
      <w:r w:rsidRPr="001C30C6">
        <w:t>31</w:t>
      </w:r>
      <w:r w:rsidRPr="00297E54">
        <w:t>(2), 87–106. https://doi.org/10.1257/jep.31.2.87</w:t>
      </w:r>
    </w:p>
    <w:p w14:paraId="0DFD0FF9" w14:textId="77777777" w:rsidR="00297E54" w:rsidRPr="00297E54" w:rsidRDefault="00297E54" w:rsidP="001C30C6">
      <w:pPr>
        <w:pStyle w:val="ReferenciasBibliogrficas"/>
      </w:pPr>
      <w:r w:rsidRPr="00297E54">
        <w:t xml:space="preserve">Shmueli, G. (2010). To Explain or to Predict? </w:t>
      </w:r>
      <w:r w:rsidRPr="001C30C6">
        <w:t>Statistical Science</w:t>
      </w:r>
      <w:r w:rsidRPr="00297E54">
        <w:t xml:space="preserve">, </w:t>
      </w:r>
      <w:r w:rsidRPr="001C30C6">
        <w:t>25</w:t>
      </w:r>
      <w:r w:rsidRPr="00297E54">
        <w:t>(3), 289–310. https://doi.org/10.1214/10-STS330</w:t>
      </w:r>
    </w:p>
    <w:p w14:paraId="1214D2C0" w14:textId="405A8DCA" w:rsidR="003F2ED2" w:rsidRPr="005C51EA" w:rsidRDefault="003F2ED2" w:rsidP="001C30C6">
      <w:pPr>
        <w:pStyle w:val="ReferenciasBibliogrficas"/>
      </w:pPr>
      <w:r>
        <w:fldChar w:fldCharType="end"/>
      </w:r>
    </w:p>
    <w:sectPr w:rsidR="003F2ED2" w:rsidRPr="005C51EA" w:rsidSect="00514857">
      <w:headerReference w:type="even" r:id="rId13"/>
      <w:headerReference w:type="default" r:id="rId14"/>
      <w:footerReference w:type="even" r:id="rId15"/>
      <w:footerReference w:type="default" r:id="rId16"/>
      <w:headerReference w:type="first" r:id="rId17"/>
      <w:footerReference w:type="first" r:id="rId18"/>
      <w:pgSz w:w="9622" w:h="13602" w:code="9"/>
      <w:pgMar w:top="1361" w:right="1021" w:bottom="1418" w:left="1021" w:header="737" w:footer="87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7CD656" w14:textId="77777777" w:rsidR="003B0634" w:rsidRDefault="003B0634" w:rsidP="00F272E1">
      <w:r>
        <w:separator/>
      </w:r>
    </w:p>
  </w:endnote>
  <w:endnote w:type="continuationSeparator" w:id="0">
    <w:p w14:paraId="14A69F40" w14:textId="77777777" w:rsidR="003B0634" w:rsidRDefault="003B0634" w:rsidP="00F272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Times">
    <w:panose1 w:val="020B0604020202020204"/>
    <w:charset w:val="00"/>
    <w:family w:val="roman"/>
    <w:pitch w:val="variable"/>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EF2D6" w14:textId="77777777" w:rsidR="008F3A05" w:rsidRPr="00A144E1" w:rsidRDefault="008F3A05" w:rsidP="00A144E1">
    <w:pPr>
      <w:pStyle w:val="Footer"/>
      <w:tabs>
        <w:tab w:val="clear" w:pos="4252"/>
        <w:tab w:val="clear" w:pos="8504"/>
        <w:tab w:val="right" w:pos="7371"/>
      </w:tabs>
      <w:spacing w:after="0"/>
      <w:jc w:val="center"/>
      <w:rPr>
        <w:position w:val="2"/>
        <w:lang w:val="es-E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614C5" w14:textId="77777777" w:rsidR="00916295" w:rsidRPr="00A144E1" w:rsidRDefault="00916295" w:rsidP="00A144E1">
    <w:pPr>
      <w:pStyle w:val="Footer"/>
      <w:tabs>
        <w:tab w:val="clear" w:pos="4252"/>
        <w:tab w:val="clear" w:pos="8504"/>
        <w:tab w:val="right" w:pos="7371"/>
      </w:tabs>
      <w:spacing w:after="0"/>
      <w:jc w:val="center"/>
      <w:rPr>
        <w:sz w:val="18"/>
        <w:szCs w:val="18"/>
        <w:lang w:val="es-E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1D316" w14:textId="77777777" w:rsidR="009927E9" w:rsidRPr="00962480" w:rsidRDefault="009927E9" w:rsidP="00A144E1">
    <w:pPr>
      <w:pStyle w:val="Footer"/>
      <w:tabs>
        <w:tab w:val="clear" w:pos="4252"/>
        <w:tab w:val="clear" w:pos="8504"/>
        <w:tab w:val="right" w:pos="7371"/>
      </w:tabs>
      <w:spacing w:after="0"/>
      <w:jc w:val="center"/>
      <w:rPr>
        <w:sz w:val="18"/>
        <w:szCs w:val="18"/>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094A99" w14:textId="77777777" w:rsidR="003B0634" w:rsidRPr="00C849BD" w:rsidRDefault="003B0634" w:rsidP="00C849BD">
      <w:pPr>
        <w:spacing w:after="0" w:line="240" w:lineRule="auto"/>
        <w:jc w:val="left"/>
        <w:rPr>
          <w:rFonts w:asciiTheme="minorHAnsi" w:eastAsiaTheme="minorHAnsi" w:hAnsiTheme="minorHAnsi" w:cstheme="minorBidi"/>
          <w:sz w:val="22"/>
          <w:szCs w:val="22"/>
          <w:lang w:val="es-ES"/>
        </w:rPr>
      </w:pPr>
      <w:r w:rsidRPr="00C849BD">
        <w:rPr>
          <w:rFonts w:asciiTheme="minorHAnsi" w:eastAsiaTheme="minorHAnsi" w:hAnsiTheme="minorHAnsi" w:cstheme="minorBidi"/>
          <w:sz w:val="22"/>
          <w:szCs w:val="22"/>
          <w:lang w:val="es-ES"/>
        </w:rPr>
        <w:separator/>
      </w:r>
    </w:p>
  </w:footnote>
  <w:footnote w:type="continuationSeparator" w:id="0">
    <w:p w14:paraId="320485EC" w14:textId="77777777" w:rsidR="003B0634" w:rsidRPr="008550A9" w:rsidRDefault="003B0634" w:rsidP="00F272E1">
      <w:pPr>
        <w:rPr>
          <w:sz w:val="18"/>
          <w:szCs w:val="18"/>
        </w:rPr>
      </w:pPr>
      <w:r w:rsidRPr="008550A9">
        <w:rPr>
          <w:sz w:val="18"/>
          <w:szCs w:val="18"/>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87D68" w14:textId="77777777" w:rsidR="00F53948" w:rsidRPr="00492468" w:rsidRDefault="00962480" w:rsidP="00492468">
    <w:pPr>
      <w:pStyle w:val="Header"/>
    </w:pPr>
    <w:r w:rsidRPr="00492468">
      <w:t xml:space="preserve">Running </w:t>
    </w:r>
    <w:r w:rsidR="00132C00" w:rsidRPr="00492468">
      <w:t>title (adjust it to one line if longer)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BF1FB" w14:textId="161F7FE6" w:rsidR="00132C00" w:rsidRPr="00132C00" w:rsidRDefault="006A3FE3" w:rsidP="00492468">
    <w:pPr>
      <w:pStyle w:val="Header"/>
    </w:pPr>
    <w:r w:rsidRPr="006A3FE3">
      <w:t>Is TWFE Enough? When to Switch to Double Machine Learning in Differences in Difference</w:t>
    </w:r>
    <w:r>
      <w: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8F99D" w14:textId="77777777" w:rsidR="00264895" w:rsidRPr="00834AF4" w:rsidRDefault="00264895" w:rsidP="00492468">
    <w:pPr>
      <w:pStyle w:val="Header"/>
      <w:rPr>
        <w:lang w:val="es-ES"/>
      </w:rPr>
    </w:pPr>
  </w:p>
  <w:p w14:paraId="2F7CC47E" w14:textId="77777777" w:rsidR="007849F5" w:rsidRPr="00834AF4" w:rsidRDefault="007849F5" w:rsidP="00492468">
    <w:pPr>
      <w:pStyle w:val="Header"/>
      <w:rPr>
        <w:lang w:val="es-ES"/>
      </w:rPr>
    </w:pPr>
  </w:p>
  <w:p w14:paraId="608AE20C" w14:textId="77777777" w:rsidR="007849F5" w:rsidRPr="00834AF4" w:rsidRDefault="007849F5" w:rsidP="00492468">
    <w:pPr>
      <w:pStyle w:val="Header"/>
      <w:rPr>
        <w:lang w:val="en-GB"/>
      </w:rPr>
    </w:pPr>
  </w:p>
  <w:p w14:paraId="4B0EE31D" w14:textId="77777777" w:rsidR="00541A19" w:rsidRPr="00834AF4" w:rsidRDefault="00541A19" w:rsidP="00492468">
    <w:pPr>
      <w:pStyle w:val="Header"/>
      <w:rPr>
        <w:lang w:val="en-GB"/>
      </w:rPr>
    </w:pPr>
  </w:p>
  <w:p w14:paraId="152BB9F0" w14:textId="77777777" w:rsidR="007849F5" w:rsidRPr="00834AF4" w:rsidRDefault="007849F5" w:rsidP="00492468">
    <w:pPr>
      <w:pStyle w:val="Header"/>
      <w:rPr>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2A80FF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6E0C5DE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AA2AC3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53E251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F86D7B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EEEACD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6347DE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5C6FAC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718886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B3E1D6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2C7EB9"/>
    <w:multiLevelType w:val="hybridMultilevel"/>
    <w:tmpl w:val="CDCE0F74"/>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172109B8"/>
    <w:multiLevelType w:val="multilevel"/>
    <w:tmpl w:val="80E8D2C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1DFB4BA3"/>
    <w:multiLevelType w:val="multilevel"/>
    <w:tmpl w:val="DA5C7AE6"/>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1E2C30FB"/>
    <w:multiLevelType w:val="hybridMultilevel"/>
    <w:tmpl w:val="AE242026"/>
    <w:lvl w:ilvl="0" w:tplc="0C0A0001">
      <w:start w:val="1"/>
      <w:numFmt w:val="bullet"/>
      <w:lvlText w:val=""/>
      <w:lvlJc w:val="left"/>
      <w:pPr>
        <w:ind w:left="720" w:hanging="360"/>
      </w:pPr>
      <w:rPr>
        <w:rFonts w:ascii="Symbol" w:hAnsi="Symbol"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28921764"/>
    <w:multiLevelType w:val="hybridMultilevel"/>
    <w:tmpl w:val="F3FA83F4"/>
    <w:lvl w:ilvl="0" w:tplc="B91E23AA">
      <w:start w:val="1"/>
      <w:numFmt w:val="decimal"/>
      <w:lvlText w:val="%1."/>
      <w:lvlJc w:val="left"/>
      <w:pPr>
        <w:ind w:left="720" w:hanging="360"/>
      </w:pPr>
      <w:rPr>
        <w:rFonts w:ascii="Times New Roman" w:hAnsi="Times New Roman" w:hint="default"/>
        <w:sz w:val="2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29CB19C0"/>
    <w:multiLevelType w:val="multilevel"/>
    <w:tmpl w:val="463032D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2AD56A58"/>
    <w:multiLevelType w:val="hybridMultilevel"/>
    <w:tmpl w:val="554CA3D6"/>
    <w:lvl w:ilvl="0" w:tplc="B9B253A4">
      <w:start w:val="22"/>
      <w:numFmt w:val="decimal"/>
      <w:lvlText w:val="%1"/>
      <w:lvlJc w:val="left"/>
      <w:pPr>
        <w:ind w:left="825" w:hanging="465"/>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2BE1004B"/>
    <w:multiLevelType w:val="hybridMultilevel"/>
    <w:tmpl w:val="1360A674"/>
    <w:lvl w:ilvl="0" w:tplc="230C03BA">
      <w:start w:val="1"/>
      <w:numFmt w:val="decimal"/>
      <w:lvlText w:val="%1."/>
      <w:lvlJc w:val="left"/>
      <w:pPr>
        <w:ind w:left="360" w:hanging="360"/>
      </w:pPr>
      <w:rPr>
        <w:b/>
        <w:bCs/>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C0A0019">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8" w15:restartNumberingAfterBreak="0">
    <w:nsid w:val="2CDD4E14"/>
    <w:multiLevelType w:val="multilevel"/>
    <w:tmpl w:val="47087598"/>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9" w15:restartNumberingAfterBreak="0">
    <w:nsid w:val="3FBF3284"/>
    <w:multiLevelType w:val="multilevel"/>
    <w:tmpl w:val="6F02FAA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54C95E92"/>
    <w:multiLevelType w:val="hybridMultilevel"/>
    <w:tmpl w:val="1898D0A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5E5D6FC9"/>
    <w:multiLevelType w:val="hybridMultilevel"/>
    <w:tmpl w:val="E15E91F6"/>
    <w:lvl w:ilvl="0" w:tplc="FA24CC9A">
      <w:start w:val="1"/>
      <w:numFmt w:val="bullet"/>
      <w:lvlText w:val="-"/>
      <w:lvlJc w:val="left"/>
      <w:pPr>
        <w:ind w:left="1080" w:hanging="360"/>
      </w:pPr>
      <w:rPr>
        <w:rFonts w:ascii="Times New Roman" w:eastAsia="Times New Roman" w:hAnsi="Times New Roman" w:cs="Times New Roman"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2" w15:restartNumberingAfterBreak="0">
    <w:nsid w:val="5F8A6D0F"/>
    <w:multiLevelType w:val="hybridMultilevel"/>
    <w:tmpl w:val="D868AF18"/>
    <w:lvl w:ilvl="0" w:tplc="C89C7B26">
      <w:start w:val="1"/>
      <w:numFmt w:val="decimal"/>
      <w:lvlText w:val="%1."/>
      <w:lvlJc w:val="left"/>
      <w:pPr>
        <w:ind w:left="360" w:hanging="360"/>
      </w:pPr>
      <w:rPr>
        <w:rFonts w:ascii="Times New Roman" w:hAnsi="Times New Roman" w:hint="default"/>
        <w:sz w:val="20"/>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3" w15:restartNumberingAfterBreak="0">
    <w:nsid w:val="666635AF"/>
    <w:multiLevelType w:val="hybridMultilevel"/>
    <w:tmpl w:val="5F444D1C"/>
    <w:lvl w:ilvl="0" w:tplc="8FEE08CA">
      <w:start w:val="1"/>
      <w:numFmt w:val="bullet"/>
      <w:lvlText w:val="­"/>
      <w:lvlJc w:val="left"/>
      <w:pPr>
        <w:ind w:left="360" w:hanging="360"/>
      </w:pPr>
      <w:rPr>
        <w:rFonts w:ascii="Courier New" w:hAnsi="Courier New"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4" w15:restartNumberingAfterBreak="0">
    <w:nsid w:val="6A825212"/>
    <w:multiLevelType w:val="multilevel"/>
    <w:tmpl w:val="10D28DB0"/>
    <w:lvl w:ilvl="0">
      <w:start w:val="1"/>
      <w:numFmt w:val="decimal"/>
      <w:lvlText w:val="%1."/>
      <w:lvlJc w:val="left"/>
      <w:pPr>
        <w:ind w:left="360" w:hanging="360"/>
      </w:pPr>
      <w:rPr>
        <w:rFonts w:ascii="Times New Roman" w:hAnsi="Times New Roman" w:hint="default"/>
        <w:sz w:val="20"/>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5" w15:restartNumberingAfterBreak="0">
    <w:nsid w:val="6D2A2A32"/>
    <w:multiLevelType w:val="multilevel"/>
    <w:tmpl w:val="0C383810"/>
    <w:lvl w:ilvl="0">
      <w:start w:val="2"/>
      <w:numFmt w:val="decimal"/>
      <w:lvlText w:val="%1."/>
      <w:lvlJc w:val="left"/>
      <w:pPr>
        <w:ind w:left="460" w:hanging="460"/>
      </w:pPr>
      <w:rPr>
        <w:rFonts w:hint="default"/>
      </w:rPr>
    </w:lvl>
    <w:lvl w:ilvl="1">
      <w:start w:val="1"/>
      <w:numFmt w:val="decimal"/>
      <w:lvlText w:val="%1.%2."/>
      <w:lvlJc w:val="left"/>
      <w:pPr>
        <w:ind w:left="460" w:hanging="4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6" w15:restartNumberingAfterBreak="0">
    <w:nsid w:val="74257947"/>
    <w:multiLevelType w:val="multilevel"/>
    <w:tmpl w:val="CCB265F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7" w15:restartNumberingAfterBreak="0">
    <w:nsid w:val="7A6600F3"/>
    <w:multiLevelType w:val="multilevel"/>
    <w:tmpl w:val="303E394C"/>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990140406">
    <w:abstractNumId w:val="8"/>
  </w:num>
  <w:num w:numId="2" w16cid:durableId="1301888582">
    <w:abstractNumId w:val="3"/>
  </w:num>
  <w:num w:numId="3" w16cid:durableId="1696344874">
    <w:abstractNumId w:val="0"/>
  </w:num>
  <w:num w:numId="4" w16cid:durableId="1944847994">
    <w:abstractNumId w:val="9"/>
  </w:num>
  <w:num w:numId="5" w16cid:durableId="1659967127">
    <w:abstractNumId w:val="7"/>
  </w:num>
  <w:num w:numId="6" w16cid:durableId="1003556956">
    <w:abstractNumId w:val="6"/>
  </w:num>
  <w:num w:numId="7" w16cid:durableId="204564731">
    <w:abstractNumId w:val="5"/>
  </w:num>
  <w:num w:numId="8" w16cid:durableId="368527651">
    <w:abstractNumId w:val="4"/>
  </w:num>
  <w:num w:numId="9" w16cid:durableId="1151143466">
    <w:abstractNumId w:val="1"/>
  </w:num>
  <w:num w:numId="10" w16cid:durableId="824785926">
    <w:abstractNumId w:val="2"/>
  </w:num>
  <w:num w:numId="11" w16cid:durableId="980811947">
    <w:abstractNumId w:val="24"/>
  </w:num>
  <w:num w:numId="12" w16cid:durableId="2001617873">
    <w:abstractNumId w:val="22"/>
  </w:num>
  <w:num w:numId="13" w16cid:durableId="1546944057">
    <w:abstractNumId w:val="17"/>
  </w:num>
  <w:num w:numId="14" w16cid:durableId="2080785994">
    <w:abstractNumId w:val="11"/>
  </w:num>
  <w:num w:numId="15" w16cid:durableId="1745490091">
    <w:abstractNumId w:val="18"/>
  </w:num>
  <w:num w:numId="16" w16cid:durableId="1745450138">
    <w:abstractNumId w:val="16"/>
  </w:num>
  <w:num w:numId="17" w16cid:durableId="1938903302">
    <w:abstractNumId w:val="14"/>
  </w:num>
  <w:num w:numId="18" w16cid:durableId="307901931">
    <w:abstractNumId w:val="20"/>
  </w:num>
  <w:num w:numId="19" w16cid:durableId="2021807736">
    <w:abstractNumId w:val="21"/>
  </w:num>
  <w:num w:numId="20" w16cid:durableId="280040210">
    <w:abstractNumId w:val="23"/>
  </w:num>
  <w:num w:numId="21" w16cid:durableId="1366640404">
    <w:abstractNumId w:val="10"/>
  </w:num>
  <w:num w:numId="22" w16cid:durableId="1532114233">
    <w:abstractNumId w:val="13"/>
  </w:num>
  <w:num w:numId="23" w16cid:durableId="1986160427">
    <w:abstractNumId w:val="26"/>
  </w:num>
  <w:num w:numId="24" w16cid:durableId="434522543">
    <w:abstractNumId w:val="19"/>
  </w:num>
  <w:num w:numId="25" w16cid:durableId="723218078">
    <w:abstractNumId w:val="15"/>
  </w:num>
  <w:num w:numId="26" w16cid:durableId="374623087">
    <w:abstractNumId w:val="11"/>
    <w:lvlOverride w:ilvl="0">
      <w:startOverride w:val="2"/>
    </w:lvlOverride>
    <w:lvlOverride w:ilvl="1">
      <w:startOverride w:val="2"/>
    </w:lvlOverride>
  </w:num>
  <w:num w:numId="27" w16cid:durableId="612634975">
    <w:abstractNumId w:val="25"/>
  </w:num>
  <w:num w:numId="28" w16cid:durableId="77679185">
    <w:abstractNumId w:val="12"/>
  </w:num>
  <w:num w:numId="29" w16cid:durableId="97186126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attachedTemplate r:id="rId1"/>
  <w:stylePaneFormatFilter w:val="3A08" w:allStyles="0" w:customStyles="0" w:latentStyles="0" w:stylesInUse="1" w:headingStyles="0" w:numberingStyles="0" w:tableStyles="0" w:directFormattingOnRuns="0" w:directFormattingOnParagraphs="1" w:directFormattingOnNumbering="0" w:directFormattingOnTables="1" w:clearFormatting="1" w:top3HeadingStyles="1" w:visibleStyles="0" w:alternateStyleNames="0"/>
  <w:stylePaneSortMethod w:val="0000"/>
  <w:defaultTabStop w:val="708"/>
  <w:consecutiveHyphenLimit w:val="3"/>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SwNLM0MTaytLQwMjdR0lEKTi0uzszPAykwqQUAPk5ZYywAAAA="/>
  </w:docVars>
  <w:rsids>
    <w:rsidRoot w:val="00F22123"/>
    <w:rsid w:val="0000219D"/>
    <w:rsid w:val="00033DCD"/>
    <w:rsid w:val="00034DBB"/>
    <w:rsid w:val="00044AC1"/>
    <w:rsid w:val="000527AB"/>
    <w:rsid w:val="0007400B"/>
    <w:rsid w:val="00086DD5"/>
    <w:rsid w:val="00087985"/>
    <w:rsid w:val="00087FCB"/>
    <w:rsid w:val="00096E3C"/>
    <w:rsid w:val="00096F74"/>
    <w:rsid w:val="000B2372"/>
    <w:rsid w:val="000B3D00"/>
    <w:rsid w:val="000B5046"/>
    <w:rsid w:val="000C74BD"/>
    <w:rsid w:val="000D6EE8"/>
    <w:rsid w:val="000D71F1"/>
    <w:rsid w:val="000E3A65"/>
    <w:rsid w:val="000E72B8"/>
    <w:rsid w:val="000F4988"/>
    <w:rsid w:val="00104FBE"/>
    <w:rsid w:val="00113558"/>
    <w:rsid w:val="0011489B"/>
    <w:rsid w:val="00127F28"/>
    <w:rsid w:val="00132BA5"/>
    <w:rsid w:val="00132C00"/>
    <w:rsid w:val="00134B79"/>
    <w:rsid w:val="00136AA2"/>
    <w:rsid w:val="00147C56"/>
    <w:rsid w:val="001608B1"/>
    <w:rsid w:val="00167700"/>
    <w:rsid w:val="00167F35"/>
    <w:rsid w:val="0017300B"/>
    <w:rsid w:val="001739BB"/>
    <w:rsid w:val="001766BA"/>
    <w:rsid w:val="00177567"/>
    <w:rsid w:val="0017790E"/>
    <w:rsid w:val="00181943"/>
    <w:rsid w:val="00184B02"/>
    <w:rsid w:val="001869ED"/>
    <w:rsid w:val="001B04D0"/>
    <w:rsid w:val="001B6CDE"/>
    <w:rsid w:val="001C30C6"/>
    <w:rsid w:val="001C4598"/>
    <w:rsid w:val="001D5DEE"/>
    <w:rsid w:val="001E2646"/>
    <w:rsid w:val="001F35C4"/>
    <w:rsid w:val="001F7D99"/>
    <w:rsid w:val="00200C2A"/>
    <w:rsid w:val="00204ED5"/>
    <w:rsid w:val="002119D5"/>
    <w:rsid w:val="002127E7"/>
    <w:rsid w:val="00256628"/>
    <w:rsid w:val="00256C31"/>
    <w:rsid w:val="00264895"/>
    <w:rsid w:val="0028253E"/>
    <w:rsid w:val="002957FF"/>
    <w:rsid w:val="00296CCA"/>
    <w:rsid w:val="00297E54"/>
    <w:rsid w:val="002A0550"/>
    <w:rsid w:val="002A3315"/>
    <w:rsid w:val="002B084F"/>
    <w:rsid w:val="002B1812"/>
    <w:rsid w:val="002C5195"/>
    <w:rsid w:val="002D6A3F"/>
    <w:rsid w:val="002E4F4F"/>
    <w:rsid w:val="002F4D48"/>
    <w:rsid w:val="00314ED3"/>
    <w:rsid w:val="00333017"/>
    <w:rsid w:val="00333514"/>
    <w:rsid w:val="0034267D"/>
    <w:rsid w:val="00343F8B"/>
    <w:rsid w:val="00344745"/>
    <w:rsid w:val="0035232F"/>
    <w:rsid w:val="00362A96"/>
    <w:rsid w:val="00367AE8"/>
    <w:rsid w:val="0037619B"/>
    <w:rsid w:val="0039349D"/>
    <w:rsid w:val="003949E7"/>
    <w:rsid w:val="00395CC2"/>
    <w:rsid w:val="003B0634"/>
    <w:rsid w:val="003B2F3B"/>
    <w:rsid w:val="003B7405"/>
    <w:rsid w:val="003C184F"/>
    <w:rsid w:val="003C3D73"/>
    <w:rsid w:val="003D1494"/>
    <w:rsid w:val="003D5A36"/>
    <w:rsid w:val="003D65F8"/>
    <w:rsid w:val="003E3DA4"/>
    <w:rsid w:val="003E4DB5"/>
    <w:rsid w:val="003F2ED2"/>
    <w:rsid w:val="003F64B7"/>
    <w:rsid w:val="00421B24"/>
    <w:rsid w:val="004342A9"/>
    <w:rsid w:val="00435F38"/>
    <w:rsid w:val="0044653F"/>
    <w:rsid w:val="0045629E"/>
    <w:rsid w:val="00457D6B"/>
    <w:rsid w:val="00471A36"/>
    <w:rsid w:val="0047299F"/>
    <w:rsid w:val="004733A2"/>
    <w:rsid w:val="00491D82"/>
    <w:rsid w:val="00492468"/>
    <w:rsid w:val="00494719"/>
    <w:rsid w:val="004A0FC4"/>
    <w:rsid w:val="004A12E9"/>
    <w:rsid w:val="004B1D41"/>
    <w:rsid w:val="004D3148"/>
    <w:rsid w:val="004D71AF"/>
    <w:rsid w:val="004E3B1B"/>
    <w:rsid w:val="004E64E7"/>
    <w:rsid w:val="004F556B"/>
    <w:rsid w:val="004F60F8"/>
    <w:rsid w:val="0050070E"/>
    <w:rsid w:val="00507E53"/>
    <w:rsid w:val="00514857"/>
    <w:rsid w:val="005150A5"/>
    <w:rsid w:val="005175C0"/>
    <w:rsid w:val="00520963"/>
    <w:rsid w:val="00521905"/>
    <w:rsid w:val="00535532"/>
    <w:rsid w:val="00541A19"/>
    <w:rsid w:val="00543BF3"/>
    <w:rsid w:val="0054451D"/>
    <w:rsid w:val="0055162E"/>
    <w:rsid w:val="00552EF8"/>
    <w:rsid w:val="00554580"/>
    <w:rsid w:val="00557FE1"/>
    <w:rsid w:val="00560A50"/>
    <w:rsid w:val="0056295A"/>
    <w:rsid w:val="00563E14"/>
    <w:rsid w:val="005642F4"/>
    <w:rsid w:val="0056728D"/>
    <w:rsid w:val="005718F2"/>
    <w:rsid w:val="00571F03"/>
    <w:rsid w:val="005733F4"/>
    <w:rsid w:val="00575934"/>
    <w:rsid w:val="00577AD3"/>
    <w:rsid w:val="00582C16"/>
    <w:rsid w:val="0058388C"/>
    <w:rsid w:val="00595A5D"/>
    <w:rsid w:val="005966FA"/>
    <w:rsid w:val="005B0916"/>
    <w:rsid w:val="005B3E08"/>
    <w:rsid w:val="005B6194"/>
    <w:rsid w:val="005B770A"/>
    <w:rsid w:val="005C51EA"/>
    <w:rsid w:val="005C69E3"/>
    <w:rsid w:val="005D0A3E"/>
    <w:rsid w:val="005D5F4E"/>
    <w:rsid w:val="005E12BA"/>
    <w:rsid w:val="005E1A7F"/>
    <w:rsid w:val="005E1E3B"/>
    <w:rsid w:val="005E4EF6"/>
    <w:rsid w:val="005F2254"/>
    <w:rsid w:val="00613A71"/>
    <w:rsid w:val="00623C64"/>
    <w:rsid w:val="00625898"/>
    <w:rsid w:val="00637BCA"/>
    <w:rsid w:val="006579E7"/>
    <w:rsid w:val="0066115E"/>
    <w:rsid w:val="00664733"/>
    <w:rsid w:val="00672A8D"/>
    <w:rsid w:val="00676CA3"/>
    <w:rsid w:val="00681F8A"/>
    <w:rsid w:val="0068323A"/>
    <w:rsid w:val="00686815"/>
    <w:rsid w:val="006A172C"/>
    <w:rsid w:val="006A37CB"/>
    <w:rsid w:val="006A3FE3"/>
    <w:rsid w:val="006B2281"/>
    <w:rsid w:val="006B2C78"/>
    <w:rsid w:val="006B3FB2"/>
    <w:rsid w:val="006C5089"/>
    <w:rsid w:val="006D2775"/>
    <w:rsid w:val="006E6764"/>
    <w:rsid w:val="006F0334"/>
    <w:rsid w:val="006F7925"/>
    <w:rsid w:val="007057C9"/>
    <w:rsid w:val="00705D7F"/>
    <w:rsid w:val="007202F8"/>
    <w:rsid w:val="00725225"/>
    <w:rsid w:val="00730526"/>
    <w:rsid w:val="00732262"/>
    <w:rsid w:val="00744D5B"/>
    <w:rsid w:val="00747B73"/>
    <w:rsid w:val="00757644"/>
    <w:rsid w:val="0076250F"/>
    <w:rsid w:val="007679A8"/>
    <w:rsid w:val="00782C1A"/>
    <w:rsid w:val="007849F5"/>
    <w:rsid w:val="00786FC0"/>
    <w:rsid w:val="00796E54"/>
    <w:rsid w:val="007A0253"/>
    <w:rsid w:val="007B1713"/>
    <w:rsid w:val="007B5B34"/>
    <w:rsid w:val="007C0F1C"/>
    <w:rsid w:val="007C3517"/>
    <w:rsid w:val="007D47DB"/>
    <w:rsid w:val="007E280F"/>
    <w:rsid w:val="007E5598"/>
    <w:rsid w:val="007E56A6"/>
    <w:rsid w:val="00803B3C"/>
    <w:rsid w:val="00805050"/>
    <w:rsid w:val="00806007"/>
    <w:rsid w:val="00825C5B"/>
    <w:rsid w:val="008267D0"/>
    <w:rsid w:val="00831B6D"/>
    <w:rsid w:val="00834AF4"/>
    <w:rsid w:val="00845AB3"/>
    <w:rsid w:val="00847CC8"/>
    <w:rsid w:val="00847F55"/>
    <w:rsid w:val="008550A9"/>
    <w:rsid w:val="00863F96"/>
    <w:rsid w:val="0087215B"/>
    <w:rsid w:val="008800C6"/>
    <w:rsid w:val="00893980"/>
    <w:rsid w:val="00893D20"/>
    <w:rsid w:val="00894A94"/>
    <w:rsid w:val="00896E48"/>
    <w:rsid w:val="008973BA"/>
    <w:rsid w:val="008A1793"/>
    <w:rsid w:val="008A3D95"/>
    <w:rsid w:val="008B1C1B"/>
    <w:rsid w:val="008B54F3"/>
    <w:rsid w:val="008C0401"/>
    <w:rsid w:val="008C4E34"/>
    <w:rsid w:val="008C7113"/>
    <w:rsid w:val="008E398A"/>
    <w:rsid w:val="008F3A05"/>
    <w:rsid w:val="008F57E4"/>
    <w:rsid w:val="008F6C9D"/>
    <w:rsid w:val="00902508"/>
    <w:rsid w:val="0090654C"/>
    <w:rsid w:val="009077F4"/>
    <w:rsid w:val="009139E3"/>
    <w:rsid w:val="0091464F"/>
    <w:rsid w:val="00916295"/>
    <w:rsid w:val="00924C2A"/>
    <w:rsid w:val="00926E18"/>
    <w:rsid w:val="009542AB"/>
    <w:rsid w:val="00956142"/>
    <w:rsid w:val="00957054"/>
    <w:rsid w:val="0095755C"/>
    <w:rsid w:val="00961EFC"/>
    <w:rsid w:val="00962480"/>
    <w:rsid w:val="00962971"/>
    <w:rsid w:val="009631F6"/>
    <w:rsid w:val="009644F2"/>
    <w:rsid w:val="00965860"/>
    <w:rsid w:val="00974C94"/>
    <w:rsid w:val="00980636"/>
    <w:rsid w:val="0099101C"/>
    <w:rsid w:val="009927E9"/>
    <w:rsid w:val="009A287D"/>
    <w:rsid w:val="009A53D6"/>
    <w:rsid w:val="009B530F"/>
    <w:rsid w:val="009B71E2"/>
    <w:rsid w:val="009D42E4"/>
    <w:rsid w:val="009D6CB4"/>
    <w:rsid w:val="009D759F"/>
    <w:rsid w:val="009F18D6"/>
    <w:rsid w:val="009F7B9E"/>
    <w:rsid w:val="00A05B29"/>
    <w:rsid w:val="00A144E1"/>
    <w:rsid w:val="00A148F9"/>
    <w:rsid w:val="00A22BCF"/>
    <w:rsid w:val="00A32F7C"/>
    <w:rsid w:val="00A543BD"/>
    <w:rsid w:val="00A641C6"/>
    <w:rsid w:val="00A65E38"/>
    <w:rsid w:val="00A70D22"/>
    <w:rsid w:val="00A70FAA"/>
    <w:rsid w:val="00A75E34"/>
    <w:rsid w:val="00A7635D"/>
    <w:rsid w:val="00A86881"/>
    <w:rsid w:val="00AA3F58"/>
    <w:rsid w:val="00AA5DC4"/>
    <w:rsid w:val="00AB04BC"/>
    <w:rsid w:val="00AB17C0"/>
    <w:rsid w:val="00AC0A78"/>
    <w:rsid w:val="00AC616C"/>
    <w:rsid w:val="00AE0BA2"/>
    <w:rsid w:val="00AF08D7"/>
    <w:rsid w:val="00AF0E68"/>
    <w:rsid w:val="00B10024"/>
    <w:rsid w:val="00B309D8"/>
    <w:rsid w:val="00B513A0"/>
    <w:rsid w:val="00B54191"/>
    <w:rsid w:val="00B61608"/>
    <w:rsid w:val="00B62F41"/>
    <w:rsid w:val="00B72CC6"/>
    <w:rsid w:val="00B87071"/>
    <w:rsid w:val="00B90C46"/>
    <w:rsid w:val="00B91688"/>
    <w:rsid w:val="00B946A9"/>
    <w:rsid w:val="00B952AE"/>
    <w:rsid w:val="00BB661D"/>
    <w:rsid w:val="00BB6A50"/>
    <w:rsid w:val="00BD672A"/>
    <w:rsid w:val="00BE0831"/>
    <w:rsid w:val="00BE3063"/>
    <w:rsid w:val="00BE3353"/>
    <w:rsid w:val="00BE3F73"/>
    <w:rsid w:val="00C063B4"/>
    <w:rsid w:val="00C13605"/>
    <w:rsid w:val="00C238A7"/>
    <w:rsid w:val="00C31FD6"/>
    <w:rsid w:val="00C33264"/>
    <w:rsid w:val="00C459FA"/>
    <w:rsid w:val="00C46D81"/>
    <w:rsid w:val="00C502AD"/>
    <w:rsid w:val="00C50873"/>
    <w:rsid w:val="00C5593F"/>
    <w:rsid w:val="00C7736E"/>
    <w:rsid w:val="00C80B33"/>
    <w:rsid w:val="00C80B78"/>
    <w:rsid w:val="00C81D5C"/>
    <w:rsid w:val="00C82FD1"/>
    <w:rsid w:val="00C849BD"/>
    <w:rsid w:val="00CA40D5"/>
    <w:rsid w:val="00CB2BA7"/>
    <w:rsid w:val="00CE0CBC"/>
    <w:rsid w:val="00D16540"/>
    <w:rsid w:val="00D1768E"/>
    <w:rsid w:val="00D23C08"/>
    <w:rsid w:val="00D3289A"/>
    <w:rsid w:val="00D43EA6"/>
    <w:rsid w:val="00D44A47"/>
    <w:rsid w:val="00D51B06"/>
    <w:rsid w:val="00D55C99"/>
    <w:rsid w:val="00D74312"/>
    <w:rsid w:val="00D8258C"/>
    <w:rsid w:val="00D93337"/>
    <w:rsid w:val="00D9358F"/>
    <w:rsid w:val="00DA3010"/>
    <w:rsid w:val="00DA6178"/>
    <w:rsid w:val="00DB064B"/>
    <w:rsid w:val="00DD1A77"/>
    <w:rsid w:val="00DD58AB"/>
    <w:rsid w:val="00DE10BA"/>
    <w:rsid w:val="00DE76E0"/>
    <w:rsid w:val="00DF3769"/>
    <w:rsid w:val="00E018B7"/>
    <w:rsid w:val="00E16316"/>
    <w:rsid w:val="00E2137C"/>
    <w:rsid w:val="00E24302"/>
    <w:rsid w:val="00E45859"/>
    <w:rsid w:val="00E62B43"/>
    <w:rsid w:val="00E65EDD"/>
    <w:rsid w:val="00E67D0A"/>
    <w:rsid w:val="00E72CE3"/>
    <w:rsid w:val="00E73DBB"/>
    <w:rsid w:val="00E94371"/>
    <w:rsid w:val="00E963B7"/>
    <w:rsid w:val="00EA411E"/>
    <w:rsid w:val="00EA6077"/>
    <w:rsid w:val="00EB4BAA"/>
    <w:rsid w:val="00EB66C5"/>
    <w:rsid w:val="00EC0026"/>
    <w:rsid w:val="00EC631F"/>
    <w:rsid w:val="00ED3935"/>
    <w:rsid w:val="00EE329B"/>
    <w:rsid w:val="00EF5DFE"/>
    <w:rsid w:val="00F05DE4"/>
    <w:rsid w:val="00F172EB"/>
    <w:rsid w:val="00F21DF7"/>
    <w:rsid w:val="00F22123"/>
    <w:rsid w:val="00F272E1"/>
    <w:rsid w:val="00F31ED0"/>
    <w:rsid w:val="00F37E74"/>
    <w:rsid w:val="00F40EB5"/>
    <w:rsid w:val="00F46EB4"/>
    <w:rsid w:val="00F53948"/>
    <w:rsid w:val="00F6260C"/>
    <w:rsid w:val="00F935CC"/>
    <w:rsid w:val="00F93B37"/>
    <w:rsid w:val="00F95D58"/>
    <w:rsid w:val="00FA2C51"/>
    <w:rsid w:val="00FC4E12"/>
    <w:rsid w:val="00FC77C6"/>
    <w:rsid w:val="00FE22C6"/>
    <w:rsid w:val="00FE5379"/>
    <w:rsid w:val="00FE6298"/>
    <w:rsid w:val="00FE6A59"/>
    <w:rsid w:val="00FF2CCE"/>
    <w:rsid w:val="00FF603B"/>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67E74C1"/>
  <w15:docId w15:val="{394E0155-3D6D-9A4E-9AE4-05C5C3E1C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5" w:semiHidden="1" w:unhideWhenUsed="1" w:qFormat="1"/>
    <w:lsdException w:name="heading 6" w:semiHidden="1" w:qFormat="1"/>
    <w:lsdException w:name="heading 7" w:semiHidden="1" w:qFormat="1"/>
    <w:lsdException w:name="heading 8" w:semiHidden="1" w:qFormat="1"/>
    <w:lsdException w:name="heading 9" w:semiHidden="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annotation text" w:semiHidden="1"/>
    <w:lsdException w:name="header" w:uiPriority="99"/>
    <w:lsdException w:name="footer" w:uiPriority="99"/>
    <w:lsdException w:name="index heading" w:semiHidden="1"/>
    <w:lsdException w:name="caption" w:semiHidden="1" w:qFormat="1"/>
    <w:lsdException w:name="table of figures" w:semiHidden="1"/>
    <w:lsdException w:name="envelope address" w:semiHidden="1"/>
    <w:lsdException w:name="envelope return" w:semiHidden="1"/>
    <w:lsdException w:name="annotation reference" w:semiHidden="1"/>
    <w:lsdException w:name="lin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qFormat="1"/>
    <w:lsdException w:name="Closing" w:semiHidden="1"/>
    <w:lsdException w:name="Signature"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lsdException w:name="FollowedHyperlink" w:semiHidden="1"/>
    <w:lsdException w:name="Strong" w:semiHidden="1" w:qFormat="1"/>
    <w:lsdException w:name="Emphasis" w:semiHidden="1" w:qFormat="1"/>
    <w:lsdException w:name="Document Map" w:semiHidden="1"/>
    <w:lsdException w:name="Plain Text" w:semiHidden="1"/>
    <w:lsdException w:name="E-mail Signature"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unhideWhenUsed="1"/>
    <w:lsdException w:name="Normal Table" w:semiHidden="1" w:unhideWhenUsed="1"/>
    <w:lsdException w:name="annotation subject" w:semiHidden="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87FCB"/>
    <w:pPr>
      <w:spacing w:after="120" w:line="288" w:lineRule="auto"/>
      <w:jc w:val="both"/>
    </w:pPr>
    <w:rPr>
      <w:lang w:val="en-US"/>
    </w:rPr>
  </w:style>
  <w:style w:type="paragraph" w:styleId="Heading1">
    <w:name w:val="heading 1"/>
    <w:basedOn w:val="Normal"/>
    <w:next w:val="Normal"/>
    <w:qFormat/>
    <w:rsid w:val="00B946A9"/>
    <w:pPr>
      <w:keepNext/>
      <w:spacing w:before="360"/>
      <w:ind w:left="284" w:hanging="284"/>
      <w:outlineLvl w:val="0"/>
    </w:pPr>
    <w:rPr>
      <w:b/>
      <w:sz w:val="22"/>
    </w:rPr>
  </w:style>
  <w:style w:type="paragraph" w:styleId="Heading2">
    <w:name w:val="heading 2"/>
    <w:basedOn w:val="Normal"/>
    <w:next w:val="Normal"/>
    <w:qFormat/>
    <w:rsid w:val="006F7925"/>
    <w:pPr>
      <w:keepNext/>
      <w:spacing w:before="240"/>
      <w:ind w:left="357" w:hanging="357"/>
      <w:outlineLvl w:val="1"/>
    </w:pPr>
    <w:rPr>
      <w:b/>
    </w:rPr>
  </w:style>
  <w:style w:type="paragraph" w:styleId="Heading3">
    <w:name w:val="heading 3"/>
    <w:basedOn w:val="Normal"/>
    <w:next w:val="Normal"/>
    <w:qFormat/>
    <w:rsid w:val="00F6260C"/>
    <w:pPr>
      <w:keepNext/>
      <w:spacing w:before="240" w:after="60"/>
      <w:ind w:left="567" w:hanging="567"/>
      <w:outlineLvl w:val="2"/>
    </w:pPr>
    <w:rPr>
      <w:i/>
    </w:rPr>
  </w:style>
  <w:style w:type="paragraph" w:styleId="Heading4">
    <w:name w:val="heading 4"/>
    <w:basedOn w:val="Normal"/>
    <w:next w:val="Normal"/>
    <w:rsid w:val="00757644"/>
    <w:pPr>
      <w:outlineLvl w:val="3"/>
    </w:pPr>
    <w:rPr>
      <w:lang w:val="fr-FR"/>
    </w:rPr>
  </w:style>
  <w:style w:type="paragraph" w:styleId="Heading5">
    <w:name w:val="heading 5"/>
    <w:basedOn w:val="Normal"/>
    <w:next w:val="Normal"/>
    <w:link w:val="Heading5Char"/>
    <w:semiHidden/>
    <w:qFormat/>
    <w:rsid w:val="00D93337"/>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8C7113"/>
    <w:rPr>
      <w:sz w:val="20"/>
      <w:vertAlign w:val="superscript"/>
    </w:rPr>
  </w:style>
  <w:style w:type="paragraph" w:styleId="Header">
    <w:name w:val="header"/>
    <w:basedOn w:val="Normal"/>
    <w:link w:val="HeaderChar"/>
    <w:uiPriority w:val="99"/>
    <w:semiHidden/>
    <w:rsid w:val="00492468"/>
    <w:pPr>
      <w:tabs>
        <w:tab w:val="center" w:pos="4252"/>
        <w:tab w:val="right" w:pos="8504"/>
      </w:tabs>
      <w:spacing w:after="0" w:line="240" w:lineRule="auto"/>
      <w:jc w:val="center"/>
    </w:pPr>
    <w:rPr>
      <w:i/>
      <w:sz w:val="18"/>
      <w:szCs w:val="18"/>
    </w:rPr>
  </w:style>
  <w:style w:type="paragraph" w:customStyle="1" w:styleId="TablaImagen-Ttulo">
    <w:name w:val="Tabla / Imagen - Título"/>
    <w:basedOn w:val="Normal"/>
    <w:next w:val="Normal"/>
    <w:rsid w:val="003949E7"/>
    <w:pPr>
      <w:spacing w:before="120"/>
      <w:jc w:val="center"/>
    </w:pPr>
    <w:rPr>
      <w:b/>
      <w:sz w:val="18"/>
      <w:szCs w:val="18"/>
      <w:lang w:val="es-ES"/>
    </w:rPr>
  </w:style>
  <w:style w:type="character" w:styleId="PageNumber">
    <w:name w:val="page number"/>
    <w:semiHidden/>
    <w:rsid w:val="00D55C99"/>
    <w:rPr>
      <w:rFonts w:ascii="Trebuchet MS" w:hAnsi="Trebuchet MS"/>
      <w:sz w:val="17"/>
    </w:rPr>
  </w:style>
  <w:style w:type="paragraph" w:styleId="FootnoteText">
    <w:name w:val="footnote text"/>
    <w:basedOn w:val="Normal"/>
    <w:semiHidden/>
    <w:rsid w:val="00D55C99"/>
    <w:rPr>
      <w:sz w:val="14"/>
    </w:rPr>
  </w:style>
  <w:style w:type="paragraph" w:customStyle="1" w:styleId="Textonotaalpie">
    <w:name w:val="Texto nota al pie"/>
    <w:basedOn w:val="Normal"/>
    <w:next w:val="Normal"/>
    <w:rsid w:val="008550A9"/>
    <w:pPr>
      <w:tabs>
        <w:tab w:val="left" w:pos="170"/>
      </w:tabs>
      <w:spacing w:after="240" w:line="240" w:lineRule="auto"/>
      <w:ind w:left="170" w:hanging="170"/>
    </w:pPr>
    <w:rPr>
      <w:sz w:val="16"/>
      <w:szCs w:val="15"/>
    </w:rPr>
  </w:style>
  <w:style w:type="paragraph" w:styleId="Footer">
    <w:name w:val="footer"/>
    <w:basedOn w:val="Normal"/>
    <w:link w:val="FooterChar"/>
    <w:uiPriority w:val="99"/>
    <w:semiHidden/>
    <w:rsid w:val="003C184F"/>
    <w:pPr>
      <w:tabs>
        <w:tab w:val="center" w:pos="4252"/>
        <w:tab w:val="right" w:pos="8504"/>
      </w:tabs>
    </w:pPr>
  </w:style>
  <w:style w:type="paragraph" w:styleId="Revision">
    <w:name w:val="Revision"/>
    <w:hidden/>
    <w:uiPriority w:val="99"/>
    <w:semiHidden/>
    <w:rsid w:val="00494719"/>
    <w:rPr>
      <w:rFonts w:ascii="Arial" w:hAnsi="Arial"/>
      <w:sz w:val="18"/>
      <w:szCs w:val="24"/>
    </w:rPr>
  </w:style>
  <w:style w:type="paragraph" w:customStyle="1" w:styleId="Howtocite">
    <w:name w:val="How to cite"/>
    <w:basedOn w:val="Normal"/>
    <w:qFormat/>
    <w:rsid w:val="0090654C"/>
    <w:pPr>
      <w:shd w:val="clear" w:color="auto" w:fill="F2F2F2" w:themeFill="background1" w:themeFillShade="F2"/>
      <w:spacing w:after="240" w:line="240" w:lineRule="auto"/>
    </w:pPr>
    <w:rPr>
      <w:sz w:val="18"/>
    </w:rPr>
  </w:style>
  <w:style w:type="paragraph" w:styleId="BalloonText">
    <w:name w:val="Balloon Text"/>
    <w:basedOn w:val="Normal"/>
    <w:link w:val="BalloonTextChar"/>
    <w:semiHidden/>
    <w:rsid w:val="00256628"/>
    <w:pPr>
      <w:spacing w:after="0" w:line="240" w:lineRule="auto"/>
    </w:pPr>
    <w:rPr>
      <w:rFonts w:ascii="Tahoma" w:hAnsi="Tahoma" w:cs="Tahoma"/>
      <w:sz w:val="16"/>
      <w:szCs w:val="16"/>
    </w:rPr>
  </w:style>
  <w:style w:type="paragraph" w:customStyle="1" w:styleId="Author">
    <w:name w:val="Author"/>
    <w:basedOn w:val="Normal"/>
    <w:qFormat/>
    <w:rsid w:val="0099101C"/>
    <w:pPr>
      <w:spacing w:after="0"/>
    </w:pPr>
    <w:rPr>
      <w:b/>
    </w:rPr>
  </w:style>
  <w:style w:type="character" w:customStyle="1" w:styleId="Affiliation">
    <w:name w:val="Affiliation"/>
    <w:qFormat/>
    <w:rsid w:val="0099101C"/>
    <w:rPr>
      <w:sz w:val="18"/>
      <w:szCs w:val="18"/>
    </w:rPr>
  </w:style>
  <w:style w:type="character" w:customStyle="1" w:styleId="BalloonTextChar">
    <w:name w:val="Balloon Text Char"/>
    <w:basedOn w:val="DefaultParagraphFont"/>
    <w:link w:val="BalloonText"/>
    <w:semiHidden/>
    <w:rsid w:val="0017300B"/>
    <w:rPr>
      <w:rFonts w:ascii="Tahoma" w:hAnsi="Tahoma" w:cs="Tahoma"/>
      <w:sz w:val="16"/>
      <w:szCs w:val="16"/>
      <w:lang w:val="en-US"/>
    </w:rPr>
  </w:style>
  <w:style w:type="character" w:customStyle="1" w:styleId="HeaderChar">
    <w:name w:val="Header Char"/>
    <w:basedOn w:val="DefaultParagraphFont"/>
    <w:link w:val="Header"/>
    <w:uiPriority w:val="99"/>
    <w:semiHidden/>
    <w:rsid w:val="00492468"/>
    <w:rPr>
      <w:i/>
      <w:sz w:val="18"/>
      <w:szCs w:val="18"/>
      <w:lang w:val="en-US"/>
    </w:rPr>
  </w:style>
  <w:style w:type="character" w:customStyle="1" w:styleId="FooterChar">
    <w:name w:val="Footer Char"/>
    <w:basedOn w:val="DefaultParagraphFont"/>
    <w:link w:val="Footer"/>
    <w:uiPriority w:val="99"/>
    <w:semiHidden/>
    <w:rsid w:val="0017300B"/>
    <w:rPr>
      <w:lang w:val="en-US"/>
    </w:rPr>
  </w:style>
  <w:style w:type="paragraph" w:customStyle="1" w:styleId="Abstract">
    <w:name w:val="Abstract"/>
    <w:basedOn w:val="Normal"/>
    <w:qFormat/>
    <w:rsid w:val="00181943"/>
    <w:pPr>
      <w:ind w:left="284" w:right="284"/>
    </w:pPr>
    <w:rPr>
      <w:i/>
      <w:lang w:val="en-GB"/>
    </w:rPr>
  </w:style>
  <w:style w:type="paragraph" w:customStyle="1" w:styleId="Abstracttitle">
    <w:name w:val="Abstract title"/>
    <w:basedOn w:val="Heading2"/>
    <w:next w:val="Abstract"/>
    <w:qFormat/>
    <w:rsid w:val="0099101C"/>
    <w:pPr>
      <w:pBdr>
        <w:top w:val="single" w:sz="4" w:space="1" w:color="auto"/>
      </w:pBdr>
      <w:tabs>
        <w:tab w:val="left" w:pos="5770"/>
      </w:tabs>
      <w:spacing w:after="0"/>
      <w:ind w:left="284" w:right="284" w:firstLine="0"/>
    </w:pPr>
    <w:rPr>
      <w:i/>
      <w:iCs/>
      <w:lang w:val="en-GB"/>
    </w:rPr>
  </w:style>
  <w:style w:type="paragraph" w:styleId="ListBullet">
    <w:name w:val="List Bullet"/>
    <w:basedOn w:val="Normal"/>
    <w:semiHidden/>
    <w:rsid w:val="00FC4E12"/>
    <w:pPr>
      <w:numPr>
        <w:numId w:val="4"/>
      </w:numPr>
      <w:contextualSpacing/>
    </w:pPr>
  </w:style>
  <w:style w:type="character" w:styleId="Hyperlink">
    <w:name w:val="Hyperlink"/>
    <w:basedOn w:val="DefaultParagraphFont"/>
    <w:uiPriority w:val="99"/>
    <w:rsid w:val="005C51EA"/>
    <w:rPr>
      <w:color w:val="auto"/>
      <w:u w:val="none"/>
    </w:rPr>
  </w:style>
  <w:style w:type="paragraph" w:styleId="ListParagraph">
    <w:name w:val="List Paragraph"/>
    <w:basedOn w:val="Normal"/>
    <w:uiPriority w:val="34"/>
    <w:semiHidden/>
    <w:qFormat/>
    <w:rsid w:val="00B10024"/>
    <w:pPr>
      <w:spacing w:before="240"/>
      <w:ind w:left="720"/>
      <w:contextualSpacing/>
    </w:pPr>
  </w:style>
  <w:style w:type="paragraph" w:customStyle="1" w:styleId="Titulofigura">
    <w:name w:val="Titulo figura"/>
    <w:aliases w:val="tabla"/>
    <w:basedOn w:val="Normal"/>
    <w:rsid w:val="00831B6D"/>
    <w:pPr>
      <w:widowControl w:val="0"/>
      <w:suppressAutoHyphens/>
      <w:spacing w:before="120" w:line="240" w:lineRule="exact"/>
    </w:pPr>
    <w:rPr>
      <w:rFonts w:ascii="Arial Narrow" w:eastAsia="Times" w:hAnsi="Arial Narrow"/>
      <w:i/>
      <w:iCs/>
      <w:kern w:val="20"/>
      <w:lang w:val="es-ES" w:eastAsia="en-US"/>
    </w:rPr>
  </w:style>
  <w:style w:type="paragraph" w:customStyle="1" w:styleId="Equation">
    <w:name w:val="Equation"/>
    <w:basedOn w:val="BodyText"/>
    <w:rsid w:val="000F4988"/>
    <w:pPr>
      <w:widowControl w:val="0"/>
      <w:tabs>
        <w:tab w:val="center" w:pos="3686"/>
        <w:tab w:val="right" w:pos="7371"/>
      </w:tabs>
      <w:suppressAutoHyphens/>
      <w:spacing w:line="240" w:lineRule="auto"/>
      <w:jc w:val="center"/>
    </w:pPr>
    <w:rPr>
      <w:rFonts w:ascii="Arial Narrow" w:eastAsia="Times" w:hAnsi="Arial Narrow" w:cs="Arial"/>
      <w:noProof/>
      <w:kern w:val="20"/>
      <w:sz w:val="22"/>
      <w:szCs w:val="22"/>
      <w:lang w:eastAsia="en-US"/>
    </w:rPr>
  </w:style>
  <w:style w:type="paragraph" w:styleId="BodyText">
    <w:name w:val="Body Text"/>
    <w:basedOn w:val="Normal"/>
    <w:link w:val="BodyTextChar"/>
    <w:semiHidden/>
    <w:rsid w:val="00BE3F73"/>
  </w:style>
  <w:style w:type="character" w:customStyle="1" w:styleId="BodyTextChar">
    <w:name w:val="Body Text Char"/>
    <w:basedOn w:val="DefaultParagraphFont"/>
    <w:link w:val="BodyText"/>
    <w:semiHidden/>
    <w:rsid w:val="0017300B"/>
    <w:rPr>
      <w:lang w:val="en-US"/>
    </w:rPr>
  </w:style>
  <w:style w:type="character" w:customStyle="1" w:styleId="Heading5Char">
    <w:name w:val="Heading 5 Char"/>
    <w:basedOn w:val="DefaultParagraphFont"/>
    <w:link w:val="Heading5"/>
    <w:semiHidden/>
    <w:rsid w:val="0017300B"/>
    <w:rPr>
      <w:rFonts w:asciiTheme="majorHAnsi" w:eastAsiaTheme="majorEastAsia" w:hAnsiTheme="majorHAnsi" w:cstheme="majorBidi"/>
      <w:color w:val="243F60" w:themeColor="accent1" w:themeShade="7F"/>
      <w:lang w:val="en-US"/>
    </w:rPr>
  </w:style>
  <w:style w:type="paragraph" w:customStyle="1" w:styleId="ReferenciasBibliogrficas">
    <w:name w:val="Referencias Bibliográficas"/>
    <w:basedOn w:val="Normal"/>
    <w:qFormat/>
    <w:rsid w:val="00314ED3"/>
    <w:pPr>
      <w:spacing w:before="60" w:after="60" w:line="240" w:lineRule="auto"/>
      <w:ind w:left="284" w:hanging="284"/>
    </w:pPr>
    <w:rPr>
      <w:szCs w:val="18"/>
    </w:rPr>
  </w:style>
  <w:style w:type="paragraph" w:styleId="Caption">
    <w:name w:val="caption"/>
    <w:aliases w:val="Table caption"/>
    <w:basedOn w:val="Normal"/>
    <w:next w:val="Normal"/>
    <w:semiHidden/>
    <w:qFormat/>
    <w:rsid w:val="00B946A9"/>
    <w:pPr>
      <w:keepNext/>
      <w:spacing w:after="160" w:line="240" w:lineRule="auto"/>
      <w:jc w:val="center"/>
    </w:pPr>
    <w:rPr>
      <w:b/>
      <w:iCs/>
      <w:sz w:val="18"/>
      <w:szCs w:val="18"/>
    </w:rPr>
  </w:style>
  <w:style w:type="table" w:styleId="TableGrid">
    <w:name w:val="Table Grid"/>
    <w:basedOn w:val="TableNormal"/>
    <w:rsid w:val="008B1C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semiHidden/>
    <w:rsid w:val="001F35C4"/>
    <w:pPr>
      <w:spacing w:before="60" w:after="0" w:line="480" w:lineRule="auto"/>
      <w:ind w:left="720" w:hanging="720"/>
    </w:pPr>
    <w:rPr>
      <w:szCs w:val="24"/>
      <w:lang w:eastAsia="en-US"/>
    </w:rPr>
  </w:style>
  <w:style w:type="paragraph" w:styleId="Title">
    <w:name w:val="Title"/>
    <w:basedOn w:val="Normal"/>
    <w:next w:val="Author"/>
    <w:link w:val="TitleChar"/>
    <w:semiHidden/>
    <w:qFormat/>
    <w:rsid w:val="005E1A7F"/>
    <w:pPr>
      <w:jc w:val="left"/>
    </w:pPr>
    <w:rPr>
      <w:b/>
      <w:sz w:val="26"/>
    </w:rPr>
  </w:style>
  <w:style w:type="character" w:customStyle="1" w:styleId="TitleChar">
    <w:name w:val="Title Char"/>
    <w:basedOn w:val="DefaultParagraphFont"/>
    <w:link w:val="Title"/>
    <w:semiHidden/>
    <w:rsid w:val="005E1A7F"/>
    <w:rPr>
      <w:b/>
      <w:sz w:val="26"/>
      <w:lang w:val="en-US"/>
    </w:rPr>
  </w:style>
  <w:style w:type="character" w:styleId="UnresolvedMention">
    <w:name w:val="Unresolved Mention"/>
    <w:basedOn w:val="DefaultParagraphFont"/>
    <w:uiPriority w:val="99"/>
    <w:semiHidden/>
    <w:unhideWhenUsed/>
    <w:rsid w:val="00096F74"/>
    <w:rPr>
      <w:color w:val="605E5C"/>
      <w:shd w:val="clear" w:color="auto" w:fill="E1DFDD"/>
    </w:rPr>
  </w:style>
  <w:style w:type="paragraph" w:customStyle="1" w:styleId="TtuloAbstract">
    <w:name w:val="Título Abstract"/>
    <w:basedOn w:val="Heading2"/>
    <w:rsid w:val="00623C64"/>
    <w:pPr>
      <w:pBdr>
        <w:top w:val="single" w:sz="4" w:space="1" w:color="auto"/>
      </w:pBdr>
      <w:spacing w:after="0"/>
      <w:ind w:left="567" w:right="567" w:firstLine="0"/>
    </w:pPr>
    <w:rPr>
      <w:i/>
      <w:iCs/>
    </w:rPr>
  </w:style>
  <w:style w:type="paragraph" w:customStyle="1" w:styleId="Keywords">
    <w:name w:val="Keywords"/>
    <w:basedOn w:val="Abstract"/>
    <w:next w:val="Normal"/>
    <w:qFormat/>
    <w:rsid w:val="00623C64"/>
    <w:pPr>
      <w:pBdr>
        <w:bottom w:val="single" w:sz="4" w:space="1" w:color="auto"/>
      </w:pBdr>
    </w:pPr>
  </w:style>
  <w:style w:type="paragraph" w:customStyle="1" w:styleId="Figurelegend">
    <w:name w:val="Figure legend"/>
    <w:basedOn w:val="Caption"/>
    <w:next w:val="Normal"/>
    <w:qFormat/>
    <w:rsid w:val="007057C9"/>
    <w:pPr>
      <w:keepNext w:val="0"/>
      <w:contextualSpacing/>
    </w:pPr>
    <w:rPr>
      <w:b w:val="0"/>
      <w:i/>
    </w:rPr>
  </w:style>
  <w:style w:type="paragraph" w:customStyle="1" w:styleId="Tablecontent">
    <w:name w:val="Table content"/>
    <w:basedOn w:val="Normal"/>
    <w:qFormat/>
    <w:rsid w:val="005C51EA"/>
    <w:pPr>
      <w:spacing w:after="0"/>
    </w:pPr>
    <w:rPr>
      <w:noProof/>
      <w:sz w:val="18"/>
      <w:szCs w:val="18"/>
      <w:lang w:val="es-ES"/>
    </w:rPr>
  </w:style>
  <w:style w:type="character" w:styleId="FollowedHyperlink">
    <w:name w:val="FollowedHyperlink"/>
    <w:basedOn w:val="DefaultParagraphFont"/>
    <w:semiHidden/>
    <w:rsid w:val="005C51EA"/>
    <w:rPr>
      <w:color w:val="800080" w:themeColor="followedHyperlink"/>
      <w:u w:val="single"/>
    </w:rPr>
  </w:style>
  <w:style w:type="character" w:styleId="PlaceholderText">
    <w:name w:val="Placeholder Text"/>
    <w:basedOn w:val="DefaultParagraphFont"/>
    <w:uiPriority w:val="99"/>
    <w:semiHidden/>
    <w:rsid w:val="00167F35"/>
    <w:rPr>
      <w:color w:val="666666"/>
    </w:rPr>
  </w:style>
  <w:style w:type="paragraph" w:customStyle="1" w:styleId="Compact">
    <w:name w:val="Compact"/>
    <w:basedOn w:val="BodyText"/>
    <w:qFormat/>
    <w:rsid w:val="00AC0A78"/>
    <w:pPr>
      <w:spacing w:before="36" w:after="36" w:line="240" w:lineRule="auto"/>
      <w:jc w:val="left"/>
    </w:pPr>
    <w:rPr>
      <w:rFonts w:asciiTheme="minorHAnsi" w:eastAsiaTheme="minorEastAsia" w:hAnsiTheme="minorHAnsi" w:cstheme="minorBidi"/>
      <w:sz w:val="24"/>
      <w:szCs w:val="24"/>
      <w:lang w:eastAsia="zh-CN"/>
    </w:rPr>
  </w:style>
  <w:style w:type="table" w:customStyle="1" w:styleId="Table">
    <w:name w:val="Table"/>
    <w:semiHidden/>
    <w:unhideWhenUsed/>
    <w:qFormat/>
    <w:rsid w:val="00AC0A78"/>
    <w:pPr>
      <w:spacing w:after="200"/>
    </w:pPr>
    <w:rPr>
      <w:rFonts w:asciiTheme="minorHAnsi" w:eastAsiaTheme="minorEastAsia" w:hAnsiTheme="minorHAnsi" w:cstheme="minorBidi"/>
      <w:sz w:val="24"/>
      <w:szCs w:val="24"/>
      <w:lang w:val="en-US"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334669">
      <w:bodyDiv w:val="1"/>
      <w:marLeft w:val="0"/>
      <w:marRight w:val="0"/>
      <w:marTop w:val="0"/>
      <w:marBottom w:val="0"/>
      <w:divBdr>
        <w:top w:val="none" w:sz="0" w:space="0" w:color="auto"/>
        <w:left w:val="none" w:sz="0" w:space="0" w:color="auto"/>
        <w:bottom w:val="none" w:sz="0" w:space="0" w:color="auto"/>
        <w:right w:val="none" w:sz="0" w:space="0" w:color="auto"/>
      </w:divBdr>
    </w:div>
    <w:div w:id="1323391859">
      <w:bodyDiv w:val="1"/>
      <w:marLeft w:val="0"/>
      <w:marRight w:val="0"/>
      <w:marTop w:val="0"/>
      <w:marBottom w:val="0"/>
      <w:divBdr>
        <w:top w:val="none" w:sz="0" w:space="0" w:color="auto"/>
        <w:left w:val="none" w:sz="0" w:space="0" w:color="auto"/>
        <w:bottom w:val="none" w:sz="0" w:space="0" w:color="auto"/>
        <w:right w:val="none" w:sz="0" w:space="0" w:color="auto"/>
      </w:divBdr>
    </w:div>
    <w:div w:id="1403138850">
      <w:bodyDiv w:val="1"/>
      <w:marLeft w:val="0"/>
      <w:marRight w:val="0"/>
      <w:marTop w:val="0"/>
      <w:marBottom w:val="0"/>
      <w:divBdr>
        <w:top w:val="none" w:sz="0" w:space="0" w:color="auto"/>
        <w:left w:val="none" w:sz="0" w:space="0" w:color="auto"/>
        <w:bottom w:val="none" w:sz="0" w:space="0" w:color="auto"/>
        <w:right w:val="none" w:sz="0" w:space="0" w:color="auto"/>
      </w:divBdr>
      <w:divsChild>
        <w:div w:id="632054243">
          <w:marLeft w:val="0"/>
          <w:marRight w:val="0"/>
          <w:marTop w:val="0"/>
          <w:marBottom w:val="0"/>
          <w:divBdr>
            <w:top w:val="none" w:sz="0" w:space="0" w:color="auto"/>
            <w:left w:val="none" w:sz="0" w:space="0" w:color="auto"/>
            <w:bottom w:val="none" w:sz="0" w:space="0" w:color="auto"/>
            <w:right w:val="none" w:sz="0" w:space="0" w:color="auto"/>
          </w:divBdr>
        </w:div>
      </w:divsChild>
    </w:div>
    <w:div w:id="1586257404">
      <w:bodyDiv w:val="1"/>
      <w:marLeft w:val="0"/>
      <w:marRight w:val="0"/>
      <w:marTop w:val="0"/>
      <w:marBottom w:val="0"/>
      <w:divBdr>
        <w:top w:val="none" w:sz="0" w:space="0" w:color="auto"/>
        <w:left w:val="none" w:sz="0" w:space="0" w:color="auto"/>
        <w:bottom w:val="none" w:sz="0" w:space="0" w:color="auto"/>
        <w:right w:val="none" w:sz="0" w:space="0" w:color="auto"/>
      </w:divBdr>
      <w:divsChild>
        <w:div w:id="425348951">
          <w:marLeft w:val="0"/>
          <w:marRight w:val="0"/>
          <w:marTop w:val="0"/>
          <w:marBottom w:val="0"/>
          <w:divBdr>
            <w:top w:val="none" w:sz="0" w:space="0" w:color="auto"/>
            <w:left w:val="none" w:sz="0" w:space="0" w:color="auto"/>
            <w:bottom w:val="none" w:sz="0" w:space="0" w:color="auto"/>
            <w:right w:val="none" w:sz="0" w:space="0" w:color="auto"/>
          </w:divBdr>
        </w:div>
      </w:divsChild>
    </w:div>
    <w:div w:id="2021394394">
      <w:bodyDiv w:val="1"/>
      <w:marLeft w:val="0"/>
      <w:marRight w:val="0"/>
      <w:marTop w:val="0"/>
      <w:marBottom w:val="0"/>
      <w:divBdr>
        <w:top w:val="none" w:sz="0" w:space="0" w:color="auto"/>
        <w:left w:val="none" w:sz="0" w:space="0" w:color="auto"/>
        <w:bottom w:val="none" w:sz="0" w:space="0" w:color="auto"/>
        <w:right w:val="none" w:sz="0" w:space="0" w:color="auto"/>
      </w:divBdr>
      <w:divsChild>
        <w:div w:id="37581277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orcid.org/0009-0002-6391-1744"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orcid.org/0000-0001-7913-8747"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E:\identidad\_Plantilla%20y%20cr&#233;ditos%202022\Plantilla_Congresos_17x24%20%2011_2019.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3A7B77-336E-4986-9415-40458062E0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E:\identidad\_Plantilla y créditos 2022\Plantilla_Congresos_17x24  11_2019.dotx</Template>
  <TotalTime>6</TotalTime>
  <Pages>7</Pages>
  <Words>4751</Words>
  <Characters>27086</Characters>
  <Application>Microsoft Office Word</Application>
  <DocSecurity>0</DocSecurity>
  <Lines>225</Lines>
  <Paragraphs>63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Titular Capítulo</vt:lpstr>
      <vt:lpstr>Titular Capítulo</vt:lpstr>
    </vt:vector>
  </TitlesOfParts>
  <Company>UPV</Company>
  <LinksUpToDate>false</LinksUpToDate>
  <CharactersWithSpaces>31774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Titular Capítulo</dc:title>
  <dc:creator>Editorial UPV</dc:creator>
  <cp:lastModifiedBy>Martin Gabriel Cargnel</cp:lastModifiedBy>
  <cp:revision>4</cp:revision>
  <cp:lastPrinted>2021-05-05T10:12:00Z</cp:lastPrinted>
  <dcterms:created xsi:type="dcterms:W3CDTF">2026-03-12T05:38:00Z</dcterms:created>
  <dcterms:modified xsi:type="dcterms:W3CDTF">2026-05-04T17:39:00Z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ed425f7ba23c792395462c98e628d879bf7ab63f42a03c8c9af569b7935d9800</vt:lpwstr>
  </property>
  <property fmtid="{D5CDD505-2E9C-101B-9397-08002B2CF9AE}" pid="3" name="ZOTERO_PREF_1">
    <vt:lpwstr>&lt;data data-version="3" zotero-version="8.0.4"&gt;&lt;session id="b2vT1xt6"/&gt;&lt;style id="http://www.zotero.org/styles/apa" locale="en-US" hasBibliography="1" bibliographyStyleHasBeenSet="1"/&gt;&lt;prefs&gt;&lt;pref name="fieldType" value="Field"/&gt;&lt;/prefs&gt;&lt;/data&gt;</vt:lpwstr>
  </property>
</Properties>
</file>