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9A8D" w14:textId="77777777" w:rsidR="000B2E44" w:rsidRPr="00EA36AD" w:rsidRDefault="00000000" w:rsidP="00604C1F">
      <w:pPr>
        <w:pStyle w:val="Heading1"/>
        <w:jc w:val="both"/>
        <w:rPr>
          <w:rFonts w:ascii="Times New Roman" w:hAnsi="Times New Roman" w:cs="Times New Roman"/>
        </w:rPr>
      </w:pPr>
      <w:bookmarkStart w:id="0" w:name="chapter-4-simulations"/>
      <w:r w:rsidRPr="00EA36AD">
        <w:rPr>
          <w:rFonts w:ascii="Times New Roman" w:hAnsi="Times New Roman" w:cs="Times New Roman"/>
        </w:rPr>
        <w:t>Chapter 4: Simulations</w:t>
      </w:r>
    </w:p>
    <w:p w14:paraId="274FD17D" w14:textId="4A7604C3"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This chapter presents a Monte Carlo simulation exercise designed to illustrate when DML estimators offer meaningful advantages over classical approaches in Difference-in-Differences settings, and when a simpler Two-Way Fixed Effects (TWFE)</w:t>
      </w:r>
      <w:r w:rsidR="000768B6">
        <w:rPr>
          <w:rFonts w:ascii="Times New Roman" w:hAnsi="Times New Roman" w:cs="Times New Roman"/>
        </w:rPr>
        <w:t xml:space="preserve"> </w:t>
      </w:r>
      <w:r w:rsidRPr="00EA36AD">
        <w:rPr>
          <w:rFonts w:ascii="Times New Roman" w:hAnsi="Times New Roman" w:cs="Times New Roman"/>
        </w:rPr>
        <w:t>specification is preferred. The simulation procedure builds on the framework introduced by Hatamyar et al. </w:t>
      </w:r>
      <w:r w:rsidR="00E21495"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{"citationID":"fPxPMxRX","properties":{"unsorted":false,"formattedCitation":"(2023)","plainCitation":"(2023)","noteIndex":0},"citationItems":[{"id":38,"uris":["http://zotero.org/users/local/ik3vdrlJ/items/FM765QV3"],"itemData":{"id":38,"type":"article","abstract":"We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E21495"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E21495" w:rsidRPr="00EA36AD">
        <w:rPr>
          <w:rFonts w:ascii="Times New Roman" w:hAnsi="Times New Roman" w:cs="Times New Roman"/>
        </w:rPr>
        <w:fldChar w:fldCharType="end"/>
      </w:r>
      <w:r w:rsidRPr="00EA36AD">
        <w:rPr>
          <w:rFonts w:ascii="Times New Roman" w:hAnsi="Times New Roman" w:cs="Times New Roman"/>
        </w:rPr>
        <w:t>, which itself extended the staggered DiD design of Callaway and Sant’Anna</w:t>
      </w:r>
      <w:r w:rsidR="00604C1F" w:rsidRPr="00EA36AD">
        <w:rPr>
          <w:rFonts w:ascii="Times New Roman" w:hAnsi="Times New Roman" w:cs="Times New Roman"/>
        </w:rPr>
        <w:t xml:space="preserve">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{"citationID":"wmvbbkW3","properties":{"unsorted":false,"formattedCitation":"(2021)","plainCitation":"(2021)","noteIndex":0},"citationItems":[{"id":25,"uris":["http://zotero.org/users/local/ik3vdrlJ/items/JBF2LLR6"],"itemData":{"id":25,"type":"article-journal","abstract":"In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(2021)</w:t>
      </w:r>
      <w:r w:rsidR="00604C1F" w:rsidRPr="00EA36AD">
        <w:rPr>
          <w:rFonts w:ascii="Times New Roman" w:hAnsi="Times New Roman" w:cs="Times New Roman"/>
        </w:rPr>
        <w:fldChar w:fldCharType="end"/>
      </w:r>
      <w:r w:rsidRPr="00EA36AD">
        <w:rPr>
          <w:rFonts w:ascii="Times New Roman" w:hAnsi="Times New Roman" w:cs="Times New Roman"/>
        </w:rPr>
        <w:t>. The present work adapts and extends the Hatamyar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{"citationID":"uHrWoga4","properties":{"unsorted":false,"formattedCitation":"(2023)","plainCitation":"(2023)","noteIndex":0},"citationItems":[{"id":38,"uris":["http://zotero.org/users/local/ik3vdrlJ/items/FM765QV3"],"itemData":{"id":38,"type":"article","abstract":"We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DGP in several directions: it introduces multiple tiers of confounding complexity (beyond the original linear specification), adds nonlinear outcome models that create conditional parallel trends, varies the propensity score strength parameter across scenarios, and includes noise covariates to test estimator robustness.</w:t>
      </w:r>
    </w:p>
    <w:p w14:paraId="3C248014"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The chapter is organized as follows. First, the data generating process (DGP) is described, covering the construction of covariates, treatment assignment, potential outcomes, and observed outcomes. Second, the simulation scenarios are defined, varying the complexity of confounding and outcome models across three tiers. Third, the estimation procedures and Monte Carlo design are outlined.</w:t>
      </w:r>
    </w:p>
    <w:p w14:paraId="5F5246AC" w14:textId="77777777" w:rsidR="000B2E44" w:rsidRPr="00EA36AD" w:rsidRDefault="00000000" w:rsidP="00604C1F">
      <w:pPr>
        <w:pStyle w:val="Heading2"/>
        <w:jc w:val="both"/>
        <w:rPr>
          <w:rFonts w:ascii="Times New Roman" w:hAnsi="Times New Roman" w:cs="Times New Roman"/>
        </w:rPr>
      </w:pPr>
      <w:bookmarkStart w:id="1" w:name="data-generating-process"/>
      <w:r w:rsidRPr="00EA36AD">
        <w:rPr>
          <w:rFonts w:ascii="Times New Roman" w:hAnsi="Times New Roman" w:cs="Times New Roman"/>
        </w:rPr>
        <w:t>Data Generating Process</w:t>
      </w:r>
    </w:p>
    <w:p w14:paraId="726E124B"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The simulation framework generates panel data for </w:t>
      </w:r>
      <m:oMath>
        <m:r>
          <w:rPr>
            <w:rFonts w:ascii="Cambria Math" w:hAnsi="Cambria Math" w:cs="Times New Roman"/>
          </w:rPr>
          <m:t>n</m:t>
        </m:r>
      </m:oMath>
      <w:r w:rsidRPr="00EA36AD">
        <w:rPr>
          <w:rFonts w:ascii="Times New Roman" w:hAnsi="Times New Roman" w:cs="Times New Roman"/>
        </w:rPr>
        <w:t xml:space="preserve"> units observed over </w:t>
      </w:r>
      <m:oMath>
        <m:r>
          <w:rPr>
            <w:rFonts w:ascii="Cambria Math" w:hAnsi="Cambria Math" w:cs="Times New Roman"/>
          </w:rPr>
          <m:t>T</m:t>
        </m:r>
      </m:oMath>
      <w:r w:rsidRPr="00EA36AD">
        <w:rPr>
          <w:rFonts w:ascii="Times New Roman" w:hAnsi="Times New Roman" w:cs="Times New Roman"/>
        </w:rPr>
        <w:t xml:space="preserve"> periods. Each unit </w:t>
      </w:r>
      <m:oMath>
        <m:r>
          <w:rPr>
            <w:rFonts w:ascii="Cambria Math" w:hAnsi="Cambria Math" w:cs="Times New Roman"/>
          </w:rPr>
          <m:t>i</m:t>
        </m:r>
      </m:oMath>
      <w:r w:rsidRPr="00EA36AD">
        <w:rPr>
          <w:rFonts w:ascii="Times New Roman" w:hAnsi="Times New Roman" w:cs="Times New Roman"/>
        </w:rPr>
        <w:t xml:space="preserve"> is assigned to a treatment cohort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EA36AD">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indicates a never-treated unit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&gt;</m:t>
        </m:r>
        <m:r>
          <w:rPr>
            <w:rFonts w:ascii="Cambria Math" w:hAnsi="Cambria Math" w:cs="Times New Roman"/>
          </w:rPr>
          <m:t>0</m:t>
        </m:r>
      </m:oMath>
      <w:r w:rsidRPr="00EA36AD">
        <w:rPr>
          <w:rFonts w:ascii="Times New Roman" w:hAnsi="Times New Roman" w:cs="Times New Roman"/>
        </w:rPr>
        <w:t xml:space="preserve"> indicates that unit </w:t>
      </w:r>
      <m:oMath>
        <m:r>
          <w:rPr>
            <w:rFonts w:ascii="Cambria Math" w:hAnsi="Cambria Math" w:cs="Times New Roman"/>
          </w:rPr>
          <m:t>i</m:t>
        </m:r>
      </m:oMath>
      <w:r w:rsidRPr="00EA36AD">
        <w:rPr>
          <w:rFonts w:ascii="Times New Roman" w:hAnsi="Times New Roman" w:cs="Times New Roman"/>
        </w:rPr>
        <w:t xml:space="preserve"> first receives treatment at period </w:t>
      </w:r>
      <m:oMath>
        <m:r>
          <w:rPr>
            <w:rFonts w:ascii="Cambria Math" w:hAnsi="Cambria Math" w:cs="Times New Roman"/>
          </w:rPr>
          <m:t>g</m:t>
        </m:r>
      </m:oMath>
      <w:r w:rsidRPr="00EA36AD">
        <w:rPr>
          <w:rFonts w:ascii="Times New Roman" w:hAnsi="Times New Roman" w:cs="Times New Roman"/>
        </w:rPr>
        <w:t>.</w:t>
      </w:r>
    </w:p>
    <w:p w14:paraId="03C0B0F9"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core of the DGP is defined by two potential outcome equations. The untreated potential outcome for unit </w:t>
      </w:r>
      <m:oMath>
        <m:r>
          <w:rPr>
            <w:rFonts w:ascii="Cambria Math" w:hAnsi="Cambria Math" w:cs="Times New Roman"/>
          </w:rPr>
          <m:t>i</m:t>
        </m:r>
      </m:oMath>
      <w:r w:rsidRPr="00EA36AD">
        <w:rPr>
          <w:rFonts w:ascii="Times New Roman" w:hAnsi="Times New Roman" w:cs="Times New Roman"/>
        </w:rPr>
        <w:t xml:space="preserve"> at period </w:t>
      </w:r>
      <m:oMath>
        <m:r>
          <w:rPr>
            <w:rFonts w:ascii="Cambria Math" w:hAnsi="Cambria Math" w:cs="Times New Roman"/>
          </w:rPr>
          <m:t>t</m:t>
        </m:r>
      </m:oMath>
      <w:r w:rsidRPr="00EA36AD">
        <w:rPr>
          <w:rFonts w:ascii="Times New Roman" w:hAnsi="Times New Roman" w:cs="Times New Roman"/>
        </w:rPr>
        <w:t xml:space="preserve"> is:</w:t>
      </w:r>
    </w:p>
    <w:p w14:paraId="1251FF53"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6EBCD5D6"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and the treated potential outcome is:</w:t>
      </w:r>
    </w:p>
    <w:p w14:paraId="5D6465E8"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t</m:t>
              </m:r>
            </m:sub>
            <m:sup>
              <m:r>
                <w:rPr>
                  <w:rFonts w:ascii="Cambria Math" w:hAnsi="Cambria Math" w:cs="Times New Roman"/>
                </w:rPr>
                <m:t>X</m:t>
              </m:r>
            </m:sup>
          </m:sSubSup>
          <m:r>
            <m:rPr>
              <m:sty m:val="p"/>
            </m:rPr>
            <w:rPr>
              <w:rFonts w:ascii="Cambria Math" w:hAnsi="Cambria Math" w:cs="Times New Roman"/>
            </w:rPr>
            <m:t>+</m:t>
          </m:r>
          <m:d>
            <m:dPr>
              <m:ctrlPr>
                <w:rPr>
                  <w:rFonts w:ascii="Cambria Math" w:hAnsi="Cambria Math" w:cs="Times New Roman"/>
                </w:rPr>
              </m:ctrlPr>
            </m:dPr>
            <m:e>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6FA65629"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is a shared time trend,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EA36AD">
        <w:rPr>
          <w:rFonts w:ascii="Times New Roman" w:hAnsi="Times New Roman" w:cs="Times New Roman"/>
        </w:rPr>
        <w:t xml:space="preserve"> is a unit-specific fixed effect,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is an idiosyncratic error,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is a function of covariates whose complexity varies across scenarios,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sidRPr="00EA36AD">
        <w:rPr>
          <w:rFonts w:ascii="Times New Roman" w:hAnsi="Times New Roman" w:cs="Times New Roman"/>
        </w:rPr>
        <w:t xml:space="preserve"> is a covariate index entering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t</m:t>
            </m:r>
          </m:sub>
          <m:sup>
            <m:r>
              <w:rPr>
                <w:rFonts w:ascii="Cambria Math" w:hAnsi="Cambria Math" w:cs="Times New Roman"/>
              </w:rPr>
              <m:t>X</m:t>
            </m:r>
          </m:sup>
        </m:sSubSup>
      </m:oMath>
      <w:r w:rsidRPr="00EA36AD">
        <w:rPr>
          <w:rFonts w:ascii="Times New Roman" w:hAnsi="Times New Roman" w:cs="Times New Roman"/>
        </w:rPr>
        <w:t xml:space="preserve"> is a time-varying coefficient on covariates in the treated outcome,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is a dynamic treatment effect component that depends on event time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is a unit-specific treatment effect modifier. The observed outcome switches between these two equations based on treatment status:</w:t>
      </w:r>
    </w:p>
    <w:p w14:paraId="5B445DC7"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8CE70EF" w14:textId="2D59D84E"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In Hatamyar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{"citationID":"LB47dmtn","properties":{"unsorted":false,"formattedCitation":"(2023)","plainCitation":"(2023)","noteIndex":0},"citationItems":[{"id":38,"uris":["http://zotero.org/users/local/ik3vdrlJ/items/FM765QV3"],"itemData":{"id":38,"type":"article","abstract":"We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the untreated outcome did not depend on covariates (equivalent to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confounding was limited to a single linear specification, and the propensity score strength was fixed. The present design extends each of these dimensions, as described in the subsections that follow.</w:t>
      </w:r>
    </w:p>
    <w:p w14:paraId="52CF7244" w14:textId="77777777" w:rsidR="000B2E44" w:rsidRPr="00EA36AD" w:rsidRDefault="00000000" w:rsidP="00604C1F">
      <w:pPr>
        <w:pStyle w:val="Heading3"/>
        <w:jc w:val="both"/>
        <w:rPr>
          <w:rFonts w:ascii="Times New Roman" w:hAnsi="Times New Roman" w:cs="Times New Roman"/>
        </w:rPr>
      </w:pPr>
      <w:bookmarkStart w:id="2" w:name="covariates"/>
      <w:r w:rsidRPr="00EA36AD">
        <w:rPr>
          <w:rFonts w:ascii="Times New Roman" w:hAnsi="Times New Roman" w:cs="Times New Roman"/>
        </w:rPr>
        <w:lastRenderedPageBreak/>
        <w:t>Covariates</w:t>
      </w:r>
    </w:p>
    <w:p w14:paraId="7B5F74B0" w14:textId="15D1824A"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Five types of covariates are generated for each unit. Two continuous covariates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EA36AD">
        <w:rPr>
          <w:rFonts w:ascii="Times New Roman" w:hAnsi="Times New Roman" w:cs="Times New Roman"/>
        </w:rPr>
        <w:t xml:space="preserve"> are drawn independently from a standard normal distribution. A binary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is drawn from a Bernoulli distribution with probability 0.5. These three covariates mirror the covariate structure used in Hatamyar et al. (2023). An additional binary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4</m:t>
            </m:r>
          </m:sub>
        </m:sSub>
      </m:oMath>
      <w:r w:rsidRPr="00EA36AD">
        <w:rPr>
          <w:rFonts w:ascii="Times New Roman" w:hAnsi="Times New Roman" w:cs="Times New Roman"/>
        </w:rPr>
        <w:t>, also drawn from a Bernoulli</w:t>
      </w:r>
      <w:r w:rsidR="00604C1F" w:rsidRPr="00EA36AD">
        <w:rPr>
          <w:rFonts w:ascii="Times New Roman" w:hAnsi="Times New Roman" w:cs="Times New Roman"/>
        </w:rPr>
        <w:t xml:space="preserve"> </w:t>
      </w:r>
      <w:r w:rsidRPr="00EA36AD">
        <w:rPr>
          <w:rFonts w:ascii="Times New Roman" w:hAnsi="Times New Roman" w:cs="Times New Roman"/>
        </w:rPr>
        <w:t>(0.5) distribution, is included as a pure noise variable that does not enter any model equation.</w:t>
      </w:r>
    </w:p>
    <w:p w14:paraId="180C89E9"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An optional time-varying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sub>
        </m:sSub>
      </m:oMath>
      <w:r w:rsidRPr="00EA36AD">
        <w:rPr>
          <w:rFonts w:ascii="Times New Roman" w:hAnsi="Times New Roman" w:cs="Times New Roman"/>
        </w:rPr>
        <w:t xml:space="preserve">, not present in Hatamyar et al. (2023), can also be generated. For each period </w:t>
      </w:r>
      <m:oMath>
        <m:r>
          <w:rPr>
            <w:rFonts w:ascii="Cambria Math" w:hAnsi="Cambria Math" w:cs="Times New Roman"/>
          </w:rPr>
          <m:t>t</m:t>
        </m:r>
      </m:oMath>
      <w:r w:rsidRPr="00EA36A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r>
              <m:rPr>
                <m:sty m:val="p"/>
              </m:rPr>
              <w:rPr>
                <w:rFonts w:ascii="Cambria Math" w:hAnsi="Cambria Math" w:cs="Times New Roman"/>
              </w:rPr>
              <m:t>,</m:t>
            </m:r>
            <m:r>
              <w:rPr>
                <w:rFonts w:ascii="Cambria Math" w:hAnsi="Cambria Math" w:cs="Times New Roman"/>
              </w:rPr>
              <m:t>it</m:t>
            </m:r>
          </m:sub>
        </m:sSub>
      </m:oMath>
      <w:r w:rsidRPr="00EA36AD">
        <w:rPr>
          <w:rFonts w:ascii="Times New Roman" w:hAnsi="Times New Roman" w:cs="Times New Roman"/>
        </w:rPr>
        <w:t xml:space="preserve"> follows a sine wave pattern plus noise:</w:t>
      </w:r>
    </w:p>
    <w:p w14:paraId="341380CB" w14:textId="77777777" w:rsidR="000B2E44" w:rsidRPr="00EA36AD" w:rsidRDefault="00000000" w:rsidP="00604C1F">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r>
                <m:rPr>
                  <m:sty m:val="p"/>
                </m:rPr>
                <w:rPr>
                  <w:rFonts w:ascii="Cambria Math" w:hAnsi="Cambria Math" w:cs="Times New Roman"/>
                </w:rPr>
                <m:t>,</m:t>
              </m:r>
              <m:r>
                <w:rPr>
                  <w:rFonts w:ascii="Cambria Math" w:hAnsi="Cambria Math" w:cs="Times New Roman"/>
                </w:rPr>
                <m:t>it</m:t>
              </m:r>
            </m:sub>
          </m:sSub>
          <m:r>
            <m:rPr>
              <m:sty m:val="p"/>
            </m:rPr>
            <w:rPr>
              <w:rFonts w:ascii="Cambria Math" w:hAnsi="Cambria Math" w:cs="Times New Roman"/>
            </w:rPr>
            <m:t>=sin(</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6B40BAB8"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w:r w:rsidRPr="00EA36AD">
        <w:rPr>
          <w:rFonts w:ascii="Times New Roman" w:hAnsi="Times New Roman" w:cs="Times New Roman"/>
        </w:rPr>
        <w:t xml:space="preserve"> represents an evenly spaced grid over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This covariate introduces temporal variation in the covariate structure, which is relevant for testing estimators in settings where conditioning variables evolve over time.</w:t>
      </w:r>
    </w:p>
    <w:p w14:paraId="2D480FEB" w14:textId="77777777" w:rsidR="000B2E44" w:rsidRPr="00EA36AD" w:rsidRDefault="00000000" w:rsidP="00604C1F">
      <w:pPr>
        <w:pStyle w:val="Heading3"/>
        <w:jc w:val="both"/>
        <w:rPr>
          <w:rFonts w:ascii="Times New Roman" w:hAnsi="Times New Roman" w:cs="Times New Roman"/>
        </w:rPr>
      </w:pPr>
      <w:bookmarkStart w:id="3" w:name="treatment-assignment"/>
      <w:bookmarkEnd w:id="2"/>
      <w:r w:rsidRPr="00EA36AD">
        <w:rPr>
          <w:rFonts w:ascii="Times New Roman" w:hAnsi="Times New Roman" w:cs="Times New Roman"/>
        </w:rPr>
        <w:t>Treatment Assignment</w:t>
      </w:r>
    </w:p>
    <w:p w14:paraId="40977394"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Treatment assignment is governed by a multinomial model that determines each unit’s cohort membership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xml:space="preserve">. Under random assignment, each cohort (including the never-treated group) is equally likely, so </w:t>
      </w:r>
      <m:oMath>
        <m:r>
          <m:rPr>
            <m:sty m:val="p"/>
          </m:rP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for all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EA36AD">
        <w:rPr>
          <w:rFonts w:ascii="Times New Roman" w:hAnsi="Times New Roman" w:cs="Times New Roman"/>
        </w:rPr>
        <w:t>.</w:t>
      </w:r>
    </w:p>
    <w:p w14:paraId="0D39BA01"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Under confounded assignment, the probability of belonging to each cohort depends on the covariates through a multinomial logit model:</w:t>
      </w:r>
    </w:p>
    <w:p w14:paraId="7AA1658B" w14:textId="77777777" w:rsidR="000B2E44" w:rsidRPr="00EA36AD" w:rsidRDefault="00000000" w:rsidP="00604C1F">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num>
            <m:den>
              <m:nary>
                <m:naryPr>
                  <m:chr m:val="∑"/>
                  <m:limLoc m:val="undOvr"/>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T</m:t>
                  </m:r>
                </m:sup>
                <m:e>
                  <m:r>
                    <m:rPr>
                      <m:sty m:val="p"/>
                    </m:rPr>
                    <w:rPr>
                      <w:rFonts w:ascii="Cambria Math" w:hAnsi="Cambria Math" w:cs="Times New Roman"/>
                    </w:rPr>
                    <m:t>exp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sSup>
                    <m:sSupPr>
                      <m:ctrlPr>
                        <w:rPr>
                          <w:rFonts w:ascii="Cambria Math" w:hAnsi="Cambria Math" w:cs="Times New Roman"/>
                        </w:rPr>
                      </m:ctrlPr>
                    </m:sSupPr>
                    <m:e>
                      <m:r>
                        <w:rPr>
                          <w:rFonts w:ascii="Cambria Math" w:hAnsi="Cambria Math" w:cs="Times New Roman"/>
                        </w:rPr>
                        <m:t>g</m:t>
                      </m:r>
                    </m:e>
                    <m:sup>
                      <m:r>
                        <m:rPr>
                          <m:sty m:val="p"/>
                        </m:rPr>
                        <w:rPr>
                          <w:rFonts w:ascii="Cambria Math" w:hAnsi="Cambria Math" w:cs="Times New Roman"/>
                        </w:rPr>
                        <m:t>'</m:t>
                      </m:r>
                    </m:sup>
                  </m:sSup>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den>
          </m:f>
        </m:oMath>
      </m:oMathPara>
    </w:p>
    <w:p w14:paraId="1CC173A5" w14:textId="20D7FADE"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is a cohort-specific parameter that scales with the propensity score strength </w:t>
      </w:r>
      <m:oMath>
        <m:r>
          <w:rPr>
            <w:rFonts w:ascii="Cambria Math" w:hAnsi="Cambria Math" w:cs="Times New Roman"/>
          </w:rPr>
          <m:t>λ</m:t>
        </m:r>
      </m:oMath>
      <w:r w:rsidRPr="00EA36AD">
        <w:rPr>
          <w:rFonts w:ascii="Times New Roman" w:hAnsi="Times New Roman" w:cs="Times New Roman"/>
        </w:rPr>
        <w:t xml:space="preserve">, and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is a confounding index that depends on the covariates according to a specified complexity level. Three levels of confounding complexity are considered. Under the simple specification,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creating a linear, additive confounding structure that is straightforward for any estimator to model. The mid specification adds an interaction term,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The complex specification introduces squared terms, indicator functions, and trigonometric transformations,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r>
          <m:rPr>
            <m:scr m:val="double-struck"/>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oMath>
      <w:r w:rsidRPr="00EA36AD">
        <w:rPr>
          <w:rFonts w:ascii="Times New Roman" w:hAnsi="Times New Roman" w:cs="Times New Roman"/>
        </w:rPr>
        <w:t xml:space="preserve">, creating a confounding structure that is difficult for linear models to approximate. This is one of the differences when comparing against Callaway and Sant’Anna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{"citationID":"3LK71B8p","properties":{"unsorted":false,"formattedCitation":"(2021)","plainCitation":"(2021)","noteIndex":0},"citationItems":[{"id":25,"uris":["http://zotero.org/users/local/ik3vdrlJ/items/JBF2LLR6"],"itemData":{"id":25,"type":"article-journal","abstract":"In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(2021)</w:t>
      </w:r>
      <w:r w:rsidR="00604C1F" w:rsidRPr="00EA36AD">
        <w:rPr>
          <w:rFonts w:ascii="Times New Roman" w:hAnsi="Times New Roman" w:cs="Times New Roman"/>
        </w:rPr>
        <w:fldChar w:fldCharType="end"/>
      </w:r>
      <w:r w:rsidRPr="00EA36AD">
        <w:rPr>
          <w:rFonts w:ascii="Times New Roman" w:hAnsi="Times New Roman" w:cs="Times New Roman"/>
        </w:rPr>
        <w:t xml:space="preserve"> where covariates weren’t included and </w:t>
      </w:r>
      <w:proofErr w:type="spellStart"/>
      <w:r w:rsidRPr="00EA36AD">
        <w:rPr>
          <w:rFonts w:ascii="Times New Roman" w:hAnsi="Times New Roman" w:cs="Times New Roman"/>
        </w:rPr>
        <w:t>Hatamyar</w:t>
      </w:r>
      <w:proofErr w:type="spellEnd"/>
      <w:r w:rsidRPr="00EA36AD">
        <w:rPr>
          <w:rFonts w:ascii="Times New Roman" w:hAnsi="Times New Roman" w:cs="Times New Roman"/>
        </w:rPr>
        <w:t xml:space="preserve"> </w:t>
      </w:r>
      <w:r w:rsidR="00604C1F" w:rsidRPr="00EA36AD">
        <w:rPr>
          <w:rFonts w:ascii="Times New Roman" w:hAnsi="Times New Roman" w:cs="Times New Roman"/>
        </w:rPr>
        <w:t xml:space="preserve">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{"citationID":"udQLft2T","properties":{"unsorted":false,"formattedCitation":"(2023)","plainCitation":"(2023)","noteIndex":0},"citationItems":[{"id":38,"uris":["http://zotero.org/users/local/ik3vdrlJ/items/FM765QV3"],"itemData":{"id":38,"type":"article","abstract":"We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where only the simple structure was included.</w:t>
      </w:r>
    </w:p>
    <w:p w14:paraId="447E34DE" w14:textId="6CE35C6C"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propensity score strength parameter </w:t>
      </w:r>
      <m:oMath>
        <m:r>
          <w:rPr>
            <w:rFonts w:ascii="Cambria Math" w:hAnsi="Cambria Math" w:cs="Times New Roman"/>
          </w:rPr>
          <m:t>λ</m:t>
        </m:r>
      </m:oMath>
      <w:r w:rsidRPr="00EA36AD">
        <w:rPr>
          <w:rFonts w:ascii="Times New Roman" w:hAnsi="Times New Roman" w:cs="Times New Roman"/>
        </w:rPr>
        <w:t xml:space="preserve"> controls how strongly the covariates influence treatment assignment. Higher values of </w:t>
      </w:r>
      <m:oMath>
        <m:r>
          <w:rPr>
            <w:rFonts w:ascii="Cambria Math" w:hAnsi="Cambria Math" w:cs="Times New Roman"/>
          </w:rPr>
          <m:t>λ</m:t>
        </m:r>
      </m:oMath>
      <w:r w:rsidRPr="00EA36AD">
        <w:rPr>
          <w:rFonts w:ascii="Times New Roman" w:hAnsi="Times New Roman" w:cs="Times New Roman"/>
        </w:rPr>
        <w:t xml:space="preserve"> create greater imbalance between treated and control groups, making the confounding bias more severe when covariates are not properly adjusted for. In Hatamyar et al. </w:t>
      </w:r>
      <w:r w:rsidR="00604C1F" w:rsidRPr="00EA36AD">
        <w:rPr>
          <w:rFonts w:ascii="Times New Roman" w:hAnsi="Times New Roman" w:cs="Times New Roman"/>
        </w:rPr>
        <w:fldChar w:fldCharType="begin"/>
      </w:r>
      <w:r w:rsidR="00604C1F" w:rsidRPr="00EA36AD">
        <w:rPr>
          <w:rFonts w:ascii="Times New Roman" w:hAnsi="Times New Roman" w:cs="Times New Roman"/>
        </w:rPr>
        <w:instrText xml:space="preserve"> ADDIN ZOTERO_ITEM CSL_CITATION {"citationID":"ekSF8ZEY","properties":{"unsorted":false,"formattedCitation":"(2023)","plainCitation":"(2023)","noteIndex":0},"citationItems":[{"id":38,"uris":["http://zotero.org/users/local/ik3vdrlJ/items/FM765QV3"],"itemData":{"id":38,"type":"article","abstract":"We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604C1F" w:rsidRPr="00EA36AD">
        <w:rPr>
          <w:rFonts w:ascii="Times New Roman" w:hAnsi="Times New Roman" w:cs="Times New Roman"/>
        </w:rPr>
        <w:fldChar w:fldCharType="separate"/>
      </w:r>
      <w:r w:rsidR="00604C1F" w:rsidRPr="00EA36AD">
        <w:rPr>
          <w:rFonts w:ascii="Times New Roman" w:hAnsi="Times New Roman" w:cs="Times New Roman"/>
          <w:noProof/>
        </w:rPr>
        <w:t>(2023)</w:t>
      </w:r>
      <w:r w:rsidR="00604C1F" w:rsidRPr="00EA36AD">
        <w:rPr>
          <w:rFonts w:ascii="Times New Roman" w:hAnsi="Times New Roman" w:cs="Times New Roman"/>
        </w:rPr>
        <w:fldChar w:fldCharType="end"/>
      </w:r>
      <w:r w:rsidRPr="00EA36AD">
        <w:rPr>
          <w:rFonts w:ascii="Times New Roman" w:hAnsi="Times New Roman" w:cs="Times New Roman"/>
        </w:rPr>
        <w:t xml:space="preserve">, this parameter was fixed; the present design varies </w:t>
      </w:r>
      <m:oMath>
        <m:r>
          <w:rPr>
            <w:rFonts w:ascii="Cambria Math" w:hAnsi="Cambria Math" w:cs="Times New Roman"/>
          </w:rPr>
          <m:t>λ</m:t>
        </m:r>
      </m:oMath>
      <w:r w:rsidRPr="00EA36AD">
        <w:rPr>
          <w:rFonts w:ascii="Times New Roman" w:hAnsi="Times New Roman" w:cs="Times New Roman"/>
        </w:rPr>
        <w:t xml:space="preserve"> across scenarios (from 0.25 to 1.0) to examine how increasing confounding strength affects estimator performance.</w:t>
      </w:r>
    </w:p>
    <w:p w14:paraId="38BEFDC5"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lastRenderedPageBreak/>
        <w:t>In the non-staggered case, all treated units are collapsed into a single cohort that begins treatment at period 2, simplifying the design to one with a single treatment group and a clean pre-treatment period.</w:t>
      </w:r>
    </w:p>
    <w:p w14:paraId="121A2F3C" w14:textId="77777777" w:rsidR="000B2E44" w:rsidRPr="00EA36AD" w:rsidRDefault="00000000" w:rsidP="00604C1F">
      <w:pPr>
        <w:pStyle w:val="Heading3"/>
        <w:jc w:val="both"/>
        <w:rPr>
          <w:rFonts w:ascii="Times New Roman" w:hAnsi="Times New Roman" w:cs="Times New Roman"/>
        </w:rPr>
      </w:pPr>
      <w:bookmarkStart w:id="4" w:name="fixed-effects"/>
      <w:bookmarkEnd w:id="3"/>
      <w:r w:rsidRPr="00EA36AD">
        <w:rPr>
          <w:rFonts w:ascii="Times New Roman" w:hAnsi="Times New Roman" w:cs="Times New Roman"/>
        </w:rPr>
        <w:t>Fixed Effects</w:t>
      </w:r>
    </w:p>
    <w:p w14:paraId="1192BAE9"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Each unit receives an individual-specific fixed effect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EA36AD">
        <w:rPr>
          <w:rFonts w:ascii="Times New Roman" w:hAnsi="Times New Roman" w:cs="Times New Roman"/>
        </w:rPr>
        <w:t xml:space="preserve"> that captures permanent level differences between units. For treated units, the fixed effect is drawn as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so units in later treatment cohorts tend to have higher baseline levels. For untreated units,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A correctly specified DiD estimator should difference out these fixed effects, but their correlation with treatment timing introduces an additional identification challenge.</w:t>
      </w:r>
    </w:p>
    <w:p w14:paraId="45193344" w14:textId="77777777" w:rsidR="000B2E44" w:rsidRPr="00EA36AD" w:rsidRDefault="00000000" w:rsidP="00604C1F">
      <w:pPr>
        <w:pStyle w:val="Heading3"/>
        <w:jc w:val="both"/>
        <w:rPr>
          <w:rFonts w:ascii="Times New Roman" w:hAnsi="Times New Roman" w:cs="Times New Roman"/>
        </w:rPr>
      </w:pPr>
      <w:bookmarkStart w:id="5" w:name="potential-outcomes"/>
      <w:bookmarkEnd w:id="4"/>
      <w:r w:rsidRPr="00EA36AD">
        <w:rPr>
          <w:rFonts w:ascii="Times New Roman" w:hAnsi="Times New Roman" w:cs="Times New Roman"/>
        </w:rPr>
        <w:t>Potential Outcomes</w:t>
      </w:r>
    </w:p>
    <w:p w14:paraId="72D0A180" w14:textId="2DF4A7D8"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The untreated potential outcome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presented at the beginning of this section, includes a covariate effect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scaled by a time-varying coefficient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oMath>
      <w:r w:rsidRPr="00EA36AD">
        <w:rPr>
          <w:rFonts w:ascii="Times New Roman" w:hAnsi="Times New Roman" w:cs="Times New Roman"/>
        </w:rPr>
        <w:t xml:space="preserve"> that grows over the panel. This design creates parallel trends conditional on </w:t>
      </w:r>
      <m:oMath>
        <m:r>
          <w:rPr>
            <w:rFonts w:ascii="Cambria Math" w:hAnsi="Cambria Math" w:cs="Times New Roman"/>
          </w:rPr>
          <m:t>X</m:t>
        </m:r>
      </m:oMath>
      <w:r w:rsidRPr="00EA36AD">
        <w:rPr>
          <w:rFonts w:ascii="Times New Roman" w:hAnsi="Times New Roman" w:cs="Times New Roman"/>
        </w:rPr>
        <w:t xml:space="preserve"> but not unconditionally, providing a setting where covariate adjustment is necessary for valid identification. This is a difference from Hatamyar et al. </w:t>
      </w:r>
      <w:r w:rsidR="00EA36AD" w:rsidRPr="00EA36AD">
        <w:rPr>
          <w:rFonts w:ascii="Times New Roman" w:hAnsi="Times New Roman" w:cs="Times New Roman"/>
        </w:rPr>
        <w:fldChar w:fldCharType="begin"/>
      </w:r>
      <w:r w:rsidR="00EA36AD" w:rsidRPr="00EA36AD">
        <w:rPr>
          <w:rFonts w:ascii="Times New Roman" w:hAnsi="Times New Roman" w:cs="Times New Roman"/>
        </w:rPr>
        <w:instrText xml:space="preserve"> ADDIN ZOTERO_ITEM CSL_CITATION {"citationID":"RtUrBU3E","properties":{"unsorted":false,"formattedCitation":"(2023)","plainCitation":"(2023)","noteIndex":0},"citationItems":[{"id":38,"uris":["http://zotero.org/users/local/ik3vdrlJ/items/FM765QV3"],"itemData":{"id":38,"type":"article","abstract":"We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EA36AD" w:rsidRPr="00EA36AD">
        <w:rPr>
          <w:rFonts w:ascii="Times New Roman" w:hAnsi="Times New Roman" w:cs="Times New Roman"/>
        </w:rPr>
        <w:fldChar w:fldCharType="separate"/>
      </w:r>
      <w:r w:rsidR="00EA36AD" w:rsidRPr="00EA36AD">
        <w:rPr>
          <w:rFonts w:ascii="Times New Roman" w:hAnsi="Times New Roman" w:cs="Times New Roman"/>
          <w:noProof/>
        </w:rPr>
        <w:t>(2023)</w:t>
      </w:r>
      <w:r w:rsidR="00EA36AD" w:rsidRPr="00EA36AD">
        <w:rPr>
          <w:rFonts w:ascii="Times New Roman" w:hAnsi="Times New Roman" w:cs="Times New Roman"/>
        </w:rPr>
        <w:fldChar w:fldCharType="end"/>
      </w:r>
      <w:r w:rsidRPr="00EA36AD">
        <w:rPr>
          <w:rFonts w:ascii="Times New Roman" w:hAnsi="Times New Roman" w:cs="Times New Roman"/>
        </w:rPr>
        <w:t>, where covariates did not enter the untreated outcome equation. The introduction of outcome complexity tiers, particularly the mid and complex specifications, is one of the central extensions of the present simulation design.</w:t>
      </w:r>
    </w:p>
    <w:p w14:paraId="48D0979F" w14:textId="24EAF81C"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Three levels of outcome complexity determine the function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EA36AD">
        <w:rPr>
          <w:rFonts w:ascii="Times New Roman" w:hAnsi="Times New Roman" w:cs="Times New Roman"/>
        </w:rPr>
        <w:t xml:space="preserve">. Under the simple specification,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so covariates do not affect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parallel trends hold unconditionally, and TWFE is correctly specified. This replicates the Hatamyar et al. </w:t>
      </w:r>
      <w:r w:rsidR="00746388">
        <w:rPr>
          <w:rFonts w:ascii="Times New Roman" w:hAnsi="Times New Roman" w:cs="Times New Roman"/>
        </w:rPr>
        <w:fldChar w:fldCharType="begin"/>
      </w:r>
      <w:r w:rsidR="00746388">
        <w:rPr>
          <w:rFonts w:ascii="Times New Roman" w:hAnsi="Times New Roman" w:cs="Times New Roman"/>
        </w:rPr>
        <w:instrText xml:space="preserve"> ADDIN ZOTERO_ITEM CSL_CITATION {"citationID":"BQVIEoko","properties":{"unsorted":false,"formattedCitation":"(2023)","plainCitation":"(2023)","noteIndex":0},"citationItems":[{"id":38,"uris":["http://zotero.org/users/local/ik3vdrlJ/items/FM765QV3"],"itemData":{"id":38,"type":"article","abstract":"We combine two recently proposed nonparametric difference-in-differences methods, extending them to enable the examination of treatment effect heterogeneity in the staggered adoption setting using machine learning. The proposed method, machine learning difference-in-differences (MLDID), allows for estimation of time-varying conditional average treatment effects on the treated, which can be used to conduct detailed inference on drivers of treatment effect heterogeneity. We perform simulations to evaluate the performance of MLDID and find that it accurately identifies the true predictors of treatment effect heterogeneity. We then use MLDID to evaluate the heterogeneous impacts of Brazil's Family Health Program on infant mortality, and find those in poverty and urban locations experienced the impact of the policy more quickly than other subgroups.","DOI":"10.48550/arXiv.2310.11962","note":"arXiv:2310.11962 [econ]","number":"arXiv:2310.11962","publisher":"arXiv","source":"arXiv.org","title":"Machine Learning for Staggered Difference-in-Differences and Dynamic Treatment Effect Heterogeneity","URL":"http://arxiv.org/abs/2310.11962","author":[{"family":"Hatamyar","given":"Julia"},{"family":"Kreif","given":"Noemi"},{"family":"Rocha","given":"Rudi"},{"family":"Huber","given":"Martin"}],"accessed":{"date-parts":[["2026",3,14]]},"issued":{"date-parts":[["2023",10,18]]}},"suppress-author":true}],"schema":"https://github.com/citation-style-language/schema/raw/master/csl-citation.json"} </w:instrText>
      </w:r>
      <w:r w:rsidR="00746388">
        <w:rPr>
          <w:rFonts w:ascii="Times New Roman" w:hAnsi="Times New Roman" w:cs="Times New Roman"/>
        </w:rPr>
        <w:fldChar w:fldCharType="separate"/>
      </w:r>
      <w:r w:rsidR="00746388">
        <w:rPr>
          <w:rFonts w:ascii="Times New Roman" w:hAnsi="Times New Roman" w:cs="Times New Roman"/>
          <w:noProof/>
        </w:rPr>
        <w:t>(2023)</w:t>
      </w:r>
      <w:r w:rsidR="00746388">
        <w:rPr>
          <w:rFonts w:ascii="Times New Roman" w:hAnsi="Times New Roman" w:cs="Times New Roman"/>
        </w:rPr>
        <w:fldChar w:fldCharType="end"/>
      </w:r>
      <w:r w:rsidRPr="00EA36AD">
        <w:rPr>
          <w:rFonts w:ascii="Times New Roman" w:hAnsi="Times New Roman" w:cs="Times New Roman"/>
        </w:rPr>
        <w:t xml:space="preserve"> setting. The mid and complex specifications are extensions introduced in the present work. The mid specification sets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adding a linear covariate effect that grows over time, requiring covariate adjustment but within the capacity of parametric methods. The complex specification sets </w:t>
      </w: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introducing nonlinearities in the outcome model such that linear controls cannot fully remove the covariate effect from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creating a setting where flexible ML-based estimators should outperform linear methods.</w:t>
      </w:r>
    </w:p>
    <w:p w14:paraId="05558CCD"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treatment effect is heterogeneous across units. The unit-specific treatment effect modifier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is generated according to one of two specifications: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oMath>
      <w:r w:rsidRPr="00EA36AD">
        <w:rPr>
          <w:rFonts w:ascii="Times New Roman" w:hAnsi="Times New Roman" w:cs="Times New Roman"/>
        </w:rPr>
        <w:t xml:space="preserve"> (linear in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or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r>
              <m:rPr>
                <m:sty m:val="p"/>
              </m:rPr>
              <w:rPr>
                <w:rFonts w:ascii="Cambria Math" w:hAnsi="Cambria Math" w:cs="Times New Roman"/>
              </w:rPr>
              <m:t>,</m:t>
            </m:r>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EA36AD">
        <w:rPr>
          <w:rFonts w:ascii="Times New Roman" w:hAnsi="Times New Roman" w:cs="Times New Roman"/>
        </w:rPr>
        <w:t xml:space="preserve"> (nonlinear). Hatamyar et al. (2023) used only the linear specification; the nonlinear alternative is an extension that assesses whether ML-based estimators can capture more complex treatment effect heterogeneity patterns.</w:t>
      </w:r>
    </w:p>
    <w:p w14:paraId="3E074660"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covariates entering the treated outcome equation are collected in a model index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sidRPr="00EA36AD">
        <w:rPr>
          <w:rFonts w:ascii="Times New Roman" w:hAnsi="Times New Roman" w:cs="Times New Roman"/>
        </w:rPr>
        <w:t xml:space="preserve">. The parameter </w:t>
      </w:r>
      <m:oMath>
        <m:r>
          <w:rPr>
            <w:rFonts w:ascii="Cambria Math" w:hAnsi="Cambria Math" w:cs="Times New Roman"/>
          </w:rPr>
          <m:t>χ</m:t>
        </m:r>
      </m:oMath>
      <w:r w:rsidRPr="00EA36AD">
        <w:rPr>
          <w:rFonts w:ascii="Times New Roman" w:hAnsi="Times New Roman" w:cs="Times New Roman"/>
        </w:rPr>
        <w:t xml:space="preserve"> controls the dimensionality of this index: when </w:t>
      </w:r>
      <m:oMath>
        <m:r>
          <w:rPr>
            <w:rFonts w:ascii="Cambria Math" w:hAnsi="Cambria Math" w:cs="Times New Roman"/>
          </w:rPr>
          <m:t>χ</m:t>
        </m:r>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only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A36AD">
        <w:rPr>
          <w:rFonts w:ascii="Times New Roman" w:hAnsi="Times New Roman" w:cs="Times New Roman"/>
        </w:rPr>
        <w:t xml:space="preserve"> enters; otherwise, the index is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EA36AD">
        <w:rPr>
          <w:rFonts w:ascii="Times New Roman" w:hAnsi="Times New Roman" w:cs="Times New Roman"/>
        </w:rPr>
        <w:t xml:space="preserve">. The dynamic treatment effect component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depends on event time, with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e</m:t>
        </m:r>
      </m:oMath>
      <w:r w:rsidRPr="00EA36AD">
        <w:rPr>
          <w:rFonts w:ascii="Times New Roman" w:hAnsi="Times New Roman" w:cs="Times New Roman"/>
        </w:rPr>
        <w:t xml:space="preserve"> under dynamic effects and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under constant effects. The treatment effect for a treated unit in a post-treatment period thus has two parts: a dynamic component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oMath>
      <w:r w:rsidRPr="00EA36AD">
        <w:rPr>
          <w:rFonts w:ascii="Times New Roman" w:hAnsi="Times New Roman" w:cs="Times New Roman"/>
        </w:rPr>
        <w:t xml:space="preserve"> that grows with event time, and a constant baseline of 1. Both components are multiplied by the unit-specific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so the actual treatment effect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oMath>
      <w:r w:rsidRPr="00EA36AD">
        <w:rPr>
          <w:rFonts w:ascii="Times New Roman" w:hAnsi="Times New Roman" w:cs="Times New Roman"/>
        </w:rPr>
        <w:t xml:space="preserve"> varies both across units and over time.</w:t>
      </w:r>
    </w:p>
    <w:p w14:paraId="3823A9AA" w14:textId="77777777" w:rsidR="000B2E44" w:rsidRPr="00EA36AD" w:rsidRDefault="00000000" w:rsidP="00604C1F">
      <w:pPr>
        <w:pStyle w:val="Heading3"/>
        <w:jc w:val="both"/>
        <w:rPr>
          <w:rFonts w:ascii="Times New Roman" w:hAnsi="Times New Roman" w:cs="Times New Roman"/>
        </w:rPr>
      </w:pPr>
      <w:bookmarkStart w:id="6" w:name="observed-outcomes"/>
      <w:bookmarkEnd w:id="5"/>
      <w:r w:rsidRPr="00EA36AD">
        <w:rPr>
          <w:rFonts w:ascii="Times New Roman" w:hAnsi="Times New Roman" w:cs="Times New Roman"/>
        </w:rPr>
        <w:lastRenderedPageBreak/>
        <w:t>Observed Outcomes</w:t>
      </w:r>
    </w:p>
    <w:p w14:paraId="4B30C1F6"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For treated units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A36AD">
        <w:rPr>
          <w:rFonts w:ascii="Times New Roman" w:hAnsi="Times New Roman" w:cs="Times New Roman"/>
        </w:rPr>
        <w:t xml:space="preserve">), the observed outcome equals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EA36AD">
        <w:rPr>
          <w:rFonts w:ascii="Times New Roman" w:hAnsi="Times New Roman" w:cs="Times New Roman"/>
        </w:rPr>
        <w:t xml:space="preserve"> in post-treatment periods (</w:t>
      </w: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in pre-treatment periods (</w:t>
      </w:r>
      <m:oMath>
        <m:r>
          <w:rPr>
            <w:rFonts w:ascii="Cambria Math" w:hAnsi="Cambria Math" w:cs="Times New Roman"/>
          </w:rPr>
          <m:t>t</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A36AD">
        <w:rPr>
          <w:rFonts w:ascii="Times New Roman" w:hAnsi="Times New Roman" w:cs="Times New Roman"/>
        </w:rPr>
        <w:t>). For never-treated units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A36AD">
        <w:rPr>
          <w:rFonts w:ascii="Times New Roman" w:hAnsi="Times New Roman" w:cs="Times New Roman"/>
        </w:rPr>
        <w:t xml:space="preserve">), the observed outcome is always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w:t>
      </w:r>
    </w:p>
    <w:p w14:paraId="288DE717"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final dataset is assembled in long (panel) format with unit and period identifiers, treatment cohort indicators, observed and counterfactual outcomes, covariate values, and group membership probabilities. Units with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xml:space="preserve"> are excluded from the analysis because they have no pre-treatment period available, which is required for the DiD identification strategy.</w:t>
      </w:r>
    </w:p>
    <w:p w14:paraId="66E72655" w14:textId="77777777" w:rsidR="000B2E44" w:rsidRPr="00EA36AD" w:rsidRDefault="00000000" w:rsidP="00604C1F">
      <w:pPr>
        <w:pStyle w:val="Heading2"/>
        <w:jc w:val="both"/>
        <w:rPr>
          <w:rFonts w:ascii="Times New Roman" w:hAnsi="Times New Roman" w:cs="Times New Roman"/>
        </w:rPr>
      </w:pPr>
      <w:bookmarkStart w:id="7" w:name="simulation-setup"/>
      <w:bookmarkEnd w:id="1"/>
      <w:bookmarkEnd w:id="6"/>
      <w:r w:rsidRPr="00EA36AD">
        <w:rPr>
          <w:rFonts w:ascii="Times New Roman" w:hAnsi="Times New Roman" w:cs="Times New Roman"/>
        </w:rPr>
        <w:t>Simulation Setup</w:t>
      </w:r>
    </w:p>
    <w:p w14:paraId="4CB687EF" w14:textId="77777777" w:rsidR="000B2E44" w:rsidRPr="00EA36AD" w:rsidRDefault="00000000" w:rsidP="00604C1F">
      <w:pPr>
        <w:pStyle w:val="FirstParagraph"/>
        <w:jc w:val="both"/>
        <w:rPr>
          <w:rFonts w:ascii="Times New Roman" w:hAnsi="Times New Roman" w:cs="Times New Roman"/>
        </w:rPr>
      </w:pPr>
      <w:r w:rsidRPr="00EA36AD">
        <w:rPr>
          <w:rFonts w:ascii="Times New Roman" w:hAnsi="Times New Roman" w:cs="Times New Roman"/>
        </w:rPr>
        <w:t>Many different combinations are possible with the data generating process described above. This exercise focuses on twelve scenarios, organized in three complexity tiers with a systematic variation in the number of periods and the treatment adoption structure.</w:t>
      </w:r>
    </w:p>
    <w:p w14:paraId="1189BBBC"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Scenarios 1 through 9 form a </w:t>
      </w:r>
      <m:oMath>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oMath>
      <w:r w:rsidRPr="00EA36AD">
        <w:rPr>
          <w:rFonts w:ascii="Times New Roman" w:hAnsi="Times New Roman" w:cs="Times New Roman"/>
        </w:rPr>
        <w:t xml:space="preserve"> grid that crosses three complexity tiers (simple, mid, complex) with three panel structures (2-period non-staggered, 6-period non-staggered, 6-period staggered), all with dynamic treatment effects. Within each tier, the first scenario uses 2 periods without staggered adoption (Scenarios 1, 4, 7), the second uses 6 periods without staggered adoption (Scenarios 2, 5, 8), and the third uses 6 periods with staggered adoption (Scenarios 3, 6, 9). As complexity increases, so does the propensity score strength </w:t>
      </w:r>
      <m:oMath>
        <m:r>
          <w:rPr>
            <w:rFonts w:ascii="Cambria Math" w:hAnsi="Cambria Math" w:cs="Times New Roman"/>
          </w:rPr>
          <m:t>λ</m:t>
        </m:r>
      </m:oMath>
      <w:r w:rsidRPr="00EA36AD">
        <w:rPr>
          <w:rFonts w:ascii="Times New Roman" w:hAnsi="Times New Roman" w:cs="Times New Roman"/>
        </w:rPr>
        <w:t xml:space="preserve"> (from 0.25 in the simple tier to 1.0 in the complex tier), making the confounding progressively harder to address. Scenarios 10 through 12 are 6-period non-staggered designs at the simple, mid, and complex complexity levels, respectively, but replace the dynamic treatment effect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e</m:t>
        </m:r>
      </m:oMath>
      <w:r w:rsidRPr="00EA36AD">
        <w:rPr>
          <w:rFonts w:ascii="Times New Roman" w:hAnsi="Times New Roman" w:cs="Times New Roman"/>
        </w:rPr>
        <w:t>) with a constant one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isolating the role of treatment effect dynamics.</w:t>
      </w:r>
    </w:p>
    <w:p w14:paraId="6BF3E1F4" w14:textId="597ECC8F"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For the non-staggered scenarios, TWFE is compared against the DML estimator of Chang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{"citationID":"VI6LJ1E3","properties":{"unsorted":false,"formattedCitation":"(2020)","plainCitation":"(2020)","noteIndex":0},"citationItems":[{"id":29,"uris":["http://zotero.org/users/local/ik3vdrlJ/items/UR75CMTC"],"itemData":{"id":29,"type":"article-journal","abstract":"This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(2020)</w:t>
      </w:r>
      <w:r w:rsidR="00B845D9">
        <w:rPr>
          <w:rFonts w:ascii="Times New Roman" w:hAnsi="Times New Roman" w:cs="Times New Roman"/>
        </w:rPr>
        <w:fldChar w:fldCharType="end"/>
      </w:r>
      <w:r w:rsidRPr="00EA36AD">
        <w:rPr>
          <w:rFonts w:ascii="Times New Roman" w:hAnsi="Times New Roman" w:cs="Times New Roman"/>
        </w:rPr>
        <w:t xml:space="preserve">. In the simple tier, both estimators should perform similarly, since the confounding is linear, weak, and covariates do not enter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As complexity increases, TWFE is expected to suffer from its inability to capture the nonlinear relationships in both the confounding and outcome models. The constant treatment effect scenarios (10 through 12) serve as an additional diagnostic: because the Chang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{"citationID":"8eQKkakX","properties":{"unsorted":false,"formattedCitation":"(2020)","plainCitation":"(2020)","noteIndex":0},"citationItems":[{"id":29,"uris":["http://zotero.org/users/local/ik3vdrlJ/items/UR75CMTC"],"itemData":{"id":29,"type":"article-journal","abstract":"This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(2020)</w:t>
      </w:r>
      <w:r w:rsidR="00B845D9">
        <w:rPr>
          <w:rFonts w:ascii="Times New Roman" w:hAnsi="Times New Roman" w:cs="Times New Roman"/>
        </w:rPr>
        <w:fldChar w:fldCharType="end"/>
      </w:r>
      <w:r w:rsidRPr="00EA36AD">
        <w:rPr>
          <w:rFonts w:ascii="Times New Roman" w:hAnsi="Times New Roman" w:cs="Times New Roman"/>
        </w:rPr>
        <w:t xml:space="preserve"> estimator was designed for two-period settings where the treatment effect does not vary over time, it should perform well in these scenarios even with multiple periods, provided the complexity remains manageable.</w:t>
      </w:r>
    </w:p>
    <w:p w14:paraId="0630327F" w14:textId="43C86465"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For the staggered scenarios (3, 6, 9), TWFE is compared against the DML estimator </w:t>
      </w:r>
      <w:r w:rsidR="00B845D9">
        <w:rPr>
          <w:rFonts w:ascii="Times New Roman" w:hAnsi="Times New Roman" w:cs="Times New Roman"/>
        </w:rPr>
        <w:t>with the event study aggregation from</w:t>
      </w:r>
      <w:r w:rsidRPr="00EA36AD">
        <w:rPr>
          <w:rFonts w:ascii="Times New Roman" w:hAnsi="Times New Roman" w:cs="Times New Roman"/>
        </w:rPr>
        <w:t xml:space="preserve"> Callaway and Sant’Anna</w:t>
      </w:r>
      <w:r w:rsidR="00B845D9">
        <w:rPr>
          <w:rFonts w:ascii="Times New Roman" w:hAnsi="Times New Roman" w:cs="Times New Roman"/>
        </w:rPr>
        <w:t xml:space="preserve"> </w:t>
      </w:r>
      <w:r w:rsidR="00B845D9">
        <w:rPr>
          <w:rFonts w:ascii="Times New Roman" w:hAnsi="Times New Roman" w:cs="Times New Roman"/>
        </w:rPr>
        <w:fldChar w:fldCharType="begin"/>
      </w:r>
      <w:r w:rsidR="00B845D9">
        <w:rPr>
          <w:rFonts w:ascii="Times New Roman" w:hAnsi="Times New Roman" w:cs="Times New Roman"/>
        </w:rPr>
        <w:instrText xml:space="preserve"> ADDIN ZOTERO_ITEM CSL_CITATION {"citationID":"dWFmi6JD","properties":{"unsorted":false,"formattedCitation":"(2021)","plainCitation":"(2021)","noteIndex":0},"citationItems":[{"id":25,"uris":["http://zotero.org/users/local/ik3vdrlJ/items/JBF2LLR6"],"itemData":{"id":25,"type":"article-journal","abstract":"In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H.C."}],"issued":{"date-parts":[["2021"]]}},"suppress-author":true}],"schema":"https://github.com/citation-style-language/schema/raw/master/csl-citation.json"} </w:instrText>
      </w:r>
      <w:r w:rsidR="00B845D9">
        <w:rPr>
          <w:rFonts w:ascii="Times New Roman" w:hAnsi="Times New Roman" w:cs="Times New Roman"/>
        </w:rPr>
        <w:fldChar w:fldCharType="separate"/>
      </w:r>
      <w:r w:rsidR="00B845D9">
        <w:rPr>
          <w:rFonts w:ascii="Times New Roman" w:hAnsi="Times New Roman" w:cs="Times New Roman"/>
          <w:noProof/>
        </w:rPr>
        <w:t>(2021)</w:t>
      </w:r>
      <w:r w:rsidR="00B845D9">
        <w:rPr>
          <w:rFonts w:ascii="Times New Roman" w:hAnsi="Times New Roman" w:cs="Times New Roman"/>
        </w:rPr>
        <w:fldChar w:fldCharType="end"/>
      </w:r>
      <w:r w:rsidRPr="00EA36AD">
        <w:rPr>
          <w:rFonts w:ascii="Times New Roman" w:hAnsi="Times New Roman" w:cs="Times New Roman"/>
        </w:rPr>
        <w:t>. Standard TWFE is expected to produce biased estimates due to the negative weighting problem discussed in Chapter 2, with this bias growing as the complexity of confounding and the outcome model increases.</w:t>
      </w:r>
    </w:p>
    <w:p w14:paraId="020DF859"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The target parameter is the Average Treatment Effect on the Treated (ATT), computed from the simulated counterfactual outcomes as </w:t>
      </w: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oMath>
      <w:r w:rsidRPr="00EA36AD">
        <w:rPr>
          <w:rFonts w:ascii="Times New Roman" w:hAnsi="Times New Roman" w:cs="Times New Roman"/>
        </w:rPr>
        <w:t xml:space="preserve">. To ensure robust results, each scenario is evaluated through 2,000 Monte Carlo replications with sample sizes of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r>
          <m:rPr>
            <m:sty m:val="p"/>
          </m:rPr>
          <w:rPr>
            <w:rFonts w:ascii="Cambria Math" w:hAnsi="Cambria Math" w:cs="Times New Roman"/>
          </w:rPr>
          <m:t>,</m:t>
        </m:r>
        <m:r>
          <w:rPr>
            <w:rFonts w:ascii="Cambria Math" w:hAnsi="Cambria Math" w:cs="Times New Roman"/>
          </w:rPr>
          <m:t>2500</m:t>
        </m:r>
        <m:r>
          <m:rPr>
            <m:sty m:val="p"/>
          </m:rPr>
          <w:rPr>
            <w:rFonts w:ascii="Cambria Math" w:hAnsi="Cambria Math" w:cs="Times New Roman"/>
          </w:rPr>
          <m:t>,</m:t>
        </m:r>
        <m:r>
          <w:rPr>
            <w:rFonts w:ascii="Cambria Math" w:hAnsi="Cambria Math" w:cs="Times New Roman"/>
          </w:rPr>
          <m:t>10000</m:t>
        </m:r>
        <m:r>
          <m:rPr>
            <m:sty m:val="p"/>
          </m:rPr>
          <w:rPr>
            <w:rFonts w:ascii="Cambria Math" w:hAnsi="Cambria Math" w:cs="Times New Roman"/>
          </w:rPr>
          <m:t>}</m:t>
        </m:r>
      </m:oMath>
      <w:r w:rsidRPr="00EA36AD">
        <w:rPr>
          <w:rFonts w:ascii="Times New Roman" w:hAnsi="Times New Roman" w:cs="Times New Roman"/>
        </w:rPr>
        <w:t xml:space="preserve"> for 2 and 6 periods. Larger samples should benefit the DML estimators, which rely on machine learning models that improve with more training data.</w:t>
      </w:r>
    </w:p>
    <w:p w14:paraId="6CFD2960" w14:textId="0F91F052"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lastRenderedPageBreak/>
        <w:t xml:space="preserve">Since each scenario involves different levels of complexity, the hyperparameters of the machine learning models were adapted accordingly. Given the large number of simulations and scenario variations, computational cost is a relevant concern, so </w:t>
      </w:r>
      <w:proofErr w:type="spellStart"/>
      <w:r w:rsidRPr="00EA36AD">
        <w:rPr>
          <w:rFonts w:ascii="Times New Roman" w:hAnsi="Times New Roman" w:cs="Times New Roman"/>
        </w:rPr>
        <w:t>LightGBM</w:t>
      </w:r>
      <w:proofErr w:type="spellEnd"/>
      <w:r w:rsidRPr="00EA36AD">
        <w:rPr>
          <w:rFonts w:ascii="Times New Roman" w:hAnsi="Times New Roman" w:cs="Times New Roman"/>
        </w:rPr>
        <w:t xml:space="preserve"> </w:t>
      </w:r>
      <w:r w:rsidR="00331489">
        <w:rPr>
          <w:rFonts w:ascii="Times New Roman" w:hAnsi="Times New Roman" w:cs="Times New Roman"/>
        </w:rPr>
        <w:fldChar w:fldCharType="begin"/>
      </w:r>
      <w:r w:rsidR="00331489">
        <w:rPr>
          <w:rFonts w:ascii="Times New Roman" w:hAnsi="Times New Roman" w:cs="Times New Roman"/>
        </w:rPr>
        <w:instrText xml:space="preserve"> ADDIN ZOTERO_ITEM CSL_CITATION {"citationID":"VwUFGsNQ","properties":{"unsorted":false,"formattedCitation":"(Ke et al., 2017)","plainCitation":"(Ke et al., 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chema":"https://github.com/citation-style-language/schema/raw/master/csl-citation.json"} </w:instrText>
      </w:r>
      <w:r w:rsidR="00331489">
        <w:rPr>
          <w:rFonts w:ascii="Times New Roman" w:hAnsi="Times New Roman" w:cs="Times New Roman"/>
        </w:rPr>
        <w:fldChar w:fldCharType="separate"/>
      </w:r>
      <w:r w:rsidR="00331489">
        <w:rPr>
          <w:rFonts w:ascii="Times New Roman" w:hAnsi="Times New Roman" w:cs="Times New Roman"/>
          <w:noProof/>
        </w:rPr>
        <w:t>(Ke et al., 2017)</w:t>
      </w:r>
      <w:r w:rsidR="00331489">
        <w:rPr>
          <w:rFonts w:ascii="Times New Roman" w:hAnsi="Times New Roman" w:cs="Times New Roman"/>
        </w:rPr>
        <w:fldChar w:fldCharType="end"/>
      </w:r>
      <w:r w:rsidRPr="00EA36AD">
        <w:rPr>
          <w:rFonts w:ascii="Times New Roman" w:hAnsi="Times New Roman" w:cs="Times New Roman"/>
        </w:rPr>
        <w:t xml:space="preserve"> was chosen as the machine learning model for both the outcome model </w:t>
      </w:r>
      <m:oMath>
        <m:acc>
          <m:accPr>
            <m:ctrlPr>
              <w:rPr>
                <w:rFonts w:ascii="Cambria Math" w:hAnsi="Cambria Math" w:cs="Times New Roman"/>
              </w:rPr>
            </m:ctrlPr>
          </m:accPr>
          <m:e>
            <m:r>
              <w:rPr>
                <w:rFonts w:ascii="Cambria Math" w:hAnsi="Cambria Math" w:cs="Times New Roman"/>
              </w:rPr>
              <m:t>g</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EA36AD">
        <w:rPr>
          <w:rFonts w:ascii="Times New Roman" w:hAnsi="Times New Roman" w:cs="Times New Roman"/>
        </w:rPr>
        <w:t xml:space="preserve"> and the propensity score model </w:t>
      </w:r>
      <m:oMath>
        <m:acc>
          <m:accPr>
            <m:ctrlPr>
              <w:rPr>
                <w:rFonts w:ascii="Cambria Math" w:hAnsi="Cambria Math" w:cs="Times New Roman"/>
              </w:rPr>
            </m:ctrlPr>
          </m:accPr>
          <m:e>
            <m:r>
              <w:rPr>
                <w:rFonts w:ascii="Cambria Math" w:hAnsi="Cambria Math" w:cs="Times New Roman"/>
              </w:rPr>
              <m:t>m</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EA36AD">
        <w:rPr>
          <w:rFonts w:ascii="Times New Roman" w:hAnsi="Times New Roman" w:cs="Times New Roman"/>
        </w:rPr>
        <w:t>. Three hyperparameter configurations were considered</w:t>
      </w:r>
      <w:r w:rsidR="00331489">
        <w:rPr>
          <w:rFonts w:ascii="Times New Roman" w:hAnsi="Times New Roman" w:cs="Times New Roman"/>
        </w:rPr>
        <w:t>:</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he light configuration uses 50 trees with maximum depth 2 and a learning rate of 0.1</w:t>
      </w:r>
      <w:r w:rsidR="00331489">
        <w:rPr>
          <w:rFonts w:ascii="Times New Roman" w:hAnsi="Times New Roman" w:cs="Times New Roman"/>
        </w:rPr>
        <w:t>,</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he default configuration increases the number of trees to 200 while keeping the same depth and learning rate</w:t>
      </w:r>
      <w:r w:rsidR="00331489">
        <w:rPr>
          <w:rFonts w:ascii="Times New Roman" w:hAnsi="Times New Roman" w:cs="Times New Roman"/>
        </w:rPr>
        <w:t xml:space="preserve"> and</w:t>
      </w:r>
      <w:r w:rsidRPr="00EA36AD">
        <w:rPr>
          <w:rFonts w:ascii="Times New Roman" w:hAnsi="Times New Roman" w:cs="Times New Roman"/>
        </w:rPr>
        <w:t xml:space="preserve"> </w:t>
      </w:r>
      <w:r w:rsidR="00331489">
        <w:rPr>
          <w:rFonts w:ascii="Times New Roman" w:hAnsi="Times New Roman" w:cs="Times New Roman"/>
        </w:rPr>
        <w:t>t</w:t>
      </w:r>
      <w:r w:rsidRPr="00EA36AD">
        <w:rPr>
          <w:rFonts w:ascii="Times New Roman" w:hAnsi="Times New Roman" w:cs="Times New Roman"/>
        </w:rPr>
        <w:t>he heavy configuration uses 1,000 trees with maximum depth 3 and a lower learning rate of 0.05. These parameters jointly determine how much flexibility the model has for estimating the nuisance functions. More trees, greater depth, and a lower learning rate allow the model to capture increasingly complex relationships, but also increase the risk of overfitting. In simpler data generating scenarios, the heavy configuration may overfit the training data, leading to noisier nuisance function estimates and potentially worse performance than a more parsimonious specification. Cross-fitting is performed with 5 folds in all cases, ensuring that nuisance function predictions for each observation are generated by models trained on different data, as described in Chapter 3.</w:t>
      </w:r>
    </w:p>
    <w:p w14:paraId="472926D0" w14:textId="77777777" w:rsidR="000B2E44" w:rsidRPr="00EA36AD" w:rsidRDefault="00000000" w:rsidP="00604C1F">
      <w:pPr>
        <w:pStyle w:val="Heading2"/>
        <w:jc w:val="both"/>
        <w:rPr>
          <w:rFonts w:ascii="Times New Roman" w:hAnsi="Times New Roman" w:cs="Times New Roman"/>
        </w:rPr>
      </w:pPr>
      <w:bookmarkStart w:id="8" w:name="results"/>
      <w:bookmarkEnd w:id="7"/>
      <w:r w:rsidRPr="00EA36AD">
        <w:rPr>
          <w:rFonts w:ascii="Times New Roman" w:hAnsi="Times New Roman" w:cs="Times New Roman"/>
        </w:rPr>
        <w:t>Results</w:t>
      </w:r>
    </w:p>
    <w:p w14:paraId="01471585" w14:textId="6AD00A0B" w:rsidR="00331489" w:rsidRPr="00176BBA" w:rsidRDefault="00B06B3A" w:rsidP="00176BBA">
      <w:pPr>
        <w:pStyle w:val="FirstParagraph"/>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_Ref224401409 \h </w:instrText>
      </w:r>
      <w:r>
        <w:rPr>
          <w:rFonts w:ascii="Times New Roman" w:hAnsi="Times New Roman" w:cs="Times New Roman"/>
        </w:rPr>
      </w:r>
      <w:r>
        <w:rPr>
          <w:rFonts w:ascii="Times New Roman" w:hAnsi="Times New Roman" w:cs="Times New Roman"/>
        </w:rPr>
        <w:fldChar w:fldCharType="separate"/>
      </w:r>
      <w:r w:rsidRPr="00B06B3A">
        <w:rPr>
          <w:rFonts w:ascii="Times New Roman" w:hAnsi="Times New Roman" w:cs="Times New Roman"/>
        </w:rPr>
        <w:t xml:space="preserve">Table </w:t>
      </w:r>
      <w:r w:rsidRPr="00B06B3A">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w:t>
      </w:r>
      <w:r w:rsidRPr="00EA36AD">
        <w:rPr>
          <w:rFonts w:ascii="Times New Roman" w:hAnsi="Times New Roman" w:cs="Times New Roman"/>
        </w:rPr>
        <w:t>reports the root mean squared error (RMSE) for each scenario-estimator combination across all three sample sizes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using the </w:t>
      </w:r>
      <w:r w:rsidR="00331489">
        <w:rPr>
          <w:rFonts w:ascii="Times New Roman" w:hAnsi="Times New Roman" w:cs="Times New Roman"/>
        </w:rPr>
        <w:t>‘</w:t>
      </w:r>
      <w:r w:rsidRPr="00EA36AD">
        <w:rPr>
          <w:rFonts w:ascii="Times New Roman" w:hAnsi="Times New Roman" w:cs="Times New Roman"/>
        </w:rPr>
        <w:t>light</w:t>
      </w:r>
      <w:r w:rsidR="00331489">
        <w:rPr>
          <w:rFonts w:ascii="Times New Roman" w:hAnsi="Times New Roman" w:cs="Times New Roman"/>
        </w:rPr>
        <w:t>’</w:t>
      </w:r>
      <w:r w:rsidRPr="00EA36AD">
        <w:rPr>
          <w:rFonts w:ascii="Times New Roman" w:hAnsi="Times New Roman" w:cs="Times New Roman"/>
        </w:rPr>
        <w:t xml:space="preserve"> LightGBM configuration (50 trees, maximum depth 2)</w:t>
      </w:r>
      <w:r w:rsidR="000441CA">
        <w:rPr>
          <w:rStyle w:val="FootnoteReference"/>
          <w:rFonts w:ascii="Times New Roman" w:hAnsi="Times New Roman" w:cs="Times New Roman"/>
        </w:rPr>
        <w:footnoteReference w:id="1"/>
      </w:r>
      <w:r w:rsidRPr="00EA36AD">
        <w:rPr>
          <w:rFonts w:ascii="Times New Roman" w:hAnsi="Times New Roman" w:cs="Times New Roman"/>
        </w:rPr>
        <w:t>. This parsimonious specification was selected as the baseline to minimize the risk of overfitting, which can inflate variance in smaller samples and obscure the comparison between estimators. RMSE combines bias and variance into a single accuracy measure: lower values indicate that the estimator’s point estimates are, on average, closer to the true ATT. The True ATT column provides the oracle target parameter for each scenario, computed from the simulated counterfactual outcomes, giving a reference point for interpreting the magnitude of the errors. Rows are grouped into four blocks: two-period scenarios (1, 4, 7), six-period non-staggered scenarios (2, 5, 8), constant treatment effect scenarios (10, 11, 12), and staggered scenarios (3, 6, 9).</w:t>
      </w:r>
    </w:p>
    <w:p w14:paraId="4382E588" w14:textId="1CDAB049" w:rsidR="00176BBA" w:rsidRPr="000441CA" w:rsidRDefault="00176BBA" w:rsidP="00176BBA">
      <w:pPr>
        <w:pStyle w:val="Caption"/>
        <w:keepNext/>
        <w:rPr>
          <w:rFonts w:ascii="Times New Roman" w:hAnsi="Times New Roman" w:cs="Times New Roman"/>
          <w:sz w:val="18"/>
          <w:szCs w:val="18"/>
        </w:rPr>
      </w:pPr>
      <w:bookmarkStart w:id="9" w:name="_Ref224401409"/>
      <w:r w:rsidRPr="000441CA">
        <w:rPr>
          <w:rFonts w:ascii="Times New Roman" w:hAnsi="Times New Roman" w:cs="Times New Roman"/>
          <w:sz w:val="18"/>
          <w:szCs w:val="18"/>
        </w:rPr>
        <w:t xml:space="preserve">Table </w:t>
      </w:r>
      <w:r w:rsidRPr="000441CA">
        <w:rPr>
          <w:rFonts w:ascii="Times New Roman" w:hAnsi="Times New Roman" w:cs="Times New Roman"/>
          <w:sz w:val="18"/>
          <w:szCs w:val="18"/>
        </w:rPr>
        <w:fldChar w:fldCharType="begin"/>
      </w:r>
      <w:r w:rsidRPr="000441CA">
        <w:rPr>
          <w:rFonts w:ascii="Times New Roman" w:hAnsi="Times New Roman" w:cs="Times New Roman"/>
          <w:sz w:val="18"/>
          <w:szCs w:val="18"/>
        </w:rPr>
        <w:instrText xml:space="preserve"> SEQ Table \* ARABIC </w:instrText>
      </w:r>
      <w:r w:rsidRPr="000441CA">
        <w:rPr>
          <w:rFonts w:ascii="Times New Roman" w:hAnsi="Times New Roman" w:cs="Times New Roman"/>
          <w:sz w:val="18"/>
          <w:szCs w:val="18"/>
        </w:rPr>
        <w:fldChar w:fldCharType="separate"/>
      </w:r>
      <w:r w:rsidR="004A589C" w:rsidRPr="000441CA">
        <w:rPr>
          <w:rFonts w:ascii="Times New Roman" w:hAnsi="Times New Roman" w:cs="Times New Roman"/>
          <w:noProof/>
          <w:sz w:val="18"/>
          <w:szCs w:val="18"/>
        </w:rPr>
        <w:t>1</w:t>
      </w:r>
      <w:r w:rsidRPr="000441CA">
        <w:rPr>
          <w:rFonts w:ascii="Times New Roman" w:hAnsi="Times New Roman" w:cs="Times New Roman"/>
          <w:sz w:val="18"/>
          <w:szCs w:val="18"/>
        </w:rPr>
        <w:fldChar w:fldCharType="end"/>
      </w:r>
      <w:bookmarkEnd w:id="9"/>
      <w:r w:rsidRPr="000441CA">
        <w:rPr>
          <w:rFonts w:ascii="Times New Roman" w:hAnsi="Times New Roman" w:cs="Times New Roman"/>
          <w:sz w:val="18"/>
          <w:szCs w:val="18"/>
        </w:rPr>
        <w:t>: Simulation results for all scenarios and units, using ‘light’ ML set up.</w:t>
      </w:r>
    </w:p>
    <w:tbl>
      <w:tblPr>
        <w:tblStyle w:val="Table"/>
        <w:tblW w:w="5000" w:type="pct"/>
        <w:tblLayout w:type="fixed"/>
        <w:tblLook w:val="0020" w:firstRow="1" w:lastRow="0" w:firstColumn="0" w:lastColumn="0" w:noHBand="0" w:noVBand="0"/>
      </w:tblPr>
      <w:tblGrid>
        <w:gridCol w:w="1277"/>
        <w:gridCol w:w="1436"/>
        <w:gridCol w:w="1277"/>
        <w:gridCol w:w="1596"/>
        <w:gridCol w:w="1915"/>
        <w:gridCol w:w="2075"/>
      </w:tblGrid>
      <w:tr w:rsidR="000B2E44" w:rsidRPr="00EA36AD" w14:paraId="4173E12A" w14:textId="77777777" w:rsidTr="00EA36AD">
        <w:trPr>
          <w:cnfStyle w:val="100000000000" w:firstRow="1" w:lastRow="0" w:firstColumn="0" w:lastColumn="0" w:oddVBand="0" w:evenVBand="0" w:oddHBand="0" w:evenHBand="0" w:firstRowFirstColumn="0" w:firstRowLastColumn="0" w:lastRowFirstColumn="0" w:lastRowLastColumn="0"/>
          <w:tblHeader/>
        </w:trPr>
        <w:tc>
          <w:tcPr>
            <w:tcW w:w="1277" w:type="dxa"/>
            <w:tcBorders>
              <w:top w:val="single" w:sz="4" w:space="0" w:color="auto"/>
              <w:bottom w:val="single" w:sz="2" w:space="0" w:color="auto"/>
            </w:tcBorders>
          </w:tcPr>
          <w:p w14:paraId="1BB3B96C"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Scenario</w:t>
            </w:r>
          </w:p>
        </w:tc>
        <w:tc>
          <w:tcPr>
            <w:tcW w:w="1436" w:type="dxa"/>
            <w:tcBorders>
              <w:top w:val="single" w:sz="4" w:space="0" w:color="auto"/>
              <w:bottom w:val="single" w:sz="2" w:space="0" w:color="auto"/>
            </w:tcBorders>
          </w:tcPr>
          <w:p w14:paraId="58DD2665"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Model</w:t>
            </w:r>
          </w:p>
        </w:tc>
        <w:tc>
          <w:tcPr>
            <w:tcW w:w="1277" w:type="dxa"/>
            <w:tcBorders>
              <w:top w:val="single" w:sz="4" w:space="0" w:color="auto"/>
              <w:bottom w:val="single" w:sz="2" w:space="0" w:color="auto"/>
            </w:tcBorders>
          </w:tcPr>
          <w:p w14:paraId="3716D971"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True ATT</w:t>
            </w:r>
          </w:p>
        </w:tc>
        <w:tc>
          <w:tcPr>
            <w:tcW w:w="1596" w:type="dxa"/>
            <w:tcBorders>
              <w:top w:val="single" w:sz="4" w:space="0" w:color="auto"/>
              <w:bottom w:val="single" w:sz="2" w:space="0" w:color="auto"/>
            </w:tcBorders>
          </w:tcPr>
          <w:p w14:paraId="02A09B59"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(500)</w:t>
            </w:r>
          </w:p>
        </w:tc>
        <w:tc>
          <w:tcPr>
            <w:tcW w:w="1915" w:type="dxa"/>
            <w:tcBorders>
              <w:top w:val="single" w:sz="4" w:space="0" w:color="auto"/>
              <w:bottom w:val="single" w:sz="2" w:space="0" w:color="auto"/>
            </w:tcBorders>
          </w:tcPr>
          <w:p w14:paraId="667449E5"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(2,500)</w:t>
            </w:r>
          </w:p>
        </w:tc>
        <w:tc>
          <w:tcPr>
            <w:tcW w:w="2075" w:type="dxa"/>
            <w:tcBorders>
              <w:top w:val="single" w:sz="4" w:space="0" w:color="auto"/>
              <w:bottom w:val="single" w:sz="2" w:space="0" w:color="auto"/>
            </w:tcBorders>
          </w:tcPr>
          <w:p w14:paraId="1643C89D" w14:textId="77777777" w:rsidR="000B2E44" w:rsidRPr="00EA36AD" w:rsidRDefault="00000000" w:rsidP="00EA36AD">
            <w:pPr>
              <w:pStyle w:val="Compact"/>
              <w:jc w:val="center"/>
              <w:rPr>
                <w:rFonts w:ascii="Times New Roman" w:hAnsi="Times New Roman" w:cs="Times New Roman"/>
                <w:b/>
                <w:bCs/>
                <w:sz w:val="21"/>
                <w:szCs w:val="21"/>
              </w:rPr>
            </w:pPr>
            <w:r w:rsidRPr="00EA36AD">
              <w:rPr>
                <w:rFonts w:ascii="Times New Roman" w:hAnsi="Times New Roman" w:cs="Times New Roman"/>
                <w:b/>
                <w:bCs/>
                <w:sz w:val="21"/>
                <w:szCs w:val="21"/>
              </w:rPr>
              <w:t>RMSE (10,000)</w:t>
            </w:r>
          </w:p>
        </w:tc>
      </w:tr>
      <w:tr w:rsidR="004A589C" w:rsidRPr="00EA36AD" w14:paraId="70BE0689" w14:textId="77777777" w:rsidTr="004A589C">
        <w:tc>
          <w:tcPr>
            <w:tcW w:w="1277" w:type="dxa"/>
            <w:vMerge w:val="restart"/>
            <w:tcBorders>
              <w:top w:val="single" w:sz="2" w:space="0" w:color="auto"/>
            </w:tcBorders>
            <w:vAlign w:val="center"/>
          </w:tcPr>
          <w:p w14:paraId="1591CF9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1</w:t>
            </w:r>
          </w:p>
        </w:tc>
        <w:tc>
          <w:tcPr>
            <w:tcW w:w="1436" w:type="dxa"/>
            <w:tcBorders>
              <w:top w:val="single" w:sz="2" w:space="0" w:color="auto"/>
            </w:tcBorders>
          </w:tcPr>
          <w:p w14:paraId="15D5AAB3"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2" w:space="0" w:color="auto"/>
            </w:tcBorders>
            <w:vAlign w:val="center"/>
          </w:tcPr>
          <w:p w14:paraId="41025C82"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0.118</w:t>
            </w:r>
          </w:p>
        </w:tc>
        <w:tc>
          <w:tcPr>
            <w:tcW w:w="1596" w:type="dxa"/>
            <w:tcBorders>
              <w:top w:val="single" w:sz="2" w:space="0" w:color="auto"/>
            </w:tcBorders>
          </w:tcPr>
          <w:p w14:paraId="12A3CC02"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0.167</w:t>
            </w:r>
          </w:p>
        </w:tc>
        <w:tc>
          <w:tcPr>
            <w:tcW w:w="1915" w:type="dxa"/>
            <w:tcBorders>
              <w:top w:val="single" w:sz="2" w:space="0" w:color="auto"/>
            </w:tcBorders>
          </w:tcPr>
          <w:p w14:paraId="30D627F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0.066</w:t>
            </w:r>
          </w:p>
        </w:tc>
        <w:tc>
          <w:tcPr>
            <w:tcW w:w="2075" w:type="dxa"/>
            <w:tcBorders>
              <w:top w:val="single" w:sz="2" w:space="0" w:color="auto"/>
            </w:tcBorders>
          </w:tcPr>
          <w:p w14:paraId="22C81443"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0.032</w:t>
            </w:r>
          </w:p>
        </w:tc>
      </w:tr>
      <w:tr w:rsidR="004A589C" w:rsidRPr="00EA36AD" w14:paraId="5ED7A39C" w14:textId="77777777" w:rsidTr="004A589C">
        <w:tc>
          <w:tcPr>
            <w:tcW w:w="1277" w:type="dxa"/>
            <w:vMerge/>
            <w:tcBorders>
              <w:bottom w:val="single" w:sz="4" w:space="0" w:color="auto"/>
            </w:tcBorders>
            <w:vAlign w:val="center"/>
          </w:tcPr>
          <w:p w14:paraId="450D9873"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359E562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165C2954"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68AA4B7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0.136</w:t>
            </w:r>
          </w:p>
        </w:tc>
        <w:tc>
          <w:tcPr>
            <w:tcW w:w="1915" w:type="dxa"/>
            <w:tcBorders>
              <w:bottom w:val="single" w:sz="4" w:space="0" w:color="auto"/>
            </w:tcBorders>
          </w:tcPr>
          <w:p w14:paraId="681DE6C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0.061</w:t>
            </w:r>
          </w:p>
        </w:tc>
        <w:tc>
          <w:tcPr>
            <w:tcW w:w="2075" w:type="dxa"/>
            <w:tcBorders>
              <w:bottom w:val="single" w:sz="4" w:space="0" w:color="auto"/>
            </w:tcBorders>
          </w:tcPr>
          <w:p w14:paraId="5E2C26C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0.030</w:t>
            </w:r>
          </w:p>
        </w:tc>
      </w:tr>
      <w:tr w:rsidR="004A589C" w:rsidRPr="00EA36AD" w14:paraId="7E13C959" w14:textId="77777777" w:rsidTr="004A589C">
        <w:tc>
          <w:tcPr>
            <w:tcW w:w="1277" w:type="dxa"/>
            <w:vMerge w:val="restart"/>
            <w:tcBorders>
              <w:top w:val="single" w:sz="4" w:space="0" w:color="auto"/>
            </w:tcBorders>
            <w:vAlign w:val="center"/>
          </w:tcPr>
          <w:p w14:paraId="11AC8E4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4</w:t>
            </w:r>
          </w:p>
        </w:tc>
        <w:tc>
          <w:tcPr>
            <w:tcW w:w="1436" w:type="dxa"/>
            <w:tcBorders>
              <w:top w:val="single" w:sz="4" w:space="0" w:color="auto"/>
            </w:tcBorders>
          </w:tcPr>
          <w:p w14:paraId="23DB4E9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F6339BF"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0.106</w:t>
            </w:r>
          </w:p>
        </w:tc>
        <w:tc>
          <w:tcPr>
            <w:tcW w:w="1596" w:type="dxa"/>
            <w:tcBorders>
              <w:top w:val="single" w:sz="4" w:space="0" w:color="auto"/>
            </w:tcBorders>
          </w:tcPr>
          <w:p w14:paraId="0CAB190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0.191</w:t>
            </w:r>
          </w:p>
        </w:tc>
        <w:tc>
          <w:tcPr>
            <w:tcW w:w="1915" w:type="dxa"/>
            <w:tcBorders>
              <w:top w:val="single" w:sz="4" w:space="0" w:color="auto"/>
            </w:tcBorders>
          </w:tcPr>
          <w:p w14:paraId="1AEBBD5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0.076</w:t>
            </w:r>
          </w:p>
        </w:tc>
        <w:tc>
          <w:tcPr>
            <w:tcW w:w="2075" w:type="dxa"/>
            <w:tcBorders>
              <w:top w:val="single" w:sz="4" w:space="0" w:color="auto"/>
            </w:tcBorders>
          </w:tcPr>
          <w:p w14:paraId="60CB9B5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0.036</w:t>
            </w:r>
          </w:p>
        </w:tc>
      </w:tr>
      <w:tr w:rsidR="004A589C" w:rsidRPr="00EA36AD" w14:paraId="1E66E9F7" w14:textId="77777777" w:rsidTr="004A589C">
        <w:tc>
          <w:tcPr>
            <w:tcW w:w="1277" w:type="dxa"/>
            <w:vMerge/>
            <w:tcBorders>
              <w:bottom w:val="single" w:sz="4" w:space="0" w:color="auto"/>
            </w:tcBorders>
            <w:vAlign w:val="center"/>
          </w:tcPr>
          <w:p w14:paraId="58204C9F"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6A28622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2A4B4033"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23EAB4E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0.219</w:t>
            </w:r>
          </w:p>
        </w:tc>
        <w:tc>
          <w:tcPr>
            <w:tcW w:w="1915" w:type="dxa"/>
            <w:tcBorders>
              <w:bottom w:val="single" w:sz="4" w:space="0" w:color="auto"/>
            </w:tcBorders>
          </w:tcPr>
          <w:p w14:paraId="7E2BBE1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0.184</w:t>
            </w:r>
          </w:p>
        </w:tc>
        <w:tc>
          <w:tcPr>
            <w:tcW w:w="2075" w:type="dxa"/>
            <w:tcBorders>
              <w:bottom w:val="single" w:sz="4" w:space="0" w:color="auto"/>
            </w:tcBorders>
          </w:tcPr>
          <w:p w14:paraId="6F294C7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0.174</w:t>
            </w:r>
          </w:p>
        </w:tc>
      </w:tr>
      <w:tr w:rsidR="004A589C" w:rsidRPr="00EA36AD" w14:paraId="1F4D37B2" w14:textId="77777777" w:rsidTr="004A589C">
        <w:tc>
          <w:tcPr>
            <w:tcW w:w="1277" w:type="dxa"/>
            <w:vMerge w:val="restart"/>
            <w:tcBorders>
              <w:top w:val="single" w:sz="4" w:space="0" w:color="auto"/>
            </w:tcBorders>
            <w:vAlign w:val="center"/>
          </w:tcPr>
          <w:p w14:paraId="6D2A6AE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7</w:t>
            </w:r>
          </w:p>
        </w:tc>
        <w:tc>
          <w:tcPr>
            <w:tcW w:w="1436" w:type="dxa"/>
            <w:tcBorders>
              <w:top w:val="single" w:sz="4" w:space="0" w:color="auto"/>
            </w:tcBorders>
          </w:tcPr>
          <w:p w14:paraId="0F539595"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149E260F"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-0.922</w:t>
            </w:r>
          </w:p>
        </w:tc>
        <w:tc>
          <w:tcPr>
            <w:tcW w:w="1596" w:type="dxa"/>
            <w:tcBorders>
              <w:top w:val="single" w:sz="4" w:space="0" w:color="auto"/>
            </w:tcBorders>
          </w:tcPr>
          <w:p w14:paraId="1226D86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0.355</w:t>
            </w:r>
          </w:p>
        </w:tc>
        <w:tc>
          <w:tcPr>
            <w:tcW w:w="1915" w:type="dxa"/>
            <w:tcBorders>
              <w:top w:val="single" w:sz="4" w:space="0" w:color="auto"/>
            </w:tcBorders>
          </w:tcPr>
          <w:p w14:paraId="7747CD4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0.120</w:t>
            </w:r>
          </w:p>
        </w:tc>
        <w:tc>
          <w:tcPr>
            <w:tcW w:w="2075" w:type="dxa"/>
            <w:tcBorders>
              <w:top w:val="single" w:sz="4" w:space="0" w:color="auto"/>
            </w:tcBorders>
          </w:tcPr>
          <w:p w14:paraId="189B77BC"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0.059</w:t>
            </w:r>
          </w:p>
        </w:tc>
      </w:tr>
      <w:tr w:rsidR="004A589C" w:rsidRPr="00EA36AD" w14:paraId="0A85F5F8" w14:textId="77777777" w:rsidTr="004A589C">
        <w:tc>
          <w:tcPr>
            <w:tcW w:w="1277" w:type="dxa"/>
            <w:vMerge/>
            <w:tcBorders>
              <w:bottom w:val="single" w:sz="4" w:space="0" w:color="auto"/>
            </w:tcBorders>
            <w:vAlign w:val="center"/>
          </w:tcPr>
          <w:p w14:paraId="705E7DAE"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74086A2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01DC5FD0"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7E5470B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0.240</w:t>
            </w:r>
          </w:p>
        </w:tc>
        <w:tc>
          <w:tcPr>
            <w:tcW w:w="1915" w:type="dxa"/>
            <w:tcBorders>
              <w:bottom w:val="single" w:sz="4" w:space="0" w:color="auto"/>
            </w:tcBorders>
          </w:tcPr>
          <w:p w14:paraId="087551F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0.181</w:t>
            </w:r>
          </w:p>
        </w:tc>
        <w:tc>
          <w:tcPr>
            <w:tcW w:w="2075" w:type="dxa"/>
            <w:tcBorders>
              <w:bottom w:val="single" w:sz="4" w:space="0" w:color="auto"/>
            </w:tcBorders>
          </w:tcPr>
          <w:p w14:paraId="17D6123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0.170</w:t>
            </w:r>
          </w:p>
        </w:tc>
      </w:tr>
      <w:tr w:rsidR="004A589C" w:rsidRPr="00EA36AD" w14:paraId="4499D247" w14:textId="77777777" w:rsidTr="004A589C">
        <w:tc>
          <w:tcPr>
            <w:tcW w:w="1277" w:type="dxa"/>
            <w:vMerge w:val="restart"/>
            <w:tcBorders>
              <w:top w:val="single" w:sz="4" w:space="0" w:color="auto"/>
            </w:tcBorders>
            <w:vAlign w:val="center"/>
          </w:tcPr>
          <w:p w14:paraId="5039D5B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2</w:t>
            </w:r>
          </w:p>
        </w:tc>
        <w:tc>
          <w:tcPr>
            <w:tcW w:w="1436" w:type="dxa"/>
            <w:tcBorders>
              <w:top w:val="single" w:sz="4" w:space="0" w:color="auto"/>
            </w:tcBorders>
          </w:tcPr>
          <w:p w14:paraId="55C927F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10F4869"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0.079</w:t>
            </w:r>
          </w:p>
        </w:tc>
        <w:tc>
          <w:tcPr>
            <w:tcW w:w="1596" w:type="dxa"/>
            <w:tcBorders>
              <w:top w:val="single" w:sz="4" w:space="0" w:color="auto"/>
            </w:tcBorders>
          </w:tcPr>
          <w:p w14:paraId="6259AC8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0.307</w:t>
            </w:r>
          </w:p>
        </w:tc>
        <w:tc>
          <w:tcPr>
            <w:tcW w:w="1915" w:type="dxa"/>
            <w:tcBorders>
              <w:top w:val="single" w:sz="4" w:space="0" w:color="auto"/>
            </w:tcBorders>
          </w:tcPr>
          <w:p w14:paraId="253C7C5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0.109</w:t>
            </w:r>
          </w:p>
        </w:tc>
        <w:tc>
          <w:tcPr>
            <w:tcW w:w="2075" w:type="dxa"/>
            <w:tcBorders>
              <w:top w:val="single" w:sz="4" w:space="0" w:color="auto"/>
            </w:tcBorders>
          </w:tcPr>
          <w:p w14:paraId="1C7B633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r>
      <w:tr w:rsidR="004A589C" w:rsidRPr="00EA36AD" w14:paraId="26AC68C4" w14:textId="77777777" w:rsidTr="004A589C">
        <w:tc>
          <w:tcPr>
            <w:tcW w:w="1277" w:type="dxa"/>
            <w:vMerge/>
            <w:tcBorders>
              <w:bottom w:val="single" w:sz="4" w:space="0" w:color="auto"/>
            </w:tcBorders>
            <w:vAlign w:val="center"/>
          </w:tcPr>
          <w:p w14:paraId="5C24C874"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0A2B021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2EFC71DE"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25A923F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0.148</w:t>
            </w:r>
          </w:p>
        </w:tc>
        <w:tc>
          <w:tcPr>
            <w:tcW w:w="1915" w:type="dxa"/>
            <w:tcBorders>
              <w:bottom w:val="single" w:sz="4" w:space="0" w:color="auto"/>
            </w:tcBorders>
          </w:tcPr>
          <w:p w14:paraId="64D6B903"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c>
          <w:tcPr>
            <w:tcW w:w="2075" w:type="dxa"/>
            <w:tcBorders>
              <w:bottom w:val="single" w:sz="4" w:space="0" w:color="auto"/>
            </w:tcBorders>
          </w:tcPr>
          <w:p w14:paraId="1C849DF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0.032</w:t>
            </w:r>
          </w:p>
        </w:tc>
      </w:tr>
      <w:tr w:rsidR="004A589C" w:rsidRPr="00EA36AD" w14:paraId="3209BD96" w14:textId="77777777" w:rsidTr="004A589C">
        <w:tc>
          <w:tcPr>
            <w:tcW w:w="1277" w:type="dxa"/>
            <w:vMerge w:val="restart"/>
            <w:tcBorders>
              <w:top w:val="single" w:sz="4" w:space="0" w:color="auto"/>
            </w:tcBorders>
            <w:vAlign w:val="center"/>
          </w:tcPr>
          <w:p w14:paraId="3F3BF9D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5</w:t>
            </w:r>
          </w:p>
        </w:tc>
        <w:tc>
          <w:tcPr>
            <w:tcW w:w="1436" w:type="dxa"/>
            <w:tcBorders>
              <w:top w:val="single" w:sz="4" w:space="0" w:color="auto"/>
            </w:tcBorders>
          </w:tcPr>
          <w:p w14:paraId="7AECE11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6C83C801"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0.124</w:t>
            </w:r>
          </w:p>
        </w:tc>
        <w:tc>
          <w:tcPr>
            <w:tcW w:w="1596" w:type="dxa"/>
            <w:tcBorders>
              <w:top w:val="single" w:sz="4" w:space="0" w:color="auto"/>
            </w:tcBorders>
          </w:tcPr>
          <w:p w14:paraId="169CC56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0.344</w:t>
            </w:r>
          </w:p>
        </w:tc>
        <w:tc>
          <w:tcPr>
            <w:tcW w:w="1915" w:type="dxa"/>
            <w:tcBorders>
              <w:top w:val="single" w:sz="4" w:space="0" w:color="auto"/>
            </w:tcBorders>
          </w:tcPr>
          <w:p w14:paraId="174EB23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0.125</w:t>
            </w:r>
          </w:p>
        </w:tc>
        <w:tc>
          <w:tcPr>
            <w:tcW w:w="2075" w:type="dxa"/>
            <w:tcBorders>
              <w:top w:val="single" w:sz="4" w:space="0" w:color="auto"/>
            </w:tcBorders>
          </w:tcPr>
          <w:p w14:paraId="411732EE"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0.079</w:t>
            </w:r>
          </w:p>
        </w:tc>
      </w:tr>
      <w:tr w:rsidR="004A589C" w:rsidRPr="00EA36AD" w14:paraId="3D83090A" w14:textId="77777777" w:rsidTr="004A589C">
        <w:tc>
          <w:tcPr>
            <w:tcW w:w="1277" w:type="dxa"/>
            <w:vMerge/>
            <w:tcBorders>
              <w:bottom w:val="single" w:sz="4" w:space="0" w:color="auto"/>
            </w:tcBorders>
            <w:vAlign w:val="center"/>
          </w:tcPr>
          <w:p w14:paraId="3ABAF743"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31ACA20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46D0B478"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4FA835D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0.213</w:t>
            </w:r>
          </w:p>
        </w:tc>
        <w:tc>
          <w:tcPr>
            <w:tcW w:w="1915" w:type="dxa"/>
            <w:tcBorders>
              <w:bottom w:val="single" w:sz="4" w:space="0" w:color="auto"/>
            </w:tcBorders>
          </w:tcPr>
          <w:p w14:paraId="03262F35"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0.155</w:t>
            </w:r>
          </w:p>
        </w:tc>
        <w:tc>
          <w:tcPr>
            <w:tcW w:w="2075" w:type="dxa"/>
            <w:tcBorders>
              <w:bottom w:val="single" w:sz="4" w:space="0" w:color="auto"/>
            </w:tcBorders>
          </w:tcPr>
          <w:p w14:paraId="6AEDBD4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0.144</w:t>
            </w:r>
          </w:p>
        </w:tc>
      </w:tr>
      <w:tr w:rsidR="004A589C" w:rsidRPr="00EA36AD" w14:paraId="6F3C3555" w14:textId="77777777" w:rsidTr="004A589C">
        <w:tc>
          <w:tcPr>
            <w:tcW w:w="1277" w:type="dxa"/>
            <w:vMerge w:val="restart"/>
            <w:tcBorders>
              <w:top w:val="single" w:sz="4" w:space="0" w:color="auto"/>
            </w:tcBorders>
            <w:vAlign w:val="center"/>
          </w:tcPr>
          <w:p w14:paraId="66FE908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8</w:t>
            </w:r>
          </w:p>
        </w:tc>
        <w:tc>
          <w:tcPr>
            <w:tcW w:w="1436" w:type="dxa"/>
            <w:tcBorders>
              <w:top w:val="single" w:sz="4" w:space="0" w:color="auto"/>
            </w:tcBorders>
          </w:tcPr>
          <w:p w14:paraId="4EFBB1A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8DC5F37"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-0.572</w:t>
            </w:r>
          </w:p>
        </w:tc>
        <w:tc>
          <w:tcPr>
            <w:tcW w:w="1596" w:type="dxa"/>
            <w:tcBorders>
              <w:top w:val="single" w:sz="4" w:space="0" w:color="auto"/>
            </w:tcBorders>
          </w:tcPr>
          <w:p w14:paraId="293D9640"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0.501</w:t>
            </w:r>
          </w:p>
        </w:tc>
        <w:tc>
          <w:tcPr>
            <w:tcW w:w="1915" w:type="dxa"/>
            <w:tcBorders>
              <w:top w:val="single" w:sz="4" w:space="0" w:color="auto"/>
            </w:tcBorders>
          </w:tcPr>
          <w:p w14:paraId="3AB9E3D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0.327</w:t>
            </w:r>
          </w:p>
        </w:tc>
        <w:tc>
          <w:tcPr>
            <w:tcW w:w="2075" w:type="dxa"/>
            <w:tcBorders>
              <w:top w:val="single" w:sz="4" w:space="0" w:color="auto"/>
            </w:tcBorders>
          </w:tcPr>
          <w:p w14:paraId="0866EA6E"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0.299</w:t>
            </w:r>
          </w:p>
        </w:tc>
      </w:tr>
      <w:tr w:rsidR="004A589C" w:rsidRPr="00EA36AD" w14:paraId="7AF1C2F6" w14:textId="77777777" w:rsidTr="004A589C">
        <w:tc>
          <w:tcPr>
            <w:tcW w:w="1277" w:type="dxa"/>
            <w:vMerge/>
            <w:tcBorders>
              <w:bottom w:val="single" w:sz="4" w:space="0" w:color="auto"/>
            </w:tcBorders>
            <w:vAlign w:val="center"/>
          </w:tcPr>
          <w:p w14:paraId="73D6E0A2"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1574902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33C9FD68"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670B5A3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0.230</w:t>
            </w:r>
          </w:p>
        </w:tc>
        <w:tc>
          <w:tcPr>
            <w:tcW w:w="1915" w:type="dxa"/>
            <w:tcBorders>
              <w:bottom w:val="single" w:sz="4" w:space="0" w:color="auto"/>
            </w:tcBorders>
          </w:tcPr>
          <w:p w14:paraId="398FFAB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0.145</w:t>
            </w:r>
          </w:p>
        </w:tc>
        <w:tc>
          <w:tcPr>
            <w:tcW w:w="2075" w:type="dxa"/>
            <w:tcBorders>
              <w:bottom w:val="single" w:sz="4" w:space="0" w:color="auto"/>
            </w:tcBorders>
          </w:tcPr>
          <w:p w14:paraId="6392346A"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0.122</w:t>
            </w:r>
          </w:p>
        </w:tc>
      </w:tr>
      <w:tr w:rsidR="004A589C" w:rsidRPr="00EA36AD" w14:paraId="6407DE2E" w14:textId="77777777" w:rsidTr="004A589C">
        <w:tc>
          <w:tcPr>
            <w:tcW w:w="1277" w:type="dxa"/>
            <w:vMerge w:val="restart"/>
            <w:tcBorders>
              <w:top w:val="single" w:sz="4" w:space="0" w:color="auto"/>
            </w:tcBorders>
            <w:vAlign w:val="center"/>
          </w:tcPr>
          <w:p w14:paraId="27D14C42"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10</w:t>
            </w:r>
          </w:p>
        </w:tc>
        <w:tc>
          <w:tcPr>
            <w:tcW w:w="1436" w:type="dxa"/>
            <w:tcBorders>
              <w:top w:val="single" w:sz="4" w:space="0" w:color="auto"/>
            </w:tcBorders>
          </w:tcPr>
          <w:p w14:paraId="2367413E"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4B3EA304"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0.040</w:t>
            </w:r>
          </w:p>
        </w:tc>
        <w:tc>
          <w:tcPr>
            <w:tcW w:w="1596" w:type="dxa"/>
            <w:tcBorders>
              <w:top w:val="single" w:sz="4" w:space="0" w:color="auto"/>
            </w:tcBorders>
          </w:tcPr>
          <w:p w14:paraId="3D00B2D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0.296</w:t>
            </w:r>
          </w:p>
        </w:tc>
        <w:tc>
          <w:tcPr>
            <w:tcW w:w="1915" w:type="dxa"/>
            <w:tcBorders>
              <w:top w:val="single" w:sz="4" w:space="0" w:color="auto"/>
            </w:tcBorders>
          </w:tcPr>
          <w:p w14:paraId="5ED9822C"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0.091</w:t>
            </w:r>
          </w:p>
        </w:tc>
        <w:tc>
          <w:tcPr>
            <w:tcW w:w="2075" w:type="dxa"/>
            <w:tcBorders>
              <w:top w:val="single" w:sz="4" w:space="0" w:color="auto"/>
            </w:tcBorders>
          </w:tcPr>
          <w:p w14:paraId="5963C84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0.043</w:t>
            </w:r>
          </w:p>
        </w:tc>
      </w:tr>
      <w:tr w:rsidR="004A589C" w:rsidRPr="00EA36AD" w14:paraId="31F3F74D" w14:textId="77777777" w:rsidTr="004A589C">
        <w:tc>
          <w:tcPr>
            <w:tcW w:w="1277" w:type="dxa"/>
            <w:vMerge/>
            <w:tcBorders>
              <w:bottom w:val="single" w:sz="4" w:space="0" w:color="auto"/>
            </w:tcBorders>
            <w:vAlign w:val="center"/>
          </w:tcPr>
          <w:p w14:paraId="1CE36AFF"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5B8C7BC5"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37752B2E"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25064BC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0.147</w:t>
            </w:r>
          </w:p>
        </w:tc>
        <w:tc>
          <w:tcPr>
            <w:tcW w:w="1915" w:type="dxa"/>
            <w:tcBorders>
              <w:bottom w:val="single" w:sz="4" w:space="0" w:color="auto"/>
            </w:tcBorders>
          </w:tcPr>
          <w:p w14:paraId="7D967A8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0.064</w:t>
            </w:r>
          </w:p>
        </w:tc>
        <w:tc>
          <w:tcPr>
            <w:tcW w:w="2075" w:type="dxa"/>
            <w:tcBorders>
              <w:bottom w:val="single" w:sz="4" w:space="0" w:color="auto"/>
            </w:tcBorders>
          </w:tcPr>
          <w:p w14:paraId="10E8117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0.033</w:t>
            </w:r>
          </w:p>
        </w:tc>
      </w:tr>
      <w:tr w:rsidR="004A589C" w:rsidRPr="00EA36AD" w14:paraId="29DBF195" w14:textId="77777777" w:rsidTr="004A589C">
        <w:tc>
          <w:tcPr>
            <w:tcW w:w="1277" w:type="dxa"/>
            <w:vMerge w:val="restart"/>
            <w:tcBorders>
              <w:top w:val="single" w:sz="4" w:space="0" w:color="auto"/>
            </w:tcBorders>
            <w:vAlign w:val="center"/>
          </w:tcPr>
          <w:p w14:paraId="7763075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11</w:t>
            </w:r>
          </w:p>
        </w:tc>
        <w:tc>
          <w:tcPr>
            <w:tcW w:w="1436" w:type="dxa"/>
            <w:tcBorders>
              <w:top w:val="single" w:sz="4" w:space="0" w:color="auto"/>
            </w:tcBorders>
          </w:tcPr>
          <w:p w14:paraId="2D1E2BB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797FD67B"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0.051</w:t>
            </w:r>
          </w:p>
        </w:tc>
        <w:tc>
          <w:tcPr>
            <w:tcW w:w="1596" w:type="dxa"/>
            <w:tcBorders>
              <w:top w:val="single" w:sz="4" w:space="0" w:color="auto"/>
            </w:tcBorders>
          </w:tcPr>
          <w:p w14:paraId="3854261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0.333</w:t>
            </w:r>
          </w:p>
        </w:tc>
        <w:tc>
          <w:tcPr>
            <w:tcW w:w="1915" w:type="dxa"/>
            <w:tcBorders>
              <w:top w:val="single" w:sz="4" w:space="0" w:color="auto"/>
            </w:tcBorders>
          </w:tcPr>
          <w:p w14:paraId="0F453DE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0.107</w:t>
            </w:r>
          </w:p>
        </w:tc>
        <w:tc>
          <w:tcPr>
            <w:tcW w:w="2075" w:type="dxa"/>
            <w:tcBorders>
              <w:top w:val="single" w:sz="4" w:space="0" w:color="auto"/>
            </w:tcBorders>
          </w:tcPr>
          <w:p w14:paraId="6E64BE0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0.051</w:t>
            </w:r>
          </w:p>
        </w:tc>
      </w:tr>
      <w:tr w:rsidR="004A589C" w:rsidRPr="00EA36AD" w14:paraId="55614989" w14:textId="77777777" w:rsidTr="004A589C">
        <w:tc>
          <w:tcPr>
            <w:tcW w:w="1277" w:type="dxa"/>
            <w:vMerge/>
            <w:tcBorders>
              <w:bottom w:val="single" w:sz="4" w:space="0" w:color="auto"/>
            </w:tcBorders>
            <w:vAlign w:val="center"/>
          </w:tcPr>
          <w:p w14:paraId="75CFBA84"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3D334E8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7458F63F"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13EBC13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0.210</w:t>
            </w:r>
          </w:p>
        </w:tc>
        <w:tc>
          <w:tcPr>
            <w:tcW w:w="1915" w:type="dxa"/>
            <w:tcBorders>
              <w:bottom w:val="single" w:sz="4" w:space="0" w:color="auto"/>
            </w:tcBorders>
          </w:tcPr>
          <w:p w14:paraId="5660AEF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0.157</w:t>
            </w:r>
          </w:p>
        </w:tc>
        <w:tc>
          <w:tcPr>
            <w:tcW w:w="2075" w:type="dxa"/>
            <w:tcBorders>
              <w:bottom w:val="single" w:sz="4" w:space="0" w:color="auto"/>
            </w:tcBorders>
          </w:tcPr>
          <w:p w14:paraId="56249B2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0.142</w:t>
            </w:r>
          </w:p>
        </w:tc>
      </w:tr>
      <w:tr w:rsidR="004A589C" w:rsidRPr="00EA36AD" w14:paraId="707ABE22" w14:textId="77777777" w:rsidTr="004A589C">
        <w:tc>
          <w:tcPr>
            <w:tcW w:w="1277" w:type="dxa"/>
            <w:vMerge w:val="restart"/>
            <w:tcBorders>
              <w:top w:val="single" w:sz="4" w:space="0" w:color="auto"/>
            </w:tcBorders>
            <w:vAlign w:val="center"/>
          </w:tcPr>
          <w:p w14:paraId="104EFE3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12</w:t>
            </w:r>
          </w:p>
        </w:tc>
        <w:tc>
          <w:tcPr>
            <w:tcW w:w="1436" w:type="dxa"/>
            <w:tcBorders>
              <w:top w:val="single" w:sz="4" w:space="0" w:color="auto"/>
            </w:tcBorders>
          </w:tcPr>
          <w:p w14:paraId="417B379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DML-Chang</w:t>
            </w:r>
          </w:p>
        </w:tc>
        <w:tc>
          <w:tcPr>
            <w:tcW w:w="1277" w:type="dxa"/>
            <w:vMerge w:val="restart"/>
            <w:tcBorders>
              <w:top w:val="single" w:sz="4" w:space="0" w:color="auto"/>
            </w:tcBorders>
            <w:vAlign w:val="center"/>
          </w:tcPr>
          <w:p w14:paraId="2F1114EB"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-0.625</w:t>
            </w:r>
          </w:p>
        </w:tc>
        <w:tc>
          <w:tcPr>
            <w:tcW w:w="1596" w:type="dxa"/>
            <w:tcBorders>
              <w:top w:val="single" w:sz="4" w:space="0" w:color="auto"/>
            </w:tcBorders>
          </w:tcPr>
          <w:p w14:paraId="3D5C4C85"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0.546</w:t>
            </w:r>
          </w:p>
        </w:tc>
        <w:tc>
          <w:tcPr>
            <w:tcW w:w="1915" w:type="dxa"/>
            <w:tcBorders>
              <w:top w:val="single" w:sz="4" w:space="0" w:color="auto"/>
            </w:tcBorders>
          </w:tcPr>
          <w:p w14:paraId="18F0594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0.371</w:t>
            </w:r>
          </w:p>
        </w:tc>
        <w:tc>
          <w:tcPr>
            <w:tcW w:w="2075" w:type="dxa"/>
            <w:tcBorders>
              <w:top w:val="single" w:sz="4" w:space="0" w:color="auto"/>
            </w:tcBorders>
          </w:tcPr>
          <w:p w14:paraId="579E56F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0.350</w:t>
            </w:r>
          </w:p>
        </w:tc>
      </w:tr>
      <w:tr w:rsidR="004A589C" w:rsidRPr="00EA36AD" w14:paraId="63966E2D" w14:textId="77777777" w:rsidTr="004A589C">
        <w:tc>
          <w:tcPr>
            <w:tcW w:w="1277" w:type="dxa"/>
            <w:vMerge/>
            <w:tcBorders>
              <w:bottom w:val="single" w:sz="4" w:space="0" w:color="auto"/>
            </w:tcBorders>
            <w:vAlign w:val="center"/>
          </w:tcPr>
          <w:p w14:paraId="2FDD02FB"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4CC82EE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36BD0879"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0CFAE3A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0.233</w:t>
            </w:r>
          </w:p>
        </w:tc>
        <w:tc>
          <w:tcPr>
            <w:tcW w:w="1915" w:type="dxa"/>
            <w:tcBorders>
              <w:bottom w:val="single" w:sz="4" w:space="0" w:color="auto"/>
            </w:tcBorders>
          </w:tcPr>
          <w:p w14:paraId="0FFC1B0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0.145</w:t>
            </w:r>
          </w:p>
        </w:tc>
        <w:tc>
          <w:tcPr>
            <w:tcW w:w="2075" w:type="dxa"/>
            <w:tcBorders>
              <w:bottom w:val="single" w:sz="4" w:space="0" w:color="auto"/>
            </w:tcBorders>
          </w:tcPr>
          <w:p w14:paraId="55A63043"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0.121</w:t>
            </w:r>
          </w:p>
        </w:tc>
      </w:tr>
      <w:tr w:rsidR="004A589C" w:rsidRPr="00EA36AD" w14:paraId="1C7EAB80" w14:textId="77777777" w:rsidTr="004A589C">
        <w:tc>
          <w:tcPr>
            <w:tcW w:w="1277" w:type="dxa"/>
            <w:vMerge w:val="restart"/>
            <w:tcBorders>
              <w:top w:val="single" w:sz="4" w:space="0" w:color="auto"/>
            </w:tcBorders>
            <w:vAlign w:val="center"/>
          </w:tcPr>
          <w:p w14:paraId="1D0DAD82"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3</w:t>
            </w:r>
          </w:p>
        </w:tc>
        <w:tc>
          <w:tcPr>
            <w:tcW w:w="1436" w:type="dxa"/>
            <w:tcBorders>
              <w:top w:val="single" w:sz="4" w:space="0" w:color="auto"/>
            </w:tcBorders>
          </w:tcPr>
          <w:p w14:paraId="30C6230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3C3B86DC"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-0.050</w:t>
            </w:r>
          </w:p>
        </w:tc>
        <w:tc>
          <w:tcPr>
            <w:tcW w:w="1596" w:type="dxa"/>
            <w:tcBorders>
              <w:top w:val="single" w:sz="4" w:space="0" w:color="auto"/>
            </w:tcBorders>
          </w:tcPr>
          <w:p w14:paraId="52B1774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0.133</w:t>
            </w:r>
          </w:p>
        </w:tc>
        <w:tc>
          <w:tcPr>
            <w:tcW w:w="1915" w:type="dxa"/>
            <w:tcBorders>
              <w:top w:val="single" w:sz="4" w:space="0" w:color="auto"/>
            </w:tcBorders>
          </w:tcPr>
          <w:p w14:paraId="7D3A5C1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0.053</w:t>
            </w:r>
          </w:p>
        </w:tc>
        <w:tc>
          <w:tcPr>
            <w:tcW w:w="2075" w:type="dxa"/>
            <w:tcBorders>
              <w:top w:val="single" w:sz="4" w:space="0" w:color="auto"/>
            </w:tcBorders>
          </w:tcPr>
          <w:p w14:paraId="42ED165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0.026</w:t>
            </w:r>
          </w:p>
        </w:tc>
      </w:tr>
      <w:tr w:rsidR="004A589C" w:rsidRPr="00EA36AD" w14:paraId="36D48133" w14:textId="77777777" w:rsidTr="004A589C">
        <w:tc>
          <w:tcPr>
            <w:tcW w:w="1277" w:type="dxa"/>
            <w:vMerge/>
            <w:tcBorders>
              <w:bottom w:val="single" w:sz="4" w:space="0" w:color="auto"/>
            </w:tcBorders>
            <w:vAlign w:val="center"/>
          </w:tcPr>
          <w:p w14:paraId="42860133"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29E8E81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671D20D5"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6381811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0.330</w:t>
            </w:r>
          </w:p>
        </w:tc>
        <w:tc>
          <w:tcPr>
            <w:tcW w:w="1915" w:type="dxa"/>
            <w:tcBorders>
              <w:bottom w:val="single" w:sz="4" w:space="0" w:color="auto"/>
            </w:tcBorders>
          </w:tcPr>
          <w:p w14:paraId="7A4236E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0.200</w:t>
            </w:r>
          </w:p>
        </w:tc>
        <w:tc>
          <w:tcPr>
            <w:tcW w:w="2075" w:type="dxa"/>
            <w:tcBorders>
              <w:bottom w:val="single" w:sz="4" w:space="0" w:color="auto"/>
            </w:tcBorders>
          </w:tcPr>
          <w:p w14:paraId="59413D2B"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0.166</w:t>
            </w:r>
          </w:p>
        </w:tc>
      </w:tr>
      <w:tr w:rsidR="004A589C" w:rsidRPr="00EA36AD" w14:paraId="62B6FA03" w14:textId="77777777" w:rsidTr="004A589C">
        <w:tc>
          <w:tcPr>
            <w:tcW w:w="1277" w:type="dxa"/>
            <w:vMerge w:val="restart"/>
            <w:tcBorders>
              <w:top w:val="single" w:sz="4" w:space="0" w:color="auto"/>
            </w:tcBorders>
            <w:vAlign w:val="center"/>
          </w:tcPr>
          <w:p w14:paraId="116D4E8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6</w:t>
            </w:r>
          </w:p>
        </w:tc>
        <w:tc>
          <w:tcPr>
            <w:tcW w:w="1436" w:type="dxa"/>
            <w:tcBorders>
              <w:top w:val="single" w:sz="4" w:space="0" w:color="auto"/>
            </w:tcBorders>
          </w:tcPr>
          <w:p w14:paraId="296B6CF0"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193EF461"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-0.125</w:t>
            </w:r>
          </w:p>
        </w:tc>
        <w:tc>
          <w:tcPr>
            <w:tcW w:w="1596" w:type="dxa"/>
            <w:tcBorders>
              <w:top w:val="single" w:sz="4" w:space="0" w:color="auto"/>
            </w:tcBorders>
          </w:tcPr>
          <w:p w14:paraId="1F31E1C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0.143</w:t>
            </w:r>
          </w:p>
        </w:tc>
        <w:tc>
          <w:tcPr>
            <w:tcW w:w="1915" w:type="dxa"/>
            <w:tcBorders>
              <w:top w:val="single" w:sz="4" w:space="0" w:color="auto"/>
            </w:tcBorders>
          </w:tcPr>
          <w:p w14:paraId="57AEDC57"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0.059</w:t>
            </w:r>
          </w:p>
        </w:tc>
        <w:tc>
          <w:tcPr>
            <w:tcW w:w="2075" w:type="dxa"/>
            <w:tcBorders>
              <w:top w:val="single" w:sz="4" w:space="0" w:color="auto"/>
            </w:tcBorders>
          </w:tcPr>
          <w:p w14:paraId="6A47E206"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0.028</w:t>
            </w:r>
          </w:p>
        </w:tc>
      </w:tr>
      <w:tr w:rsidR="004A589C" w:rsidRPr="00EA36AD" w14:paraId="62DD08FB" w14:textId="77777777" w:rsidTr="004A589C">
        <w:tc>
          <w:tcPr>
            <w:tcW w:w="1277" w:type="dxa"/>
            <w:vMerge/>
            <w:tcBorders>
              <w:bottom w:val="single" w:sz="4" w:space="0" w:color="auto"/>
            </w:tcBorders>
            <w:vAlign w:val="center"/>
          </w:tcPr>
          <w:p w14:paraId="20A22C45"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08890B1E"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vAlign w:val="center"/>
          </w:tcPr>
          <w:p w14:paraId="0C7C2C48" w14:textId="77777777" w:rsidR="004A589C" w:rsidRPr="00EA36AD" w:rsidRDefault="004A589C" w:rsidP="004A589C">
            <w:pPr>
              <w:pStyle w:val="Compact"/>
              <w:jc w:val="center"/>
              <w:rPr>
                <w:rFonts w:ascii="Times New Roman" w:hAnsi="Times New Roman" w:cs="Times New Roman"/>
                <w:sz w:val="21"/>
                <w:szCs w:val="21"/>
              </w:rPr>
            </w:pPr>
          </w:p>
        </w:tc>
        <w:tc>
          <w:tcPr>
            <w:tcW w:w="1596" w:type="dxa"/>
            <w:tcBorders>
              <w:bottom w:val="single" w:sz="4" w:space="0" w:color="auto"/>
            </w:tcBorders>
          </w:tcPr>
          <w:p w14:paraId="12BB8A5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0.373</w:t>
            </w:r>
          </w:p>
        </w:tc>
        <w:tc>
          <w:tcPr>
            <w:tcW w:w="1915" w:type="dxa"/>
            <w:tcBorders>
              <w:bottom w:val="single" w:sz="4" w:space="0" w:color="auto"/>
            </w:tcBorders>
          </w:tcPr>
          <w:p w14:paraId="3FB710A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0.293</w:t>
            </w:r>
          </w:p>
        </w:tc>
        <w:tc>
          <w:tcPr>
            <w:tcW w:w="2075" w:type="dxa"/>
            <w:tcBorders>
              <w:bottom w:val="single" w:sz="4" w:space="0" w:color="auto"/>
            </w:tcBorders>
          </w:tcPr>
          <w:p w14:paraId="6D07E4A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0.274</w:t>
            </w:r>
          </w:p>
        </w:tc>
      </w:tr>
      <w:tr w:rsidR="004A589C" w:rsidRPr="00EA36AD" w14:paraId="26FC3CCF" w14:textId="77777777" w:rsidTr="004A589C">
        <w:tc>
          <w:tcPr>
            <w:tcW w:w="1277" w:type="dxa"/>
            <w:vMerge w:val="restart"/>
            <w:tcBorders>
              <w:top w:val="single" w:sz="4" w:space="0" w:color="auto"/>
            </w:tcBorders>
            <w:vAlign w:val="center"/>
          </w:tcPr>
          <w:p w14:paraId="54AE655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9</w:t>
            </w:r>
          </w:p>
        </w:tc>
        <w:tc>
          <w:tcPr>
            <w:tcW w:w="1436" w:type="dxa"/>
            <w:tcBorders>
              <w:top w:val="single" w:sz="4" w:space="0" w:color="auto"/>
            </w:tcBorders>
          </w:tcPr>
          <w:p w14:paraId="4171AFFD"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DML-Multi</w:t>
            </w:r>
          </w:p>
        </w:tc>
        <w:tc>
          <w:tcPr>
            <w:tcW w:w="1277" w:type="dxa"/>
            <w:vMerge w:val="restart"/>
            <w:tcBorders>
              <w:top w:val="single" w:sz="4" w:space="0" w:color="auto"/>
            </w:tcBorders>
            <w:vAlign w:val="center"/>
          </w:tcPr>
          <w:p w14:paraId="41795567" w14:textId="77777777" w:rsidR="004A589C" w:rsidRPr="00EA36AD" w:rsidRDefault="004A589C" w:rsidP="004A589C">
            <w:pPr>
              <w:pStyle w:val="Compact"/>
              <w:jc w:val="center"/>
              <w:rPr>
                <w:rFonts w:ascii="Times New Roman" w:hAnsi="Times New Roman" w:cs="Times New Roman"/>
                <w:sz w:val="21"/>
                <w:szCs w:val="21"/>
              </w:rPr>
            </w:pPr>
            <w:r w:rsidRPr="00EA36AD">
              <w:rPr>
                <w:rFonts w:ascii="Times New Roman" w:hAnsi="Times New Roman" w:cs="Times New Roman"/>
                <w:sz w:val="21"/>
                <w:szCs w:val="21"/>
              </w:rPr>
              <w:t>-1.195</w:t>
            </w:r>
          </w:p>
        </w:tc>
        <w:tc>
          <w:tcPr>
            <w:tcW w:w="1596" w:type="dxa"/>
            <w:tcBorders>
              <w:top w:val="single" w:sz="4" w:space="0" w:color="auto"/>
            </w:tcBorders>
          </w:tcPr>
          <w:p w14:paraId="66CE17B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0.193</w:t>
            </w:r>
          </w:p>
        </w:tc>
        <w:tc>
          <w:tcPr>
            <w:tcW w:w="1915" w:type="dxa"/>
            <w:tcBorders>
              <w:top w:val="single" w:sz="4" w:space="0" w:color="auto"/>
            </w:tcBorders>
          </w:tcPr>
          <w:p w14:paraId="0B71F79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0.080</w:t>
            </w:r>
          </w:p>
        </w:tc>
        <w:tc>
          <w:tcPr>
            <w:tcW w:w="2075" w:type="dxa"/>
            <w:tcBorders>
              <w:top w:val="single" w:sz="4" w:space="0" w:color="auto"/>
            </w:tcBorders>
          </w:tcPr>
          <w:p w14:paraId="2E3449B4"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0.036</w:t>
            </w:r>
          </w:p>
        </w:tc>
      </w:tr>
      <w:tr w:rsidR="004A589C" w:rsidRPr="00EA36AD" w14:paraId="2BF46564" w14:textId="77777777" w:rsidTr="00EA36AD">
        <w:tc>
          <w:tcPr>
            <w:tcW w:w="1277" w:type="dxa"/>
            <w:vMerge/>
            <w:tcBorders>
              <w:bottom w:val="single" w:sz="4" w:space="0" w:color="auto"/>
            </w:tcBorders>
            <w:vAlign w:val="center"/>
          </w:tcPr>
          <w:p w14:paraId="35B59071" w14:textId="77777777" w:rsidR="004A589C" w:rsidRPr="00EA36AD" w:rsidRDefault="004A589C" w:rsidP="00EA36AD">
            <w:pPr>
              <w:pStyle w:val="Compact"/>
              <w:jc w:val="center"/>
              <w:rPr>
                <w:rFonts w:ascii="Times New Roman" w:hAnsi="Times New Roman" w:cs="Times New Roman"/>
                <w:sz w:val="21"/>
                <w:szCs w:val="21"/>
              </w:rPr>
            </w:pPr>
          </w:p>
        </w:tc>
        <w:tc>
          <w:tcPr>
            <w:tcW w:w="1436" w:type="dxa"/>
            <w:tcBorders>
              <w:bottom w:val="single" w:sz="4" w:space="0" w:color="auto"/>
            </w:tcBorders>
          </w:tcPr>
          <w:p w14:paraId="1172FE38"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TWFE</w:t>
            </w:r>
          </w:p>
        </w:tc>
        <w:tc>
          <w:tcPr>
            <w:tcW w:w="1277" w:type="dxa"/>
            <w:vMerge/>
            <w:tcBorders>
              <w:bottom w:val="single" w:sz="4" w:space="0" w:color="auto"/>
            </w:tcBorders>
          </w:tcPr>
          <w:p w14:paraId="038F628B" w14:textId="77777777" w:rsidR="004A589C" w:rsidRPr="00EA36AD" w:rsidRDefault="004A589C" w:rsidP="00EA36AD">
            <w:pPr>
              <w:pStyle w:val="Compact"/>
              <w:jc w:val="center"/>
              <w:rPr>
                <w:rFonts w:ascii="Times New Roman" w:hAnsi="Times New Roman" w:cs="Times New Roman"/>
                <w:sz w:val="21"/>
                <w:szCs w:val="21"/>
              </w:rPr>
            </w:pPr>
          </w:p>
        </w:tc>
        <w:tc>
          <w:tcPr>
            <w:tcW w:w="1596" w:type="dxa"/>
            <w:tcBorders>
              <w:bottom w:val="single" w:sz="4" w:space="0" w:color="auto"/>
            </w:tcBorders>
          </w:tcPr>
          <w:p w14:paraId="2EC42AD1"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0.596</w:t>
            </w:r>
          </w:p>
        </w:tc>
        <w:tc>
          <w:tcPr>
            <w:tcW w:w="1915" w:type="dxa"/>
            <w:tcBorders>
              <w:bottom w:val="single" w:sz="4" w:space="0" w:color="auto"/>
            </w:tcBorders>
          </w:tcPr>
          <w:p w14:paraId="36AB4FDF"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0.555</w:t>
            </w:r>
          </w:p>
        </w:tc>
        <w:tc>
          <w:tcPr>
            <w:tcW w:w="2075" w:type="dxa"/>
            <w:tcBorders>
              <w:bottom w:val="single" w:sz="4" w:space="0" w:color="auto"/>
            </w:tcBorders>
          </w:tcPr>
          <w:p w14:paraId="6523DD79" w14:textId="77777777" w:rsidR="004A589C" w:rsidRPr="00EA36AD" w:rsidRDefault="004A589C" w:rsidP="00EA36AD">
            <w:pPr>
              <w:pStyle w:val="Compact"/>
              <w:jc w:val="center"/>
              <w:rPr>
                <w:rFonts w:ascii="Times New Roman" w:hAnsi="Times New Roman" w:cs="Times New Roman"/>
                <w:sz w:val="21"/>
                <w:szCs w:val="21"/>
              </w:rPr>
            </w:pPr>
            <w:r w:rsidRPr="00EA36AD">
              <w:rPr>
                <w:rFonts w:ascii="Times New Roman" w:hAnsi="Times New Roman" w:cs="Times New Roman"/>
                <w:sz w:val="21"/>
                <w:szCs w:val="21"/>
              </w:rPr>
              <w:t>0.550</w:t>
            </w:r>
          </w:p>
        </w:tc>
      </w:tr>
    </w:tbl>
    <w:p w14:paraId="20C3DA91" w14:textId="320E5D3E" w:rsidR="00176BBA" w:rsidRPr="000768B6" w:rsidRDefault="006318B7" w:rsidP="000768B6">
      <w:pPr>
        <w:pStyle w:val="BodyText"/>
        <w:jc w:val="both"/>
        <w:rPr>
          <w:rFonts w:ascii="Times New Roman" w:hAnsi="Times New Roman" w:cs="Times New Roman"/>
        </w:rPr>
      </w:pPr>
      <w:r>
        <w:rPr>
          <w:rFonts w:ascii="Times New Roman" w:hAnsi="Times New Roman" w:cs="Times New Roman"/>
        </w:rPr>
        <w:t xml:space="preserve">The following sub sections will deep dive into the scenarios. In each case, figures with </w:t>
      </w:r>
      <w:r w:rsidRPr="00EA36AD">
        <w:rPr>
          <w:rFonts w:ascii="Times New Roman" w:hAnsi="Times New Roman" w:cs="Times New Roman"/>
        </w:rPr>
        <w:t>the distribution of estimation errors (</w:t>
      </w:r>
      <m:oMath>
        <m:acc>
          <m:accPr>
            <m:ctrlPr>
              <w:rPr>
                <w:rFonts w:ascii="Cambria Math" w:hAnsi="Cambria Math" w:cs="Times New Roman"/>
              </w:rPr>
            </m:ctrlPr>
          </m:accPr>
          <m:e>
            <m:r>
              <w:rPr>
                <w:rFonts w:ascii="Cambria Math" w:hAnsi="Cambria Math" w:cs="Times New Roman"/>
              </w:rPr>
              <m:t>τ</m:t>
            </m:r>
          </m:e>
        </m:acc>
        <m:r>
          <m:rPr>
            <m:sty m:val="p"/>
          </m:rPr>
          <w:rPr>
            <w:rFonts w:ascii="Cambria Math" w:hAnsi="Cambria Math" w:cs="Times New Roman"/>
          </w:rPr>
          <m:t>-</m:t>
        </m:r>
        <m:r>
          <m:rPr>
            <m:nor/>
          </m:rPr>
          <w:rPr>
            <w:rFonts w:ascii="Times New Roman" w:hAnsi="Times New Roman" w:cs="Times New Roman"/>
          </w:rPr>
          <m:t>True ATT</m:t>
        </m:r>
      </m:oMath>
      <w:r w:rsidRPr="00EA36AD">
        <w:rPr>
          <w:rFonts w:ascii="Times New Roman" w:hAnsi="Times New Roman" w:cs="Times New Roman"/>
        </w:rPr>
        <w:t xml:space="preserve">) across all 2,000 iterations for each </w:t>
      </w:r>
      <w:r>
        <w:rPr>
          <w:rFonts w:ascii="Times New Roman" w:hAnsi="Times New Roman" w:cs="Times New Roman"/>
        </w:rPr>
        <w:t xml:space="preserve">group of </w:t>
      </w:r>
      <w:r w:rsidRPr="00EA36AD">
        <w:rPr>
          <w:rFonts w:ascii="Times New Roman" w:hAnsi="Times New Roman" w:cs="Times New Roman"/>
        </w:rPr>
        <w:t>scenario</w:t>
      </w:r>
      <w:r>
        <w:rPr>
          <w:rFonts w:ascii="Times New Roman" w:hAnsi="Times New Roman" w:cs="Times New Roman"/>
        </w:rPr>
        <w:t>s</w:t>
      </w:r>
      <w:r w:rsidRPr="00EA36AD">
        <w:rPr>
          <w:rFonts w:ascii="Times New Roman" w:hAnsi="Times New Roman" w:cs="Times New Roman"/>
        </w:rPr>
        <w:t xml:space="preserve"> </w:t>
      </w:r>
      <w:r>
        <w:rPr>
          <w:rFonts w:ascii="Times New Roman" w:hAnsi="Times New Roman" w:cs="Times New Roman"/>
        </w:rPr>
        <w:t xml:space="preserve">will be </w:t>
      </w:r>
      <w:proofErr w:type="gramStart"/>
      <w:r>
        <w:rPr>
          <w:rFonts w:ascii="Times New Roman" w:hAnsi="Times New Roman" w:cs="Times New Roman"/>
        </w:rPr>
        <w:t>use</w:t>
      </w:r>
      <w:proofErr w:type="gramEnd"/>
      <w:r>
        <w:rPr>
          <w:rFonts w:ascii="Times New Roman" w:hAnsi="Times New Roman" w:cs="Times New Roman"/>
        </w:rPr>
        <w:t xml:space="preserve"> to provide a more complete view of the results</w:t>
      </w:r>
      <w:r w:rsidRPr="00EA36AD">
        <w:rPr>
          <w:rFonts w:ascii="Times New Roman" w:hAnsi="Times New Roman" w:cs="Times New Roman"/>
        </w:rPr>
        <w:t xml:space="preserve">. </w:t>
      </w:r>
      <w:r>
        <w:rPr>
          <w:rFonts w:ascii="Times New Roman" w:hAnsi="Times New Roman" w:cs="Times New Roman"/>
        </w:rPr>
        <w:t>In the three cases, a</w:t>
      </w:r>
      <w:r w:rsidRPr="00EA36AD">
        <w:rPr>
          <w:rFonts w:ascii="Times New Roman" w:hAnsi="Times New Roman" w:cs="Times New Roman"/>
        </w:rPr>
        <w:t xml:space="preserve"> box centered on zero indicates an unbiased estimator, while wider boxes reflect higher variance.</w:t>
      </w:r>
      <w:bookmarkStart w:id="10" w:name="two-period-scenarios-1-4-7"/>
    </w:p>
    <w:p w14:paraId="20ED15D9" w14:textId="66D75DF1" w:rsidR="000B2E44" w:rsidRPr="00EA36AD" w:rsidRDefault="00000000" w:rsidP="00604C1F">
      <w:pPr>
        <w:pStyle w:val="Heading3"/>
        <w:jc w:val="both"/>
        <w:rPr>
          <w:rFonts w:ascii="Times New Roman" w:hAnsi="Times New Roman" w:cs="Times New Roman"/>
        </w:rPr>
      </w:pPr>
      <w:r w:rsidRPr="00EA36AD">
        <w:rPr>
          <w:rFonts w:ascii="Times New Roman" w:hAnsi="Times New Roman" w:cs="Times New Roman"/>
        </w:rPr>
        <w:t>Two-Period Scenarios (1, 4, 7)</w:t>
      </w:r>
    </w:p>
    <w:p w14:paraId="426BF734" w14:textId="4C8687F1" w:rsidR="000B2E44"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The two-period scenarios </w:t>
      </w:r>
      <w:r w:rsidR="00B3481B">
        <w:rPr>
          <w:rFonts w:ascii="Times New Roman" w:hAnsi="Times New Roman" w:cs="Times New Roman"/>
        </w:rPr>
        <w:t>(</w:t>
      </w:r>
      <w:r w:rsidR="00B3481B">
        <w:rPr>
          <w:rFonts w:ascii="Times New Roman" w:hAnsi="Times New Roman" w:cs="Times New Roman"/>
        </w:rPr>
        <w:fldChar w:fldCharType="begin"/>
      </w:r>
      <w:r w:rsidR="00B3481B">
        <w:rPr>
          <w:rFonts w:ascii="Times New Roman" w:hAnsi="Times New Roman" w:cs="Times New Roman"/>
        </w:rPr>
        <w:instrText xml:space="preserve"> REF _Ref224401769 \h </w:instrText>
      </w:r>
      <w:r w:rsidR="00B3481B">
        <w:rPr>
          <w:rFonts w:ascii="Times New Roman" w:hAnsi="Times New Roman" w:cs="Times New Roman"/>
        </w:rPr>
      </w:r>
      <w:r w:rsidR="00B3481B">
        <w:rPr>
          <w:rFonts w:ascii="Times New Roman" w:hAnsi="Times New Roman" w:cs="Times New Roman"/>
        </w:rPr>
        <w:fldChar w:fldCharType="separate"/>
      </w:r>
      <w:r w:rsidR="00B3481B" w:rsidRPr="00B06B3A">
        <w:rPr>
          <w:rFonts w:ascii="Times New Roman" w:hAnsi="Times New Roman" w:cs="Times New Roman"/>
        </w:rPr>
        <w:t xml:space="preserve">Figure </w:t>
      </w:r>
      <w:r w:rsidR="00B3481B" w:rsidRPr="00B06B3A">
        <w:rPr>
          <w:rFonts w:ascii="Times New Roman" w:hAnsi="Times New Roman" w:cs="Times New Roman"/>
          <w:noProof/>
        </w:rPr>
        <w:t>1</w:t>
      </w:r>
      <w:r w:rsidR="00B3481B">
        <w:rPr>
          <w:rFonts w:ascii="Times New Roman" w:hAnsi="Times New Roman" w:cs="Times New Roman"/>
        </w:rPr>
        <w:fldChar w:fldCharType="end"/>
      </w:r>
      <w:r w:rsidR="00B3481B">
        <w:rPr>
          <w:rFonts w:ascii="Times New Roman" w:hAnsi="Times New Roman" w:cs="Times New Roman"/>
        </w:rPr>
        <w:t xml:space="preserve">) </w:t>
      </w:r>
      <w:r w:rsidRPr="00EA36AD">
        <w:rPr>
          <w:rFonts w:ascii="Times New Roman" w:hAnsi="Times New Roman" w:cs="Times New Roman"/>
        </w:rPr>
        <w:t xml:space="preserve">provide the cleanest comparison, since DML-Chang was designed for this setting: the first-differencing step discards no </w:t>
      </w:r>
      <w:r w:rsidR="006318B7" w:rsidRPr="00EA36AD">
        <w:rPr>
          <w:rFonts w:ascii="Times New Roman" w:hAnsi="Times New Roman" w:cs="Times New Roman"/>
        </w:rPr>
        <w:t>information,</w:t>
      </w:r>
      <w:r w:rsidRPr="00EA36AD">
        <w:rPr>
          <w:rFonts w:ascii="Times New Roman" w:hAnsi="Times New Roman" w:cs="Times New Roman"/>
        </w:rPr>
        <w:t xml:space="preserve"> and the target parameter aligns exactly with the overall ATT</w:t>
      </w:r>
      <w:r w:rsidR="006318B7">
        <w:rPr>
          <w:rFonts w:ascii="Times New Roman" w:hAnsi="Times New Roman" w:cs="Times New Roman"/>
        </w:rPr>
        <w:t>.</w:t>
      </w:r>
    </w:p>
    <w:p w14:paraId="42F1E4C7" w14:textId="77777777" w:rsidR="00B06B3A" w:rsidRDefault="00B06B3A" w:rsidP="00B3481B">
      <w:pPr>
        <w:pStyle w:val="BodyText"/>
        <w:keepNext/>
        <w:jc w:val="center"/>
      </w:pPr>
      <w:r>
        <w:rPr>
          <w:noProof/>
        </w:rPr>
        <w:lastRenderedPageBreak/>
        <w:drawing>
          <wp:inline distT="0" distB="0" distL="0" distR="0" wp14:anchorId="297B1B79" wp14:editId="39E1C01B">
            <wp:extent cx="5943600" cy="5203190"/>
            <wp:effectExtent l="0" t="0" r="0" b="0"/>
            <wp:docPr id="199628412" name="Picture 4"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412" name="Picture 4" descr="A char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9EEE8B8" w14:textId="0D410534" w:rsidR="00B06B3A" w:rsidRPr="00714F08" w:rsidRDefault="00B06B3A" w:rsidP="00B06B3A">
      <w:pPr>
        <w:pStyle w:val="Caption"/>
        <w:rPr>
          <w:rFonts w:ascii="Times New Roman" w:hAnsi="Times New Roman" w:cs="Times New Roman"/>
          <w:sz w:val="18"/>
          <w:szCs w:val="18"/>
        </w:rPr>
      </w:pPr>
      <w:bookmarkStart w:id="11" w:name="_Ref224401769"/>
      <w:r w:rsidRPr="00714F08">
        <w:rPr>
          <w:rFonts w:ascii="Times New Roman" w:hAnsi="Times New Roman" w:cs="Times New Roman"/>
          <w:sz w:val="18"/>
          <w:szCs w:val="18"/>
        </w:rPr>
        <w:t xml:space="preserve">Figure </w:t>
      </w:r>
      <w:r w:rsidRPr="00714F08">
        <w:rPr>
          <w:rFonts w:ascii="Times New Roman" w:hAnsi="Times New Roman" w:cs="Times New Roman"/>
          <w:sz w:val="18"/>
          <w:szCs w:val="18"/>
        </w:rPr>
        <w:fldChar w:fldCharType="begin"/>
      </w:r>
      <w:r w:rsidRPr="00714F08">
        <w:rPr>
          <w:rFonts w:ascii="Times New Roman" w:hAnsi="Times New Roman" w:cs="Times New Roman"/>
          <w:sz w:val="18"/>
          <w:szCs w:val="18"/>
        </w:rPr>
        <w:instrText xml:space="preserve"> SEQ Figure \* ARABIC </w:instrText>
      </w:r>
      <w:r w:rsidRPr="00714F08">
        <w:rPr>
          <w:rFonts w:ascii="Times New Roman" w:hAnsi="Times New Roman" w:cs="Times New Roman"/>
          <w:sz w:val="18"/>
          <w:szCs w:val="18"/>
        </w:rPr>
        <w:fldChar w:fldCharType="separate"/>
      </w:r>
      <w:r w:rsidR="004A589C" w:rsidRPr="00714F08">
        <w:rPr>
          <w:rFonts w:ascii="Times New Roman" w:hAnsi="Times New Roman" w:cs="Times New Roman"/>
          <w:noProof/>
          <w:sz w:val="18"/>
          <w:szCs w:val="18"/>
        </w:rPr>
        <w:t>1</w:t>
      </w:r>
      <w:r w:rsidRPr="00714F08">
        <w:rPr>
          <w:rFonts w:ascii="Times New Roman" w:hAnsi="Times New Roman" w:cs="Times New Roman"/>
          <w:sz w:val="18"/>
          <w:szCs w:val="18"/>
        </w:rPr>
        <w:fldChar w:fldCharType="end"/>
      </w:r>
      <w:bookmarkEnd w:id="11"/>
      <w:r w:rsidRPr="00714F08">
        <w:rPr>
          <w:rFonts w:ascii="Times New Roman" w:hAnsi="Times New Roman" w:cs="Times New Roman"/>
          <w:sz w:val="18"/>
          <w:szCs w:val="18"/>
        </w:rPr>
        <w:t>: Distribution of estimation errors across simulation scenarios 1, 4 &amp; 7 comparing TWFE and DML estimators on simulated data with 500 units. The dashed line at zero indicates unbiased estimation.</w:t>
      </w:r>
    </w:p>
    <w:p w14:paraId="42F769C5"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In Scenario 1 (simple confounding), both estimators perform well, with TWFE holding a slight RMSE edge due to its parametric efficiency (0.136 vs. 0.167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This is expected: with weak linear confounding and no covariate effect in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EA36AD">
        <w:rPr>
          <w:rFonts w:ascii="Times New Roman" w:hAnsi="Times New Roman" w:cs="Times New Roman"/>
        </w:rPr>
        <w:t xml:space="preserve">, TWFE is correctly specified. As confounding increases, however, DML-Chang pulls ahead. In Scenarios 4 and 7, TWFE carries an irreducible bias of approximately 0.17, while DML-Chang remains nearly unbiased.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DML-Chang’s higher variance still makes its RMSE worse in Scenario 7 (0.355 vs. 0.240). By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however, the variance has shrunk and DML-Chang achieves an RMSE of 0.059 against TWFE’s 0.170. Across all three scenarios, DML-Chang’s RMSE drops sharply as the sample grows, reflecting improved nuisance function estimates. TWFE’s RMSE in the mid and complex cases, by contrast, is bounded by its bias floor.</w:t>
      </w:r>
    </w:p>
    <w:p w14:paraId="28A18947" w14:textId="77777777" w:rsidR="000B2E44" w:rsidRPr="00EA36AD" w:rsidRDefault="00000000" w:rsidP="00604C1F">
      <w:pPr>
        <w:pStyle w:val="Heading3"/>
        <w:jc w:val="both"/>
        <w:rPr>
          <w:rFonts w:ascii="Times New Roman" w:hAnsi="Times New Roman" w:cs="Times New Roman"/>
        </w:rPr>
      </w:pPr>
      <w:bookmarkStart w:id="12" w:name="six-period-non-staggered-scenarios-2-5-8"/>
      <w:bookmarkEnd w:id="10"/>
      <w:r w:rsidRPr="00EA36AD">
        <w:rPr>
          <w:rFonts w:ascii="Times New Roman" w:hAnsi="Times New Roman" w:cs="Times New Roman"/>
        </w:rPr>
        <w:lastRenderedPageBreak/>
        <w:t>Six-Period Non-Staggered Scenarios (2, 5, 8)</w:t>
      </w:r>
    </w:p>
    <w:p w14:paraId="581C330C" w14:textId="3DD57CA1" w:rsidR="000B2E44" w:rsidRDefault="00000000" w:rsidP="00604C1F">
      <w:pPr>
        <w:pStyle w:val="FirstParagraph"/>
        <w:jc w:val="both"/>
        <w:rPr>
          <w:rFonts w:ascii="Times New Roman" w:hAnsi="Times New Roman" w:cs="Times New Roman"/>
        </w:rPr>
      </w:pPr>
      <w:r w:rsidRPr="00EA36AD">
        <w:rPr>
          <w:rFonts w:ascii="Times New Roman" w:hAnsi="Times New Roman" w:cs="Times New Roman"/>
        </w:rPr>
        <w:t>These scenarios introduce a structural challenge for DML-Chang. The estimator operates on first-differenced data, using only the last pre-treatment and first post-treatment period. With dynamic treatment effects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e</m:t>
        </m:r>
      </m:oMath>
      <w:r w:rsidRPr="00EA36AD">
        <w:rPr>
          <w:rFonts w:ascii="Times New Roman" w:hAnsi="Times New Roman" w:cs="Times New Roman"/>
        </w:rPr>
        <w:t xml:space="preserve">), the ATT at the first post-treatment period is smaller than the average across all post-treatment periods, creating an </w:t>
      </w:r>
      <w:proofErr w:type="spellStart"/>
      <w:r w:rsidRPr="00EA36AD">
        <w:rPr>
          <w:rFonts w:ascii="Times New Roman" w:hAnsi="Times New Roman" w:cs="Times New Roman"/>
        </w:rPr>
        <w:t>estimand</w:t>
      </w:r>
      <w:proofErr w:type="spellEnd"/>
      <w:r w:rsidRPr="00EA36AD">
        <w:rPr>
          <w:rFonts w:ascii="Times New Roman" w:hAnsi="Times New Roman" w:cs="Times New Roman"/>
        </w:rPr>
        <w:t xml:space="preserve"> mismatch.</w:t>
      </w:r>
      <w:r w:rsidR="00B3481B">
        <w:rPr>
          <w:rFonts w:ascii="Times New Roman" w:hAnsi="Times New Roman" w:cs="Times New Roman"/>
        </w:rPr>
        <w:t xml:space="preserve"> Results are shown in </w:t>
      </w:r>
      <w:r w:rsidR="00B3481B">
        <w:rPr>
          <w:rFonts w:ascii="Times New Roman" w:hAnsi="Times New Roman" w:cs="Times New Roman"/>
        </w:rPr>
        <w:fldChar w:fldCharType="begin"/>
      </w:r>
      <w:r w:rsidR="00B3481B">
        <w:rPr>
          <w:rFonts w:ascii="Times New Roman" w:hAnsi="Times New Roman" w:cs="Times New Roman"/>
        </w:rPr>
        <w:instrText xml:space="preserve"> REF _Ref224402540 \h </w:instrText>
      </w:r>
      <w:r w:rsidR="00B3481B">
        <w:rPr>
          <w:rFonts w:ascii="Times New Roman" w:hAnsi="Times New Roman" w:cs="Times New Roman"/>
        </w:rPr>
      </w:r>
      <w:r w:rsidR="00B3481B">
        <w:rPr>
          <w:rFonts w:ascii="Times New Roman" w:hAnsi="Times New Roman" w:cs="Times New Roman"/>
        </w:rPr>
        <w:fldChar w:fldCharType="separate"/>
      </w:r>
      <w:r w:rsidR="00B3481B" w:rsidRPr="00B06B3A">
        <w:rPr>
          <w:rFonts w:ascii="Times New Roman" w:hAnsi="Times New Roman" w:cs="Times New Roman"/>
        </w:rPr>
        <w:t xml:space="preserve">Figure </w:t>
      </w:r>
      <w:r w:rsidR="00B3481B" w:rsidRPr="00B06B3A">
        <w:rPr>
          <w:rFonts w:ascii="Times New Roman" w:hAnsi="Times New Roman" w:cs="Times New Roman"/>
          <w:noProof/>
        </w:rPr>
        <w:t>2</w:t>
      </w:r>
      <w:r w:rsidR="00B3481B">
        <w:rPr>
          <w:rFonts w:ascii="Times New Roman" w:hAnsi="Times New Roman" w:cs="Times New Roman"/>
        </w:rPr>
        <w:fldChar w:fldCharType="end"/>
      </w:r>
      <w:r w:rsidR="00B3481B">
        <w:rPr>
          <w:rFonts w:ascii="Times New Roman" w:hAnsi="Times New Roman" w:cs="Times New Roman"/>
        </w:rPr>
        <w:t>.</w:t>
      </w:r>
    </w:p>
    <w:p w14:paraId="2A751C38" w14:textId="77777777" w:rsidR="00B06B3A" w:rsidRDefault="00B06B3A" w:rsidP="00B3481B">
      <w:pPr>
        <w:pStyle w:val="BodyText"/>
        <w:keepNext/>
        <w:jc w:val="center"/>
      </w:pPr>
      <w:r>
        <w:rPr>
          <w:noProof/>
        </w:rPr>
        <w:drawing>
          <wp:inline distT="0" distB="0" distL="0" distR="0" wp14:anchorId="5C963DE3" wp14:editId="46C620B6">
            <wp:extent cx="5943600" cy="5203190"/>
            <wp:effectExtent l="0" t="0" r="0" b="0"/>
            <wp:docPr id="573643085" name="Picture 5" descr="A chart of a number of schematic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3085" name="Picture 5" descr="A chart of a number of schematic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6BD3DB68" w14:textId="46B1DB55" w:rsidR="00B06B3A" w:rsidRPr="00714F08" w:rsidRDefault="00B06B3A" w:rsidP="00B06B3A">
      <w:pPr>
        <w:pStyle w:val="Caption"/>
        <w:rPr>
          <w:rFonts w:ascii="Times New Roman" w:hAnsi="Times New Roman" w:cs="Times New Roman"/>
          <w:sz w:val="18"/>
          <w:szCs w:val="18"/>
        </w:rPr>
      </w:pPr>
      <w:bookmarkStart w:id="13" w:name="_Ref224402540"/>
      <w:r w:rsidRPr="00714F08">
        <w:rPr>
          <w:rFonts w:ascii="Times New Roman" w:hAnsi="Times New Roman" w:cs="Times New Roman"/>
          <w:sz w:val="18"/>
          <w:szCs w:val="18"/>
        </w:rPr>
        <w:t xml:space="preserve">Figure </w:t>
      </w:r>
      <w:r w:rsidRPr="00714F08">
        <w:rPr>
          <w:rFonts w:ascii="Times New Roman" w:hAnsi="Times New Roman" w:cs="Times New Roman"/>
          <w:sz w:val="18"/>
          <w:szCs w:val="18"/>
        </w:rPr>
        <w:fldChar w:fldCharType="begin"/>
      </w:r>
      <w:r w:rsidRPr="00714F08">
        <w:rPr>
          <w:rFonts w:ascii="Times New Roman" w:hAnsi="Times New Roman" w:cs="Times New Roman"/>
          <w:sz w:val="18"/>
          <w:szCs w:val="18"/>
        </w:rPr>
        <w:instrText xml:space="preserve"> SEQ Figure \* ARABIC </w:instrText>
      </w:r>
      <w:r w:rsidRPr="00714F08">
        <w:rPr>
          <w:rFonts w:ascii="Times New Roman" w:hAnsi="Times New Roman" w:cs="Times New Roman"/>
          <w:sz w:val="18"/>
          <w:szCs w:val="18"/>
        </w:rPr>
        <w:fldChar w:fldCharType="separate"/>
      </w:r>
      <w:r w:rsidR="004A589C" w:rsidRPr="00714F08">
        <w:rPr>
          <w:rFonts w:ascii="Times New Roman" w:hAnsi="Times New Roman" w:cs="Times New Roman"/>
          <w:noProof/>
          <w:sz w:val="18"/>
          <w:szCs w:val="18"/>
        </w:rPr>
        <w:t>2</w:t>
      </w:r>
      <w:r w:rsidRPr="00714F08">
        <w:rPr>
          <w:rFonts w:ascii="Times New Roman" w:hAnsi="Times New Roman" w:cs="Times New Roman"/>
          <w:sz w:val="18"/>
          <w:szCs w:val="18"/>
        </w:rPr>
        <w:fldChar w:fldCharType="end"/>
      </w:r>
      <w:bookmarkEnd w:id="13"/>
      <w:r w:rsidRPr="00714F08">
        <w:rPr>
          <w:rFonts w:ascii="Times New Roman" w:hAnsi="Times New Roman" w:cs="Times New Roman"/>
          <w:sz w:val="18"/>
          <w:szCs w:val="18"/>
        </w:rPr>
        <w:t>: Distribution of estimation errors across simulation scenarios 2, 5 &amp; 8 comparing TWFE and DML estimators on simulated data with 500 units. The dashed line at zero indicates unbiased estimation.</w:t>
      </w:r>
    </w:p>
    <w:p w14:paraId="4CDF2D6C" w14:textId="6A21138B"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t xml:space="preserve">In Scenario 2 (simple confounding), TWFE outperforms DML-Chang: its bias is zero and its RMSE is roughly half of DML-Chang’s at every sample size. DML-Chang exhibits a persistent negative bias of approximately </w:t>
      </w:r>
      <m:oMath>
        <m:r>
          <m:rPr>
            <m:sty m:val="p"/>
          </m:rPr>
          <w:rPr>
            <w:rFonts w:ascii="Cambria Math" w:hAnsi="Cambria Math" w:cs="Times New Roman"/>
          </w:rPr>
          <m:t>-</m:t>
        </m:r>
        <m:r>
          <w:rPr>
            <w:rFonts w:ascii="Cambria Math" w:hAnsi="Cambria Math" w:cs="Times New Roman"/>
          </w:rPr>
          <m:t>0.04</m:t>
        </m:r>
      </m:oMath>
      <w:r w:rsidRPr="00EA36AD">
        <w:rPr>
          <w:rFonts w:ascii="Times New Roman" w:hAnsi="Times New Roman" w:cs="Times New Roman"/>
        </w:rPr>
        <w:t xml:space="preserve"> to </w:t>
      </w:r>
      <m:oMath>
        <m:r>
          <m:rPr>
            <m:sty m:val="p"/>
          </m:rPr>
          <w:rPr>
            <w:rFonts w:ascii="Cambria Math" w:hAnsi="Cambria Math" w:cs="Times New Roman"/>
          </w:rPr>
          <m:t>-</m:t>
        </m:r>
        <m:r>
          <w:rPr>
            <w:rFonts w:ascii="Cambria Math" w:hAnsi="Cambria Math" w:cs="Times New Roman"/>
          </w:rPr>
          <m:t>0.05</m:t>
        </m:r>
      </m:oMath>
      <w:r w:rsidRPr="00EA36AD">
        <w:rPr>
          <w:rFonts w:ascii="Times New Roman" w:hAnsi="Times New Roman" w:cs="Times New Roman"/>
        </w:rPr>
        <w:t xml:space="preserve">, consistent with the estimand mismatch. Scenario 5 (mid confounding) presents a trade-off: both estimators are biased, but TWFE’s bias (approximately 0.14) is larger. DML-Chang overtakes TWFE in RMSE only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(0.079 vs. 0.144); neither estimator is fully satisfactory</w:t>
      </w:r>
      <w:r w:rsidR="006318B7">
        <w:rPr>
          <w:rFonts w:ascii="Times New Roman" w:hAnsi="Times New Roman" w:cs="Times New Roman"/>
        </w:rPr>
        <w:t xml:space="preserve"> as both are consistently biased.</w:t>
      </w:r>
    </w:p>
    <w:p w14:paraId="28DE6ED0" w14:textId="328FCBF1"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lastRenderedPageBreak/>
        <w:t xml:space="preserve">Scenario 8 (complex confounding) is the most notable result in this block. DML-Chang’s RMSE exceeds TWFE’s at every sample size (0.501 vs. 0.230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0.299 vs. 0.122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Here, the bias is driven not only by the estimand mismatch but also by the ML models’ difficulty in capturing complex nonlinear nuisance functions from the limited first-differenced data. This demonstrates that DML is not a universal improvement: when the estimator’s structural assumptions are violated, ML-based nuisance estimation can amplify rather than reduce error.</w:t>
      </w:r>
      <w:r w:rsidR="00896900">
        <w:rPr>
          <w:rFonts w:ascii="Times New Roman" w:hAnsi="Times New Roman" w:cs="Times New Roman"/>
        </w:rPr>
        <w:t xml:space="preserve"> Once again, even if TWFE has an edge on RMSE, both fail to recover the true effect consistently.</w:t>
      </w:r>
    </w:p>
    <w:p w14:paraId="784DEE96" w14:textId="77777777" w:rsidR="000B2E44" w:rsidRPr="00EA36AD" w:rsidRDefault="00000000" w:rsidP="00604C1F">
      <w:pPr>
        <w:pStyle w:val="Heading3"/>
        <w:jc w:val="both"/>
        <w:rPr>
          <w:rFonts w:ascii="Times New Roman" w:hAnsi="Times New Roman" w:cs="Times New Roman"/>
        </w:rPr>
      </w:pPr>
      <w:bookmarkStart w:id="14" w:name="X6bccc9cb2de60aeab0ef569595721f1ca901463"/>
      <w:bookmarkEnd w:id="12"/>
      <w:r w:rsidRPr="00EA36AD">
        <w:rPr>
          <w:rFonts w:ascii="Times New Roman" w:hAnsi="Times New Roman" w:cs="Times New Roman"/>
        </w:rPr>
        <w:t>Constant Treatment Effect Scenarios (10, 11, 12)</w:t>
      </w:r>
    </w:p>
    <w:p w14:paraId="60C6E634" w14:textId="252746B7" w:rsidR="000B2E44" w:rsidRDefault="00000000" w:rsidP="00604C1F">
      <w:pPr>
        <w:pStyle w:val="FirstParagraph"/>
        <w:jc w:val="both"/>
        <w:rPr>
          <w:rFonts w:ascii="Times New Roman" w:hAnsi="Times New Roman" w:cs="Times New Roman"/>
        </w:rPr>
      </w:pPr>
      <w:r w:rsidRPr="00EA36AD">
        <w:rPr>
          <w:rFonts w:ascii="Times New Roman" w:hAnsi="Times New Roman" w:cs="Times New Roman"/>
        </w:rPr>
        <w:t>Scenarios 10</w:t>
      </w:r>
      <w:r w:rsidR="00B3481B">
        <w:rPr>
          <w:rFonts w:ascii="Times New Roman" w:hAnsi="Times New Roman" w:cs="Times New Roman"/>
        </w:rPr>
        <w:t xml:space="preserve">, 11 and </w:t>
      </w:r>
      <w:r w:rsidRPr="00EA36AD">
        <w:rPr>
          <w:rFonts w:ascii="Times New Roman" w:hAnsi="Times New Roman" w:cs="Times New Roman"/>
        </w:rPr>
        <w:t xml:space="preserve">12 </w:t>
      </w:r>
      <w:r w:rsidR="00B3481B">
        <w:rPr>
          <w:rFonts w:ascii="Times New Roman" w:hAnsi="Times New Roman" w:cs="Times New Roman"/>
        </w:rPr>
        <w:t>(</w:t>
      </w:r>
      <w:r w:rsidR="00B3481B">
        <w:rPr>
          <w:rFonts w:ascii="Times New Roman" w:hAnsi="Times New Roman" w:cs="Times New Roman"/>
        </w:rPr>
        <w:fldChar w:fldCharType="begin"/>
      </w:r>
      <w:r w:rsidR="00B3481B">
        <w:rPr>
          <w:rFonts w:ascii="Times New Roman" w:hAnsi="Times New Roman" w:cs="Times New Roman"/>
        </w:rPr>
        <w:instrText xml:space="preserve"> REF _Ref224402563 \h </w:instrText>
      </w:r>
      <w:r w:rsidR="00B3481B">
        <w:rPr>
          <w:rFonts w:ascii="Times New Roman" w:hAnsi="Times New Roman" w:cs="Times New Roman"/>
        </w:rPr>
      </w:r>
      <w:r w:rsidR="00B3481B">
        <w:rPr>
          <w:rFonts w:ascii="Times New Roman" w:hAnsi="Times New Roman" w:cs="Times New Roman"/>
        </w:rPr>
        <w:fldChar w:fldCharType="separate"/>
      </w:r>
      <w:r w:rsidR="00B3481B" w:rsidRPr="00B06B3A">
        <w:rPr>
          <w:rFonts w:ascii="Times New Roman" w:hAnsi="Times New Roman" w:cs="Times New Roman"/>
        </w:rPr>
        <w:t xml:space="preserve">Figure </w:t>
      </w:r>
      <w:r w:rsidR="00B3481B" w:rsidRPr="00B06B3A">
        <w:rPr>
          <w:rFonts w:ascii="Times New Roman" w:hAnsi="Times New Roman" w:cs="Times New Roman"/>
          <w:noProof/>
        </w:rPr>
        <w:t>3</w:t>
      </w:r>
      <w:r w:rsidR="00B3481B">
        <w:rPr>
          <w:rFonts w:ascii="Times New Roman" w:hAnsi="Times New Roman" w:cs="Times New Roman"/>
        </w:rPr>
        <w:fldChar w:fldCharType="end"/>
      </w:r>
      <w:r w:rsidR="00B3481B">
        <w:rPr>
          <w:rFonts w:ascii="Times New Roman" w:hAnsi="Times New Roman" w:cs="Times New Roman"/>
        </w:rPr>
        <w:t xml:space="preserve">) </w:t>
      </w:r>
      <w:r w:rsidRPr="00EA36AD">
        <w:rPr>
          <w:rFonts w:ascii="Times New Roman" w:hAnsi="Times New Roman" w:cs="Times New Roman"/>
        </w:rPr>
        <w:t>mirror the six-period scenarios (2, 5, 8) but with a constant treatment effect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1</m:t>
        </m:r>
      </m:oMath>
      <w:r w:rsidRPr="00EA36AD">
        <w:rPr>
          <w:rFonts w:ascii="Times New Roman" w:hAnsi="Times New Roman" w:cs="Times New Roman"/>
        </w:rPr>
        <w:t>), eliminating the estimand mismatch since the ATT at the first post-treatment period now equals the average ATT.</w:t>
      </w:r>
      <w:r w:rsidR="00B3481B">
        <w:rPr>
          <w:rFonts w:ascii="Times New Roman" w:hAnsi="Times New Roman" w:cs="Times New Roman"/>
        </w:rPr>
        <w:t xml:space="preserve"> </w:t>
      </w:r>
    </w:p>
    <w:p w14:paraId="7DCD687A" w14:textId="77777777" w:rsidR="00B06B3A" w:rsidRDefault="00B06B3A" w:rsidP="00B3481B">
      <w:pPr>
        <w:pStyle w:val="BodyText"/>
        <w:keepNext/>
        <w:jc w:val="center"/>
      </w:pPr>
      <w:r>
        <w:rPr>
          <w:noProof/>
        </w:rPr>
        <w:drawing>
          <wp:inline distT="0" distB="0" distL="0" distR="0" wp14:anchorId="7497D8D5" wp14:editId="20ADCE0A">
            <wp:extent cx="5943600" cy="5203190"/>
            <wp:effectExtent l="0" t="0" r="0" b="0"/>
            <wp:docPr id="1962184118" name="Picture 6" descr="A chart of a variety of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4118" name="Picture 6" descr="A chart of a variety of leve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44A98518" w14:textId="2A183DD1" w:rsidR="00B06B3A" w:rsidRPr="00714F08" w:rsidRDefault="00B06B3A" w:rsidP="00B06B3A">
      <w:pPr>
        <w:pStyle w:val="Caption"/>
        <w:rPr>
          <w:rFonts w:ascii="Times New Roman" w:hAnsi="Times New Roman" w:cs="Times New Roman"/>
          <w:sz w:val="18"/>
          <w:szCs w:val="18"/>
        </w:rPr>
      </w:pPr>
      <w:bookmarkStart w:id="15" w:name="_Ref224402563"/>
      <w:r w:rsidRPr="00714F08">
        <w:rPr>
          <w:rFonts w:ascii="Times New Roman" w:hAnsi="Times New Roman" w:cs="Times New Roman"/>
          <w:sz w:val="18"/>
          <w:szCs w:val="18"/>
        </w:rPr>
        <w:t xml:space="preserve">Figure </w:t>
      </w:r>
      <w:r w:rsidRPr="00714F08">
        <w:rPr>
          <w:rFonts w:ascii="Times New Roman" w:hAnsi="Times New Roman" w:cs="Times New Roman"/>
          <w:sz w:val="18"/>
          <w:szCs w:val="18"/>
        </w:rPr>
        <w:fldChar w:fldCharType="begin"/>
      </w:r>
      <w:r w:rsidRPr="00714F08">
        <w:rPr>
          <w:rFonts w:ascii="Times New Roman" w:hAnsi="Times New Roman" w:cs="Times New Roman"/>
          <w:sz w:val="18"/>
          <w:szCs w:val="18"/>
        </w:rPr>
        <w:instrText xml:space="preserve"> SEQ Figure \* ARABIC </w:instrText>
      </w:r>
      <w:r w:rsidRPr="00714F08">
        <w:rPr>
          <w:rFonts w:ascii="Times New Roman" w:hAnsi="Times New Roman" w:cs="Times New Roman"/>
          <w:sz w:val="18"/>
          <w:szCs w:val="18"/>
        </w:rPr>
        <w:fldChar w:fldCharType="separate"/>
      </w:r>
      <w:r w:rsidR="004A589C" w:rsidRPr="00714F08">
        <w:rPr>
          <w:rFonts w:ascii="Times New Roman" w:hAnsi="Times New Roman" w:cs="Times New Roman"/>
          <w:noProof/>
          <w:sz w:val="18"/>
          <w:szCs w:val="18"/>
        </w:rPr>
        <w:t>3</w:t>
      </w:r>
      <w:r w:rsidRPr="00714F08">
        <w:rPr>
          <w:rFonts w:ascii="Times New Roman" w:hAnsi="Times New Roman" w:cs="Times New Roman"/>
          <w:sz w:val="18"/>
          <w:szCs w:val="18"/>
        </w:rPr>
        <w:fldChar w:fldCharType="end"/>
      </w:r>
      <w:bookmarkEnd w:id="15"/>
      <w:r w:rsidRPr="00714F08">
        <w:rPr>
          <w:rFonts w:ascii="Times New Roman" w:hAnsi="Times New Roman" w:cs="Times New Roman"/>
          <w:sz w:val="18"/>
          <w:szCs w:val="18"/>
        </w:rPr>
        <w:t>: Distribution of estimation errors across simulation scenarios 10,11 &amp; 12 comparing TWFE and DML estimators on simulated data with 500 units. The dashed line at zero indicates unbiased estimation.</w:t>
      </w:r>
    </w:p>
    <w:p w14:paraId="497A4084" w14:textId="50CA6D0C"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lastRenderedPageBreak/>
        <w:t xml:space="preserve">Scenario 10 (simple) confirms this: both estimators are unbiased and TWFE maintains a slight RMSE advantage. Scenario 11 (mid) reveals the benefit of removing the mismatch. DML-Chang’s bias drops from </w:t>
      </w:r>
      <m:oMath>
        <m:r>
          <m:rPr>
            <m:sty m:val="p"/>
          </m:rPr>
          <w:rPr>
            <w:rFonts w:ascii="Cambria Math" w:hAnsi="Cambria Math" w:cs="Times New Roman"/>
          </w:rPr>
          <m:t>-</m:t>
        </m:r>
        <m:r>
          <w:rPr>
            <w:rFonts w:ascii="Cambria Math" w:hAnsi="Cambria Math" w:cs="Times New Roman"/>
          </w:rPr>
          <m:t>0.06</m:t>
        </m:r>
      </m:oMath>
      <w:r w:rsidRPr="00EA36AD">
        <w:rPr>
          <w:rFonts w:ascii="Times New Roman" w:hAnsi="Times New Roman" w:cs="Times New Roman"/>
        </w:rPr>
        <w:t xml:space="preserve"> in Scenario 5 to 0.01, and it achieves an RMSE of 0.051 against TWFE’s 0.142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00B3481B">
        <w:rPr>
          <w:rFonts w:ascii="Times New Roman" w:hAnsi="Times New Roman" w:cs="Times New Roman"/>
        </w:rPr>
        <w:t xml:space="preserve"> with unbiased results for the three sample sizes, while TWFE is biased</w:t>
      </w:r>
      <w:r w:rsidRPr="00EA36AD">
        <w:rPr>
          <w:rFonts w:ascii="Times New Roman" w:hAnsi="Times New Roman" w:cs="Times New Roman"/>
        </w:rPr>
        <w:t xml:space="preserve">. However, Scenario 12 (complex) replicates the pattern of Scenario 8: DML-Chang’s RMSE remains approximately 0.35 even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00B3481B">
        <w:rPr>
          <w:rFonts w:ascii="Times New Roman" w:hAnsi="Times New Roman" w:cs="Times New Roman"/>
        </w:rPr>
        <w:t xml:space="preserve"> and both estimators are biased.</w:t>
      </w:r>
      <w:r w:rsidRPr="00EA36AD">
        <w:rPr>
          <w:rFonts w:ascii="Times New Roman" w:hAnsi="Times New Roman" w:cs="Times New Roman"/>
        </w:rPr>
        <w:t xml:space="preserve"> This confirms that the dominant source of error in complex settings is the ML models’ difficulty in estimating nuisance functions from first-differenced data, not the estimand mismatch.</w:t>
      </w:r>
    </w:p>
    <w:p w14:paraId="7209E9CF" w14:textId="77777777" w:rsidR="000B2E44" w:rsidRPr="00EA36AD" w:rsidRDefault="00000000" w:rsidP="00604C1F">
      <w:pPr>
        <w:pStyle w:val="Heading3"/>
        <w:jc w:val="both"/>
        <w:rPr>
          <w:rFonts w:ascii="Times New Roman" w:hAnsi="Times New Roman" w:cs="Times New Roman"/>
        </w:rPr>
      </w:pPr>
      <w:bookmarkStart w:id="16" w:name="staggered-scenarios-3-6-9"/>
      <w:bookmarkEnd w:id="14"/>
      <w:r w:rsidRPr="00EA36AD">
        <w:rPr>
          <w:rFonts w:ascii="Times New Roman" w:hAnsi="Times New Roman" w:cs="Times New Roman"/>
        </w:rPr>
        <w:t>Staggered Scenarios (3, 6, 9)</w:t>
      </w:r>
    </w:p>
    <w:p w14:paraId="015B8C96" w14:textId="5C67D3FA" w:rsidR="000B2E44" w:rsidRDefault="00000000" w:rsidP="00604C1F">
      <w:pPr>
        <w:pStyle w:val="FirstParagraph"/>
        <w:jc w:val="both"/>
        <w:rPr>
          <w:rFonts w:ascii="Times New Roman" w:hAnsi="Times New Roman" w:cs="Times New Roman"/>
        </w:rPr>
      </w:pPr>
      <w:r w:rsidRPr="00EA36AD">
        <w:rPr>
          <w:rFonts w:ascii="Times New Roman" w:hAnsi="Times New Roman" w:cs="Times New Roman"/>
        </w:rPr>
        <w:t xml:space="preserve">The staggered scenarios </w:t>
      </w:r>
      <w:r w:rsidR="00B3481B">
        <w:rPr>
          <w:rFonts w:ascii="Times New Roman" w:hAnsi="Times New Roman" w:cs="Times New Roman"/>
        </w:rPr>
        <w:t>(</w:t>
      </w:r>
      <w:r w:rsidR="00B3481B">
        <w:rPr>
          <w:rFonts w:ascii="Times New Roman" w:hAnsi="Times New Roman" w:cs="Times New Roman"/>
        </w:rPr>
        <w:fldChar w:fldCharType="begin"/>
      </w:r>
      <w:r w:rsidR="00B3481B">
        <w:rPr>
          <w:rFonts w:ascii="Times New Roman" w:hAnsi="Times New Roman" w:cs="Times New Roman"/>
        </w:rPr>
        <w:instrText xml:space="preserve"> REF _Ref224402577 \h </w:instrText>
      </w:r>
      <w:r w:rsidR="00B3481B">
        <w:rPr>
          <w:rFonts w:ascii="Times New Roman" w:hAnsi="Times New Roman" w:cs="Times New Roman"/>
        </w:rPr>
      </w:r>
      <w:r w:rsidR="00B3481B">
        <w:rPr>
          <w:rFonts w:ascii="Times New Roman" w:hAnsi="Times New Roman" w:cs="Times New Roman"/>
        </w:rPr>
        <w:fldChar w:fldCharType="separate"/>
      </w:r>
      <w:r w:rsidR="00B3481B" w:rsidRPr="00B06B3A">
        <w:rPr>
          <w:rFonts w:ascii="Times New Roman" w:hAnsi="Times New Roman" w:cs="Times New Roman"/>
        </w:rPr>
        <w:t xml:space="preserve">Figure </w:t>
      </w:r>
      <w:r w:rsidR="00B3481B" w:rsidRPr="00B06B3A">
        <w:rPr>
          <w:rFonts w:ascii="Times New Roman" w:hAnsi="Times New Roman" w:cs="Times New Roman"/>
          <w:noProof/>
        </w:rPr>
        <w:t>4</w:t>
      </w:r>
      <w:r w:rsidR="00B3481B">
        <w:rPr>
          <w:rFonts w:ascii="Times New Roman" w:hAnsi="Times New Roman" w:cs="Times New Roman"/>
        </w:rPr>
        <w:fldChar w:fldCharType="end"/>
      </w:r>
      <w:r w:rsidR="00B3481B">
        <w:rPr>
          <w:rFonts w:ascii="Times New Roman" w:hAnsi="Times New Roman" w:cs="Times New Roman"/>
        </w:rPr>
        <w:t xml:space="preserve">) </w:t>
      </w:r>
      <w:r w:rsidRPr="00EA36AD">
        <w:rPr>
          <w:rFonts w:ascii="Times New Roman" w:hAnsi="Times New Roman" w:cs="Times New Roman"/>
        </w:rPr>
        <w:t xml:space="preserve">produce the clearest results. DML-Multi achieves near-zero bias across all complexity levels and sample sizes, with RMSE declining from 0.133–0.193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500</m:t>
        </m:r>
      </m:oMath>
      <w:r w:rsidRPr="00EA36AD">
        <w:rPr>
          <w:rFonts w:ascii="Times New Roman" w:hAnsi="Times New Roman" w:cs="Times New Roman"/>
        </w:rPr>
        <w:t xml:space="preserve"> to 0.026–0.036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w:t>
      </w:r>
    </w:p>
    <w:p w14:paraId="2FD342BE" w14:textId="77777777" w:rsidR="00B06B3A" w:rsidRDefault="00B06B3A" w:rsidP="00B06B3A">
      <w:pPr>
        <w:pStyle w:val="BodyText"/>
        <w:keepNext/>
      </w:pPr>
      <w:r>
        <w:rPr>
          <w:noProof/>
        </w:rPr>
        <w:drawing>
          <wp:inline distT="0" distB="0" distL="0" distR="0" wp14:anchorId="5739F42D" wp14:editId="6941E9A8">
            <wp:extent cx="5943600" cy="5203190"/>
            <wp:effectExtent l="0" t="0" r="0" b="0"/>
            <wp:docPr id="443439379" name="Picture 8" descr="A chart of a number of schematic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9379" name="Picture 8" descr="A chart of a number of schematic diagram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03190"/>
                    </a:xfrm>
                    <a:prstGeom prst="rect">
                      <a:avLst/>
                    </a:prstGeom>
                  </pic:spPr>
                </pic:pic>
              </a:graphicData>
            </a:graphic>
          </wp:inline>
        </w:drawing>
      </w:r>
    </w:p>
    <w:p w14:paraId="19D2D09A" w14:textId="2E65C085" w:rsidR="00B06B3A" w:rsidRPr="00714F08" w:rsidRDefault="00B06B3A" w:rsidP="00B06B3A">
      <w:pPr>
        <w:pStyle w:val="Caption"/>
        <w:rPr>
          <w:rFonts w:ascii="Times New Roman" w:hAnsi="Times New Roman" w:cs="Times New Roman"/>
          <w:sz w:val="18"/>
          <w:szCs w:val="18"/>
        </w:rPr>
      </w:pPr>
      <w:bookmarkStart w:id="17" w:name="_Ref224402577"/>
      <w:r w:rsidRPr="00714F08">
        <w:rPr>
          <w:rFonts w:ascii="Times New Roman" w:hAnsi="Times New Roman" w:cs="Times New Roman"/>
          <w:sz w:val="18"/>
          <w:szCs w:val="18"/>
        </w:rPr>
        <w:t xml:space="preserve">Figure </w:t>
      </w:r>
      <w:r w:rsidRPr="00714F08">
        <w:rPr>
          <w:rFonts w:ascii="Times New Roman" w:hAnsi="Times New Roman" w:cs="Times New Roman"/>
          <w:sz w:val="18"/>
          <w:szCs w:val="18"/>
        </w:rPr>
        <w:fldChar w:fldCharType="begin"/>
      </w:r>
      <w:r w:rsidRPr="00714F08">
        <w:rPr>
          <w:rFonts w:ascii="Times New Roman" w:hAnsi="Times New Roman" w:cs="Times New Roman"/>
          <w:sz w:val="18"/>
          <w:szCs w:val="18"/>
        </w:rPr>
        <w:instrText xml:space="preserve"> SEQ Figure \* ARABIC </w:instrText>
      </w:r>
      <w:r w:rsidRPr="00714F08">
        <w:rPr>
          <w:rFonts w:ascii="Times New Roman" w:hAnsi="Times New Roman" w:cs="Times New Roman"/>
          <w:sz w:val="18"/>
          <w:szCs w:val="18"/>
        </w:rPr>
        <w:fldChar w:fldCharType="separate"/>
      </w:r>
      <w:r w:rsidR="004A589C" w:rsidRPr="00714F08">
        <w:rPr>
          <w:rFonts w:ascii="Times New Roman" w:hAnsi="Times New Roman" w:cs="Times New Roman"/>
          <w:noProof/>
          <w:sz w:val="18"/>
          <w:szCs w:val="18"/>
        </w:rPr>
        <w:t>4</w:t>
      </w:r>
      <w:r w:rsidRPr="00714F08">
        <w:rPr>
          <w:rFonts w:ascii="Times New Roman" w:hAnsi="Times New Roman" w:cs="Times New Roman"/>
          <w:sz w:val="18"/>
          <w:szCs w:val="18"/>
        </w:rPr>
        <w:fldChar w:fldCharType="end"/>
      </w:r>
      <w:bookmarkEnd w:id="17"/>
      <w:r w:rsidRPr="00714F08">
        <w:rPr>
          <w:rFonts w:ascii="Times New Roman" w:hAnsi="Times New Roman" w:cs="Times New Roman"/>
          <w:sz w:val="18"/>
          <w:szCs w:val="18"/>
        </w:rPr>
        <w:t>: Distribution of estimation errors across simulation scenarios 3, 6 &amp; 9 comparing TWFE and DML estimators on simulated data with 500 units. The dashed line at zero indicates unbiased estimation.</w:t>
      </w:r>
    </w:p>
    <w:p w14:paraId="302CF6A3" w14:textId="77777777" w:rsidR="000B2E44" w:rsidRPr="00EA36AD" w:rsidRDefault="00000000" w:rsidP="00604C1F">
      <w:pPr>
        <w:pStyle w:val="BodyText"/>
        <w:jc w:val="both"/>
        <w:rPr>
          <w:rFonts w:ascii="Times New Roman" w:hAnsi="Times New Roman" w:cs="Times New Roman"/>
        </w:rPr>
      </w:pPr>
      <w:r w:rsidRPr="00EA36AD">
        <w:rPr>
          <w:rFonts w:ascii="Times New Roman" w:hAnsi="Times New Roman" w:cs="Times New Roman"/>
        </w:rPr>
        <w:lastRenderedPageBreak/>
        <w:t xml:space="preserve">TWFE, by contrast, exhibits substantial bias. Its RMSE barely declines with sample size because the bias floor dominates: from 0.330 to 0.166 in Scenario 3, and from 0.373 to 0.274 in Scenario 6. In Scenario 9, TWFE’s RMSE of 0.550 at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EA36AD">
        <w:rPr>
          <w:rFonts w:ascii="Times New Roman" w:hAnsi="Times New Roman" w:cs="Times New Roman"/>
        </w:rPr>
        <w:t xml:space="preserve"> represents nearly half the magnitude of the true ATT (</w:t>
      </w:r>
      <m:oMath>
        <m:r>
          <m:rPr>
            <m:sty m:val="p"/>
          </m:rPr>
          <w:rPr>
            <w:rFonts w:ascii="Cambria Math" w:hAnsi="Cambria Math" w:cs="Times New Roman"/>
          </w:rPr>
          <m:t>-</m:t>
        </m:r>
        <m:r>
          <w:rPr>
            <w:rFonts w:ascii="Cambria Math" w:hAnsi="Cambria Math" w:cs="Times New Roman"/>
          </w:rPr>
          <m:t>1.195</m:t>
        </m:r>
      </m:oMath>
      <w:r w:rsidRPr="00EA36AD">
        <w:rPr>
          <w:rFonts w:ascii="Times New Roman" w:hAnsi="Times New Roman" w:cs="Times New Roman"/>
        </w:rPr>
        <w:t>), while DML-Multi’s RMSE is just 0.036. This result is consistent with the negative weighting problem discussed in Chapter 2. TWFE implicitly uses negative weights on certain group-time effects when treatment adoption is staggered, producing bias even when parallel trends hold unconditionally. DML-Multi avoids this by estimating group-time specific ATTs with proper aggregation weights.</w:t>
      </w:r>
    </w:p>
    <w:p w14:paraId="22F8422A" w14:textId="77777777" w:rsidR="000B2E44" w:rsidRDefault="00000000" w:rsidP="00604C1F">
      <w:pPr>
        <w:pStyle w:val="Heading2"/>
        <w:jc w:val="both"/>
        <w:rPr>
          <w:rFonts w:ascii="Times New Roman" w:hAnsi="Times New Roman" w:cs="Times New Roman"/>
        </w:rPr>
      </w:pPr>
      <w:bookmarkStart w:id="18" w:name="appendix"/>
      <w:bookmarkEnd w:id="8"/>
      <w:bookmarkEnd w:id="16"/>
      <w:r w:rsidRPr="00EA36AD">
        <w:rPr>
          <w:rFonts w:ascii="Times New Roman" w:hAnsi="Times New Roman" w:cs="Times New Roman"/>
        </w:rPr>
        <w:t>Appendix</w:t>
      </w:r>
    </w:p>
    <w:p w14:paraId="78752618" w14:textId="0D242712" w:rsidR="004A589C" w:rsidRPr="004A589C" w:rsidRDefault="004A589C" w:rsidP="004A589C">
      <w:pPr>
        <w:pStyle w:val="Caption"/>
        <w:keepNext/>
        <w:rPr>
          <w:rFonts w:ascii="Times New Roman" w:hAnsi="Times New Roman" w:cs="Times New Roman"/>
          <w:sz w:val="18"/>
          <w:szCs w:val="18"/>
        </w:rPr>
      </w:pPr>
      <w:r w:rsidRPr="004A589C">
        <w:rPr>
          <w:rFonts w:ascii="Times New Roman" w:hAnsi="Times New Roman" w:cs="Times New Roman"/>
          <w:sz w:val="18"/>
          <w:szCs w:val="18"/>
        </w:rPr>
        <w:t xml:space="preserve">Table </w:t>
      </w:r>
      <w:r w:rsidRPr="004A589C">
        <w:rPr>
          <w:rFonts w:ascii="Times New Roman" w:hAnsi="Times New Roman" w:cs="Times New Roman"/>
          <w:sz w:val="18"/>
          <w:szCs w:val="18"/>
        </w:rPr>
        <w:fldChar w:fldCharType="begin"/>
      </w:r>
      <w:r w:rsidRPr="004A589C">
        <w:rPr>
          <w:rFonts w:ascii="Times New Roman" w:hAnsi="Times New Roman" w:cs="Times New Roman"/>
          <w:sz w:val="18"/>
          <w:szCs w:val="18"/>
        </w:rPr>
        <w:instrText xml:space="preserve"> SEQ Table \* ARABIC </w:instrText>
      </w:r>
      <w:r w:rsidRPr="004A589C">
        <w:rPr>
          <w:rFonts w:ascii="Times New Roman" w:hAnsi="Times New Roman" w:cs="Times New Roman"/>
          <w:sz w:val="18"/>
          <w:szCs w:val="18"/>
        </w:rPr>
        <w:fldChar w:fldCharType="separate"/>
      </w:r>
      <w:r>
        <w:rPr>
          <w:rFonts w:ascii="Times New Roman" w:hAnsi="Times New Roman" w:cs="Times New Roman"/>
          <w:noProof/>
          <w:sz w:val="18"/>
          <w:szCs w:val="18"/>
        </w:rPr>
        <w:t>2</w:t>
      </w:r>
      <w:r w:rsidRPr="004A589C">
        <w:rPr>
          <w:rFonts w:ascii="Times New Roman" w:hAnsi="Times New Roman" w:cs="Times New Roman"/>
          <w:sz w:val="18"/>
          <w:szCs w:val="18"/>
        </w:rPr>
        <w:fldChar w:fldCharType="end"/>
      </w:r>
      <w:r w:rsidRPr="004A589C">
        <w:rPr>
          <w:rFonts w:ascii="Times New Roman" w:hAnsi="Times New Roman" w:cs="Times New Roman"/>
          <w:sz w:val="18"/>
          <w:szCs w:val="18"/>
        </w:rPr>
        <w:t>: Simulation results for all scenarios and units, using ‘default'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2A11AD" w:rsidRPr="005E629F" w14:paraId="67E84555" w14:textId="77777777" w:rsidTr="004A58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191CD2C" w14:textId="77777777" w:rsidR="005E629F" w:rsidRPr="005E629F" w:rsidRDefault="005E629F" w:rsidP="002A11AD">
            <w:pPr>
              <w:pStyle w:val="Compact"/>
              <w:jc w:val="center"/>
              <w:rPr>
                <w:rFonts w:ascii="Times New Roman" w:hAnsi="Times New Roman" w:cs="Times New Roman"/>
                <w:sz w:val="21"/>
                <w:szCs w:val="21"/>
              </w:rPr>
            </w:pPr>
            <w:r w:rsidRPr="005E629F">
              <w:rPr>
                <w:rFonts w:ascii="Times New Roman" w:hAnsi="Times New Roman" w:cs="Times New Roman"/>
                <w:sz w:val="21"/>
                <w:szCs w:val="21"/>
              </w:rPr>
              <w:t>Scenario</w:t>
            </w:r>
          </w:p>
        </w:tc>
        <w:tc>
          <w:tcPr>
            <w:tcW w:w="0" w:type="auto"/>
            <w:tcBorders>
              <w:bottom w:val="single" w:sz="4" w:space="0" w:color="auto"/>
            </w:tcBorders>
            <w:hideMark/>
          </w:tcPr>
          <w:p w14:paraId="3178F2D8" w14:textId="77777777" w:rsidR="005E629F" w:rsidRPr="005E629F" w:rsidRDefault="005E629F"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Model</w:t>
            </w:r>
          </w:p>
        </w:tc>
        <w:tc>
          <w:tcPr>
            <w:tcW w:w="0" w:type="auto"/>
            <w:tcBorders>
              <w:bottom w:val="single" w:sz="4" w:space="0" w:color="auto"/>
            </w:tcBorders>
            <w:hideMark/>
          </w:tcPr>
          <w:p w14:paraId="0809047D" w14:textId="77777777" w:rsidR="005E629F" w:rsidRPr="005E629F" w:rsidRDefault="005E629F"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True ATT</w:t>
            </w:r>
          </w:p>
        </w:tc>
        <w:tc>
          <w:tcPr>
            <w:tcW w:w="0" w:type="auto"/>
            <w:hideMark/>
          </w:tcPr>
          <w:p w14:paraId="5CFDF5D7" w14:textId="77777777" w:rsidR="005E629F" w:rsidRPr="005E629F" w:rsidRDefault="005E629F"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(500)</w:t>
            </w:r>
          </w:p>
        </w:tc>
        <w:tc>
          <w:tcPr>
            <w:tcW w:w="0" w:type="auto"/>
            <w:hideMark/>
          </w:tcPr>
          <w:p w14:paraId="15CD2F6C" w14:textId="77777777" w:rsidR="005E629F" w:rsidRPr="005E629F" w:rsidRDefault="005E629F"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(2,500)</w:t>
            </w:r>
          </w:p>
        </w:tc>
        <w:tc>
          <w:tcPr>
            <w:tcW w:w="0" w:type="auto"/>
            <w:hideMark/>
          </w:tcPr>
          <w:p w14:paraId="7BA0EE70" w14:textId="77777777" w:rsidR="005E629F" w:rsidRPr="005E629F" w:rsidRDefault="005E629F" w:rsidP="002A11AD">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(10,000)</w:t>
            </w:r>
          </w:p>
        </w:tc>
      </w:tr>
      <w:tr w:rsidR="005E629F" w:rsidRPr="005E629F" w14:paraId="33BE89A7"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54B8B774"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w:t>
            </w:r>
          </w:p>
        </w:tc>
        <w:tc>
          <w:tcPr>
            <w:tcW w:w="0" w:type="auto"/>
            <w:tcBorders>
              <w:top w:val="single" w:sz="4" w:space="0" w:color="auto"/>
              <w:bottom w:val="nil"/>
            </w:tcBorders>
            <w:hideMark/>
          </w:tcPr>
          <w:p w14:paraId="4D62B45B"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EADF161"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0.118</w:t>
            </w:r>
          </w:p>
        </w:tc>
        <w:tc>
          <w:tcPr>
            <w:tcW w:w="0" w:type="auto"/>
            <w:hideMark/>
          </w:tcPr>
          <w:p w14:paraId="52120CC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0.262</w:t>
            </w:r>
          </w:p>
        </w:tc>
        <w:tc>
          <w:tcPr>
            <w:tcW w:w="0" w:type="auto"/>
            <w:hideMark/>
          </w:tcPr>
          <w:p w14:paraId="1980EF69"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0.076</w:t>
            </w:r>
          </w:p>
        </w:tc>
        <w:tc>
          <w:tcPr>
            <w:tcW w:w="0" w:type="auto"/>
            <w:hideMark/>
          </w:tcPr>
          <w:p w14:paraId="026D3CB4"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5E629F" w:rsidRPr="005E629F" w14:paraId="5D3624AB"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2FB3915B"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16DC17B1"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1485ADA8"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763BD07"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0.136</w:t>
            </w:r>
          </w:p>
        </w:tc>
        <w:tc>
          <w:tcPr>
            <w:tcW w:w="0" w:type="auto"/>
            <w:hideMark/>
          </w:tcPr>
          <w:p w14:paraId="78579BD1"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0.061</w:t>
            </w:r>
          </w:p>
        </w:tc>
        <w:tc>
          <w:tcPr>
            <w:tcW w:w="0" w:type="auto"/>
            <w:hideMark/>
          </w:tcPr>
          <w:p w14:paraId="54019ECE"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0.030</w:t>
            </w:r>
          </w:p>
        </w:tc>
      </w:tr>
      <w:tr w:rsidR="005E629F" w:rsidRPr="005E629F" w14:paraId="24A36A84"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01299A2D"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4</w:t>
            </w:r>
          </w:p>
        </w:tc>
        <w:tc>
          <w:tcPr>
            <w:tcW w:w="0" w:type="auto"/>
            <w:tcBorders>
              <w:top w:val="single" w:sz="4" w:space="0" w:color="auto"/>
              <w:bottom w:val="nil"/>
            </w:tcBorders>
            <w:hideMark/>
          </w:tcPr>
          <w:p w14:paraId="340C72F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CA30D33"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0.106</w:t>
            </w:r>
          </w:p>
        </w:tc>
        <w:tc>
          <w:tcPr>
            <w:tcW w:w="0" w:type="auto"/>
            <w:hideMark/>
          </w:tcPr>
          <w:p w14:paraId="763E4DF4"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0.365</w:t>
            </w:r>
          </w:p>
        </w:tc>
        <w:tc>
          <w:tcPr>
            <w:tcW w:w="0" w:type="auto"/>
            <w:hideMark/>
          </w:tcPr>
          <w:p w14:paraId="4F418BDE"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0.098</w:t>
            </w:r>
          </w:p>
        </w:tc>
        <w:tc>
          <w:tcPr>
            <w:tcW w:w="0" w:type="auto"/>
            <w:hideMark/>
          </w:tcPr>
          <w:p w14:paraId="209F91A7"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0.041</w:t>
            </w:r>
          </w:p>
        </w:tc>
      </w:tr>
      <w:tr w:rsidR="005E629F" w:rsidRPr="005E629F" w14:paraId="796D73FB"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2C3A224C"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4D427701"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09DC4073"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1A1428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0281610D"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0.184</w:t>
            </w:r>
          </w:p>
        </w:tc>
        <w:tc>
          <w:tcPr>
            <w:tcW w:w="0" w:type="auto"/>
            <w:hideMark/>
          </w:tcPr>
          <w:p w14:paraId="3874F1CF"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0.174</w:t>
            </w:r>
          </w:p>
        </w:tc>
      </w:tr>
      <w:tr w:rsidR="005E629F" w:rsidRPr="005E629F" w14:paraId="33F4940C"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77075699"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7</w:t>
            </w:r>
          </w:p>
        </w:tc>
        <w:tc>
          <w:tcPr>
            <w:tcW w:w="0" w:type="auto"/>
            <w:tcBorders>
              <w:top w:val="single" w:sz="4" w:space="0" w:color="auto"/>
              <w:bottom w:val="nil"/>
            </w:tcBorders>
            <w:hideMark/>
          </w:tcPr>
          <w:p w14:paraId="6F921381"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520339AB"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-0.922</w:t>
            </w:r>
          </w:p>
        </w:tc>
        <w:tc>
          <w:tcPr>
            <w:tcW w:w="0" w:type="auto"/>
            <w:hideMark/>
          </w:tcPr>
          <w:p w14:paraId="60C82E0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0.661</w:t>
            </w:r>
          </w:p>
        </w:tc>
        <w:tc>
          <w:tcPr>
            <w:tcW w:w="0" w:type="auto"/>
            <w:hideMark/>
          </w:tcPr>
          <w:p w14:paraId="7A9BE69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0.180</w:t>
            </w:r>
          </w:p>
        </w:tc>
        <w:tc>
          <w:tcPr>
            <w:tcW w:w="0" w:type="auto"/>
            <w:hideMark/>
          </w:tcPr>
          <w:p w14:paraId="49EA135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0.077</w:t>
            </w:r>
          </w:p>
        </w:tc>
      </w:tr>
      <w:tr w:rsidR="005E629F" w:rsidRPr="005E629F" w14:paraId="3252DA6C"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tcBorders>
            <w:vAlign w:val="center"/>
            <w:hideMark/>
          </w:tcPr>
          <w:p w14:paraId="48E066FA"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63DB5DC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tcBorders>
            <w:vAlign w:val="center"/>
            <w:hideMark/>
          </w:tcPr>
          <w:p w14:paraId="71A8CC9E"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BEADE0"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0.240</w:t>
            </w:r>
          </w:p>
        </w:tc>
        <w:tc>
          <w:tcPr>
            <w:tcW w:w="0" w:type="auto"/>
            <w:hideMark/>
          </w:tcPr>
          <w:p w14:paraId="75215A8A"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0.181</w:t>
            </w:r>
          </w:p>
        </w:tc>
        <w:tc>
          <w:tcPr>
            <w:tcW w:w="0" w:type="auto"/>
            <w:hideMark/>
          </w:tcPr>
          <w:p w14:paraId="1B9B5D31"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0.170</w:t>
            </w:r>
          </w:p>
        </w:tc>
      </w:tr>
      <w:tr w:rsidR="005E629F" w:rsidRPr="005E629F" w14:paraId="17C2E3ED"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F922EDD"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2</w:t>
            </w:r>
          </w:p>
        </w:tc>
        <w:tc>
          <w:tcPr>
            <w:tcW w:w="0" w:type="auto"/>
            <w:tcBorders>
              <w:top w:val="single" w:sz="4" w:space="0" w:color="auto"/>
              <w:bottom w:val="nil"/>
            </w:tcBorders>
            <w:hideMark/>
          </w:tcPr>
          <w:p w14:paraId="161C8EA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6099899D"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0.079</w:t>
            </w:r>
          </w:p>
        </w:tc>
        <w:tc>
          <w:tcPr>
            <w:tcW w:w="0" w:type="auto"/>
            <w:hideMark/>
          </w:tcPr>
          <w:p w14:paraId="7D4129EB"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0.593</w:t>
            </w:r>
          </w:p>
        </w:tc>
        <w:tc>
          <w:tcPr>
            <w:tcW w:w="0" w:type="auto"/>
            <w:hideMark/>
          </w:tcPr>
          <w:p w14:paraId="47F20D1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0.141</w:t>
            </w:r>
          </w:p>
        </w:tc>
        <w:tc>
          <w:tcPr>
            <w:tcW w:w="0" w:type="auto"/>
            <w:hideMark/>
          </w:tcPr>
          <w:p w14:paraId="2BEBFFD9"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0.067</w:t>
            </w:r>
          </w:p>
        </w:tc>
      </w:tr>
      <w:tr w:rsidR="005E629F" w:rsidRPr="005E629F" w14:paraId="75243A0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AAEC880"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0E4EA255"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79B64375"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046E2A0"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0.148</w:t>
            </w:r>
          </w:p>
        </w:tc>
        <w:tc>
          <w:tcPr>
            <w:tcW w:w="0" w:type="auto"/>
            <w:hideMark/>
          </w:tcPr>
          <w:p w14:paraId="1A710F6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7E67F4B8"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5E629F" w:rsidRPr="005E629F" w14:paraId="12D36D61"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D393F0"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5</w:t>
            </w:r>
          </w:p>
        </w:tc>
        <w:tc>
          <w:tcPr>
            <w:tcW w:w="0" w:type="auto"/>
            <w:tcBorders>
              <w:top w:val="single" w:sz="4" w:space="0" w:color="auto"/>
              <w:bottom w:val="nil"/>
            </w:tcBorders>
            <w:hideMark/>
          </w:tcPr>
          <w:p w14:paraId="14DF0CD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4BFD80B5"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0.124</w:t>
            </w:r>
          </w:p>
        </w:tc>
        <w:tc>
          <w:tcPr>
            <w:tcW w:w="0" w:type="auto"/>
            <w:hideMark/>
          </w:tcPr>
          <w:p w14:paraId="573F7459"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0.619</w:t>
            </w:r>
          </w:p>
        </w:tc>
        <w:tc>
          <w:tcPr>
            <w:tcW w:w="0" w:type="auto"/>
            <w:hideMark/>
          </w:tcPr>
          <w:p w14:paraId="385F56F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0.162</w:t>
            </w:r>
          </w:p>
        </w:tc>
        <w:tc>
          <w:tcPr>
            <w:tcW w:w="0" w:type="auto"/>
            <w:hideMark/>
          </w:tcPr>
          <w:p w14:paraId="3C9748D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0.084</w:t>
            </w:r>
          </w:p>
        </w:tc>
      </w:tr>
      <w:tr w:rsidR="005E629F" w:rsidRPr="005E629F" w14:paraId="084D1BC1"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417D7F6"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31C4DB46"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681CDD46"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661C64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0.213</w:t>
            </w:r>
          </w:p>
        </w:tc>
        <w:tc>
          <w:tcPr>
            <w:tcW w:w="0" w:type="auto"/>
            <w:hideMark/>
          </w:tcPr>
          <w:p w14:paraId="5FFFA72B"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0.155</w:t>
            </w:r>
          </w:p>
        </w:tc>
        <w:tc>
          <w:tcPr>
            <w:tcW w:w="0" w:type="auto"/>
            <w:hideMark/>
          </w:tcPr>
          <w:p w14:paraId="6DBD0A9D"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0.144</w:t>
            </w:r>
          </w:p>
        </w:tc>
      </w:tr>
      <w:tr w:rsidR="005E629F" w:rsidRPr="005E629F" w14:paraId="6F8D8C67"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12E7230"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8</w:t>
            </w:r>
          </w:p>
        </w:tc>
        <w:tc>
          <w:tcPr>
            <w:tcW w:w="0" w:type="auto"/>
            <w:tcBorders>
              <w:top w:val="single" w:sz="4" w:space="0" w:color="auto"/>
              <w:bottom w:val="nil"/>
            </w:tcBorders>
            <w:hideMark/>
          </w:tcPr>
          <w:p w14:paraId="3DDF625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3DCBB72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-0.572</w:t>
            </w:r>
          </w:p>
        </w:tc>
        <w:tc>
          <w:tcPr>
            <w:tcW w:w="0" w:type="auto"/>
            <w:hideMark/>
          </w:tcPr>
          <w:p w14:paraId="4B3F664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0.741</w:t>
            </w:r>
          </w:p>
        </w:tc>
        <w:tc>
          <w:tcPr>
            <w:tcW w:w="0" w:type="auto"/>
            <w:hideMark/>
          </w:tcPr>
          <w:p w14:paraId="5A43BAB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0.349</w:t>
            </w:r>
          </w:p>
        </w:tc>
        <w:tc>
          <w:tcPr>
            <w:tcW w:w="0" w:type="auto"/>
            <w:hideMark/>
          </w:tcPr>
          <w:p w14:paraId="735DC64E"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0.301</w:t>
            </w:r>
          </w:p>
        </w:tc>
      </w:tr>
      <w:tr w:rsidR="005E629F" w:rsidRPr="005E629F" w14:paraId="62245065"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450452E"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367AAFA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1BB09CFD"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1836628"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0.230</w:t>
            </w:r>
          </w:p>
        </w:tc>
        <w:tc>
          <w:tcPr>
            <w:tcW w:w="0" w:type="auto"/>
            <w:hideMark/>
          </w:tcPr>
          <w:p w14:paraId="08F2FAFB"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6C93189E"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0.122</w:t>
            </w:r>
          </w:p>
        </w:tc>
      </w:tr>
      <w:tr w:rsidR="005E629F" w:rsidRPr="005E629F" w14:paraId="20AC04F3"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62D1B38"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10</w:t>
            </w:r>
          </w:p>
        </w:tc>
        <w:tc>
          <w:tcPr>
            <w:tcW w:w="0" w:type="auto"/>
            <w:tcBorders>
              <w:top w:val="single" w:sz="4" w:space="0" w:color="auto"/>
              <w:bottom w:val="nil"/>
            </w:tcBorders>
            <w:hideMark/>
          </w:tcPr>
          <w:p w14:paraId="2B79F5BB"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00D4DE3B"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c>
          <w:tcPr>
            <w:tcW w:w="0" w:type="auto"/>
            <w:hideMark/>
          </w:tcPr>
          <w:p w14:paraId="015E2201"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0.568</w:t>
            </w:r>
          </w:p>
        </w:tc>
        <w:tc>
          <w:tcPr>
            <w:tcW w:w="0" w:type="auto"/>
            <w:hideMark/>
          </w:tcPr>
          <w:p w14:paraId="134B260E"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0.123</w:t>
            </w:r>
          </w:p>
        </w:tc>
        <w:tc>
          <w:tcPr>
            <w:tcW w:w="0" w:type="auto"/>
            <w:hideMark/>
          </w:tcPr>
          <w:p w14:paraId="44FFB413"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0.047</w:t>
            </w:r>
          </w:p>
        </w:tc>
      </w:tr>
      <w:tr w:rsidR="005E629F" w:rsidRPr="005E629F" w14:paraId="2D5CB7F9"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2469774"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692CE0F4"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79BEEA19"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2C27C2C9"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0.147</w:t>
            </w:r>
          </w:p>
        </w:tc>
        <w:tc>
          <w:tcPr>
            <w:tcW w:w="0" w:type="auto"/>
            <w:hideMark/>
          </w:tcPr>
          <w:p w14:paraId="0C685CAF"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1AB859E0"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0.033</w:t>
            </w:r>
          </w:p>
        </w:tc>
      </w:tr>
      <w:tr w:rsidR="005E629F" w:rsidRPr="005E629F" w14:paraId="5BA09D73"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590A9DE0"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11</w:t>
            </w:r>
          </w:p>
        </w:tc>
        <w:tc>
          <w:tcPr>
            <w:tcW w:w="0" w:type="auto"/>
            <w:tcBorders>
              <w:top w:val="single" w:sz="4" w:space="0" w:color="auto"/>
              <w:bottom w:val="nil"/>
            </w:tcBorders>
            <w:hideMark/>
          </w:tcPr>
          <w:p w14:paraId="07579317"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45B27E5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0.051</w:t>
            </w:r>
          </w:p>
        </w:tc>
        <w:tc>
          <w:tcPr>
            <w:tcW w:w="0" w:type="auto"/>
            <w:hideMark/>
          </w:tcPr>
          <w:p w14:paraId="6BA6D20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0.636</w:t>
            </w:r>
          </w:p>
        </w:tc>
        <w:tc>
          <w:tcPr>
            <w:tcW w:w="0" w:type="auto"/>
            <w:hideMark/>
          </w:tcPr>
          <w:p w14:paraId="79D38C3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0.151</w:t>
            </w:r>
          </w:p>
        </w:tc>
        <w:tc>
          <w:tcPr>
            <w:tcW w:w="0" w:type="auto"/>
            <w:hideMark/>
          </w:tcPr>
          <w:p w14:paraId="43B6ECA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r>
      <w:tr w:rsidR="005E629F" w:rsidRPr="005E629F" w14:paraId="3C0ECBD4"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BC53120"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16FA6521"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1F0667ED"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3CDA6C5"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0.210</w:t>
            </w:r>
          </w:p>
        </w:tc>
        <w:tc>
          <w:tcPr>
            <w:tcW w:w="0" w:type="auto"/>
            <w:hideMark/>
          </w:tcPr>
          <w:p w14:paraId="1383ABD6"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0.157</w:t>
            </w:r>
          </w:p>
        </w:tc>
        <w:tc>
          <w:tcPr>
            <w:tcW w:w="0" w:type="auto"/>
            <w:hideMark/>
          </w:tcPr>
          <w:p w14:paraId="3D63E32B"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0.142</w:t>
            </w:r>
          </w:p>
        </w:tc>
      </w:tr>
      <w:tr w:rsidR="005E629F" w:rsidRPr="005E629F" w14:paraId="1CD2DA59"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EAE4A60"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12</w:t>
            </w:r>
          </w:p>
        </w:tc>
        <w:tc>
          <w:tcPr>
            <w:tcW w:w="0" w:type="auto"/>
            <w:tcBorders>
              <w:top w:val="single" w:sz="4" w:space="0" w:color="auto"/>
              <w:bottom w:val="nil"/>
            </w:tcBorders>
            <w:hideMark/>
          </w:tcPr>
          <w:p w14:paraId="1F680DDC"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vAlign w:val="center"/>
            <w:hideMark/>
          </w:tcPr>
          <w:p w14:paraId="75E8613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-0.625</w:t>
            </w:r>
          </w:p>
        </w:tc>
        <w:tc>
          <w:tcPr>
            <w:tcW w:w="0" w:type="auto"/>
            <w:hideMark/>
          </w:tcPr>
          <w:p w14:paraId="6EE7B42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0.789</w:t>
            </w:r>
          </w:p>
        </w:tc>
        <w:tc>
          <w:tcPr>
            <w:tcW w:w="0" w:type="auto"/>
            <w:hideMark/>
          </w:tcPr>
          <w:p w14:paraId="49F74F8D"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0.391</w:t>
            </w:r>
          </w:p>
        </w:tc>
        <w:tc>
          <w:tcPr>
            <w:tcW w:w="0" w:type="auto"/>
            <w:hideMark/>
          </w:tcPr>
          <w:p w14:paraId="2FB3B927"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0.352</w:t>
            </w:r>
          </w:p>
        </w:tc>
      </w:tr>
      <w:tr w:rsidR="005E629F" w:rsidRPr="005E629F" w14:paraId="122D9692"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00F3F41"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43FA7FEC"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7C0A5C5E"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48687F9"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0.233</w:t>
            </w:r>
          </w:p>
        </w:tc>
        <w:tc>
          <w:tcPr>
            <w:tcW w:w="0" w:type="auto"/>
            <w:hideMark/>
          </w:tcPr>
          <w:p w14:paraId="281B1EAB"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33745D57"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0.121</w:t>
            </w:r>
          </w:p>
        </w:tc>
      </w:tr>
      <w:tr w:rsidR="005E629F" w:rsidRPr="005E629F" w14:paraId="56F26AC8"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9F608D9"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3</w:t>
            </w:r>
          </w:p>
        </w:tc>
        <w:tc>
          <w:tcPr>
            <w:tcW w:w="0" w:type="auto"/>
            <w:tcBorders>
              <w:top w:val="single" w:sz="4" w:space="0" w:color="auto"/>
              <w:bottom w:val="nil"/>
            </w:tcBorders>
            <w:hideMark/>
          </w:tcPr>
          <w:p w14:paraId="6EBE544E"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16B52EB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-0.050</w:t>
            </w:r>
          </w:p>
        </w:tc>
        <w:tc>
          <w:tcPr>
            <w:tcW w:w="0" w:type="auto"/>
            <w:hideMark/>
          </w:tcPr>
          <w:p w14:paraId="3FCD2DF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0.154</w:t>
            </w:r>
          </w:p>
        </w:tc>
        <w:tc>
          <w:tcPr>
            <w:tcW w:w="0" w:type="auto"/>
            <w:hideMark/>
          </w:tcPr>
          <w:p w14:paraId="3D694BA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c>
          <w:tcPr>
            <w:tcW w:w="0" w:type="auto"/>
            <w:hideMark/>
          </w:tcPr>
          <w:p w14:paraId="0B870C6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0.027</w:t>
            </w:r>
          </w:p>
        </w:tc>
      </w:tr>
      <w:tr w:rsidR="005E629F" w:rsidRPr="005E629F" w14:paraId="46F0FB6D"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CF7656E"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29FB0095"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1D5222E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10E7E7"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0.330</w:t>
            </w:r>
          </w:p>
        </w:tc>
        <w:tc>
          <w:tcPr>
            <w:tcW w:w="0" w:type="auto"/>
            <w:hideMark/>
          </w:tcPr>
          <w:p w14:paraId="6A9D84C6"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0.200</w:t>
            </w:r>
          </w:p>
        </w:tc>
        <w:tc>
          <w:tcPr>
            <w:tcW w:w="0" w:type="auto"/>
            <w:hideMark/>
          </w:tcPr>
          <w:p w14:paraId="37FB8383"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0.166</w:t>
            </w:r>
          </w:p>
        </w:tc>
      </w:tr>
      <w:tr w:rsidR="005E629F" w:rsidRPr="005E629F" w14:paraId="619D22E8"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5EA5F56"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6</w:t>
            </w:r>
          </w:p>
        </w:tc>
        <w:tc>
          <w:tcPr>
            <w:tcW w:w="0" w:type="auto"/>
            <w:tcBorders>
              <w:top w:val="single" w:sz="4" w:space="0" w:color="auto"/>
              <w:bottom w:val="nil"/>
            </w:tcBorders>
            <w:hideMark/>
          </w:tcPr>
          <w:p w14:paraId="2B583EC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736E597F"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-0.125</w:t>
            </w:r>
          </w:p>
        </w:tc>
        <w:tc>
          <w:tcPr>
            <w:tcW w:w="0" w:type="auto"/>
            <w:hideMark/>
          </w:tcPr>
          <w:p w14:paraId="6B6C563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0.172</w:t>
            </w:r>
          </w:p>
        </w:tc>
        <w:tc>
          <w:tcPr>
            <w:tcW w:w="0" w:type="auto"/>
            <w:hideMark/>
          </w:tcPr>
          <w:p w14:paraId="3634909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0.067</w:t>
            </w:r>
          </w:p>
        </w:tc>
        <w:tc>
          <w:tcPr>
            <w:tcW w:w="0" w:type="auto"/>
            <w:hideMark/>
          </w:tcPr>
          <w:p w14:paraId="199AC5A6"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0.029</w:t>
            </w:r>
          </w:p>
        </w:tc>
      </w:tr>
      <w:tr w:rsidR="005E629F" w:rsidRPr="005E629F" w14:paraId="71A606BB"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451018F" w14:textId="77777777" w:rsidR="005E629F" w:rsidRPr="005E629F" w:rsidRDefault="005E629F" w:rsidP="002A11AD">
            <w:pPr>
              <w:pStyle w:val="Compact"/>
              <w:jc w:val="center"/>
              <w:rPr>
                <w:rFonts w:ascii="Times New Roman" w:hAnsi="Times New Roman" w:cs="Times New Roman"/>
                <w:b w:val="0"/>
                <w:bCs w:val="0"/>
                <w:sz w:val="21"/>
                <w:szCs w:val="21"/>
              </w:rPr>
            </w:pPr>
          </w:p>
        </w:tc>
        <w:tc>
          <w:tcPr>
            <w:tcW w:w="0" w:type="auto"/>
            <w:tcBorders>
              <w:top w:val="nil"/>
              <w:bottom w:val="single" w:sz="4" w:space="0" w:color="auto"/>
            </w:tcBorders>
            <w:hideMark/>
          </w:tcPr>
          <w:p w14:paraId="12B5BEA4"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vAlign w:val="center"/>
            <w:hideMark/>
          </w:tcPr>
          <w:p w14:paraId="615F5E6F"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22B6C5C2"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0.373</w:t>
            </w:r>
          </w:p>
        </w:tc>
        <w:tc>
          <w:tcPr>
            <w:tcW w:w="0" w:type="auto"/>
            <w:hideMark/>
          </w:tcPr>
          <w:p w14:paraId="58CD5980"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0.293</w:t>
            </w:r>
          </w:p>
        </w:tc>
        <w:tc>
          <w:tcPr>
            <w:tcW w:w="0" w:type="auto"/>
            <w:hideMark/>
          </w:tcPr>
          <w:p w14:paraId="58EF5BEA"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0.274</w:t>
            </w:r>
          </w:p>
        </w:tc>
      </w:tr>
      <w:tr w:rsidR="005E629F" w:rsidRPr="005E629F" w14:paraId="00AFD1FC"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5D3543" w14:textId="77777777" w:rsidR="005E629F" w:rsidRPr="005E629F" w:rsidRDefault="005E629F" w:rsidP="002A11AD">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9</w:t>
            </w:r>
          </w:p>
        </w:tc>
        <w:tc>
          <w:tcPr>
            <w:tcW w:w="0" w:type="auto"/>
            <w:tcBorders>
              <w:top w:val="single" w:sz="4" w:space="0" w:color="auto"/>
              <w:bottom w:val="nil"/>
            </w:tcBorders>
            <w:hideMark/>
          </w:tcPr>
          <w:p w14:paraId="57D1127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vAlign w:val="center"/>
            <w:hideMark/>
          </w:tcPr>
          <w:p w14:paraId="0ABD87B8"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-1.195</w:t>
            </w:r>
          </w:p>
        </w:tc>
        <w:tc>
          <w:tcPr>
            <w:tcW w:w="0" w:type="auto"/>
            <w:hideMark/>
          </w:tcPr>
          <w:p w14:paraId="240C4B54"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0.242</w:t>
            </w:r>
          </w:p>
        </w:tc>
        <w:tc>
          <w:tcPr>
            <w:tcW w:w="0" w:type="auto"/>
            <w:hideMark/>
          </w:tcPr>
          <w:p w14:paraId="06B292D0"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0.103</w:t>
            </w:r>
          </w:p>
        </w:tc>
        <w:tc>
          <w:tcPr>
            <w:tcW w:w="0" w:type="auto"/>
            <w:hideMark/>
          </w:tcPr>
          <w:p w14:paraId="0BB6D902" w14:textId="77777777" w:rsidR="005E629F" w:rsidRPr="005E629F" w:rsidRDefault="005E629F" w:rsidP="002A11AD">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0.044</w:t>
            </w:r>
          </w:p>
        </w:tc>
      </w:tr>
      <w:tr w:rsidR="005E629F" w:rsidRPr="005E629F" w14:paraId="7A4A19BF"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417631F" w14:textId="77777777" w:rsidR="005E629F" w:rsidRPr="005E629F" w:rsidRDefault="005E629F" w:rsidP="002A11AD">
            <w:pPr>
              <w:pStyle w:val="Compact"/>
              <w:jc w:val="center"/>
              <w:rPr>
                <w:rFonts w:ascii="Times New Roman" w:hAnsi="Times New Roman" w:cs="Times New Roman"/>
                <w:sz w:val="21"/>
                <w:szCs w:val="21"/>
              </w:rPr>
            </w:pPr>
          </w:p>
        </w:tc>
        <w:tc>
          <w:tcPr>
            <w:tcW w:w="0" w:type="auto"/>
            <w:tcBorders>
              <w:top w:val="nil"/>
              <w:bottom w:val="single" w:sz="4" w:space="0" w:color="auto"/>
            </w:tcBorders>
            <w:hideMark/>
          </w:tcPr>
          <w:p w14:paraId="40428D68"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hideMark/>
          </w:tcPr>
          <w:p w14:paraId="5437986F"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73DFC95D"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0.596</w:t>
            </w:r>
          </w:p>
        </w:tc>
        <w:tc>
          <w:tcPr>
            <w:tcW w:w="0" w:type="auto"/>
            <w:hideMark/>
          </w:tcPr>
          <w:p w14:paraId="6B3CFC54" w14:textId="77777777" w:rsidR="005E629F" w:rsidRPr="005E629F" w:rsidRDefault="005E629F" w:rsidP="002A11AD">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0.555</w:t>
            </w:r>
          </w:p>
        </w:tc>
        <w:tc>
          <w:tcPr>
            <w:tcW w:w="0" w:type="auto"/>
            <w:hideMark/>
          </w:tcPr>
          <w:p w14:paraId="1DA912FC" w14:textId="77777777" w:rsidR="005E629F" w:rsidRPr="005E629F" w:rsidRDefault="005E629F" w:rsidP="004A589C">
            <w:pPr>
              <w:pStyle w:val="Compact"/>
              <w:keepN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0.550</w:t>
            </w:r>
          </w:p>
        </w:tc>
      </w:tr>
    </w:tbl>
    <w:p w14:paraId="6AC14AC2" w14:textId="77777777" w:rsidR="005E629F" w:rsidRPr="005E629F" w:rsidRDefault="005E629F" w:rsidP="005E629F">
      <w:pPr>
        <w:pStyle w:val="BodyText"/>
      </w:pPr>
    </w:p>
    <w:p w14:paraId="7AC3AE52" w14:textId="7F05CC2D" w:rsidR="004A589C" w:rsidRPr="004A589C" w:rsidRDefault="004A589C" w:rsidP="004A589C">
      <w:pPr>
        <w:pStyle w:val="Caption"/>
        <w:keepNext/>
        <w:rPr>
          <w:rFonts w:ascii="Times New Roman" w:hAnsi="Times New Roman" w:cs="Times New Roman"/>
          <w:sz w:val="18"/>
          <w:szCs w:val="18"/>
        </w:rPr>
      </w:pPr>
      <w:r w:rsidRPr="004A589C">
        <w:rPr>
          <w:rFonts w:ascii="Times New Roman" w:hAnsi="Times New Roman" w:cs="Times New Roman"/>
          <w:sz w:val="18"/>
          <w:szCs w:val="18"/>
        </w:rPr>
        <w:t xml:space="preserve">Table </w:t>
      </w:r>
      <w:r w:rsidRPr="004A589C">
        <w:rPr>
          <w:rFonts w:ascii="Times New Roman" w:hAnsi="Times New Roman" w:cs="Times New Roman"/>
          <w:sz w:val="18"/>
          <w:szCs w:val="18"/>
        </w:rPr>
        <w:fldChar w:fldCharType="begin"/>
      </w:r>
      <w:r w:rsidRPr="004A589C">
        <w:rPr>
          <w:rFonts w:ascii="Times New Roman" w:hAnsi="Times New Roman" w:cs="Times New Roman"/>
          <w:sz w:val="18"/>
          <w:szCs w:val="18"/>
        </w:rPr>
        <w:instrText xml:space="preserve"> SEQ Table \* ARABIC </w:instrText>
      </w:r>
      <w:r w:rsidRPr="004A589C">
        <w:rPr>
          <w:rFonts w:ascii="Times New Roman" w:hAnsi="Times New Roman" w:cs="Times New Roman"/>
          <w:sz w:val="18"/>
          <w:szCs w:val="18"/>
        </w:rPr>
        <w:fldChar w:fldCharType="separate"/>
      </w:r>
      <w:r w:rsidRPr="004A589C">
        <w:rPr>
          <w:rFonts w:ascii="Times New Roman" w:hAnsi="Times New Roman" w:cs="Times New Roman"/>
          <w:noProof/>
          <w:sz w:val="18"/>
          <w:szCs w:val="18"/>
        </w:rPr>
        <w:t>3</w:t>
      </w:r>
      <w:r w:rsidRPr="004A589C">
        <w:rPr>
          <w:rFonts w:ascii="Times New Roman" w:hAnsi="Times New Roman" w:cs="Times New Roman"/>
          <w:sz w:val="18"/>
          <w:szCs w:val="18"/>
        </w:rPr>
        <w:fldChar w:fldCharType="end"/>
      </w:r>
      <w:r w:rsidRPr="004A589C">
        <w:rPr>
          <w:rFonts w:ascii="Times New Roman" w:hAnsi="Times New Roman" w:cs="Times New Roman"/>
          <w:sz w:val="18"/>
          <w:szCs w:val="18"/>
        </w:rPr>
        <w:t>: Simulation results for all scenarios and units, using ‘heavy' ML set up.</w:t>
      </w:r>
    </w:p>
    <w:tbl>
      <w:tblPr>
        <w:tblStyle w:val="PlainTable2"/>
        <w:tblW w:w="0" w:type="auto"/>
        <w:jc w:val="center"/>
        <w:tblLook w:val="04A0" w:firstRow="1" w:lastRow="0" w:firstColumn="1" w:lastColumn="0" w:noHBand="0" w:noVBand="1"/>
      </w:tblPr>
      <w:tblGrid>
        <w:gridCol w:w="998"/>
        <w:gridCol w:w="1301"/>
        <w:gridCol w:w="1144"/>
        <w:gridCol w:w="1331"/>
        <w:gridCol w:w="1488"/>
        <w:gridCol w:w="1593"/>
      </w:tblGrid>
      <w:tr w:rsidR="005E629F" w:rsidRPr="005E629F" w14:paraId="5836B7FF" w14:textId="77777777" w:rsidTr="004A58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9602ED3" w14:textId="77777777" w:rsidR="005E629F" w:rsidRPr="005E629F" w:rsidRDefault="005E629F" w:rsidP="004A589C">
            <w:pPr>
              <w:pStyle w:val="Compact"/>
              <w:jc w:val="center"/>
              <w:rPr>
                <w:rFonts w:ascii="Times New Roman" w:hAnsi="Times New Roman" w:cs="Times New Roman"/>
                <w:sz w:val="21"/>
                <w:szCs w:val="21"/>
              </w:rPr>
            </w:pPr>
            <w:r w:rsidRPr="005E629F">
              <w:rPr>
                <w:rFonts w:ascii="Times New Roman" w:hAnsi="Times New Roman" w:cs="Times New Roman"/>
                <w:sz w:val="21"/>
                <w:szCs w:val="21"/>
              </w:rPr>
              <w:t>Scenario</w:t>
            </w:r>
          </w:p>
        </w:tc>
        <w:tc>
          <w:tcPr>
            <w:tcW w:w="0" w:type="auto"/>
            <w:hideMark/>
          </w:tcPr>
          <w:p w14:paraId="49F0FA1E"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Model</w:t>
            </w:r>
          </w:p>
        </w:tc>
        <w:tc>
          <w:tcPr>
            <w:tcW w:w="0" w:type="auto"/>
            <w:tcBorders>
              <w:bottom w:val="single" w:sz="4" w:space="0" w:color="auto"/>
            </w:tcBorders>
            <w:hideMark/>
          </w:tcPr>
          <w:p w14:paraId="3CB823D8"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True ATT</w:t>
            </w:r>
          </w:p>
        </w:tc>
        <w:tc>
          <w:tcPr>
            <w:tcW w:w="0" w:type="auto"/>
            <w:hideMark/>
          </w:tcPr>
          <w:p w14:paraId="7F43F23A"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(500)</w:t>
            </w:r>
          </w:p>
        </w:tc>
        <w:tc>
          <w:tcPr>
            <w:tcW w:w="0" w:type="auto"/>
            <w:hideMark/>
          </w:tcPr>
          <w:p w14:paraId="6CB09653"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(2,500)</w:t>
            </w:r>
          </w:p>
        </w:tc>
        <w:tc>
          <w:tcPr>
            <w:tcW w:w="0" w:type="auto"/>
            <w:hideMark/>
          </w:tcPr>
          <w:p w14:paraId="4D83E6B6" w14:textId="77777777" w:rsidR="005E629F" w:rsidRPr="005E629F" w:rsidRDefault="005E629F" w:rsidP="004A589C">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RMSE (10,000)</w:t>
            </w:r>
          </w:p>
        </w:tc>
      </w:tr>
      <w:tr w:rsidR="002A11AD" w:rsidRPr="005E629F" w14:paraId="77CF9132"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463D9059"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w:t>
            </w:r>
          </w:p>
        </w:tc>
        <w:tc>
          <w:tcPr>
            <w:tcW w:w="0" w:type="auto"/>
            <w:hideMark/>
          </w:tcPr>
          <w:p w14:paraId="42D7709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5E07048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0.118</w:t>
            </w:r>
          </w:p>
        </w:tc>
        <w:tc>
          <w:tcPr>
            <w:tcW w:w="0" w:type="auto"/>
            <w:hideMark/>
          </w:tcPr>
          <w:p w14:paraId="4E46A22A"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0.876</w:t>
            </w:r>
          </w:p>
        </w:tc>
        <w:tc>
          <w:tcPr>
            <w:tcW w:w="0" w:type="auto"/>
            <w:hideMark/>
          </w:tcPr>
          <w:p w14:paraId="06C7F24A"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0.138</w:t>
            </w:r>
          </w:p>
        </w:tc>
        <w:tc>
          <w:tcPr>
            <w:tcW w:w="0" w:type="auto"/>
            <w:hideMark/>
          </w:tcPr>
          <w:p w14:paraId="3FA6A9D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r>
      <w:tr w:rsidR="002A11AD" w:rsidRPr="005E629F" w14:paraId="75919EC6"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1022C6A"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7B6EC515"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638BAA1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0009311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0.136</w:t>
            </w:r>
          </w:p>
        </w:tc>
        <w:tc>
          <w:tcPr>
            <w:tcW w:w="0" w:type="auto"/>
            <w:hideMark/>
          </w:tcPr>
          <w:p w14:paraId="7BADE991"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0.061</w:t>
            </w:r>
          </w:p>
        </w:tc>
        <w:tc>
          <w:tcPr>
            <w:tcW w:w="0" w:type="auto"/>
            <w:hideMark/>
          </w:tcPr>
          <w:p w14:paraId="59E65D2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0.030</w:t>
            </w:r>
          </w:p>
        </w:tc>
      </w:tr>
      <w:tr w:rsidR="002A11AD" w:rsidRPr="005E629F" w14:paraId="6D4208EF"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6E8515CD"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4</w:t>
            </w:r>
          </w:p>
        </w:tc>
        <w:tc>
          <w:tcPr>
            <w:tcW w:w="0" w:type="auto"/>
            <w:hideMark/>
          </w:tcPr>
          <w:p w14:paraId="02A24DB1"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278B284A"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0.106</w:t>
            </w:r>
          </w:p>
        </w:tc>
        <w:tc>
          <w:tcPr>
            <w:tcW w:w="0" w:type="auto"/>
            <w:hideMark/>
          </w:tcPr>
          <w:p w14:paraId="20956013"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1.001</w:t>
            </w:r>
          </w:p>
        </w:tc>
        <w:tc>
          <w:tcPr>
            <w:tcW w:w="0" w:type="auto"/>
            <w:hideMark/>
          </w:tcPr>
          <w:p w14:paraId="1D93846F"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0.203</w:t>
            </w:r>
          </w:p>
        </w:tc>
        <w:tc>
          <w:tcPr>
            <w:tcW w:w="0" w:type="auto"/>
            <w:hideMark/>
          </w:tcPr>
          <w:p w14:paraId="3F4C4D6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0.059</w:t>
            </w:r>
          </w:p>
        </w:tc>
      </w:tr>
      <w:tr w:rsidR="002A11AD" w:rsidRPr="005E629F" w14:paraId="70607F8D"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195DB296"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3A98DE6A"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15994BA5"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4F7C931"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20EE24E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0.184</w:t>
            </w:r>
          </w:p>
        </w:tc>
        <w:tc>
          <w:tcPr>
            <w:tcW w:w="0" w:type="auto"/>
            <w:hideMark/>
          </w:tcPr>
          <w:p w14:paraId="6B09C1E6"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0.174</w:t>
            </w:r>
          </w:p>
        </w:tc>
      </w:tr>
      <w:tr w:rsidR="002A11AD" w:rsidRPr="005E629F" w14:paraId="20D658FE"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410A2CBF"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7</w:t>
            </w:r>
          </w:p>
        </w:tc>
        <w:tc>
          <w:tcPr>
            <w:tcW w:w="0" w:type="auto"/>
            <w:hideMark/>
          </w:tcPr>
          <w:p w14:paraId="3E63843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0AD3E9E1"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-0.922</w:t>
            </w:r>
          </w:p>
        </w:tc>
        <w:tc>
          <w:tcPr>
            <w:tcW w:w="0" w:type="auto"/>
            <w:hideMark/>
          </w:tcPr>
          <w:p w14:paraId="7EC0238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1.372</w:t>
            </w:r>
          </w:p>
        </w:tc>
        <w:tc>
          <w:tcPr>
            <w:tcW w:w="0" w:type="auto"/>
            <w:hideMark/>
          </w:tcPr>
          <w:p w14:paraId="2C207E4A"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0.315</w:t>
            </w:r>
          </w:p>
        </w:tc>
        <w:tc>
          <w:tcPr>
            <w:tcW w:w="0" w:type="auto"/>
            <w:hideMark/>
          </w:tcPr>
          <w:p w14:paraId="75999AD8"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0.103</w:t>
            </w:r>
          </w:p>
        </w:tc>
      </w:tr>
      <w:tr w:rsidR="002A11AD" w:rsidRPr="005E629F" w14:paraId="1C35D9FB"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5A20B9CD"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3484C9C9"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653DF57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14FEC115"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0.240</w:t>
            </w:r>
          </w:p>
        </w:tc>
        <w:tc>
          <w:tcPr>
            <w:tcW w:w="0" w:type="auto"/>
            <w:hideMark/>
          </w:tcPr>
          <w:p w14:paraId="0C41F6DB"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0.181</w:t>
            </w:r>
          </w:p>
        </w:tc>
        <w:tc>
          <w:tcPr>
            <w:tcW w:w="0" w:type="auto"/>
            <w:hideMark/>
          </w:tcPr>
          <w:p w14:paraId="59A7FA30"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0.170</w:t>
            </w:r>
          </w:p>
        </w:tc>
      </w:tr>
      <w:tr w:rsidR="002A11AD" w:rsidRPr="005E629F" w14:paraId="6572849D"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58F84427"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2</w:t>
            </w:r>
          </w:p>
        </w:tc>
        <w:tc>
          <w:tcPr>
            <w:tcW w:w="0" w:type="auto"/>
            <w:hideMark/>
          </w:tcPr>
          <w:p w14:paraId="475B816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1C813D11"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0.079</w:t>
            </w:r>
          </w:p>
        </w:tc>
        <w:tc>
          <w:tcPr>
            <w:tcW w:w="0" w:type="auto"/>
            <w:hideMark/>
          </w:tcPr>
          <w:p w14:paraId="2510826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1.153</w:t>
            </w:r>
          </w:p>
        </w:tc>
        <w:tc>
          <w:tcPr>
            <w:tcW w:w="0" w:type="auto"/>
            <w:hideMark/>
          </w:tcPr>
          <w:p w14:paraId="056873D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0.308</w:t>
            </w:r>
          </w:p>
        </w:tc>
        <w:tc>
          <w:tcPr>
            <w:tcW w:w="0" w:type="auto"/>
            <w:hideMark/>
          </w:tcPr>
          <w:p w14:paraId="13314D63"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0.087</w:t>
            </w:r>
          </w:p>
        </w:tc>
      </w:tr>
      <w:tr w:rsidR="002A11AD" w:rsidRPr="005E629F" w14:paraId="54DC5672"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55656F8"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0C53636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761A25AF"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6424A9A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0.148</w:t>
            </w:r>
          </w:p>
        </w:tc>
        <w:tc>
          <w:tcPr>
            <w:tcW w:w="0" w:type="auto"/>
            <w:hideMark/>
          </w:tcPr>
          <w:p w14:paraId="6D8D47E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600C59C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2A11AD" w:rsidRPr="005E629F" w14:paraId="18EE045E"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23ED2DA1"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5</w:t>
            </w:r>
          </w:p>
        </w:tc>
        <w:tc>
          <w:tcPr>
            <w:tcW w:w="0" w:type="auto"/>
            <w:hideMark/>
          </w:tcPr>
          <w:p w14:paraId="5CFC47A3"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5555235C"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0.124</w:t>
            </w:r>
          </w:p>
        </w:tc>
        <w:tc>
          <w:tcPr>
            <w:tcW w:w="0" w:type="auto"/>
            <w:hideMark/>
          </w:tcPr>
          <w:p w14:paraId="3E3A76E2"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1.142</w:t>
            </w:r>
          </w:p>
        </w:tc>
        <w:tc>
          <w:tcPr>
            <w:tcW w:w="0" w:type="auto"/>
            <w:hideMark/>
          </w:tcPr>
          <w:p w14:paraId="63EF9C9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0.319</w:t>
            </w:r>
          </w:p>
        </w:tc>
        <w:tc>
          <w:tcPr>
            <w:tcW w:w="0" w:type="auto"/>
            <w:hideMark/>
          </w:tcPr>
          <w:p w14:paraId="7A57E4B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0.102</w:t>
            </w:r>
          </w:p>
        </w:tc>
      </w:tr>
      <w:tr w:rsidR="002A11AD" w:rsidRPr="005E629F" w14:paraId="41A6B9A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7E2A535A"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38CC8F4B"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1AA203CB"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4784A8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0.213</w:t>
            </w:r>
          </w:p>
        </w:tc>
        <w:tc>
          <w:tcPr>
            <w:tcW w:w="0" w:type="auto"/>
            <w:hideMark/>
          </w:tcPr>
          <w:p w14:paraId="25CFF755"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0.155</w:t>
            </w:r>
          </w:p>
        </w:tc>
        <w:tc>
          <w:tcPr>
            <w:tcW w:w="0" w:type="auto"/>
            <w:hideMark/>
          </w:tcPr>
          <w:p w14:paraId="36504D00"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0.144</w:t>
            </w:r>
          </w:p>
        </w:tc>
      </w:tr>
      <w:tr w:rsidR="002A11AD" w:rsidRPr="005E629F" w14:paraId="7BE345C4"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342D7F3B"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8</w:t>
            </w:r>
          </w:p>
        </w:tc>
        <w:tc>
          <w:tcPr>
            <w:tcW w:w="0" w:type="auto"/>
            <w:hideMark/>
          </w:tcPr>
          <w:p w14:paraId="5076D76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7A330DA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-0.572</w:t>
            </w:r>
          </w:p>
        </w:tc>
        <w:tc>
          <w:tcPr>
            <w:tcW w:w="0" w:type="auto"/>
            <w:hideMark/>
          </w:tcPr>
          <w:p w14:paraId="13A0453F"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1.166</w:t>
            </w:r>
          </w:p>
        </w:tc>
        <w:tc>
          <w:tcPr>
            <w:tcW w:w="0" w:type="auto"/>
            <w:hideMark/>
          </w:tcPr>
          <w:p w14:paraId="068D3990"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0.444</w:t>
            </w:r>
          </w:p>
        </w:tc>
        <w:tc>
          <w:tcPr>
            <w:tcW w:w="0" w:type="auto"/>
            <w:hideMark/>
          </w:tcPr>
          <w:p w14:paraId="72E5FB3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0.308</w:t>
            </w:r>
          </w:p>
        </w:tc>
      </w:tr>
      <w:tr w:rsidR="002A11AD" w:rsidRPr="005E629F" w14:paraId="5A0F58D8"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58F879D8"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4F67473B"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482494A0"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E66911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0.230</w:t>
            </w:r>
          </w:p>
        </w:tc>
        <w:tc>
          <w:tcPr>
            <w:tcW w:w="0" w:type="auto"/>
            <w:hideMark/>
          </w:tcPr>
          <w:p w14:paraId="7FD83C4C"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258E2AD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0.122</w:t>
            </w:r>
          </w:p>
        </w:tc>
      </w:tr>
      <w:tr w:rsidR="002A11AD" w:rsidRPr="005E629F" w14:paraId="573AC481"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19D03A47"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10</w:t>
            </w:r>
          </w:p>
        </w:tc>
        <w:tc>
          <w:tcPr>
            <w:tcW w:w="0" w:type="auto"/>
            <w:hideMark/>
          </w:tcPr>
          <w:p w14:paraId="6458672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single" w:sz="4" w:space="0" w:color="auto"/>
            </w:tcBorders>
            <w:vAlign w:val="center"/>
            <w:hideMark/>
          </w:tcPr>
          <w:p w14:paraId="2E7AD15C"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0.040</w:t>
            </w:r>
          </w:p>
        </w:tc>
        <w:tc>
          <w:tcPr>
            <w:tcW w:w="0" w:type="auto"/>
            <w:hideMark/>
          </w:tcPr>
          <w:p w14:paraId="38BE901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1.148</w:t>
            </w:r>
          </w:p>
        </w:tc>
        <w:tc>
          <w:tcPr>
            <w:tcW w:w="0" w:type="auto"/>
            <w:hideMark/>
          </w:tcPr>
          <w:p w14:paraId="01AB6C4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0.300</w:t>
            </w:r>
          </w:p>
        </w:tc>
        <w:tc>
          <w:tcPr>
            <w:tcW w:w="0" w:type="auto"/>
            <w:hideMark/>
          </w:tcPr>
          <w:p w14:paraId="286574B3"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0.071</w:t>
            </w:r>
          </w:p>
        </w:tc>
      </w:tr>
      <w:tr w:rsidR="002A11AD" w:rsidRPr="005E629F" w14:paraId="5DFFCCCC"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049172AA"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5AE8A984"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2ABC0AEA"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0AFB844F"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0.147</w:t>
            </w:r>
          </w:p>
        </w:tc>
        <w:tc>
          <w:tcPr>
            <w:tcW w:w="0" w:type="auto"/>
            <w:hideMark/>
          </w:tcPr>
          <w:p w14:paraId="6E0F813F"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0.064</w:t>
            </w:r>
          </w:p>
        </w:tc>
        <w:tc>
          <w:tcPr>
            <w:tcW w:w="0" w:type="auto"/>
            <w:hideMark/>
          </w:tcPr>
          <w:p w14:paraId="63DE30B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0.033</w:t>
            </w:r>
          </w:p>
        </w:tc>
      </w:tr>
      <w:tr w:rsidR="002A11AD" w:rsidRPr="005E629F" w14:paraId="28D27EF5"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396092AA"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11</w:t>
            </w:r>
          </w:p>
        </w:tc>
        <w:tc>
          <w:tcPr>
            <w:tcW w:w="0" w:type="auto"/>
            <w:hideMark/>
          </w:tcPr>
          <w:p w14:paraId="48E75475"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6D9FD807"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0.051</w:t>
            </w:r>
          </w:p>
        </w:tc>
        <w:tc>
          <w:tcPr>
            <w:tcW w:w="0" w:type="auto"/>
            <w:hideMark/>
          </w:tcPr>
          <w:p w14:paraId="282F8858"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1.207</w:t>
            </w:r>
          </w:p>
        </w:tc>
        <w:tc>
          <w:tcPr>
            <w:tcW w:w="0" w:type="auto"/>
            <w:hideMark/>
          </w:tcPr>
          <w:p w14:paraId="428E5EE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0.301</w:t>
            </w:r>
          </w:p>
        </w:tc>
        <w:tc>
          <w:tcPr>
            <w:tcW w:w="0" w:type="auto"/>
            <w:hideMark/>
          </w:tcPr>
          <w:p w14:paraId="6ADC8475"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0.086</w:t>
            </w:r>
          </w:p>
        </w:tc>
      </w:tr>
      <w:tr w:rsidR="002A11AD" w:rsidRPr="005E629F" w14:paraId="461B471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2E5D399F"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49786094"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2A1DE31C"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79E7EBD"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0.210</w:t>
            </w:r>
          </w:p>
        </w:tc>
        <w:tc>
          <w:tcPr>
            <w:tcW w:w="0" w:type="auto"/>
            <w:hideMark/>
          </w:tcPr>
          <w:p w14:paraId="76710321"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0.157</w:t>
            </w:r>
          </w:p>
        </w:tc>
        <w:tc>
          <w:tcPr>
            <w:tcW w:w="0" w:type="auto"/>
            <w:hideMark/>
          </w:tcPr>
          <w:p w14:paraId="68920D76"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0.142</w:t>
            </w:r>
          </w:p>
        </w:tc>
      </w:tr>
      <w:tr w:rsidR="002A11AD" w:rsidRPr="005E629F" w14:paraId="775C0EB7"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hideMark/>
          </w:tcPr>
          <w:p w14:paraId="1F83851E"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12</w:t>
            </w:r>
          </w:p>
        </w:tc>
        <w:tc>
          <w:tcPr>
            <w:tcW w:w="0" w:type="auto"/>
            <w:hideMark/>
          </w:tcPr>
          <w:p w14:paraId="13968D1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DML-Chang</w:t>
            </w:r>
          </w:p>
        </w:tc>
        <w:tc>
          <w:tcPr>
            <w:tcW w:w="0" w:type="auto"/>
            <w:vMerge w:val="restart"/>
            <w:tcBorders>
              <w:top w:val="single" w:sz="4" w:space="0" w:color="auto"/>
              <w:bottom w:val="nil"/>
            </w:tcBorders>
            <w:vAlign w:val="center"/>
            <w:hideMark/>
          </w:tcPr>
          <w:p w14:paraId="11B07AB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-0.625</w:t>
            </w:r>
          </w:p>
        </w:tc>
        <w:tc>
          <w:tcPr>
            <w:tcW w:w="0" w:type="auto"/>
            <w:hideMark/>
          </w:tcPr>
          <w:p w14:paraId="3A615909"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1.189</w:t>
            </w:r>
          </w:p>
        </w:tc>
        <w:tc>
          <w:tcPr>
            <w:tcW w:w="0" w:type="auto"/>
            <w:hideMark/>
          </w:tcPr>
          <w:p w14:paraId="43A186D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0.465</w:t>
            </w:r>
          </w:p>
        </w:tc>
        <w:tc>
          <w:tcPr>
            <w:tcW w:w="0" w:type="auto"/>
            <w:hideMark/>
          </w:tcPr>
          <w:p w14:paraId="26BE8E0B"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0.356</w:t>
            </w:r>
          </w:p>
        </w:tc>
      </w:tr>
      <w:tr w:rsidR="002A11AD" w:rsidRPr="005E629F" w14:paraId="2DD0192C"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hideMark/>
          </w:tcPr>
          <w:p w14:paraId="21AD70B4"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15C9645D"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nil"/>
              <w:bottom w:val="single" w:sz="4" w:space="0" w:color="auto"/>
            </w:tcBorders>
            <w:vAlign w:val="center"/>
            <w:hideMark/>
          </w:tcPr>
          <w:p w14:paraId="6A1BF563"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DA1BA3F"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0.233</w:t>
            </w:r>
          </w:p>
        </w:tc>
        <w:tc>
          <w:tcPr>
            <w:tcW w:w="0" w:type="auto"/>
            <w:hideMark/>
          </w:tcPr>
          <w:p w14:paraId="5072D036"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0.145</w:t>
            </w:r>
          </w:p>
        </w:tc>
        <w:tc>
          <w:tcPr>
            <w:tcW w:w="0" w:type="auto"/>
            <w:hideMark/>
          </w:tcPr>
          <w:p w14:paraId="5FAA92D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0.121</w:t>
            </w:r>
          </w:p>
        </w:tc>
      </w:tr>
      <w:tr w:rsidR="002A11AD" w:rsidRPr="005E629F" w14:paraId="366107F9"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62895F"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3</w:t>
            </w:r>
          </w:p>
        </w:tc>
        <w:tc>
          <w:tcPr>
            <w:tcW w:w="0" w:type="auto"/>
            <w:hideMark/>
          </w:tcPr>
          <w:p w14:paraId="163CD9E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37813FD3"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-0.050</w:t>
            </w:r>
          </w:p>
        </w:tc>
        <w:tc>
          <w:tcPr>
            <w:tcW w:w="0" w:type="auto"/>
            <w:hideMark/>
          </w:tcPr>
          <w:p w14:paraId="747A5C9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0.208</w:t>
            </w:r>
          </w:p>
        </w:tc>
        <w:tc>
          <w:tcPr>
            <w:tcW w:w="0" w:type="auto"/>
            <w:hideMark/>
          </w:tcPr>
          <w:p w14:paraId="153FE082"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0.087</w:t>
            </w:r>
          </w:p>
        </w:tc>
        <w:tc>
          <w:tcPr>
            <w:tcW w:w="0" w:type="auto"/>
            <w:hideMark/>
          </w:tcPr>
          <w:p w14:paraId="4E949D3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0.032</w:t>
            </w:r>
          </w:p>
        </w:tc>
      </w:tr>
      <w:tr w:rsidR="002A11AD" w:rsidRPr="005E629F" w14:paraId="1426D89D"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vAlign w:val="center"/>
            <w:hideMark/>
          </w:tcPr>
          <w:p w14:paraId="437BBAFE"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7CC16C73"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auto"/>
              <w:bottom w:val="single" w:sz="4" w:space="0" w:color="auto"/>
            </w:tcBorders>
            <w:vAlign w:val="center"/>
            <w:hideMark/>
          </w:tcPr>
          <w:p w14:paraId="236A713D"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4586F59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0.330</w:t>
            </w:r>
          </w:p>
        </w:tc>
        <w:tc>
          <w:tcPr>
            <w:tcW w:w="0" w:type="auto"/>
            <w:hideMark/>
          </w:tcPr>
          <w:p w14:paraId="6587B5A8"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0.200</w:t>
            </w:r>
          </w:p>
        </w:tc>
        <w:tc>
          <w:tcPr>
            <w:tcW w:w="0" w:type="auto"/>
            <w:hideMark/>
          </w:tcPr>
          <w:p w14:paraId="2250E325"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0.166</w:t>
            </w:r>
          </w:p>
        </w:tc>
      </w:tr>
      <w:tr w:rsidR="002A11AD" w:rsidRPr="005E629F" w14:paraId="5066AE48"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3150AE2B"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6</w:t>
            </w:r>
          </w:p>
        </w:tc>
        <w:tc>
          <w:tcPr>
            <w:tcW w:w="0" w:type="auto"/>
            <w:hideMark/>
          </w:tcPr>
          <w:p w14:paraId="7F3664C2"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bottom w:val="single" w:sz="4" w:space="0" w:color="auto"/>
            </w:tcBorders>
            <w:vAlign w:val="center"/>
            <w:hideMark/>
          </w:tcPr>
          <w:p w14:paraId="64C46F12"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-0.125</w:t>
            </w:r>
          </w:p>
        </w:tc>
        <w:tc>
          <w:tcPr>
            <w:tcW w:w="0" w:type="auto"/>
            <w:hideMark/>
          </w:tcPr>
          <w:p w14:paraId="5EE5E479"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0.219</w:t>
            </w:r>
          </w:p>
        </w:tc>
        <w:tc>
          <w:tcPr>
            <w:tcW w:w="0" w:type="auto"/>
            <w:hideMark/>
          </w:tcPr>
          <w:p w14:paraId="347AD51E"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0.094</w:t>
            </w:r>
          </w:p>
        </w:tc>
        <w:tc>
          <w:tcPr>
            <w:tcW w:w="0" w:type="auto"/>
            <w:hideMark/>
          </w:tcPr>
          <w:p w14:paraId="674EAD99"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0.036</w:t>
            </w:r>
          </w:p>
        </w:tc>
      </w:tr>
      <w:tr w:rsidR="002A11AD" w:rsidRPr="005E629F" w14:paraId="5E30A10A"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vAlign w:val="center"/>
            <w:hideMark/>
          </w:tcPr>
          <w:p w14:paraId="0E38E8FC"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384EC37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auto"/>
            </w:tcBorders>
            <w:vAlign w:val="center"/>
            <w:hideMark/>
          </w:tcPr>
          <w:p w14:paraId="40ACB339"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3C645E22"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0.373</w:t>
            </w:r>
          </w:p>
        </w:tc>
        <w:tc>
          <w:tcPr>
            <w:tcW w:w="0" w:type="auto"/>
            <w:hideMark/>
          </w:tcPr>
          <w:p w14:paraId="717C22A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0.293</w:t>
            </w:r>
          </w:p>
        </w:tc>
        <w:tc>
          <w:tcPr>
            <w:tcW w:w="0" w:type="auto"/>
            <w:hideMark/>
          </w:tcPr>
          <w:p w14:paraId="424B4F5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0.274</w:t>
            </w:r>
          </w:p>
        </w:tc>
      </w:tr>
      <w:tr w:rsidR="002A11AD" w:rsidRPr="005E629F" w14:paraId="7A221A9F" w14:textId="77777777" w:rsidTr="004A5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0A9ED8F3" w14:textId="77777777" w:rsidR="002A11AD" w:rsidRPr="005E629F" w:rsidRDefault="002A11AD" w:rsidP="004A589C">
            <w:pPr>
              <w:pStyle w:val="Compact"/>
              <w:jc w:val="center"/>
              <w:rPr>
                <w:rFonts w:ascii="Times New Roman" w:hAnsi="Times New Roman" w:cs="Times New Roman"/>
                <w:b w:val="0"/>
                <w:bCs w:val="0"/>
                <w:sz w:val="21"/>
                <w:szCs w:val="21"/>
              </w:rPr>
            </w:pPr>
            <w:r w:rsidRPr="005E629F">
              <w:rPr>
                <w:rFonts w:ascii="Times New Roman" w:hAnsi="Times New Roman" w:cs="Times New Roman"/>
                <w:b w:val="0"/>
                <w:bCs w:val="0"/>
                <w:sz w:val="21"/>
                <w:szCs w:val="21"/>
              </w:rPr>
              <w:t>9</w:t>
            </w:r>
          </w:p>
        </w:tc>
        <w:tc>
          <w:tcPr>
            <w:tcW w:w="0" w:type="auto"/>
            <w:hideMark/>
          </w:tcPr>
          <w:p w14:paraId="0AF58D5D"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DML-Multi</w:t>
            </w:r>
          </w:p>
        </w:tc>
        <w:tc>
          <w:tcPr>
            <w:tcW w:w="0" w:type="auto"/>
            <w:vMerge w:val="restart"/>
            <w:tcBorders>
              <w:top w:val="single" w:sz="4" w:space="0" w:color="auto"/>
            </w:tcBorders>
            <w:vAlign w:val="center"/>
            <w:hideMark/>
          </w:tcPr>
          <w:p w14:paraId="093CED46"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-1.195</w:t>
            </w:r>
          </w:p>
        </w:tc>
        <w:tc>
          <w:tcPr>
            <w:tcW w:w="0" w:type="auto"/>
            <w:hideMark/>
          </w:tcPr>
          <w:p w14:paraId="01674AA9"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0.285</w:t>
            </w:r>
          </w:p>
        </w:tc>
        <w:tc>
          <w:tcPr>
            <w:tcW w:w="0" w:type="auto"/>
            <w:hideMark/>
          </w:tcPr>
          <w:p w14:paraId="72A7D9A8"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0.134</w:t>
            </w:r>
          </w:p>
        </w:tc>
        <w:tc>
          <w:tcPr>
            <w:tcW w:w="0" w:type="auto"/>
            <w:hideMark/>
          </w:tcPr>
          <w:p w14:paraId="2C55FEF0" w14:textId="77777777" w:rsidR="002A11AD" w:rsidRPr="005E629F" w:rsidRDefault="002A11AD" w:rsidP="004A589C">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0.058</w:t>
            </w:r>
          </w:p>
        </w:tc>
      </w:tr>
      <w:tr w:rsidR="002A11AD" w:rsidRPr="005E629F" w14:paraId="1947A65E" w14:textId="77777777" w:rsidTr="004A589C">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bottom w:val="single" w:sz="4" w:space="0" w:color="auto"/>
            </w:tcBorders>
            <w:hideMark/>
          </w:tcPr>
          <w:p w14:paraId="09643303" w14:textId="77777777" w:rsidR="002A11AD" w:rsidRPr="005E629F" w:rsidRDefault="002A11AD" w:rsidP="004A589C">
            <w:pPr>
              <w:pStyle w:val="Compact"/>
              <w:jc w:val="center"/>
              <w:rPr>
                <w:rFonts w:ascii="Times New Roman" w:hAnsi="Times New Roman" w:cs="Times New Roman"/>
                <w:b w:val="0"/>
                <w:bCs w:val="0"/>
                <w:sz w:val="21"/>
                <w:szCs w:val="21"/>
              </w:rPr>
            </w:pPr>
          </w:p>
        </w:tc>
        <w:tc>
          <w:tcPr>
            <w:tcW w:w="0" w:type="auto"/>
            <w:hideMark/>
          </w:tcPr>
          <w:p w14:paraId="6405A71F"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TWFE</w:t>
            </w:r>
          </w:p>
        </w:tc>
        <w:tc>
          <w:tcPr>
            <w:tcW w:w="0" w:type="auto"/>
            <w:vMerge/>
            <w:tcBorders>
              <w:top w:val="single" w:sz="4" w:space="0" w:color="7F7F7F" w:themeColor="text1" w:themeTint="80"/>
              <w:bottom w:val="single" w:sz="4" w:space="0" w:color="7F7F7F" w:themeColor="text1" w:themeTint="80"/>
            </w:tcBorders>
            <w:hideMark/>
          </w:tcPr>
          <w:p w14:paraId="47E93078"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0" w:type="auto"/>
            <w:hideMark/>
          </w:tcPr>
          <w:p w14:paraId="57F54E20"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0.596</w:t>
            </w:r>
          </w:p>
        </w:tc>
        <w:tc>
          <w:tcPr>
            <w:tcW w:w="0" w:type="auto"/>
            <w:hideMark/>
          </w:tcPr>
          <w:p w14:paraId="78C2F5FE"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0.555</w:t>
            </w:r>
          </w:p>
        </w:tc>
        <w:tc>
          <w:tcPr>
            <w:tcW w:w="0" w:type="auto"/>
            <w:hideMark/>
          </w:tcPr>
          <w:p w14:paraId="6A63FF57" w14:textId="77777777" w:rsidR="002A11AD" w:rsidRPr="005E629F" w:rsidRDefault="002A11AD" w:rsidP="004A589C">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E629F">
              <w:rPr>
                <w:rFonts w:ascii="Times New Roman" w:hAnsi="Times New Roman" w:cs="Times New Roman"/>
                <w:sz w:val="21"/>
                <w:szCs w:val="21"/>
              </w:rPr>
              <w:t>0.550</w:t>
            </w:r>
          </w:p>
        </w:tc>
      </w:tr>
    </w:tbl>
    <w:p w14:paraId="1BA740AD" w14:textId="02B20394" w:rsidR="002A3936" w:rsidRPr="002A3936" w:rsidRDefault="002A3936" w:rsidP="002A3936">
      <w:pPr>
        <w:pStyle w:val="BodyText"/>
      </w:pPr>
    </w:p>
    <w:p w14:paraId="5360B442" w14:textId="77777777" w:rsidR="000B2E44" w:rsidRPr="00EA36AD" w:rsidRDefault="00000000" w:rsidP="00604C1F">
      <w:pPr>
        <w:pStyle w:val="Heading2"/>
        <w:jc w:val="both"/>
        <w:rPr>
          <w:rFonts w:ascii="Times New Roman" w:hAnsi="Times New Roman" w:cs="Times New Roman"/>
        </w:rPr>
      </w:pPr>
      <w:bookmarkStart w:id="19" w:name="references"/>
      <w:bookmarkEnd w:id="18"/>
      <w:r w:rsidRPr="00EA36AD">
        <w:rPr>
          <w:rFonts w:ascii="Times New Roman" w:hAnsi="Times New Roman" w:cs="Times New Roman"/>
        </w:rPr>
        <w:t>References</w:t>
      </w:r>
    </w:p>
    <w:bookmarkEnd w:id="0"/>
    <w:bookmarkEnd w:id="19"/>
    <w:p w14:paraId="1FF59286" w14:textId="77777777" w:rsidR="000768B6" w:rsidRPr="000768B6" w:rsidRDefault="00604C1F" w:rsidP="000768B6">
      <w:pPr>
        <w:pStyle w:val="Bibliography"/>
        <w:rPr>
          <w:rFonts w:ascii="Times New Roman" w:hAnsi="Times New Roman" w:cs="Times New Roman"/>
        </w:rPr>
      </w:pPr>
      <w:r w:rsidRPr="00EA36AD">
        <w:fldChar w:fldCharType="begin"/>
      </w:r>
      <w:r w:rsidRPr="00EA36AD">
        <w:instrText xml:space="preserve"> ADDIN ZOTERO_BIBL {"uncited":[],"omitted":[],"custom":[]} CSL_BIBLIOGRAPHY </w:instrText>
      </w:r>
      <w:r w:rsidRPr="00EA36AD">
        <w:fldChar w:fldCharType="separate"/>
      </w:r>
      <w:r w:rsidR="000768B6" w:rsidRPr="000768B6">
        <w:rPr>
          <w:rFonts w:ascii="Times New Roman" w:hAnsi="Times New Roman" w:cs="Times New Roman"/>
        </w:rPr>
        <w:t xml:space="preserve">Callaway, B., &amp; Santa’Anna, P. H. C. (2021). Difference-in-Differences with multiple time periods. </w:t>
      </w:r>
      <w:r w:rsidR="000768B6" w:rsidRPr="000768B6">
        <w:rPr>
          <w:rFonts w:ascii="Times New Roman" w:hAnsi="Times New Roman" w:cs="Times New Roman"/>
          <w:i/>
          <w:iCs/>
        </w:rPr>
        <w:t>Journal of Econometrics</w:t>
      </w:r>
      <w:r w:rsidR="000768B6" w:rsidRPr="000768B6">
        <w:rPr>
          <w:rFonts w:ascii="Times New Roman" w:hAnsi="Times New Roman" w:cs="Times New Roman"/>
        </w:rPr>
        <w:t xml:space="preserve">, </w:t>
      </w:r>
      <w:r w:rsidR="000768B6" w:rsidRPr="000768B6">
        <w:rPr>
          <w:rFonts w:ascii="Times New Roman" w:hAnsi="Times New Roman" w:cs="Times New Roman"/>
          <w:i/>
          <w:iCs/>
        </w:rPr>
        <w:t>225</w:t>
      </w:r>
      <w:r w:rsidR="000768B6" w:rsidRPr="000768B6">
        <w:rPr>
          <w:rFonts w:ascii="Times New Roman" w:hAnsi="Times New Roman" w:cs="Times New Roman"/>
        </w:rPr>
        <w:t>(2), 200–230. https://doi.org/10.1016/j.jeconom.2020.12.001</w:t>
      </w:r>
    </w:p>
    <w:p w14:paraId="2B02E63D"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t xml:space="preserve">Chang, N.-C. (2020). Double/debiased machine learning for difference-in-differences models. </w:t>
      </w:r>
      <w:r w:rsidRPr="000768B6">
        <w:rPr>
          <w:rFonts w:ascii="Times New Roman" w:hAnsi="Times New Roman" w:cs="Times New Roman"/>
          <w:i/>
          <w:iCs/>
        </w:rPr>
        <w:t>The Econometrics Journal</w:t>
      </w:r>
      <w:r w:rsidRPr="000768B6">
        <w:rPr>
          <w:rFonts w:ascii="Times New Roman" w:hAnsi="Times New Roman" w:cs="Times New Roman"/>
        </w:rPr>
        <w:t xml:space="preserve">, </w:t>
      </w:r>
      <w:r w:rsidRPr="000768B6">
        <w:rPr>
          <w:rFonts w:ascii="Times New Roman" w:hAnsi="Times New Roman" w:cs="Times New Roman"/>
          <w:i/>
          <w:iCs/>
        </w:rPr>
        <w:t>23</w:t>
      </w:r>
      <w:r w:rsidRPr="000768B6">
        <w:rPr>
          <w:rFonts w:ascii="Times New Roman" w:hAnsi="Times New Roman" w:cs="Times New Roman"/>
        </w:rPr>
        <w:t>(2), 177–191. https://doi.org/10.1093/ectj/utaa001</w:t>
      </w:r>
    </w:p>
    <w:p w14:paraId="2947778C"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t xml:space="preserve">Hatamyar, J., Kreif, N., Rocha, R., &amp; Huber, M. (2023). </w:t>
      </w:r>
      <w:r w:rsidRPr="000768B6">
        <w:rPr>
          <w:rFonts w:ascii="Times New Roman" w:hAnsi="Times New Roman" w:cs="Times New Roman"/>
          <w:i/>
          <w:iCs/>
        </w:rPr>
        <w:t>Machine Learning for Staggered Difference-in-Differences and Dynamic Treatment Effect Heterogeneity</w:t>
      </w:r>
      <w:r w:rsidRPr="000768B6">
        <w:rPr>
          <w:rFonts w:ascii="Times New Roman" w:hAnsi="Times New Roman" w:cs="Times New Roman"/>
        </w:rPr>
        <w:t xml:space="preserve"> (arXiv:2310.11962). arXiv. https://doi.org/10.48550/arXiv.2310.11962</w:t>
      </w:r>
    </w:p>
    <w:p w14:paraId="35C1F0FB" w14:textId="77777777" w:rsidR="000768B6" w:rsidRPr="000768B6" w:rsidRDefault="000768B6" w:rsidP="000768B6">
      <w:pPr>
        <w:pStyle w:val="Bibliography"/>
        <w:rPr>
          <w:rFonts w:ascii="Times New Roman" w:hAnsi="Times New Roman" w:cs="Times New Roman"/>
        </w:rPr>
      </w:pPr>
      <w:r w:rsidRPr="000768B6">
        <w:rPr>
          <w:rFonts w:ascii="Times New Roman" w:hAnsi="Times New Roman" w:cs="Times New Roman"/>
        </w:rPr>
        <w:lastRenderedPageBreak/>
        <w:t xml:space="preserve">Ke, G., Meng, Q., Finley, T., Wang, T., Chen, W., Ma, W., Ye, Q., &amp; Liu, T.-Y. (2017). LightGBM: a highly efficient gradient boosting decision tree. </w:t>
      </w:r>
      <w:r w:rsidRPr="000768B6">
        <w:rPr>
          <w:rFonts w:ascii="Times New Roman" w:hAnsi="Times New Roman" w:cs="Times New Roman"/>
          <w:i/>
          <w:iCs/>
        </w:rPr>
        <w:t>Proceedings of the 31st International Conference on Neural Information Processing Systems, NIPS’17</w:t>
      </w:r>
      <w:r w:rsidRPr="000768B6">
        <w:rPr>
          <w:rFonts w:ascii="Times New Roman" w:hAnsi="Times New Roman" w:cs="Times New Roman"/>
        </w:rPr>
        <w:t>, 3149–3157.</w:t>
      </w:r>
    </w:p>
    <w:p w14:paraId="76F87048" w14:textId="6C468CB8" w:rsidR="000B2E44" w:rsidRPr="00EA36AD" w:rsidRDefault="00604C1F" w:rsidP="000768B6">
      <w:pPr>
        <w:pStyle w:val="Bibliography"/>
        <w:spacing w:line="240" w:lineRule="auto"/>
        <w:rPr>
          <w:rFonts w:ascii="Times New Roman" w:hAnsi="Times New Roman" w:cs="Times New Roman"/>
        </w:rPr>
      </w:pPr>
      <w:r w:rsidRPr="00EA36AD">
        <w:rPr>
          <w:rFonts w:ascii="Times New Roman" w:hAnsi="Times New Roman" w:cs="Times New Roman"/>
        </w:rPr>
        <w:fldChar w:fldCharType="end"/>
      </w:r>
    </w:p>
    <w:sectPr w:rsidR="000B2E44" w:rsidRPr="00EA36AD">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DF8C" w14:textId="77777777" w:rsidR="00D86E23" w:rsidRDefault="00D86E23" w:rsidP="000441CA">
      <w:pPr>
        <w:spacing w:after="0"/>
      </w:pPr>
      <w:r>
        <w:separator/>
      </w:r>
    </w:p>
  </w:endnote>
  <w:endnote w:type="continuationSeparator" w:id="0">
    <w:p w14:paraId="4F394B7C" w14:textId="77777777" w:rsidR="00D86E23" w:rsidRDefault="00D86E23" w:rsidP="000441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535F" w14:textId="77777777" w:rsidR="000441CA" w:rsidRDefault="00044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CB0C" w14:textId="77777777" w:rsidR="00D86E23" w:rsidRDefault="00D86E23" w:rsidP="000441CA">
      <w:pPr>
        <w:spacing w:after="0"/>
      </w:pPr>
      <w:r>
        <w:separator/>
      </w:r>
    </w:p>
  </w:footnote>
  <w:footnote w:type="continuationSeparator" w:id="0">
    <w:p w14:paraId="05F8793D" w14:textId="77777777" w:rsidR="00D86E23" w:rsidRDefault="00D86E23" w:rsidP="000441CA">
      <w:pPr>
        <w:spacing w:after="0"/>
      </w:pPr>
      <w:r>
        <w:continuationSeparator/>
      </w:r>
    </w:p>
  </w:footnote>
  <w:footnote w:id="1">
    <w:p w14:paraId="4A1E4307" w14:textId="50E8C325" w:rsidR="000441CA" w:rsidRDefault="000441CA">
      <w:pPr>
        <w:pStyle w:val="FootnoteText"/>
      </w:pPr>
      <w:r>
        <w:rPr>
          <w:rStyle w:val="FootnoteReference"/>
        </w:rPr>
        <w:footnoteRef/>
      </w:r>
      <w:r>
        <w:t xml:space="preserve"> </w:t>
      </w:r>
      <w:r>
        <w:rPr>
          <w:rFonts w:ascii="Times New Roman" w:hAnsi="Times New Roman" w:cs="Times New Roman"/>
          <w:sz w:val="18"/>
          <w:szCs w:val="18"/>
        </w:rPr>
        <w:t>Tables with ‘default’ and ‘heavy’ configurations</w:t>
      </w:r>
      <w:r w:rsidRPr="000441CA">
        <w:rPr>
          <w:rFonts w:ascii="Times New Roman" w:hAnsi="Times New Roman" w:cs="Times New Roman"/>
          <w:sz w:val="18"/>
          <w:szCs w:val="18"/>
        </w:rPr>
        <w:t xml:space="preserve"> are provided in the Appendi</w:t>
      </w:r>
      <w:r>
        <w:rPr>
          <w:rFonts w:ascii="Times New Roman" w:hAnsi="Times New Roman" w:cs="Times New Roman"/>
          <w:sz w:val="18"/>
          <w:szCs w:val="18"/>
        </w:rPr>
        <w:t>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EB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649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2E44"/>
    <w:rsid w:val="000441CA"/>
    <w:rsid w:val="000768B6"/>
    <w:rsid w:val="000B2E44"/>
    <w:rsid w:val="00176BBA"/>
    <w:rsid w:val="002A11AD"/>
    <w:rsid w:val="002A3936"/>
    <w:rsid w:val="00331489"/>
    <w:rsid w:val="004A589C"/>
    <w:rsid w:val="005729B5"/>
    <w:rsid w:val="005E629F"/>
    <w:rsid w:val="00604C1F"/>
    <w:rsid w:val="006318B7"/>
    <w:rsid w:val="00714F08"/>
    <w:rsid w:val="00746388"/>
    <w:rsid w:val="007C1EC8"/>
    <w:rsid w:val="00896900"/>
    <w:rsid w:val="008A70BC"/>
    <w:rsid w:val="00956F0D"/>
    <w:rsid w:val="00B06B3A"/>
    <w:rsid w:val="00B3481B"/>
    <w:rsid w:val="00B55C1F"/>
    <w:rsid w:val="00B845D9"/>
    <w:rsid w:val="00D86E23"/>
    <w:rsid w:val="00E21495"/>
    <w:rsid w:val="00EA36AD"/>
    <w:rsid w:val="00EA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EDDE5"/>
  <w15:docId w15:val="{1B198C45-9B4D-F841-A69F-551CA028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0" w:line="480" w:lineRule="auto"/>
      <w:ind w:left="720" w:hanging="72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E629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5E629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0441CA"/>
    <w:pPr>
      <w:tabs>
        <w:tab w:val="center" w:pos="4680"/>
        <w:tab w:val="right" w:pos="9360"/>
      </w:tabs>
      <w:spacing w:after="0"/>
    </w:pPr>
  </w:style>
  <w:style w:type="character" w:customStyle="1" w:styleId="HeaderChar">
    <w:name w:val="Header Char"/>
    <w:basedOn w:val="DefaultParagraphFont"/>
    <w:link w:val="Header"/>
    <w:rsid w:val="000441CA"/>
  </w:style>
  <w:style w:type="paragraph" w:styleId="Footer">
    <w:name w:val="footer"/>
    <w:basedOn w:val="Normal"/>
    <w:link w:val="FooterChar"/>
    <w:rsid w:val="000441CA"/>
    <w:pPr>
      <w:tabs>
        <w:tab w:val="center" w:pos="4680"/>
        <w:tab w:val="right" w:pos="9360"/>
      </w:tabs>
      <w:spacing w:after="0"/>
    </w:pPr>
  </w:style>
  <w:style w:type="character" w:customStyle="1" w:styleId="FooterChar">
    <w:name w:val="Footer Char"/>
    <w:basedOn w:val="DefaultParagraphFont"/>
    <w:link w:val="Footer"/>
    <w:rsid w:val="00044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BCC0F-2487-FB47-BC18-FD45B4F2D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13</Pages>
  <Words>7395</Words>
  <Characters>42158</Characters>
  <Application>Microsoft Office Word</Application>
  <DocSecurity>0</DocSecurity>
  <Lines>351</Lines>
  <Paragraphs>98</Paragraphs>
  <ScaleCrop>false</ScaleCrop>
  <Company/>
  <LinksUpToDate>false</LinksUpToDate>
  <CharactersWithSpaces>49455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Martin Gabriel Cargnel</cp:lastModifiedBy>
  <cp:revision>11</cp:revision>
  <dcterms:created xsi:type="dcterms:W3CDTF">2026-03-14T11:30:00Z</dcterms:created>
  <dcterms:modified xsi:type="dcterms:W3CDTF">2026-03-14T17:42:00Z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id="glUCzj3a"/&gt;&lt;style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