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theme/themeOverride1.xml" ContentType="application/vnd.openxmlformats-officedocument.themeOverrid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27F701">
      <w:pPr>
        <w:bidi w:val="0"/>
      </w:pPr>
    </w:p>
    <w:p w14:paraId="4782168A">
      <w:pPr>
        <w:bidi w:val="0"/>
      </w:pPr>
    </w:p>
    <w:p w14:paraId="5615E48C">
      <w:pPr>
        <w:bidi w:val="0"/>
      </w:pPr>
    </w:p>
    <w:p w14:paraId="5A1D6DF8">
      <w:pPr>
        <w:bidi w:val="0"/>
      </w:pPr>
    </w:p>
    <w:p w14:paraId="3093FF32">
      <w:pPr>
        <w:bidi w:val="0"/>
      </w:pPr>
    </w:p>
    <w:p w14:paraId="5B65339C">
      <w:pPr>
        <w:bidi w:val="0"/>
      </w:pPr>
    </w:p>
    <w:p w14:paraId="730B955D">
      <w:pPr>
        <w:bidi w:val="0"/>
      </w:pPr>
    </w:p>
    <w:p w14:paraId="516F34D8">
      <w:pPr>
        <w:bidi w:val="0"/>
      </w:pPr>
    </w:p>
    <w:p w14:paraId="2441B16F">
      <w:pPr>
        <w:bidi w:val="0"/>
      </w:pPr>
    </w:p>
    <w:p w14:paraId="5B076EB7">
      <w:pPr>
        <w:pStyle w:val="28"/>
        <w:bidi w:val="0"/>
      </w:pPr>
      <w:r>
        <w:t>英大财险-数据共享中心-业财再精核对方案</w:t>
      </w:r>
    </w:p>
    <w:p w14:paraId="73FF2638">
      <w:pPr>
        <w:rPr>
          <w:rFonts w:hint="eastAsia" w:eastAsiaTheme="minorEastAsia"/>
          <w:lang w:eastAsia="zh-CN"/>
        </w:rPr>
      </w:pPr>
    </w:p>
    <w:p w14:paraId="5776B342">
      <w:pPr>
        <w:rPr>
          <w:rFonts w:hint="eastAsia" w:eastAsiaTheme="minorEastAsia"/>
          <w:lang w:eastAsia="zh-CN"/>
        </w:rPr>
      </w:pPr>
    </w:p>
    <w:p w14:paraId="3C1A3F27">
      <w:pPr>
        <w:rPr>
          <w:rFonts w:hint="eastAsia" w:eastAsiaTheme="minorEastAsia"/>
          <w:lang w:eastAsia="zh-CN"/>
        </w:rPr>
      </w:pPr>
    </w:p>
    <w:p w14:paraId="6D22689F">
      <w:pPr>
        <w:rPr>
          <w:rFonts w:hint="eastAsia" w:eastAsiaTheme="minorEastAsia"/>
          <w:lang w:eastAsia="zh-CN"/>
        </w:rPr>
      </w:pPr>
    </w:p>
    <w:p w14:paraId="53DF2290">
      <w:pPr>
        <w:rPr>
          <w:rFonts w:hint="eastAsia" w:eastAsiaTheme="minorEastAsia"/>
          <w:lang w:eastAsia="zh-CN"/>
        </w:rPr>
      </w:pPr>
    </w:p>
    <w:p w14:paraId="10B12FAF">
      <w:pPr>
        <w:rPr>
          <w:rFonts w:hint="eastAsia" w:eastAsiaTheme="minorEastAsia"/>
          <w:lang w:eastAsia="zh-CN"/>
        </w:rPr>
      </w:pPr>
    </w:p>
    <w:p w14:paraId="773C5B59">
      <w:pPr>
        <w:rPr>
          <w:rFonts w:hint="eastAsia" w:eastAsiaTheme="minorEastAsia"/>
          <w:lang w:eastAsia="zh-CN"/>
        </w:rPr>
      </w:pPr>
    </w:p>
    <w:p w14:paraId="276473F9">
      <w:pPr>
        <w:rPr>
          <w:rFonts w:hint="eastAsia" w:eastAsiaTheme="minorEastAsia"/>
          <w:lang w:eastAsia="zh-CN"/>
        </w:rPr>
      </w:pPr>
    </w:p>
    <w:p w14:paraId="48FDD310">
      <w:pPr>
        <w:rPr>
          <w:rFonts w:hint="eastAsia" w:eastAsiaTheme="minorEastAsia"/>
          <w:lang w:eastAsia="zh-CN"/>
        </w:rPr>
      </w:pPr>
    </w:p>
    <w:p w14:paraId="7DBC73F8">
      <w:pPr>
        <w:rPr>
          <w:rFonts w:hint="eastAsia" w:eastAsiaTheme="minorEastAsia"/>
          <w:lang w:eastAsia="zh-CN"/>
        </w:rPr>
      </w:pPr>
    </w:p>
    <w:p w14:paraId="0D5DCABE">
      <w:pPr>
        <w:rPr>
          <w:rFonts w:hint="eastAsia" w:eastAsiaTheme="minorEastAsia"/>
          <w:lang w:eastAsia="zh-CN"/>
        </w:rPr>
      </w:pPr>
    </w:p>
    <w:p w14:paraId="68B4188B">
      <w:pPr>
        <w:rPr>
          <w:rFonts w:hint="eastAsia" w:eastAsiaTheme="minorEastAsia"/>
          <w:lang w:eastAsia="zh-CN"/>
        </w:rPr>
      </w:pPr>
    </w:p>
    <w:p w14:paraId="453E522E">
      <w:pPr>
        <w:rPr>
          <w:rFonts w:hint="eastAsia" w:eastAsiaTheme="minorEastAsia"/>
          <w:lang w:eastAsia="zh-CN"/>
        </w:rPr>
      </w:pPr>
    </w:p>
    <w:p w14:paraId="5D1DFAC9">
      <w:pPr>
        <w:rPr>
          <w:rFonts w:hint="eastAsia" w:eastAsiaTheme="minorEastAsia"/>
          <w:lang w:eastAsia="zh-CN"/>
        </w:rPr>
      </w:pPr>
    </w:p>
    <w:p w14:paraId="76F2C90B">
      <w:pPr>
        <w:rPr>
          <w:rFonts w:hint="eastAsia" w:eastAsiaTheme="minorEastAsia"/>
          <w:lang w:eastAsia="zh-CN"/>
        </w:rPr>
      </w:pPr>
    </w:p>
    <w:p w14:paraId="7252EE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</w:t>
      </w:r>
    </w:p>
    <w:p w14:paraId="3DD7CBA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2026年05月</w:t>
      </w:r>
    </w:p>
    <w:p w14:paraId="560E713B">
      <w:pPr>
        <w:rPr>
          <w:rFonts w:hint="eastAsia" w:eastAsiaTheme="minorEastAsia"/>
          <w:lang w:eastAsia="zh-CN"/>
        </w:rPr>
      </w:pPr>
    </w:p>
    <w:p w14:paraId="1833DA68">
      <w:pPr>
        <w:rPr>
          <w:rFonts w:hint="eastAsia" w:eastAsiaTheme="minorEastAsia"/>
          <w:lang w:eastAsia="zh-CN"/>
        </w:rPr>
      </w:pPr>
    </w:p>
    <w:p w14:paraId="026CAA3D">
      <w:pPr>
        <w:rPr>
          <w:rFonts w:hint="eastAsia" w:eastAsiaTheme="minorEastAsia"/>
          <w:lang w:eastAsia="zh-CN"/>
        </w:rPr>
      </w:pPr>
    </w:p>
    <w:p w14:paraId="5E20ACE1">
      <w:pPr>
        <w:pStyle w:val="3"/>
        <w:bidi w:val="0"/>
        <w:rPr>
          <w:rFonts w:hint="eastAsia"/>
        </w:rPr>
      </w:pPr>
      <w:r>
        <w:rPr>
          <w:rFonts w:hint="eastAsia"/>
        </w:rPr>
        <w:t>一、背景与目标</w:t>
      </w:r>
    </w:p>
    <w:p w14:paraId="76D58E19">
      <w:pPr>
        <w:rPr>
          <w:rFonts w:hint="eastAsia"/>
        </w:rPr>
      </w:pPr>
    </w:p>
    <w:p w14:paraId="0F9486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当前，公司已建成以数据共享中心为核心的统一数据</w:t>
      </w:r>
      <w:r>
        <w:rPr>
          <w:rFonts w:hint="eastAsia"/>
          <w:lang w:val="en-US" w:eastAsia="zh-CN"/>
        </w:rPr>
        <w:t>中心</w:t>
      </w:r>
      <w:r>
        <w:rPr>
          <w:rFonts w:hint="eastAsia"/>
        </w:rPr>
        <w:t>，实现了收付系统、承保系统、理赔系统、再保系统、精算准备金系统等多源数据的集中采集与存储。但在实际运营中，各系统间仍存在</w:t>
      </w:r>
      <w:r>
        <w:rPr>
          <w:rFonts w:hint="eastAsia"/>
          <w:highlight w:val="yellow"/>
        </w:rPr>
        <w:t>数据口径不一、流转缺失、金额偏差等问题</w:t>
      </w:r>
      <w:r>
        <w:rPr>
          <w:rFonts w:hint="eastAsia"/>
        </w:rPr>
        <w:t>，直接影响财务报告的真实性、新保险合同准则（IFRS 17/中国新准则）基础数据的合规性，以及公司整体经营风险的管控。</w:t>
      </w:r>
    </w:p>
    <w:p w14:paraId="01D67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为进一步夯实数据底座，</w:t>
      </w:r>
      <w:r>
        <w:rPr>
          <w:rFonts w:hint="eastAsia"/>
          <w:lang w:val="en-US" w:eastAsia="zh-CN"/>
        </w:rPr>
        <w:t>数科部-数据处</w:t>
      </w:r>
      <w:r>
        <w:rPr>
          <w:rFonts w:hint="eastAsia"/>
        </w:rPr>
        <w:t>组织开展了</w:t>
      </w:r>
      <w:r>
        <w:rPr>
          <w:rFonts w:hint="eastAsia"/>
          <w:highlight w:val="yellow"/>
        </w:rPr>
        <w:t>业务数据（承保、理赔）、财务数据（收付）、再保数据、精算准备金数据的四方交叉核对工作</w:t>
      </w:r>
      <w:r>
        <w:rPr>
          <w:rFonts w:hint="eastAsia"/>
        </w:rPr>
        <w:t>。核心思路是：</w:t>
      </w:r>
      <w:r>
        <w:rPr>
          <w:rFonts w:hint="eastAsia"/>
          <w:highlight w:val="cyan"/>
        </w:rPr>
        <w:t>以财务收付数据为中心纽带，与承保、理赔业务源头核对（业财核对），与准备金</w:t>
      </w:r>
      <w:r>
        <w:rPr>
          <w:rFonts w:hint="eastAsia"/>
          <w:highlight w:val="cyan"/>
          <w:lang w:val="en-US" w:eastAsia="zh-CN"/>
        </w:rPr>
        <w:t>基础数据</w:t>
      </w:r>
      <w:r>
        <w:rPr>
          <w:rFonts w:hint="eastAsia"/>
          <w:highlight w:val="cyan"/>
        </w:rPr>
        <w:t>核对（财精核对），与再保</w:t>
      </w:r>
      <w:r>
        <w:rPr>
          <w:rFonts w:hint="eastAsia"/>
          <w:highlight w:val="cyan"/>
          <w:lang w:val="en-US" w:eastAsia="zh-CN"/>
        </w:rPr>
        <w:t>账期</w:t>
      </w:r>
      <w:r>
        <w:rPr>
          <w:rFonts w:hint="eastAsia"/>
          <w:highlight w:val="cyan"/>
        </w:rPr>
        <w:t>结算数据核对（财再核对），并由共享中心牵头打通准备金与业务、再保之间的核对（业精核对、精再核对），形成覆盖全价值链的跨系统数据一致性验证闭环。</w:t>
      </w:r>
      <w:bookmarkStart w:id="0" w:name="_GoBack"/>
      <w:bookmarkEnd w:id="0"/>
    </w:p>
    <w:p w14:paraId="1A41855B">
      <w:pPr>
        <w:rPr>
          <w:rFonts w:hint="eastAsia"/>
        </w:rPr>
      </w:pPr>
    </w:p>
    <w:p w14:paraId="19645DA9">
      <w:pPr>
        <w:rPr>
          <w:rFonts w:hint="eastAsia" w:eastAsiaTheme="minorEastAsia"/>
          <w:lang w:eastAsia="zh-CN"/>
        </w:rPr>
      </w:pPr>
      <w:r>
        <w:rPr>
          <w:rFonts w:hint="eastAsia"/>
        </w:rPr>
        <w:t>目标：</w:t>
      </w:r>
    </w:p>
    <w:p w14:paraId="35F8F5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1. 保证财务数据真实完整：确保收付系统记录的保费、赔款、手续费等于业务源头和准备金计量一致。</w:t>
      </w:r>
    </w:p>
    <w:p w14:paraId="63E73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2. 夯实新准则数据基础：验证计量模型输入数据（保费、赔款、费用、分保等）在系统间流转无偏差，满足IFRS 17</w:t>
      </w:r>
      <w:r>
        <w:rPr>
          <w:rFonts w:hint="eastAsia"/>
          <w:lang w:val="en-US" w:eastAsia="zh-CN"/>
        </w:rPr>
        <w:t>最细</w:t>
      </w:r>
      <w:r>
        <w:rPr>
          <w:rFonts w:hint="eastAsia"/>
        </w:rPr>
        <w:t>颗粒度、合同组及保单维度合规要求。</w:t>
      </w:r>
    </w:p>
    <w:p w14:paraId="24CE3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80" w:firstLineChars="20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3. 降低数据问题导致的财务错报、准备金偏差和再保结算风险，实现数据异常的快速定位、责任界定和修复。</w:t>
      </w:r>
    </w:p>
    <w:p w14:paraId="04B5D11D">
      <w:pPr>
        <w:rPr>
          <w:rFonts w:hint="eastAsia"/>
        </w:rPr>
      </w:pPr>
    </w:p>
    <w:p w14:paraId="6E0DBA09">
      <w:pPr>
        <w:pStyle w:val="3"/>
        <w:bidi w:val="0"/>
        <w:rPr>
          <w:rFonts w:hint="eastAsia"/>
        </w:rPr>
      </w:pPr>
      <w:r>
        <w:rPr>
          <w:rFonts w:hint="eastAsia"/>
        </w:rPr>
        <w:t>二、设计思路</w:t>
      </w:r>
    </w:p>
    <w:p w14:paraId="75B61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整体设计遵循“统一接入、规则配置、自动校验、报告闭环”的原则，借助数据共享中心现有平台能力进行扩展。</w:t>
      </w:r>
    </w:p>
    <w:p w14:paraId="25704D99"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1. 统一数据接入与标准化  </w:t>
      </w:r>
    </w:p>
    <w:p w14:paraId="73387AC2">
      <w:pPr>
        <w:rPr>
          <w:rFonts w:hint="eastAsia"/>
        </w:rPr>
      </w:pPr>
      <w:r>
        <w:rPr>
          <w:rFonts w:hint="eastAsia"/>
        </w:rPr>
        <w:t xml:space="preserve">   各业务系统（承保、理赔、再保）及财务收付、准备金系统的原始数据，通过批量/</w:t>
      </w:r>
      <w:r>
        <w:rPr>
          <w:rFonts w:hint="eastAsia"/>
          <w:lang w:val="en-US" w:eastAsia="zh-CN"/>
        </w:rPr>
        <w:t>T+1</w:t>
      </w:r>
      <w:r>
        <w:rPr>
          <w:rFonts w:hint="eastAsia"/>
        </w:rPr>
        <w:t>方式汇入数据共享中心。在原有</w:t>
      </w:r>
      <w:r>
        <w:rPr>
          <w:rFonts w:hint="eastAsia"/>
          <w:lang w:val="en-US" w:eastAsia="zh-CN"/>
        </w:rPr>
        <w:t>数仓</w:t>
      </w:r>
      <w:r>
        <w:rPr>
          <w:rFonts w:hint="eastAsia"/>
        </w:rPr>
        <w:t>（操作数据存储层）之上，新增DMS（Data Matching Store，数据核对存储层），专门承载跨系统校验所需的标准化数据。按域进行模型分区，统一数据结构、字段命名及码值映射，消除异构系统差异。</w:t>
      </w:r>
    </w:p>
    <w:p w14:paraId="28D5290C"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2. 规则驱动自动化校验  </w:t>
      </w:r>
    </w:p>
    <w:p w14:paraId="3AE1C30C">
      <w:pPr>
        <w:rPr>
          <w:rFonts w:hint="eastAsia"/>
        </w:rPr>
      </w:pPr>
      <w:r>
        <w:rPr>
          <w:rFonts w:hint="eastAsia"/>
        </w:rPr>
        <w:t xml:space="preserve">   在数据共享中心的质量管理模块中，可视化配置核对规则。每条规则定义数据源、关联键、比对字段及容差阈值，后台自动解析为可执行的SQL/比对任务，并调度执行。支持按日、按月等频次运行。</w:t>
      </w:r>
    </w:p>
    <w:p w14:paraId="1CF2F880"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3. 质量报告与闭环管理  </w:t>
      </w:r>
    </w:p>
    <w:p w14:paraId="6D138AFE">
      <w:pPr>
        <w:rPr>
          <w:rFonts w:hint="eastAsia"/>
        </w:rPr>
      </w:pPr>
      <w:r>
        <w:rPr>
          <w:rFonts w:hint="eastAsia"/>
        </w:rPr>
        <w:t xml:space="preserve">   每次校验完成后，自动生成多维质量报告，包含整体通过率、按核对类型/系统的明细、差异记录详情。报告</w:t>
      </w:r>
      <w:r>
        <w:rPr>
          <w:rFonts w:hint="eastAsia"/>
          <w:lang w:val="en-US" w:eastAsia="zh-CN"/>
        </w:rPr>
        <w:t>通过数据共享中心运维人员分析后，发送至各系统运维负责人进行整改</w:t>
      </w:r>
      <w:r>
        <w:rPr>
          <w:rFonts w:hint="eastAsia"/>
        </w:rPr>
        <w:t>，实现“发现-通知-修复-复验”闭环。</w:t>
      </w:r>
    </w:p>
    <w:p w14:paraId="138E428C">
      <w:pPr>
        <w:pStyle w:val="4"/>
        <w:bidi w:val="0"/>
        <w:rPr>
          <w:rFonts w:hint="eastAsia"/>
        </w:rPr>
      </w:pPr>
      <w:r>
        <w:rPr>
          <w:rFonts w:hint="eastAsia"/>
        </w:rPr>
        <w:t xml:space="preserve">4. 分层分域治理  </w:t>
      </w:r>
    </w:p>
    <w:p w14:paraId="31281BC1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根据核对对象和时效性要求，将规则划分为日频度保单级/立案级/计算书级的实时一致性校验，以及月频度账单期/合同组级的批量校验，既保障日常监控，又满足月结与准则计量需求。</w:t>
      </w:r>
    </w:p>
    <w:p w14:paraId="0C2FB539">
      <w:pPr>
        <w:pStyle w:val="3"/>
        <w:bidi w:val="0"/>
        <w:rPr>
          <w:rFonts w:hint="eastAsia"/>
        </w:rPr>
      </w:pPr>
      <w:r>
        <w:rPr>
          <w:rFonts w:hint="eastAsia"/>
        </w:rPr>
        <w:t>三、详细设计方案</w:t>
      </w:r>
    </w:p>
    <w:p w14:paraId="3F5B96E9">
      <w:pPr>
        <w:pStyle w:val="4"/>
        <w:bidi w:val="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 xml:space="preserve"> 数据接入规范</w:t>
      </w:r>
    </w:p>
    <w:p w14:paraId="50E26F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在数据共享中心分层体系内，新增DMS层，用于存储跨系统校验的轻度汇总及明细基准数据，保障校验过程隔离、高效且可追溯。</w:t>
      </w:r>
    </w:p>
    <w:p w14:paraId="3A9B0D71">
      <w:pPr>
        <w:rPr>
          <w:rFonts w:hint="eastAsia" w:eastAsiaTheme="minorEastAsia"/>
          <w:lang w:eastAsia="zh-CN"/>
        </w:rPr>
      </w:pPr>
      <w:r>
        <w:rPr>
          <w:rFonts w:hint="eastAsia"/>
        </w:rPr>
        <w:t>数据域划分及缩写：</w:t>
      </w:r>
    </w:p>
    <w:p w14:paraId="7B3103D0">
      <w:pPr>
        <w:rPr>
          <w:rFonts w:hint="eastAsia"/>
        </w:rPr>
      </w:pPr>
      <w:r>
        <w:rPr>
          <w:rFonts w:hint="eastAsia"/>
        </w:rPr>
        <w:t xml:space="preserve">  承保域（Policy &amp; Endorsement）：PL</w:t>
      </w:r>
    </w:p>
    <w:p w14:paraId="0D35F385">
      <w:pPr>
        <w:rPr>
          <w:rFonts w:hint="eastAsia"/>
        </w:rPr>
      </w:pPr>
      <w:r>
        <w:rPr>
          <w:rFonts w:hint="eastAsia"/>
        </w:rPr>
        <w:t xml:space="preserve">  理赔域（Claim）：CL</w:t>
      </w:r>
    </w:p>
    <w:p w14:paraId="789350DC">
      <w:pPr>
        <w:rPr>
          <w:rFonts w:hint="eastAsia"/>
        </w:rPr>
      </w:pPr>
      <w:r>
        <w:rPr>
          <w:rFonts w:hint="eastAsia"/>
        </w:rPr>
        <w:t xml:space="preserve">  收付域（Financial &amp; Payment）：FI</w:t>
      </w:r>
    </w:p>
    <w:p w14:paraId="4275944A">
      <w:pPr>
        <w:rPr>
          <w:rFonts w:hint="eastAsia"/>
        </w:rPr>
      </w:pPr>
      <w:r>
        <w:rPr>
          <w:rFonts w:hint="eastAsia"/>
        </w:rPr>
        <w:t xml:space="preserve">  准备金域（Reserve）：RS</w:t>
      </w:r>
    </w:p>
    <w:p w14:paraId="708B9B99">
      <w:pPr>
        <w:rPr>
          <w:rFonts w:hint="eastAsia"/>
        </w:rPr>
      </w:pPr>
      <w:r>
        <w:rPr>
          <w:rFonts w:hint="eastAsia"/>
        </w:rPr>
        <w:t xml:space="preserve">  再保域（Reinsurance）：RI</w:t>
      </w:r>
    </w:p>
    <w:p w14:paraId="68531C0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新保险合同准则（</w:t>
      </w:r>
      <w:r>
        <w:rPr>
          <w:rFonts w:hint="eastAsia"/>
        </w:rPr>
        <w:t>IFRS 17</w:t>
      </w:r>
      <w:r>
        <w:rPr>
          <w:rFonts w:hint="eastAsia"/>
          <w:lang w:val="en-US" w:eastAsia="zh-CN"/>
        </w:rPr>
        <w:t>）IF</w:t>
      </w:r>
    </w:p>
    <w:p w14:paraId="60CEFB18">
      <w:pPr>
        <w:rPr>
          <w:rFonts w:hint="eastAsia"/>
        </w:rPr>
      </w:pPr>
      <w:r>
        <w:rPr>
          <w:rFonts w:hint="eastAsia"/>
        </w:rPr>
        <w:t xml:space="preserve">接入内容：  </w:t>
      </w:r>
    </w:p>
    <w:p w14:paraId="2A5378FE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从各源系统的ODS明细表中，按校验所需字段抽取数据，生成DMS标准表。例如：</w:t>
      </w:r>
    </w:p>
    <w:p w14:paraId="0367281B">
      <w:pPr>
        <w:rPr>
          <w:rFonts w:hint="eastAsia"/>
        </w:rPr>
      </w:pPr>
      <w:r>
        <w:rPr>
          <w:rFonts w:hint="eastAsia"/>
        </w:rPr>
        <w:t xml:space="preserve">  DMS</w:t>
      </w:r>
      <w:r>
        <w:rPr>
          <w:rFonts w:hint="eastAsia"/>
          <w:lang w:val="en-US" w:eastAsia="zh-CN"/>
        </w:rPr>
        <w:t>_</w:t>
      </w:r>
      <w:r>
        <w:rPr>
          <w:rFonts w:hint="eastAsia"/>
        </w:rPr>
        <w:t xml:space="preserve"> PL保单信息表（含不含税保费、不含税手续费、保批单号等）</w:t>
      </w:r>
    </w:p>
    <w:p w14:paraId="45D2A872">
      <w:pPr>
        <w:rPr>
          <w:rFonts w:hint="eastAsia"/>
        </w:rPr>
      </w:pPr>
      <w:r>
        <w:rPr>
          <w:rFonts w:hint="eastAsia"/>
        </w:rPr>
        <w:t xml:space="preserve">  DMS</w:t>
      </w:r>
      <w:r>
        <w:rPr>
          <w:rFonts w:hint="eastAsia"/>
          <w:lang w:val="en-US" w:eastAsia="zh-CN"/>
        </w:rPr>
        <w:t>_</w:t>
      </w:r>
      <w:r>
        <w:rPr>
          <w:rFonts w:hint="eastAsia"/>
        </w:rPr>
        <w:t>CL_理算信息表、DMS_CL_未决信息表</w:t>
      </w:r>
    </w:p>
    <w:p w14:paraId="51530CE0">
      <w:pPr>
        <w:rPr>
          <w:rFonts w:hint="eastAsia"/>
        </w:rPr>
      </w:pPr>
      <w:r>
        <w:rPr>
          <w:rFonts w:hint="eastAsia"/>
        </w:rPr>
        <w:t xml:space="preserve">  DMS_FI_收付信息表（入账类型、单据号、金额、保批单号、计算书号等）</w:t>
      </w:r>
    </w:p>
    <w:p w14:paraId="23EA9D49">
      <w:pPr>
        <w:rPr>
          <w:rFonts w:hint="eastAsia"/>
        </w:rPr>
      </w:pPr>
      <w:r>
        <w:rPr>
          <w:rFonts w:hint="eastAsia"/>
        </w:rPr>
        <w:t xml:space="preserve">  DMS_RS_保批单信息表、DMS_RS</w:t>
      </w:r>
      <w:r>
        <w:rPr>
          <w:rFonts w:hint="eastAsia"/>
          <w:lang w:val="en-US" w:eastAsia="zh-CN"/>
        </w:rPr>
        <w:t>_</w:t>
      </w:r>
      <w:r>
        <w:rPr>
          <w:rFonts w:hint="eastAsia"/>
        </w:rPr>
        <w:t>理赔清单表</w:t>
      </w:r>
    </w:p>
    <w:p w14:paraId="33BBCF27">
      <w:pPr>
        <w:rPr>
          <w:rFonts w:hint="eastAsia"/>
        </w:rPr>
      </w:pPr>
      <w:r>
        <w:rPr>
          <w:rFonts w:hint="eastAsia"/>
        </w:rPr>
        <w:t xml:space="preserve">  DMS_RI_再保分出信息表、DMS_RI</w:t>
      </w:r>
      <w:r>
        <w:rPr>
          <w:rFonts w:hint="eastAsia"/>
          <w:lang w:val="en-US" w:eastAsia="zh-CN"/>
        </w:rPr>
        <w:t>_</w:t>
      </w:r>
      <w:r>
        <w:rPr>
          <w:rFonts w:hint="eastAsia"/>
        </w:rPr>
        <w:t>再保摊回赔款信息表等</w:t>
      </w:r>
    </w:p>
    <w:p w14:paraId="03AE03C1">
      <w:pPr>
        <w:rPr>
          <w:rFonts w:hint="eastAsia"/>
        </w:rPr>
      </w:pPr>
      <w:r>
        <w:rPr>
          <w:rFonts w:hint="eastAsia"/>
        </w:rPr>
        <w:t>接入频次： 日频数据每日T+1抽取；月频数据在每月关账后统一抽取，确保与财务月结周期一致。</w:t>
      </w:r>
    </w:p>
    <w:p w14:paraId="0A188774">
      <w:pPr>
        <w:ind w:firstLine="480" w:firstLineChars="200"/>
        <w:rPr>
          <w:rFonts w:hint="eastAsia"/>
        </w:rPr>
      </w:pPr>
      <w:r>
        <w:rPr>
          <w:rFonts w:hint="eastAsia"/>
        </w:rPr>
        <w:t>数据质量基础清洗： 统一空值处理、金额符号（C/D）、日期格式、组织编码映射，确保比对基准一致。</w:t>
      </w:r>
    </w:p>
    <w:p w14:paraId="7A4779F6">
      <w:pPr>
        <w:pStyle w:val="4"/>
        <w:bidi w:val="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  <w:lang w:val="en-US" w:eastAsia="zh-CN"/>
        </w:rPr>
        <w:t>.</w:t>
      </w:r>
      <w:r>
        <w:rPr>
          <w:rFonts w:hint="eastAsia"/>
        </w:rPr>
        <w:t xml:space="preserve"> 规则规范</w:t>
      </w:r>
    </w:p>
    <w:p w14:paraId="63018C10">
      <w:pPr>
        <w:rPr>
          <w:rFonts w:hint="eastAsia"/>
        </w:rPr>
      </w:pPr>
      <w:r>
        <w:rPr>
          <w:rFonts w:hint="eastAsia"/>
        </w:rPr>
        <w:t>核对规则采用结构化描述，确保开发、维护、沟通的统一性。</w:t>
      </w:r>
    </w:p>
    <w:p w14:paraId="6C2EC3F3">
      <w:pPr>
        <w:rPr>
          <w:rFonts w:hint="eastAsia" w:eastAsiaTheme="minorEastAsia"/>
          <w:lang w:eastAsia="zh-CN"/>
        </w:rPr>
      </w:pPr>
      <w:r>
        <w:rPr>
          <w:rFonts w:hint="eastAsia"/>
        </w:rPr>
        <w:t>规则要素模板：</w:t>
      </w:r>
    </w:p>
    <w:p w14:paraId="1470C390">
      <w:pPr>
        <w:rPr>
          <w:rFonts w:hint="eastAsia"/>
        </w:rPr>
      </w:pPr>
      <w:r>
        <w:rPr>
          <w:rFonts w:hint="eastAsia"/>
        </w:rPr>
        <w:t xml:space="preserve">核对类型：业财核对 </w:t>
      </w:r>
      <w:r>
        <w:rPr>
          <w:rFonts w:hint="eastAsia"/>
          <w:lang w:eastAsia="zh-CN"/>
        </w:rPr>
        <w:t>、</w:t>
      </w:r>
      <w:r>
        <w:rPr>
          <w:rFonts w:hint="eastAsia"/>
        </w:rPr>
        <w:t>财精核对</w:t>
      </w:r>
      <w:r>
        <w:rPr>
          <w:rFonts w:hint="eastAsia"/>
          <w:lang w:eastAsia="zh-CN"/>
        </w:rPr>
        <w:t>、</w:t>
      </w:r>
      <w:r>
        <w:rPr>
          <w:rFonts w:hint="eastAsia"/>
        </w:rPr>
        <w:t>业精核对</w:t>
      </w:r>
      <w:r>
        <w:rPr>
          <w:rFonts w:hint="eastAsia"/>
          <w:lang w:eastAsia="zh-CN"/>
        </w:rPr>
        <w:t>、</w:t>
      </w:r>
      <w:r>
        <w:rPr>
          <w:rFonts w:hint="eastAsia"/>
        </w:rPr>
        <w:t>财再核对</w:t>
      </w:r>
      <w:r>
        <w:rPr>
          <w:rFonts w:hint="eastAsia"/>
          <w:lang w:eastAsia="zh-CN"/>
        </w:rPr>
        <w:t>、</w:t>
      </w:r>
      <w:r>
        <w:rPr>
          <w:rFonts w:hint="eastAsia"/>
        </w:rPr>
        <w:t>精再核对</w:t>
      </w:r>
    </w:p>
    <w:p w14:paraId="19FD31A7">
      <w:pPr>
        <w:rPr>
          <w:rFonts w:hint="eastAsia"/>
        </w:rPr>
      </w:pPr>
      <w:r>
        <w:rPr>
          <w:rFonts w:hint="eastAsia"/>
        </w:rPr>
        <w:t>涉及系统：如实填写（如：数据共享中心与收付系统、准备金系统与收付系统）</w:t>
      </w:r>
    </w:p>
    <w:p w14:paraId="00008574">
      <w:pPr>
        <w:rPr>
          <w:rFonts w:hint="eastAsia"/>
        </w:rPr>
      </w:pPr>
      <w:r>
        <w:rPr>
          <w:rFonts w:hint="eastAsia"/>
        </w:rPr>
        <w:t>数据负责人：业务域IT负责人</w:t>
      </w:r>
    </w:p>
    <w:p w14:paraId="00FB54A1">
      <w:pPr>
        <w:rPr>
          <w:rFonts w:hint="eastAsia"/>
        </w:rPr>
      </w:pPr>
      <w:r>
        <w:rPr>
          <w:rFonts w:hint="eastAsia"/>
        </w:rPr>
        <w:t>规则简述：一句话说明核对目标</w:t>
      </w:r>
    </w:p>
    <w:p w14:paraId="2E009FC5">
      <w:pPr>
        <w:rPr>
          <w:rFonts w:hint="eastAsia"/>
        </w:rPr>
      </w:pPr>
      <w:r>
        <w:rPr>
          <w:rFonts w:hint="eastAsia"/>
        </w:rPr>
        <w:t>规则校验：具体校验逻辑，必须遵循以下规范：</w:t>
      </w:r>
    </w:p>
    <w:p w14:paraId="14AC6416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 系统域名：</w:t>
      </w:r>
      <w:r>
        <w:rPr>
          <w:rFonts w:hint="eastAsia"/>
          <w:lang w:val="en-US" w:eastAsia="zh-CN"/>
        </w:rPr>
        <w:t>承保域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理赔域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收付域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准备金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再保域</w:t>
      </w:r>
    </w:p>
    <w:p w14:paraId="047F83EF">
      <w:pPr>
        <w:rPr>
          <w:rFonts w:hint="eastAsia"/>
        </w:rPr>
      </w:pPr>
      <w:r>
        <w:rPr>
          <w:rFonts w:hint="eastAsia"/>
        </w:rPr>
        <w:t xml:space="preserve">  表名：使用 【表名】 限定</w:t>
      </w:r>
    </w:p>
    <w:p w14:paraId="52E644A6">
      <w:pPr>
        <w:rPr>
          <w:rFonts w:hint="eastAsia"/>
        </w:rPr>
      </w:pPr>
      <w:r>
        <w:rPr>
          <w:rFonts w:hint="eastAsia"/>
        </w:rPr>
        <w:t xml:space="preserve">  字段名：使用 &lt;字段名&gt; 限定</w:t>
      </w:r>
    </w:p>
    <w:p w14:paraId="08C46D74">
      <w:pPr>
        <w:rPr>
          <w:rFonts w:hint="eastAsia"/>
        </w:rPr>
      </w:pPr>
      <w:r>
        <w:rPr>
          <w:rFonts w:hint="eastAsia"/>
        </w:rPr>
        <w:t xml:space="preserve">  码值/枚举：使用 “码值” 限定</w:t>
      </w:r>
    </w:p>
    <w:p w14:paraId="67C1E5CB">
      <w:pPr>
        <w:rPr>
          <w:rFonts w:hint="eastAsia"/>
        </w:rPr>
      </w:pPr>
      <w:r>
        <w:rPr>
          <w:rFonts w:hint="eastAsia"/>
        </w:rPr>
        <w:t>检核类型：跨系统数据一致性校验</w:t>
      </w:r>
    </w:p>
    <w:p w14:paraId="0238BD24">
      <w:pPr>
        <w:rPr>
          <w:rFonts w:hint="eastAsia"/>
        </w:rPr>
      </w:pPr>
      <w:r>
        <w:rPr>
          <w:rFonts w:hint="eastAsia"/>
        </w:rPr>
        <w:t>检核频度：日 / 月</w:t>
      </w:r>
    </w:p>
    <w:p w14:paraId="23C51711">
      <w:pPr>
        <w:rPr>
          <w:rFonts w:hint="eastAsia"/>
        </w:rPr>
      </w:pPr>
      <w:r>
        <w:rPr>
          <w:rFonts w:hint="eastAsia"/>
        </w:rPr>
        <w:t xml:space="preserve">示例：  </w:t>
      </w:r>
    </w:p>
    <w:p w14:paraId="0DFF7279">
      <w:pPr>
        <w:rPr>
          <w:rFonts w:hint="eastAsia"/>
        </w:rPr>
      </w:pPr>
      <w:r>
        <w:rPr>
          <w:rFonts w:hint="eastAsia"/>
        </w:rPr>
        <w:t>同一保单下，</w:t>
      </w:r>
      <w:r>
        <w:rPr>
          <w:rFonts w:hint="eastAsia"/>
          <w:lang w:val="en-US" w:eastAsia="zh-CN"/>
        </w:rPr>
        <w:t>保单域</w:t>
      </w:r>
      <w:r>
        <w:rPr>
          <w:rFonts w:hint="eastAsia"/>
        </w:rPr>
        <w:t>【保单信息表】中的&lt;不含税保费&gt;与</w:t>
      </w:r>
      <w:r>
        <w:rPr>
          <w:rFonts w:hint="eastAsia"/>
          <w:lang w:val="en-US" w:eastAsia="zh-CN"/>
        </w:rPr>
        <w:t>收付域</w:t>
      </w:r>
      <w:r>
        <w:rPr>
          <w:rFonts w:hint="eastAsia"/>
        </w:rPr>
        <w:t xml:space="preserve">【收付信息表】中入账类型为“保费收入”的&lt;不含税保费&gt;合计一致。  </w:t>
      </w:r>
    </w:p>
    <w:p w14:paraId="4075F66B">
      <w:pPr>
        <w:rPr>
          <w:rFonts w:hint="eastAsia"/>
        </w:rPr>
      </w:pPr>
      <w:r>
        <w:rPr>
          <w:rFonts w:hint="eastAsia"/>
        </w:rPr>
        <w:t>（金额容差可配置，如</w:t>
      </w:r>
      <w:r>
        <w:rPr>
          <w:rFonts w:hint="eastAsia"/>
          <w:lang w:val="en-US" w:eastAsia="zh-CN"/>
        </w:rPr>
        <w:t>1.00</w:t>
      </w:r>
      <w:r>
        <w:rPr>
          <w:rFonts w:hint="eastAsia"/>
        </w:rPr>
        <w:t>元）</w:t>
      </w:r>
    </w:p>
    <w:p w14:paraId="60F0EE6C">
      <w:pPr>
        <w:pStyle w:val="4"/>
        <w:bidi w:val="0"/>
        <w:rPr>
          <w:rFonts w:hint="eastAsia"/>
        </w:rPr>
      </w:pPr>
      <w:r>
        <w:rPr>
          <w:rFonts w:hint="eastAsia"/>
        </w:rPr>
        <w:t>3. 质量报告设计</w:t>
      </w:r>
    </w:p>
    <w:p w14:paraId="399B6FD5">
      <w:pPr>
        <w:ind w:firstLine="480" w:firstLineChars="200"/>
        <w:rPr>
          <w:rFonts w:hint="eastAsia"/>
        </w:rPr>
      </w:pPr>
      <w:r>
        <w:rPr>
          <w:rFonts w:hint="eastAsia"/>
        </w:rPr>
        <w:t>质量报告通过BI看板呈现如下核心指标：</w:t>
      </w:r>
    </w:p>
    <w:p w14:paraId="05623B38">
      <w:pPr>
        <w:rPr>
          <w:rFonts w:hint="eastAsia"/>
        </w:rPr>
      </w:pPr>
    </w:p>
    <w:p w14:paraId="0FDB2952">
      <w:pPr>
        <w:rPr>
          <w:rFonts w:hint="eastAsia" w:eastAsiaTheme="minorEastAsia"/>
          <w:lang w:eastAsia="zh-CN"/>
        </w:rPr>
      </w:pPr>
      <w:r>
        <w:rPr>
          <w:rFonts w:hint="eastAsia"/>
        </w:rPr>
        <w:t>1. 总体指标卡片</w:t>
      </w:r>
    </w:p>
    <w:p w14:paraId="67C2561B">
      <w:pPr>
        <w:rPr>
          <w:rFonts w:hint="eastAsia"/>
        </w:rPr>
      </w:pPr>
      <w:r>
        <w:rPr>
          <w:rFonts w:hint="eastAsia"/>
        </w:rPr>
        <w:t xml:space="preserve">   </w:t>
      </w:r>
      <w:r>
        <w:drawing>
          <wp:inline distT="0" distB="0" distL="114300" distR="114300">
            <wp:extent cx="5273675" cy="1400175"/>
            <wp:effectExtent l="0" t="0" r="317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24507">
      <w:pPr>
        <w:rPr>
          <w:rFonts w:hint="eastAsia"/>
        </w:rPr>
      </w:pPr>
    </w:p>
    <w:p w14:paraId="7B16ABCB">
      <w:pPr>
        <w:rPr>
          <w:rFonts w:hint="eastAsia" w:eastAsiaTheme="minorEastAsia"/>
          <w:lang w:eastAsia="zh-CN"/>
        </w:rPr>
      </w:pPr>
      <w:r>
        <w:rPr>
          <w:rFonts w:hint="eastAsia"/>
        </w:rPr>
        <w:t>2. 按核对类型统计</w:t>
      </w:r>
    </w:p>
    <w:p w14:paraId="5A7C396A">
      <w:pPr>
        <w:rPr>
          <w:rFonts w:hint="eastAsia"/>
        </w:rPr>
      </w:pPr>
      <w:r>
        <w:rPr>
          <w:rFonts w:hint="eastAsia"/>
        </w:rPr>
        <w:t xml:space="preserve">   业财核对、财精核对等各类别的通过率、差异数、趋势图</w:t>
      </w:r>
    </w:p>
    <w:p w14:paraId="387F9F96">
      <w:r>
        <w:drawing>
          <wp:inline distT="0" distB="0" distL="114300" distR="114300">
            <wp:extent cx="5270500" cy="535305"/>
            <wp:effectExtent l="0" t="0" r="6350" b="171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3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8E50E">
      <w:r>
        <w:drawing>
          <wp:inline distT="0" distB="0" distL="114300" distR="114300">
            <wp:extent cx="5268595" cy="1074420"/>
            <wp:effectExtent l="0" t="0" r="825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829BE">
      <w:pPr>
        <w:rPr>
          <w:rFonts w:hint="eastAsia"/>
        </w:rPr>
      </w:pPr>
      <w:r>
        <w:drawing>
          <wp:inline distT="0" distB="0" distL="114300" distR="114300">
            <wp:extent cx="5271135" cy="1018540"/>
            <wp:effectExtent l="0" t="0" r="5715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FB8C6">
      <w:pPr>
        <w:rPr>
          <w:rFonts w:hint="eastAsia"/>
        </w:rPr>
      </w:pPr>
    </w:p>
    <w:p w14:paraId="0AB3730C">
      <w:pPr>
        <w:rPr>
          <w:rFonts w:hint="eastAsia" w:eastAsiaTheme="minorEastAsia"/>
          <w:lang w:eastAsia="zh-CN"/>
        </w:rPr>
      </w:pPr>
      <w:r>
        <w:rPr>
          <w:rFonts w:hint="eastAsia"/>
        </w:rPr>
        <w:t>3. 各系统检核明细表</w:t>
      </w:r>
    </w:p>
    <w:p w14:paraId="08FE1665">
      <w:pPr>
        <w:rPr>
          <w:rFonts w:hint="eastAsia"/>
        </w:rPr>
      </w:pPr>
      <w:r>
        <w:rPr>
          <w:rFonts w:hint="eastAsia"/>
        </w:rPr>
        <w:t xml:space="preserve">  </w:t>
      </w:r>
      <w:r>
        <w:drawing>
          <wp:inline distT="0" distB="0" distL="114300" distR="114300">
            <wp:extent cx="5266055" cy="680085"/>
            <wp:effectExtent l="0" t="0" r="1079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8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C991E">
      <w:pPr>
        <w:rPr>
          <w:rFonts w:hint="eastAsia"/>
        </w:rPr>
      </w:pPr>
    </w:p>
    <w:p w14:paraId="790C45BA">
      <w:pPr>
        <w:rPr>
          <w:rFonts w:hint="eastAsia" w:eastAsiaTheme="minorEastAsia"/>
          <w:lang w:eastAsia="zh-CN"/>
        </w:rPr>
      </w:pPr>
      <w:r>
        <w:rPr>
          <w:rFonts w:hint="eastAsia"/>
        </w:rPr>
        <w:t>4. 差异下钻与闭环</w:t>
      </w:r>
    </w:p>
    <w:p w14:paraId="10CE2511">
      <w:pPr>
        <w:rPr>
          <w:rFonts w:hint="eastAsia"/>
        </w:rPr>
      </w:pPr>
      <w:r>
        <w:rPr>
          <w:rFonts w:hint="eastAsia"/>
        </w:rPr>
        <w:t xml:space="preserve">   点击差异记录可跳转至明细数据，展示两边系统具体字段值。</w:t>
      </w:r>
    </w:p>
    <w:p w14:paraId="5FAC6DAD">
      <w:pPr>
        <w:rPr>
          <w:rFonts w:hint="eastAsia"/>
        </w:rPr>
      </w:pPr>
      <w:r>
        <w:rPr>
          <w:rFonts w:hint="eastAsia"/>
        </w:rPr>
        <w:t xml:space="preserve">   </w:t>
      </w:r>
      <w:r>
        <w:drawing>
          <wp:inline distT="0" distB="0" distL="114300" distR="114300">
            <wp:extent cx="5262880" cy="2863215"/>
            <wp:effectExtent l="0" t="0" r="13970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00AC3">
      <w:pPr>
        <w:rPr>
          <w:rFonts w:hint="eastAsia" w:eastAsiaTheme="minorEastAsia"/>
          <w:lang w:eastAsia="zh-CN"/>
        </w:rPr>
      </w:pPr>
    </w:p>
    <w:p w14:paraId="2C73544A">
      <w:pPr>
        <w:pStyle w:val="3"/>
        <w:bidi w:val="0"/>
        <w:rPr>
          <w:rFonts w:hint="eastAsia"/>
        </w:rPr>
      </w:pPr>
      <w:r>
        <w:rPr>
          <w:rFonts w:hint="eastAsia"/>
        </w:rPr>
        <w:t>四、规则统计展示（基于附件规则）</w:t>
      </w:r>
    </w:p>
    <w:tbl>
      <w:tblPr>
        <w:tblStyle w:val="30"/>
        <w:tblW w:w="714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85"/>
        <w:gridCol w:w="2520"/>
      </w:tblGrid>
      <w:tr w14:paraId="0AB46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vAlign w:val="center"/>
          </w:tcPr>
          <w:p w14:paraId="3AFD9E79"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3366"/>
                <w:kern w:val="0"/>
                <w:sz w:val="22"/>
                <w:szCs w:val="22"/>
                <w:u w:val="none"/>
                <w:lang w:val="en-US" w:eastAsia="zh-CN" w:bidi="ar"/>
              </w:rPr>
              <w:t>1. 按核对类型统计</w:t>
            </w:r>
          </w:p>
        </w:tc>
      </w:tr>
      <w:tr w14:paraId="112EF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0070C0"/>
            <w:vAlign w:val="center"/>
          </w:tcPr>
          <w:p w14:paraId="615E0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核对类型</w:t>
            </w:r>
          </w:p>
        </w:tc>
        <w:tc>
          <w:tcPr>
            <w:tcW w:w="17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0070C0"/>
            <w:vAlign w:val="center"/>
          </w:tcPr>
          <w:p w14:paraId="31C5A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规则数量</w:t>
            </w:r>
          </w:p>
        </w:tc>
        <w:tc>
          <w:tcPr>
            <w:tcW w:w="25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0070C0"/>
            <w:vAlign w:val="center"/>
          </w:tcPr>
          <w:p w14:paraId="5CCF3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占比</w:t>
            </w:r>
          </w:p>
        </w:tc>
      </w:tr>
      <w:tr w14:paraId="579C8C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vAlign w:val="center"/>
          </w:tcPr>
          <w:p w14:paraId="7FA21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0"/>
                <w:szCs w:val="20"/>
                <w:u w:val="none"/>
                <w:lang w:val="en-US" w:eastAsia="zh-CN" w:bidi="ar"/>
              </w:rPr>
              <w:t>财精核对</w:t>
            </w:r>
          </w:p>
        </w:tc>
        <w:tc>
          <w:tcPr>
            <w:tcW w:w="17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vAlign w:val="center"/>
          </w:tcPr>
          <w:p w14:paraId="305C9D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25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vAlign w:val="center"/>
          </w:tcPr>
          <w:p w14:paraId="446C7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0"/>
                <w:szCs w:val="20"/>
                <w:u w:val="none"/>
                <w:lang w:val="en-US" w:eastAsia="zh-CN" w:bidi="ar"/>
              </w:rPr>
              <w:t>30.00%</w:t>
            </w:r>
          </w:p>
        </w:tc>
      </w:tr>
      <w:tr w14:paraId="42B990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38804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0"/>
                <w:szCs w:val="20"/>
                <w:u w:val="none"/>
                <w:lang w:val="en-US" w:eastAsia="zh-CN" w:bidi="ar"/>
              </w:rPr>
              <w:t>业财核对</w:t>
            </w:r>
          </w:p>
        </w:tc>
        <w:tc>
          <w:tcPr>
            <w:tcW w:w="17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1D17A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5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6B0A3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0"/>
                <w:szCs w:val="20"/>
                <w:u w:val="none"/>
                <w:lang w:val="en-US" w:eastAsia="zh-CN" w:bidi="ar"/>
              </w:rPr>
              <w:t>23.33%</w:t>
            </w:r>
          </w:p>
        </w:tc>
      </w:tr>
      <w:tr w14:paraId="4D412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vAlign w:val="center"/>
          </w:tcPr>
          <w:p w14:paraId="325B2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0"/>
                <w:szCs w:val="20"/>
                <w:u w:val="none"/>
                <w:lang w:val="en-US" w:eastAsia="zh-CN" w:bidi="ar"/>
              </w:rPr>
              <w:t>精再核对</w:t>
            </w:r>
          </w:p>
        </w:tc>
        <w:tc>
          <w:tcPr>
            <w:tcW w:w="17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vAlign w:val="center"/>
          </w:tcPr>
          <w:p w14:paraId="4EF29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5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vAlign w:val="center"/>
          </w:tcPr>
          <w:p w14:paraId="17DC24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0"/>
                <w:szCs w:val="20"/>
                <w:u w:val="none"/>
                <w:lang w:val="en-US" w:eastAsia="zh-CN" w:bidi="ar"/>
              </w:rPr>
              <w:t>20.00%</w:t>
            </w:r>
          </w:p>
        </w:tc>
      </w:tr>
      <w:tr w14:paraId="574F8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0C732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0"/>
                <w:szCs w:val="20"/>
                <w:u w:val="none"/>
                <w:lang w:val="en-US" w:eastAsia="zh-CN" w:bidi="ar"/>
              </w:rPr>
              <w:t>财再核对</w:t>
            </w:r>
          </w:p>
        </w:tc>
        <w:tc>
          <w:tcPr>
            <w:tcW w:w="17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0FBE0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5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31F89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0"/>
                <w:szCs w:val="20"/>
                <w:u w:val="none"/>
                <w:lang w:val="en-US" w:eastAsia="zh-CN" w:bidi="ar"/>
              </w:rPr>
              <w:t>16.67%</w:t>
            </w:r>
          </w:p>
        </w:tc>
      </w:tr>
      <w:tr w14:paraId="006E6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vAlign w:val="center"/>
          </w:tcPr>
          <w:p w14:paraId="2536F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0"/>
                <w:szCs w:val="20"/>
                <w:u w:val="none"/>
                <w:lang w:val="en-US" w:eastAsia="zh-CN" w:bidi="ar"/>
              </w:rPr>
              <w:t>业精核对</w:t>
            </w:r>
          </w:p>
        </w:tc>
        <w:tc>
          <w:tcPr>
            <w:tcW w:w="17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vAlign w:val="center"/>
          </w:tcPr>
          <w:p w14:paraId="6C680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5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vAlign w:val="center"/>
          </w:tcPr>
          <w:p w14:paraId="2452C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0"/>
                <w:szCs w:val="20"/>
                <w:u w:val="none"/>
                <w:lang w:val="en-US" w:eastAsia="zh-CN" w:bidi="ar"/>
              </w:rPr>
              <w:t>10.00%</w:t>
            </w:r>
          </w:p>
        </w:tc>
      </w:tr>
    </w:tbl>
    <w:p w14:paraId="75AED42D">
      <w:r>
        <w:drawing>
          <wp:inline distT="0" distB="0" distL="114300" distR="114300">
            <wp:extent cx="4486910" cy="2552065"/>
            <wp:effectExtent l="5080" t="4445" r="22860" b="15240"/>
            <wp:docPr id="9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tbl>
      <w:tblPr>
        <w:tblStyle w:val="30"/>
        <w:tblW w:w="714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85"/>
        <w:gridCol w:w="2520"/>
      </w:tblGrid>
      <w:tr w14:paraId="4C6E0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vAlign w:val="center"/>
          </w:tcPr>
          <w:p w14:paraId="29F6BB0E">
            <w:pPr>
              <w:rPr>
                <w:rFonts w:hint="eastAsia" w:ascii="等线" w:hAnsi="等线" w:eastAsia="等线" w:cs="等线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3366"/>
                <w:kern w:val="0"/>
                <w:sz w:val="22"/>
                <w:szCs w:val="22"/>
                <w:u w:val="none"/>
                <w:lang w:val="en-US" w:eastAsia="zh-CN" w:bidi="ar"/>
              </w:rPr>
              <w:t>2. 按检核频度统计</w:t>
            </w:r>
          </w:p>
        </w:tc>
      </w:tr>
      <w:tr w14:paraId="1FCA1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0070C0"/>
            <w:vAlign w:val="center"/>
          </w:tcPr>
          <w:p w14:paraId="5813E9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核对类型</w:t>
            </w:r>
          </w:p>
        </w:tc>
        <w:tc>
          <w:tcPr>
            <w:tcW w:w="17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0070C0"/>
            <w:vAlign w:val="center"/>
          </w:tcPr>
          <w:p w14:paraId="7DBE7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规则数量</w:t>
            </w:r>
          </w:p>
        </w:tc>
        <w:tc>
          <w:tcPr>
            <w:tcW w:w="25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0070C0"/>
            <w:vAlign w:val="center"/>
          </w:tcPr>
          <w:p w14:paraId="03A8A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占比</w:t>
            </w:r>
          </w:p>
        </w:tc>
      </w:tr>
      <w:tr w14:paraId="7DD73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vAlign w:val="center"/>
          </w:tcPr>
          <w:p w14:paraId="3AAC4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0"/>
                <w:szCs w:val="20"/>
                <w:u w:val="none"/>
                <w:lang w:val="en-US" w:eastAsia="zh-CN" w:bidi="ar"/>
              </w:rPr>
              <w:t>日</w:t>
            </w:r>
          </w:p>
        </w:tc>
        <w:tc>
          <w:tcPr>
            <w:tcW w:w="17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vAlign w:val="center"/>
          </w:tcPr>
          <w:p w14:paraId="7E1BB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25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vAlign w:val="center"/>
          </w:tcPr>
          <w:p w14:paraId="75E0C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0"/>
                <w:szCs w:val="20"/>
                <w:u w:val="none"/>
                <w:lang w:val="en-US" w:eastAsia="zh-CN" w:bidi="ar"/>
              </w:rPr>
              <w:t>63.33%</w:t>
            </w:r>
          </w:p>
        </w:tc>
      </w:tr>
      <w:tr w14:paraId="5289B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79471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0"/>
                <w:szCs w:val="20"/>
                <w:u w:val="none"/>
                <w:lang w:val="en-US" w:eastAsia="zh-CN" w:bidi="ar"/>
              </w:rPr>
              <w:t>月</w:t>
            </w:r>
          </w:p>
        </w:tc>
        <w:tc>
          <w:tcPr>
            <w:tcW w:w="17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03964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25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0B189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0"/>
                <w:szCs w:val="20"/>
                <w:u w:val="none"/>
                <w:lang w:val="en-US" w:eastAsia="zh-CN" w:bidi="ar"/>
              </w:rPr>
              <w:t>36.67%</w:t>
            </w:r>
          </w:p>
        </w:tc>
      </w:tr>
    </w:tbl>
    <w:p w14:paraId="3D122AF8">
      <w:pPr>
        <w:rPr>
          <w:rFonts w:hint="eastAsia"/>
        </w:rPr>
      </w:pPr>
      <w:r>
        <w:drawing>
          <wp:inline distT="0" distB="0" distL="114300" distR="114300">
            <wp:extent cx="4429760" cy="2514600"/>
            <wp:effectExtent l="4445" t="4445" r="23495" b="14605"/>
            <wp:docPr id="10" name="Chart 2" descr="7b0a202020202263686172745265734964223a20223230343736383432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tbl>
      <w:tblPr>
        <w:tblStyle w:val="30"/>
        <w:tblW w:w="714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1785"/>
        <w:gridCol w:w="2520"/>
      </w:tblGrid>
      <w:tr w14:paraId="47A72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1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9E1F2"/>
            <w:vAlign w:val="center"/>
          </w:tcPr>
          <w:p w14:paraId="5C8BC8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3366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3366"/>
                <w:kern w:val="0"/>
                <w:sz w:val="22"/>
                <w:szCs w:val="22"/>
                <w:u w:val="none"/>
                <w:lang w:val="en-US" w:eastAsia="zh-CN" w:bidi="ar"/>
              </w:rPr>
              <w:t>3. 按涉及系统覆盖统计</w:t>
            </w:r>
          </w:p>
        </w:tc>
      </w:tr>
      <w:tr w14:paraId="1F7584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0070C0"/>
            <w:vAlign w:val="center"/>
          </w:tcPr>
          <w:p w14:paraId="102CD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涉及系统</w:t>
            </w:r>
          </w:p>
        </w:tc>
        <w:tc>
          <w:tcPr>
            <w:tcW w:w="17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0070C0"/>
            <w:vAlign w:val="center"/>
          </w:tcPr>
          <w:p w14:paraId="07724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规则覆盖数量</w:t>
            </w:r>
          </w:p>
        </w:tc>
        <w:tc>
          <w:tcPr>
            <w:tcW w:w="25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0070C0"/>
            <w:vAlign w:val="center"/>
          </w:tcPr>
          <w:p w14:paraId="2A6B8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2"/>
                <w:szCs w:val="22"/>
                <w:u w:val="none"/>
                <w:lang w:val="en-US" w:eastAsia="zh-CN" w:bidi="ar"/>
              </w:rPr>
              <w:t>占比</w:t>
            </w:r>
          </w:p>
        </w:tc>
      </w:tr>
      <w:tr w14:paraId="63611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vAlign w:val="center"/>
          </w:tcPr>
          <w:p w14:paraId="1CE1F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0"/>
                <w:szCs w:val="20"/>
                <w:u w:val="none"/>
                <w:lang w:val="en-US" w:eastAsia="zh-CN" w:bidi="ar"/>
              </w:rPr>
              <w:t>收付系统</w:t>
            </w:r>
          </w:p>
        </w:tc>
        <w:tc>
          <w:tcPr>
            <w:tcW w:w="17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vAlign w:val="center"/>
          </w:tcPr>
          <w:p w14:paraId="626E7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25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vAlign w:val="center"/>
          </w:tcPr>
          <w:p w14:paraId="0D214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0"/>
                <w:szCs w:val="20"/>
                <w:u w:val="none"/>
                <w:lang w:val="en-US" w:eastAsia="zh-CN" w:bidi="ar"/>
              </w:rPr>
              <w:t>22.83%</w:t>
            </w:r>
          </w:p>
        </w:tc>
      </w:tr>
      <w:tr w14:paraId="468CE0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5BAC6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0"/>
                <w:szCs w:val="20"/>
                <w:u w:val="none"/>
                <w:lang w:val="en-US" w:eastAsia="zh-CN" w:bidi="ar"/>
              </w:rPr>
              <w:t>数据共享中心</w:t>
            </w:r>
          </w:p>
        </w:tc>
        <w:tc>
          <w:tcPr>
            <w:tcW w:w="17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6742B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25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13784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0"/>
                <w:szCs w:val="20"/>
                <w:u w:val="none"/>
                <w:lang w:val="en-US" w:eastAsia="zh-CN" w:bidi="ar"/>
              </w:rPr>
              <w:t>32.61%</w:t>
            </w:r>
          </w:p>
        </w:tc>
      </w:tr>
      <w:tr w14:paraId="65D797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vAlign w:val="center"/>
          </w:tcPr>
          <w:p w14:paraId="29B2A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0"/>
                <w:szCs w:val="20"/>
                <w:u w:val="none"/>
                <w:lang w:val="en-US" w:eastAsia="zh-CN" w:bidi="ar"/>
              </w:rPr>
              <w:t>再保系统</w:t>
            </w:r>
          </w:p>
        </w:tc>
        <w:tc>
          <w:tcPr>
            <w:tcW w:w="17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vAlign w:val="center"/>
          </w:tcPr>
          <w:p w14:paraId="429B1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25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vAlign w:val="center"/>
          </w:tcPr>
          <w:p w14:paraId="6F408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0"/>
                <w:szCs w:val="20"/>
                <w:u w:val="none"/>
                <w:lang w:val="en-US" w:eastAsia="zh-CN" w:bidi="ar"/>
              </w:rPr>
              <w:t>11.96%</w:t>
            </w:r>
          </w:p>
        </w:tc>
      </w:tr>
      <w:tr w14:paraId="79FCB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3C2ED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0"/>
                <w:szCs w:val="20"/>
                <w:u w:val="none"/>
                <w:lang w:val="en-US" w:eastAsia="zh-CN" w:bidi="ar"/>
              </w:rPr>
              <w:t>承保系统</w:t>
            </w:r>
          </w:p>
        </w:tc>
        <w:tc>
          <w:tcPr>
            <w:tcW w:w="17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5ABE4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5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4EF83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0"/>
                <w:szCs w:val="20"/>
                <w:u w:val="none"/>
                <w:lang w:val="en-US" w:eastAsia="zh-CN" w:bidi="ar"/>
              </w:rPr>
              <w:t>7.61%</w:t>
            </w:r>
          </w:p>
        </w:tc>
      </w:tr>
      <w:tr w14:paraId="338179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vAlign w:val="center"/>
          </w:tcPr>
          <w:p w14:paraId="20894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0"/>
                <w:szCs w:val="20"/>
                <w:u w:val="none"/>
                <w:lang w:val="en-US" w:eastAsia="zh-CN" w:bidi="ar"/>
              </w:rPr>
              <w:t>准备金系统</w:t>
            </w:r>
          </w:p>
        </w:tc>
        <w:tc>
          <w:tcPr>
            <w:tcW w:w="17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vAlign w:val="center"/>
          </w:tcPr>
          <w:p w14:paraId="29160C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25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BF1F8"/>
            <w:vAlign w:val="center"/>
          </w:tcPr>
          <w:p w14:paraId="592AF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0"/>
                <w:szCs w:val="20"/>
                <w:u w:val="none"/>
                <w:lang w:val="en-US" w:eastAsia="zh-CN" w:bidi="ar"/>
              </w:rPr>
              <w:t>19.57%</w:t>
            </w:r>
          </w:p>
        </w:tc>
      </w:tr>
      <w:tr w14:paraId="69D30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6195F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0"/>
                <w:szCs w:val="20"/>
                <w:u w:val="none"/>
                <w:lang w:val="en-US" w:eastAsia="zh-CN" w:bidi="ar"/>
              </w:rPr>
              <w:t>理赔系统</w:t>
            </w:r>
          </w:p>
        </w:tc>
        <w:tc>
          <w:tcPr>
            <w:tcW w:w="178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3EF6E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52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auto"/>
            <w:vAlign w:val="center"/>
          </w:tcPr>
          <w:p w14:paraId="1F09E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sz w:val="20"/>
                <w:szCs w:val="20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333333"/>
                <w:kern w:val="0"/>
                <w:sz w:val="20"/>
                <w:szCs w:val="20"/>
                <w:u w:val="none"/>
                <w:lang w:val="en-US" w:eastAsia="zh-CN" w:bidi="ar"/>
              </w:rPr>
              <w:t>5.43%</w:t>
            </w:r>
          </w:p>
        </w:tc>
      </w:tr>
    </w:tbl>
    <w:p w14:paraId="7FDD4491">
      <w:pPr>
        <w:rPr>
          <w:rFonts w:hint="eastAsia"/>
        </w:rPr>
      </w:pPr>
      <w:r>
        <w:drawing>
          <wp:inline distT="0" distB="0" distL="114300" distR="114300">
            <wp:extent cx="4505325" cy="2133600"/>
            <wp:effectExtent l="4445" t="4445" r="5080" b="14605"/>
            <wp:docPr id="11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12BF3C1E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规则明细：</w:t>
      </w:r>
    </w:p>
    <w:p w14:paraId="27BC9471">
      <w:pPr>
        <w:ind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66pt;width:72.75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xcel.Sheet.8" ShapeID="_x0000_i1025" DrawAspect="Icon" ObjectID="_1468075725" r:id="rId15">
            <o:LockedField>false</o:LockedField>
          </o:OLEObject>
        </w:object>
      </w:r>
    </w:p>
    <w:p w14:paraId="78406277">
      <w:pPr>
        <w:ind w:firstLine="480" w:firstLineChars="200"/>
        <w:rPr>
          <w:rFonts w:hint="eastAsia"/>
        </w:rPr>
      </w:pPr>
      <w:r>
        <w:rPr>
          <w:rFonts w:hint="eastAsia"/>
        </w:rPr>
        <w:t>通过上述30条规则的持续运行，将实现对保单级、计算书级、账单期级三个颗粒度的全面监控，有效消除收付、承保、理赔、准备金、再保之间的数据壁垒，确保四方数据真实、完整、一致。</w:t>
      </w:r>
    </w:p>
    <w:p w14:paraId="646E0730">
      <w:pPr>
        <w:rPr>
          <w:rFonts w:hint="eastAsia" w:eastAsiaTheme="minorEastAsia"/>
          <w:lang w:eastAsia="zh-CN"/>
        </w:rPr>
      </w:pPr>
    </w:p>
    <w:p w14:paraId="3E2A5456">
      <w:pPr>
        <w:pStyle w:val="3"/>
        <w:bidi w:val="0"/>
        <w:rPr>
          <w:rFonts w:hint="eastAsia"/>
        </w:rPr>
      </w:pPr>
      <w:r>
        <w:rPr>
          <w:rFonts w:hint="eastAsia"/>
        </w:rPr>
        <w:t>五、下一步工作与保障机制</w:t>
      </w:r>
    </w:p>
    <w:p w14:paraId="47D879DA">
      <w:pPr>
        <w:rPr>
          <w:rFonts w:hint="eastAsia"/>
        </w:rPr>
      </w:pPr>
    </w:p>
    <w:p w14:paraId="375FEF97">
      <w:pPr>
        <w:rPr>
          <w:rFonts w:hint="eastAsia"/>
        </w:rPr>
      </w:pPr>
      <w:r>
        <w:rPr>
          <w:rFonts w:hint="eastAsia"/>
        </w:rPr>
        <w:t>1. 规则研发与测试： 由数据共享IT牵头，各域数据负责人配合，在两周内完成30条规则的SQL模板开发与历史数据验证。</w:t>
      </w:r>
    </w:p>
    <w:p w14:paraId="0B20A057">
      <w:pPr>
        <w:rPr>
          <w:rFonts w:hint="eastAsia"/>
        </w:rPr>
      </w:pPr>
      <w:r>
        <w:rPr>
          <w:rFonts w:hint="eastAsia"/>
        </w:rPr>
        <w:t>2. 报告上线试运行： 上线质量看板，先并行运行1个月，设置差异告警阈值。</w:t>
      </w:r>
    </w:p>
    <w:p w14:paraId="40AD48E7">
      <w:pPr>
        <w:rPr>
          <w:rFonts w:hint="eastAsia"/>
        </w:rPr>
      </w:pPr>
      <w:r>
        <w:rPr>
          <w:rFonts w:hint="eastAsia"/>
        </w:rPr>
        <w:t>3. 整改闭环流程： 与各部门明确数据差异的修复时效、复验机制，纳入月度数据质量考核。</w:t>
      </w:r>
    </w:p>
    <w:p w14:paraId="256068B5">
      <w:pPr>
        <w:rPr>
          <w:rFonts w:hint="eastAsia" w:eastAsiaTheme="minorEastAsia"/>
          <w:lang w:eastAsia="zh-CN"/>
        </w:rPr>
      </w:pPr>
      <w:r>
        <w:rPr>
          <w:rFonts w:hint="eastAsia"/>
        </w:rPr>
        <w:t>4. 长期扩展： 后续可根据新准则分摊后数据、费用率等维度，进一步扩充核对规则，实现更细颗粒度的业财精融合验证。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+中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581B71"/>
    <w:rsid w:val="0FBF0E36"/>
    <w:rsid w:val="1075361F"/>
    <w:rsid w:val="13F60424"/>
    <w:rsid w:val="17DC3DC5"/>
    <w:rsid w:val="19DF5437"/>
    <w:rsid w:val="1AF0383F"/>
    <w:rsid w:val="1F0C74C8"/>
    <w:rsid w:val="24B855A2"/>
    <w:rsid w:val="259B50B3"/>
    <w:rsid w:val="30AC7B38"/>
    <w:rsid w:val="34A23F71"/>
    <w:rsid w:val="34F12F90"/>
    <w:rsid w:val="389A2D2B"/>
    <w:rsid w:val="3F32667F"/>
    <w:rsid w:val="4A5B6628"/>
    <w:rsid w:val="4C942727"/>
    <w:rsid w:val="54F601F4"/>
    <w:rsid w:val="62894684"/>
    <w:rsid w:val="674C7EE8"/>
    <w:rsid w:val="6F073B1D"/>
    <w:rsid w:val="6FC16ACD"/>
    <w:rsid w:val="70C515ED"/>
    <w:rsid w:val="792A1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napToGrid w:val="0"/>
      <w:spacing w:beforeLines="0" w:beforeAutospacing="0" w:after="80" w:afterLines="80" w:afterAutospacing="0" w:line="288" w:lineRule="auto"/>
      <w:outlineLvl w:val="0"/>
    </w:pPr>
    <w:rPr>
      <w:b/>
      <w:bCs/>
      <w:kern w:val="44"/>
      <w:sz w:val="36"/>
      <w:szCs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2"/>
    </w:pPr>
    <w:rPr>
      <w:b/>
      <w:bCs/>
      <w:sz w:val="30"/>
      <w:szCs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4"/>
    </w:pPr>
    <w:rPr>
      <w:b/>
      <w:bCs/>
    </w:rPr>
  </w:style>
  <w:style w:type="paragraph" w:styleId="8">
    <w:name w:val="heading 6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5"/>
    </w:pPr>
    <w:rPr>
      <w:rFonts w:asciiTheme="minorAscii" w:hAnsiTheme="minorAscii" w:eastAsiaTheme="minorEastAsia"/>
      <w:b/>
      <w:bCs/>
    </w:rPr>
  </w:style>
  <w:style w:type="paragraph" w:styleId="9">
    <w:name w:val="heading 7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6"/>
    </w:pPr>
    <w:rPr>
      <w:rFonts w:asciiTheme="minorAscii" w:hAnsiTheme="minorAscii" w:eastAsiaTheme="minorEastAsia"/>
      <w:b/>
      <w:bCs/>
    </w:rPr>
  </w:style>
  <w:style w:type="paragraph" w:styleId="10">
    <w:name w:val="heading 8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7"/>
    </w:pPr>
    <w:rPr>
      <w:rFonts w:asciiTheme="minorAscii" w:hAnsiTheme="minorAscii" w:eastAsiaTheme="minorEastAsia"/>
      <w:b/>
      <w:bCs/>
    </w:rPr>
  </w:style>
  <w:style w:type="paragraph" w:styleId="11">
    <w:name w:val="heading 9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31">
    <w:name w:val="Default Paragraph Font"/>
    <w:semiHidden/>
    <w:qFormat/>
    <w:uiPriority w:val="0"/>
  </w:style>
  <w:style w:type="table" w:default="1" w:styleId="3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120" w:afterLines="0" w:afterAutospacing="0"/>
    </w:p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3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Balloon Text"/>
    <w:basedOn w:val="1"/>
    <w:qFormat/>
    <w:uiPriority w:val="0"/>
    <w:rPr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21">
    <w:name w:val="Signature"/>
    <w:basedOn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toc 1"/>
    <w:basedOn w:val="1"/>
    <w:next w:val="1"/>
    <w:qFormat/>
    <w:uiPriority w:val="0"/>
  </w:style>
  <w:style w:type="paragraph" w:styleId="23">
    <w:name w:val="Subtitle"/>
    <w:basedOn w:val="1"/>
    <w:next w:val="7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24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8">
    <w:name w:val="Title"/>
    <w:basedOn w:val="1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29">
    <w:name w:val="annotation subject"/>
    <w:basedOn w:val="13"/>
    <w:next w:val="13"/>
    <w:qFormat/>
    <w:uiPriority w:val="0"/>
    <w:rPr>
      <w:b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2">
    <w:name w:val="Strong"/>
    <w:basedOn w:val="31"/>
    <w:qFormat/>
    <w:uiPriority w:val="0"/>
    <w:rPr>
      <w:rFonts w:asciiTheme="minorAscii" w:hAnsiTheme="minorAscii" w:eastAsiaTheme="minorEastAsia"/>
      <w:b/>
    </w:rPr>
  </w:style>
  <w:style w:type="character" w:styleId="33">
    <w:name w:val="endnote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4">
    <w:name w:val="page number"/>
    <w:qFormat/>
    <w:uiPriority w:val="0"/>
    <w:rPr>
      <w:rFonts w:cs="Times New Roman" w:asciiTheme="minorAscii" w:hAnsiTheme="minorAscii" w:eastAsiaTheme="minorEastAsia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5">
    <w:name w:val="FollowedHyperlink"/>
    <w:basedOn w:val="31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6">
    <w:name w:val="Emphasis"/>
    <w:basedOn w:val="31"/>
    <w:qFormat/>
    <w:uiPriority w:val="0"/>
    <w:rPr>
      <w:i/>
    </w:rPr>
  </w:style>
  <w:style w:type="character" w:styleId="37">
    <w:name w:val="Hyperlink"/>
    <w:basedOn w:val="31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8">
    <w:name w:val="annotation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9">
    <w:name w:val="footnote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文档说明标题"/>
    <w:next w:val="1"/>
    <w:autoRedefine/>
    <w:qFormat/>
    <w:uiPriority w:val="0"/>
    <w:pPr>
      <w:adjustRightInd w:val="0"/>
      <w:snapToGrid w:val="0"/>
      <w:spacing w:before="50" w:beforeLines="50" w:line="312" w:lineRule="auto"/>
      <w:jc w:val="center"/>
      <w:outlineLvl w:val="9"/>
    </w:pPr>
    <w:rPr>
      <w:rFonts w:hint="default" w:cs="Times New Roman" w:asciiTheme="majorAscii" w:hAnsiTheme="majorAscii" w:eastAsiaTheme="majorEastAsia"/>
      <w:b/>
      <w:sz w:val="32"/>
      <w:szCs w:val="32"/>
      <w:lang w:eastAsia="zh-Hans"/>
    </w:rPr>
  </w:style>
  <w:style w:type="paragraph" w:customStyle="1" w:styleId="41">
    <w:name w:val="章标题"/>
    <w:next w:val="1"/>
    <w:autoRedefine/>
    <w:qFormat/>
    <w:uiPriority w:val="0"/>
    <w:pPr>
      <w:keepNext/>
      <w:keepLines/>
      <w:bidi w:val="0"/>
      <w:adjustRightInd w:val="0"/>
      <w:snapToGrid w:val="0"/>
      <w:spacing w:before="50" w:beforeLines="50" w:afterLines="0" w:line="312" w:lineRule="auto"/>
      <w:jc w:val="center"/>
      <w:outlineLvl w:val="0"/>
    </w:pPr>
    <w:rPr>
      <w:rFonts w:cs="Times New Roman" w:asciiTheme="majorAscii" w:hAnsiTheme="majorAscii" w:eastAsiaTheme="majorEastAsia"/>
      <w:b/>
      <w:bCs/>
      <w:kern w:val="44"/>
      <w:sz w:val="32"/>
      <w:szCs w:val="32"/>
      <w:lang w:eastAsia="zh-Hans"/>
    </w:rPr>
  </w:style>
  <w:style w:type="paragraph" w:customStyle="1" w:styleId="42">
    <w:name w:val="节标题"/>
    <w:next w:val="1"/>
    <w:autoRedefine/>
    <w:qFormat/>
    <w:uiPriority w:val="0"/>
    <w:pPr>
      <w:keepNext/>
      <w:keepLines/>
      <w:adjustRightInd w:val="0"/>
      <w:snapToGrid w:val="0"/>
      <w:spacing w:before="50" w:beforeLines="50" w:afterLines="0" w:line="312" w:lineRule="auto"/>
      <w:jc w:val="center"/>
      <w:outlineLvl w:val="0"/>
    </w:pPr>
    <w:rPr>
      <w:rFonts w:cs="Times New Roman" w:asciiTheme="majorAscii" w:hAnsiTheme="majorAscii" w:eastAsiaTheme="majorEastAsia"/>
      <w:b/>
      <w:kern w:val="44"/>
      <w:sz w:val="30"/>
      <w:szCs w:val="30"/>
      <w:lang w:eastAsia="zh-Hans"/>
    </w:rPr>
  </w:style>
  <w:style w:type="paragraph" w:customStyle="1" w:styleId="43">
    <w:name w:val="附录标题"/>
    <w:next w:val="7"/>
    <w:autoRedefine/>
    <w:qFormat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cs="Times New Roman" w:asciiTheme="majorAscii" w:hAnsiTheme="majorAscii" w:eastAsiaTheme="majorEastAsia"/>
      <w:b/>
      <w:kern w:val="44"/>
      <w:sz w:val="32"/>
      <w:szCs w:val="32"/>
      <w:lang w:eastAsia="zh-Hans"/>
    </w:rPr>
  </w:style>
  <w:style w:type="character" w:customStyle="1" w:styleId="44">
    <w:name w:val="摘要"/>
    <w:basedOn w:val="31"/>
    <w:autoRedefine/>
    <w:qFormat/>
    <w:uiPriority w:val="0"/>
    <w:rPr>
      <w:rFonts w:hint="eastAsia" w:ascii="宋体" w:hAnsi="宋体" w:eastAsia="宋体"/>
      <w:b/>
      <w:lang w:val="en-US" w:eastAsia="zh-Hans"/>
    </w:rPr>
  </w:style>
  <w:style w:type="character" w:customStyle="1" w:styleId="45">
    <w:name w:val="关键词"/>
    <w:basedOn w:val="31"/>
    <w:autoRedefine/>
    <w:qFormat/>
    <w:uiPriority w:val="0"/>
    <w:rPr>
      <w:rFonts w:hint="eastAsia" w:ascii="宋体" w:hAnsi="宋体" w:eastAsia="宋体"/>
      <w:b/>
      <w:lang w:val="en-US" w:eastAsia="zh-Hans"/>
    </w:rPr>
  </w:style>
  <w:style w:type="paragraph" w:customStyle="1" w:styleId="46">
    <w:name w:val="题注1"/>
    <w:basedOn w:val="1"/>
    <w:autoRedefine/>
    <w:qFormat/>
    <w:uiPriority w:val="0"/>
    <w:pPr>
      <w:jc w:val="center"/>
    </w:pPr>
    <w:rPr>
      <w:rFonts w:hint="default" w:asciiTheme="minorAscii" w:hAnsiTheme="minorAscii"/>
      <w:lang w:eastAsia="zh-Hans"/>
    </w:rPr>
  </w:style>
  <w:style w:type="paragraph" w:customStyle="1" w:styleId="47">
    <w:name w:val="目录标题"/>
    <w:basedOn w:val="1"/>
    <w:qFormat/>
    <w:uiPriority w:val="0"/>
    <w:pPr>
      <w:spacing w:before="0" w:beforeLines="0" w:afterLines="0" w:line="240" w:lineRule="auto"/>
      <w:ind w:firstLine="0" w:firstLineChars="0"/>
      <w:jc w:val="center"/>
    </w:pPr>
    <w:rPr>
      <w:rFonts w:asciiTheme="minorAscii" w:hAnsiTheme="minorAscii" w:eastAsiaTheme="minorEastAsia"/>
      <w:b/>
      <w:sz w:val="28"/>
      <w:szCs w:val="28"/>
    </w:rPr>
  </w:style>
  <w:style w:type="paragraph" w:customStyle="1" w:styleId="48">
    <w:name w:val="主送对象"/>
    <w:next w:val="7"/>
    <w:qFormat/>
    <w:uiPriority w:val="0"/>
    <w:pPr>
      <w:adjustRightInd w:val="0"/>
      <w:snapToGrid w:val="0"/>
      <w:spacing w:line="576" w:lineRule="exact"/>
    </w:pPr>
    <w:rPr>
      <w:rFonts w:hint="default" w:cs="Times New Roman" w:asciiTheme="minorAscii" w:hAnsiTheme="minorAscii" w:eastAsiaTheme="minorEastAsia"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9">
    <w:name w:val="致谢标题"/>
    <w:qFormat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ascii="+西文标题" w:hAnsi="+西文标题" w:eastAsia="+中文标题" w:cs="Times New Roman"/>
      <w:b/>
      <w:bCs/>
      <w:kern w:val="44"/>
      <w:sz w:val="32"/>
      <w:szCs w:val="32"/>
    </w:rPr>
  </w:style>
  <w:style w:type="paragraph" w:customStyle="1" w:styleId="50">
    <w:name w:val="参考文献标题"/>
    <w:qFormat/>
    <w:uiPriority w:val="0"/>
    <w:pPr>
      <w:keepNext/>
      <w:keepLines/>
      <w:spacing w:before="50" w:beforeLines="50" w:after="20" w:afterLines="20" w:line="312" w:lineRule="auto"/>
      <w:jc w:val="center"/>
      <w:outlineLvl w:val="0"/>
    </w:pPr>
    <w:rPr>
      <w:rFonts w:ascii="+西文标题" w:hAnsi="+西文标题" w:eastAsia="+中文标题" w:cs="Times New Roman"/>
      <w:b/>
      <w:bCs/>
      <w:kern w:val="44"/>
      <w:sz w:val="32"/>
      <w:szCs w:val="32"/>
    </w:rPr>
  </w:style>
  <w:style w:type="paragraph" w:customStyle="1" w:styleId="51">
    <w:name w:val="声明标题"/>
    <w:qFormat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hint="default" w:cs="Times New Roman" w:asciiTheme="majorAscii" w:hAnsiTheme="majorAscii" w:eastAsiaTheme="majorEastAsia"/>
      <w:b/>
      <w:bCs/>
      <w:kern w:val="44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7.emf"/><Relationship Id="rId15" Type="http://schemas.openxmlformats.org/officeDocument/2006/relationships/oleObject" Target="embeddings/oleObject1.bin"/><Relationship Id="rId14" Type="http://schemas.openxmlformats.org/officeDocument/2006/relationships/chart" Target="charts/chart3.xml"/><Relationship Id="rId13" Type="http://schemas.openxmlformats.org/officeDocument/2006/relationships/chart" Target="charts/chart2.xml"/><Relationship Id="rId12" Type="http://schemas.openxmlformats.org/officeDocument/2006/relationships/chart" Target="charts/chart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E:\01-&#39033;&#30446;&#38598;&#21512;\&#33521;&#22823;&#36130;&#38505;\&#25968;&#25454;&#20849;&#20139;&#20013;&#24515;\2-&#24320;&#21457;&#38454;&#27573;\&#25968;&#25454;&#36136;&#37327;&#26657;&#39564;\&#19994;&#36130;&#31934;&#20877;&#22235;&#26041;&#25968;&#25454;&#19968;&#33268;&#24615;&#26680;&#23545;&#26041;&#26696;.xlsx" TargetMode="External"/></Relationships>
</file>

<file path=word/charts/_rels/chart2.xml.rels><?xml version="1.0" encoding="UTF-8" standalone="yes"?>
<Relationships xmlns="http://schemas.openxmlformats.org/package/2006/relationships"><Relationship Id="rId6" Type="http://schemas.microsoft.com/office/2011/relationships/chartColorStyle" Target="colors1.xml"/><Relationship Id="rId5" Type="http://schemas.microsoft.com/office/2011/relationships/chartStyle" Target="style1.xml"/><Relationship Id="rId4" Type="http://schemas.openxmlformats.org/officeDocument/2006/relationships/image" Target="../media/image9.png"/><Relationship Id="rId3" Type="http://schemas.openxmlformats.org/officeDocument/2006/relationships/image" Target="../media/image8.png"/><Relationship Id="rId2" Type="http://schemas.openxmlformats.org/officeDocument/2006/relationships/themeOverride" Target="../theme/themeOverride1.xml"/><Relationship Id="rId1" Type="http://schemas.openxmlformats.org/officeDocument/2006/relationships/oleObject" Target="file:///E:\01-&#39033;&#30446;&#38598;&#21512;\&#33521;&#22823;&#36130;&#38505;\&#25968;&#25454;&#20849;&#20139;&#20013;&#24515;\2-&#24320;&#21457;&#38454;&#27573;\&#25968;&#25454;&#36136;&#37327;&#26657;&#39564;\&#19994;&#36130;&#31934;&#20877;&#22235;&#26041;&#25968;&#25454;&#19968;&#33268;&#24615;&#26680;&#23545;&#26041;&#26696;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file:///E:\01-&#39033;&#30446;&#38598;&#21512;\&#33521;&#22823;&#36130;&#38505;\&#25968;&#25454;&#20849;&#20139;&#20013;&#24515;\2-&#24320;&#21457;&#38454;&#27573;\&#25968;&#25454;&#36136;&#37327;&#26657;&#39564;\&#19994;&#36130;&#31934;&#20877;&#22235;&#26041;&#25968;&#25454;&#19968;&#33268;&#24615;&#26680;&#23545;&#26041;&#26696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0"/>
          <a:lstStyle/>
          <a:p>
            <a:pPr>
              <a:defRPr lang="zh-CN"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en-US" b="1" i="0" kern="0" spc="0" baseline="0"/>
              <a:t>核对类型规则占比</a:t>
            </a:r>
            <a:endParaRPr lang="en-US" altLang="en-US" b="1" i="0" kern="0" spc="0" baseline="0"/>
          </a:p>
        </c:rich>
      </c:tx>
      <c:layout/>
      <c:overlay val="0"/>
    </c:title>
    <c:autoTitleDeleted val="0"/>
    <c:plotArea>
      <c:layout/>
      <c:pieChart>
        <c:varyColors val="1"/>
        <c:ser>
          <c:idx val="0"/>
          <c:order val="0"/>
          <c:explosion val="0"/>
          <c:dPt>
            <c:idx val="0"/>
            <c:bubble3D val="0"/>
            <c:spPr>
              <a:solidFill>
                <a:srgbClr val="5383F1"/>
              </a:solidFill>
            </c:spPr>
          </c:dPt>
          <c:dPt>
            <c:idx val="1"/>
            <c:bubble3D val="0"/>
            <c:spPr>
              <a:solidFill>
                <a:srgbClr val="55C6EF"/>
              </a:solidFill>
            </c:spPr>
          </c:dPt>
          <c:dPt>
            <c:idx val="2"/>
            <c:bubble3D val="0"/>
            <c:spPr>
              <a:solidFill>
                <a:srgbClr val="915EEA"/>
              </a:solidFill>
            </c:spPr>
          </c:dPt>
          <c:dPt>
            <c:idx val="3"/>
            <c:bubble3D val="0"/>
            <c:spPr>
              <a:solidFill>
                <a:srgbClr val="EECB59"/>
              </a:solidFill>
            </c:spPr>
          </c:dPt>
          <c:dPt>
            <c:idx val="4"/>
            <c:bubble3D val="0"/>
          </c:dPt>
          <c:dLbls>
            <c:dLbl>
              <c:idx val="0"/>
              <c:layout/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lIns="38100" tIns="19050" rIns="38100" bIns="19050" anchor="ctr" anchorCtr="0"/>
                <a:lstStyle/>
                <a:p>
                  <a:pPr>
                    <a:defRPr lang="zh-CN" sz="900" b="1" i="0" u="none" strike="noStrike" kern="1200" spc="0" baseline="0">
                      <a:solidFill>
                        <a:srgbClr val="FFFFFF"/>
                      </a:solidFill>
                      <a:latin typeface="+mn-lt"/>
                      <a:ea typeface="+mn-ea"/>
                      <a:cs typeface="+mn-cs"/>
                    </a:defRPr>
                  </a:pPr>
                </a:p>
              </c:txPr>
              <c:dLblPos val="bestFit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1"/>
              <c:layout>
                <c:manualLayout>
                  <c:x val="-0.0705289672544081"/>
                  <c:y val="-0.195652173913043"/>
                </c:manualLayout>
              </c:layout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lIns="38100" tIns="19050" rIns="38100" bIns="19050" anchor="ctr" anchorCtr="0"/>
                <a:lstStyle/>
                <a:p>
                  <a:pPr>
                    <a:defRPr lang="zh-CN" sz="900" b="1" i="0" u="none" strike="noStrike" kern="1200" spc="0" baseline="0">
                      <a:solidFill>
                        <a:srgbClr val="FFFFFF"/>
                      </a:solidFill>
                      <a:latin typeface="+mn-lt"/>
                      <a:ea typeface="+mn-ea"/>
                      <a:cs typeface="+mn-cs"/>
                    </a:defRPr>
                  </a:pPr>
                </a:p>
              </c:txPr>
              <c:dLblPos val="bestFit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2"/>
              <c:layout/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lIns="38100" tIns="19050" rIns="38100" bIns="19050" anchor="ctr" anchorCtr="0"/>
                <a:lstStyle/>
                <a:p>
                  <a:pPr>
                    <a:defRPr lang="zh-CN" sz="900" b="1" i="0" u="none" strike="noStrike" kern="1200" spc="0" baseline="0">
                      <a:solidFill>
                        <a:srgbClr val="FFFFFF"/>
                      </a:solidFill>
                      <a:latin typeface="+mn-lt"/>
                      <a:ea typeface="+mn-ea"/>
                      <a:cs typeface="+mn-cs"/>
                    </a:defRPr>
                  </a:pPr>
                </a:p>
              </c:txPr>
              <c:dLblPos val="bestFit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3"/>
              <c:layout>
                <c:manualLayout>
                  <c:x val="0.150810671545712"/>
                  <c:y val="0.117403375113866"/>
                </c:manualLayout>
              </c:layout>
              <c:numFmt formatCode="General" sourceLinked="1"/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lIns="38100" tIns="19050" rIns="38100" bIns="19050" anchor="ctr" anchorCtr="0"/>
                <a:lstStyle/>
                <a:p>
                  <a:pPr>
                    <a:defRPr lang="zh-CN" sz="900" b="1" i="0" u="none" strike="noStrike" kern="1200" spc="0" baseline="0">
                      <a:solidFill>
                        <a:srgbClr val="FFFFFF"/>
                      </a:solidFill>
                      <a:latin typeface="+mn-lt"/>
                      <a:ea typeface="+mn-ea"/>
                      <a:cs typeface="+mn-cs"/>
                    </a:defRPr>
                  </a:pPr>
                </a:p>
              </c:txPr>
              <c:dLblPos val="bestFit"/>
              <c:showLegendKey val="0"/>
              <c:showVal val="1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143744752308984"/>
                      <c:h val="0.193961352657005"/>
                    </c:manualLayout>
                  </c15:layout>
                </c:ext>
              </c:extLst>
            </c:dLbl>
            <c:dLbl>
              <c:idx val="4"/>
              <c:layout>
                <c:manualLayout>
                  <c:x val="0.0498271584208609"/>
                  <c:y val="0.208182208699575"/>
                </c:manualLayout>
              </c:layout>
              <c:tx>
                <c:rich>
                  <a:bodyPr rot="0" spcFirstLastPara="0" vertOverflow="ellipsis" vert="horz" wrap="square" lIns="38100" tIns="19050" rIns="38100" bIns="19050" anchor="ctr" anchorCtr="0"/>
                  <a:lstStyle/>
                  <a:p>
                    <a:pPr defTabSz="914400">
                      <a:defRPr lang="zh-CN" sz="900" b="1" i="0" u="none" strike="noStrike" kern="1200" spc="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>
                        <a:solidFill>
                          <a:schemeClr val="bg1"/>
                        </a:solidFill>
                      </a:rPr>
                      <a:t>业精核对10%</a:t>
                    </a:r>
                    <a:endParaRPr>
                      <a:solidFill>
                        <a:schemeClr val="bg1"/>
                      </a:solidFill>
                    </a:endParaRPr>
                  </a:p>
                </c:rich>
              </c:tx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separator>
</c:separator>
              <c:extLst>
                <c:ext xmlns:c15="http://schemas.microsoft.com/office/drawing/2012/chart" uri="{CE6537A1-D6FC-4f65-9D91-7224C49458BB}">
                  <c15:layout>
                    <c:manualLayout>
                      <c:w val="0.119563392107473"/>
                      <c:h val="0.190821256038647"/>
                    </c:manualLayout>
                  </c15:layout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0"/>
              <a:lstStyle/>
              <a:p>
                <a:pPr>
                  <a:defRPr lang="zh-CN" sz="900" b="1" i="0" u="none" strike="noStrike" kern="1200" spc="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bestFit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/>
              </c:ext>
            </c:extLst>
          </c:dLbls>
          <c:cat>
            <c:strRef>
              <c:f>[业财精再四方数据一致性核对方案.xlsx]规则统计分析!$A$5:$A$9</c:f>
              <c:strCache>
                <c:ptCount val="5"/>
                <c:pt idx="0">
                  <c:v>财精核对</c:v>
                </c:pt>
                <c:pt idx="1">
                  <c:v>业财核对</c:v>
                </c:pt>
                <c:pt idx="2">
                  <c:v>精再核对</c:v>
                </c:pt>
                <c:pt idx="3">
                  <c:v>财再核对</c:v>
                </c:pt>
                <c:pt idx="4">
                  <c:v>业精核对</c:v>
                </c:pt>
              </c:strCache>
            </c:strRef>
          </c:cat>
          <c:val>
            <c:numRef>
              <c:f>[业财精再四方数据一致性核对方案.xlsx]规则统计分析!$B$5:$B$9</c:f>
              <c:numCache>
                <c:formatCode>General</c:formatCode>
                <c:ptCount val="5"/>
                <c:pt idx="0">
                  <c:v>9</c:v>
                </c:pt>
                <c:pt idx="1">
                  <c:v>7</c:v>
                </c:pt>
                <c:pt idx="2">
                  <c:v>6</c:v>
                </c:pt>
                <c:pt idx="3">
                  <c:v>5</c:v>
                </c:pt>
                <c:pt idx="4">
                  <c:v>3</c:v>
                </c:pt>
              </c:numCache>
            </c:numRef>
          </c:val>
        </c:ser>
        <c:dLbls>
          <c:showLegendKey val="0"/>
          <c:showVal val="0"/>
          <c:showCatName val="1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</c:spPr>
    </c:plotArea>
    <c:legend>
      <c:legendPos val="r"/>
      <c:layout/>
      <c:overlay val="0"/>
      <c:txPr>
        <a:bodyPr rot="0" spcFirstLastPara="0" vertOverflow="ellipsis" vert="horz" wrap="square" anchor="ctr" anchorCtr="1"/>
        <a:lstStyle/>
        <a:p>
          <a:pPr>
            <a:defRPr lang="zh-CN"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618fcb75-a634-400d-9c61-611f9b8c9616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 forceAA="0"/>
          <a:lstStyle/>
          <a:p>
            <a:pPr>
              <a:defRPr lang="zh-CN" sz="1400" b="0" i="0" u="none" strike="noStrike" kern="1200" spc="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  <a:r>
              <a:t>检核频度规则数量分布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blipFill rotWithShape="1">
              <a:blip xmlns:r="http://schemas.openxmlformats.org/officeDocument/2006/relationships" r:embed="rId3">
                <a:duotone>
                  <a:schemeClr val="accent1"/>
                  <a:prstClr val="white"/>
                </a:duotone>
              </a:blip>
              <a:stretch>
                <a:fillRect/>
              </a:stretch>
            </a:blipFill>
            <a:ln>
              <a:noFill/>
            </a:ln>
            <a:effectLst>
              <a:outerShdw blurRad="76200" dir="18900000" sy="23000" kx="-1200000" algn="bl" rotWithShape="0">
                <a:prstClr val="black">
                  <a:alpha val="10000"/>
                </a:prstClr>
              </a:outerShdw>
            </a:effectLst>
          </c:spPr>
          <c:invertIfNegative val="0"/>
          <c:dPt>
            <c:idx val="0"/>
            <c:invertIfNegative val="0"/>
            <c:bubble3D val="0"/>
            <c:spPr>
              <a:blipFill rotWithShape="1">
                <a:blip xmlns:r="http://schemas.openxmlformats.org/officeDocument/2006/relationships" r:embed="rId4">
                  <a:duotone>
                    <a:schemeClr val="accent1"/>
                    <a:prstClr val="white"/>
                  </a:duotone>
                </a:blip>
                <a:stretch>
                  <a:fillRect/>
                </a:stretch>
              </a:blipFill>
              <a:ln>
                <a:noFill/>
              </a:ln>
              <a:effectLst>
                <a:outerShdw blurRad="76200" dir="18900000" sy="23000" kx="-1200000" algn="bl" rotWithShape="0">
                  <a:prstClr val="black">
                    <a:alpha val="10000"/>
                  </a:prstClr>
                </a:outerShdw>
              </a:effectLst>
            </c:spPr>
          </c:dPt>
          <c:dPt>
            <c:idx val="1"/>
            <c:invertIfNegative val="0"/>
            <c:bubble3D val="0"/>
            <c:spPr>
              <a:blipFill rotWithShape="1">
                <a:blip xmlns:r="http://schemas.openxmlformats.org/officeDocument/2006/relationships" r:embed="rId4">
                  <a:duotone>
                    <a:schemeClr val="accent2"/>
                    <a:prstClr val="white"/>
                  </a:duotone>
                </a:blip>
                <a:stretch>
                  <a:fillRect/>
                </a:stretch>
              </a:blipFill>
              <a:ln>
                <a:noFill/>
              </a:ln>
              <a:effectLst>
                <a:outerShdw blurRad="76200" dir="18900000" sy="23000" kx="-1200000" algn="bl" rotWithShape="0">
                  <a:prstClr val="black">
                    <a:alpha val="10000"/>
                  </a:prstClr>
                </a:outerShdw>
              </a:effectLst>
            </c:spPr>
          </c:dPt>
          <c:dLbls>
            <c:dLbl>
              <c:idx val="0"/>
              <c:layout/>
              <c:numFmt formatCode="General" sourceLinked="1"/>
              <c:spPr>
                <a:solidFill>
                  <a:schemeClr val="accent1"/>
                </a:solidFill>
                <a:ln>
                  <a:noFill/>
                </a:ln>
                <a:effectLst/>
              </c:spPr>
              <c:txPr>
                <a:bodyPr rot="0" spcFirstLastPara="0" vertOverflow="ellipsis" vert="horz" wrap="square" lIns="39370" tIns="0" rIns="38100" bIns="0" anchor="ctr" anchorCtr="1" forceAA="0"/>
                <a:lstStyle/>
                <a:p>
                  <a:pPr>
                    <a:defRPr lang="zh-CN" sz="900" b="0" i="0" u="none" strike="noStrike" kern="1200" baseline="0">
                      <a:solidFill>
                        <a:schemeClr val="bg1"/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dLbl>
              <c:idx val="1"/>
              <c:layout/>
              <c:numFmt formatCode="General" sourceLinked="1"/>
              <c:spPr>
                <a:solidFill>
                  <a:schemeClr val="accent2"/>
                </a:solidFill>
                <a:ln>
                  <a:noFill/>
                </a:ln>
                <a:effectLst/>
              </c:spPr>
              <c:txPr>
                <a:bodyPr rot="0" spcFirstLastPara="0" vertOverflow="ellipsis" vert="horz" wrap="square" lIns="39370" tIns="0" rIns="38100" bIns="0" anchor="ctr" anchorCtr="1" forceAA="0"/>
                <a:lstStyle/>
                <a:p>
                  <a:pPr>
                    <a:defRPr lang="zh-CN" sz="900" b="0" i="0" u="none" strike="noStrike" kern="1200" baseline="0">
                      <a:solidFill>
                        <a:schemeClr val="bg1"/>
                      </a:solidFill>
                      <a:latin typeface="微软雅黑" panose="020B0503020204020204" charset="-122"/>
                      <a:ea typeface="微软雅黑" panose="020B0503020204020204" charset="-122"/>
                      <a:cs typeface="微软雅黑" panose="020B0503020204020204" charset="-122"/>
                      <a:sym typeface="微软雅黑" panose="020B0503020204020204" charset="-122"/>
                    </a:defRPr>
                  </a:pPr>
                </a:p>
              </c:txPr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</c:extLst>
            </c:dLbl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9370" tIns="0" rIns="38100" bIns="0" anchor="ctr" anchorCtr="1" forceAA="0"/>
              <a:lstStyle/>
              <a:p>
                <a:pPr>
                  <a:defRPr lang="zh-CN" sz="900" b="0" i="0" u="none" strike="noStrike" kern="1200" baseline="0">
                    <a:solidFill>
                      <a:schemeClr val="bg1"/>
                    </a:solidFill>
                    <a:latin typeface="微软雅黑" panose="020B0503020204020204" charset="-122"/>
                    <a:ea typeface="微软雅黑" panose="020B0503020204020204" charset="-122"/>
                    <a:cs typeface="微软雅黑" panose="020B0503020204020204" charset="-122"/>
                    <a:sym typeface="微软雅黑" panose="020B0503020204020204" charset="-122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[业财精再四方数据一致性核对方案.xlsx]规则统计分析!$A$22:$A$23</c:f>
              <c:strCache>
                <c:ptCount val="2"/>
                <c:pt idx="0">
                  <c:v>日</c:v>
                </c:pt>
                <c:pt idx="1">
                  <c:v>月</c:v>
                </c:pt>
              </c:strCache>
            </c:strRef>
          </c:cat>
          <c:val>
            <c:numRef>
              <c:f>[业财精再四方数据一致性核对方案.xlsx]规则统计分析!$B$22:$B$23</c:f>
              <c:numCache>
                <c:formatCode>General</c:formatCode>
                <c:ptCount val="2"/>
                <c:pt idx="0">
                  <c:v>19</c:v>
                </c:pt>
                <c:pt idx="1">
                  <c:v>11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2"/>
        <c:overlap val="-21"/>
        <c:axId val="754001152"/>
        <c:axId val="753999904"/>
      </c:barChart>
      <c:catAx>
        <c:axId val="754001152"/>
        <c:scaling>
          <c:orientation val="minMax"/>
        </c:scaling>
        <c:delete val="0"/>
        <c:axPos val="b"/>
        <c:majorGridlines>
          <c:spPr>
            <a:ln w="6350" cap="flat" cmpd="sng" algn="ctr">
              <a:solidFill>
                <a:schemeClr val="tx1">
                  <a:lumMod val="50000"/>
                  <a:lumOff val="50000"/>
                  <a:alpha val="2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solidFill>
              <a:schemeClr val="tx1">
                <a:lumMod val="50000"/>
                <a:lumOff val="50000"/>
                <a:alpha val="2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753999904"/>
        <c:crosses val="autoZero"/>
        <c:auto val="1"/>
        <c:lblAlgn val="ctr"/>
        <c:lblOffset val="100"/>
        <c:noMultiLvlLbl val="0"/>
      </c:catAx>
      <c:valAx>
        <c:axId val="753999904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txPr>
          <a:bodyPr rot="-60000000" spcFirstLastPara="0" vertOverflow="ellipsis" vert="horz" wrap="square" anchor="ctr" anchorCtr="1" forceAA="0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charset="-122"/>
                <a:ea typeface="微软雅黑" panose="020B0503020204020204" charset="-122"/>
                <a:cs typeface="微软雅黑" panose="020B0503020204020204" charset="-122"/>
                <a:sym typeface="微软雅黑" panose="020B0503020204020204" charset="-122"/>
              </a:defRPr>
            </a:pPr>
          </a:p>
        </c:txPr>
        <c:crossAx val="7540011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 forceAA="0"/>
        <a:lstStyle/>
        <a:p>
          <a:pPr>
            <a:defRPr lang="zh-CN" sz="900" b="0" i="0" u="none" strike="noStrike" kern="1200" baseline="0">
              <a:solidFill>
                <a:schemeClr val="tx1">
                  <a:lumMod val="75000"/>
                  <a:lumOff val="25000"/>
                </a:schemeClr>
              </a:solidFill>
              <a:latin typeface="微软雅黑" panose="020B0503020204020204" charset="-122"/>
              <a:ea typeface="微软雅黑" panose="020B0503020204020204" charset="-122"/>
              <a:cs typeface="微软雅黑" panose="020B0503020204020204" charset="-122"/>
              <a:sym typeface="微软雅黑" panose="020B0503020204020204" charset="-122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1fd08091-77e7-4658-8e73-a102324371d3}"/>
      </c:ext>
    </c:extLst>
  </c:chart>
  <c:spPr>
    <a:solidFill>
      <a:schemeClr val="bg1"/>
    </a:solidFill>
    <a:ln w="6350" cap="flat" cmpd="sng" algn="ctr">
      <a:solidFill>
        <a:schemeClr val="tx1">
          <a:lumMod val="50000"/>
          <a:lumOff val="50000"/>
          <a:alpha val="25000"/>
        </a:schemeClr>
      </a:solidFill>
      <a:round/>
    </a:ln>
    <a:effectLst/>
  </c:spPr>
  <c:txPr>
    <a:bodyPr/>
    <a:lstStyle/>
    <a:p>
      <a:pPr>
        <a:defRPr lang="zh-CN">
          <a:latin typeface="微软雅黑" panose="020B0503020204020204" charset="-122"/>
          <a:ea typeface="微软雅黑" panose="020B0503020204020204" charset="-122"/>
          <a:cs typeface="微软雅黑" panose="020B0503020204020204" charset="-122"/>
          <a:sym typeface="微软雅黑" panose="020B0503020204020204" charset="-122"/>
        </a:defRPr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t>各系统规则覆盖数量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0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[业财精再四方数据一致性核对方案.xlsx]规则统计分析!$A$36:$A$41</c:f>
              <c:strCache>
                <c:ptCount val="6"/>
                <c:pt idx="0">
                  <c:v>收付系统</c:v>
                </c:pt>
                <c:pt idx="1">
                  <c:v>数据共享中心</c:v>
                </c:pt>
                <c:pt idx="2">
                  <c:v>再保系统</c:v>
                </c:pt>
                <c:pt idx="3">
                  <c:v>承保系统</c:v>
                </c:pt>
                <c:pt idx="4">
                  <c:v>准备金系统</c:v>
                </c:pt>
                <c:pt idx="5">
                  <c:v>理赔系统</c:v>
                </c:pt>
              </c:strCache>
            </c:strRef>
          </c:cat>
          <c:val>
            <c:numRef>
              <c:f>[业财精再四方数据一致性核对方案.xlsx]规则统计分析!$B$36:$B$41</c:f>
              <c:numCache>
                <c:formatCode>General</c:formatCode>
                <c:ptCount val="6"/>
                <c:pt idx="0">
                  <c:v>21</c:v>
                </c:pt>
                <c:pt idx="1">
                  <c:v>30</c:v>
                </c:pt>
                <c:pt idx="2">
                  <c:v>11</c:v>
                </c:pt>
                <c:pt idx="3">
                  <c:v>7</c:v>
                </c:pt>
                <c:pt idx="4">
                  <c:v>18</c:v>
                </c:pt>
                <c:pt idx="5">
                  <c:v>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6"/>
        <c:overlap val="-32"/>
        <c:axId val="754001152"/>
        <c:axId val="753999904"/>
      </c:barChart>
      <c:catAx>
        <c:axId val="754001152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753999904"/>
        <c:crosses val="min"/>
        <c:auto val="1"/>
        <c:lblAlgn val="ctr"/>
        <c:lblOffset val="100"/>
        <c:noMultiLvlLbl val="0"/>
      </c:catAx>
      <c:valAx>
        <c:axId val="7539999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t>规则覆盖数量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754001152"/>
        <c:crosses val="min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4d3f73f8-2a26-4069-b1eb-e5c07ed532d2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acrossLinear" id="2">
  <a:schemeClr val="accent1"/>
  <a:schemeClr val="accent2"/>
  <a:schemeClr val="accent3"/>
  <a:schemeClr val="accent4"/>
  <a:schemeClr val="accent5"/>
  <a:schemeClr val="accent6"/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100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word/theme/themeOverride1.xml><?xml version="1.0" encoding="utf-8"?>
<a:themeOverride xmlns:a="http://schemas.openxmlformats.org/drawingml/2006/main">
  <a:clrScheme name="自定义 11">
    <a:dk1>
      <a:srgbClr val="000000"/>
    </a:dk1>
    <a:lt1>
      <a:srgbClr val="FFFFFF"/>
    </a:lt1>
    <a:dk2>
      <a:srgbClr val="0E2841"/>
    </a:dk2>
    <a:lt2>
      <a:srgbClr val="E8E8E8"/>
    </a:lt2>
    <a:accent1>
      <a:srgbClr val="0FB0C8"/>
    </a:accent1>
    <a:accent2>
      <a:srgbClr val="FCA768"/>
    </a:accent2>
    <a:accent3>
      <a:srgbClr val="F96F7C"/>
    </a:accent3>
    <a:accent4>
      <a:srgbClr val="8AB1E6"/>
    </a:accent4>
    <a:accent5>
      <a:srgbClr val="FFD13F"/>
    </a:accent5>
    <a:accent6>
      <a:srgbClr val="E18FD7"/>
    </a:accent6>
    <a:hlink>
      <a:srgbClr val="467886"/>
    </a:hlink>
    <a:folHlink>
      <a:srgbClr val="96607D"/>
    </a:folHlink>
  </a:clrScheme>
  <a:fontScheme name="Office">
    <a:majorFont>
      <a:latin typeface="Calibri Light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1859</Words>
  <Characters>2029</Characters>
  <Lines>0</Lines>
  <Paragraphs>0</Paragraphs>
  <TotalTime>44</TotalTime>
  <ScaleCrop>false</ScaleCrop>
  <LinksUpToDate>false</LinksUpToDate>
  <CharactersWithSpaces>2192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2026-05-02T09:41:00Z</dcterms:created>
  <dc:creator>Lxn</dc:creator>
  <cp:lastModifiedBy>19-0021</cp:lastModifiedBy>
  <dcterms:modified xsi:type="dcterms:W3CDTF">2026-05-28T06:43:48Z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eyJoZGlkIjoiNjkxNTYwZWVjYzI4NTNiZjk2MWE3ZGUzODRkZmIwMzIiLCJ1c2VySWQiOiIyNDcwODgwNzYifQ==</vt:lpwstr>
  </property>
  <property fmtid="{D5CDD505-2E9C-101B-9397-08002B2CF9AE}" pid="4" name="ICV">
    <vt:lpwstr>71A16A16BAF546DA88A57B4A9B3D8BD6_12</vt:lpwstr>
  </property>
</Properties>
</file>