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jc w:val="center"/>
      </w:pPr>
      <w:r>
        <w:rPr>
          <w:rFonts w:ascii="Arial" w:cs="Arial" w:eastAsia="Arial" w:hAnsi="Arial"/>
          <w:b/>
          <w:bCs/>
          <w:color w:val="0F6CBD"/>
          <w:sz w:val="24"/>
          <w:szCs w:val="24"/>
        </w:rPr>
        <w:t xml:space="preserve">GARTNER DEMOS 2 AND 3</w:t>
      </w:r>
    </w:p>
    <w:p>
      <w:pPr>
        <w:spacing w:after="90"/>
        <w:jc w:val="center"/>
      </w:pPr>
      <w:r>
        <w:rPr>
          <w:rFonts w:ascii="Arial" w:cs="Arial" w:eastAsia="Arial" w:hAnsi="Arial"/>
          <w:b/>
          <w:bCs/>
          <w:color w:val="17365D"/>
          <w:sz w:val="46"/>
          <w:szCs w:val="46"/>
        </w:rPr>
        <w:t xml:space="preserve">Presenter Flow</w:t>
      </w:r>
    </w:p>
    <w:p>
      <w:pPr>
        <w:spacing w:after="240"/>
        <w:jc w:val="center"/>
      </w:pPr>
      <w:r>
        <w:rPr>
          <w:rFonts w:ascii="Arial" w:cs="Arial" w:eastAsia="Arial" w:hAnsi="Arial"/>
          <w:color w:val="5B6573"/>
          <w:sz w:val="27"/>
          <w:szCs w:val="27"/>
        </w:rPr>
        <w:t xml:space="preserve">One Microsoft Foundry hosted agent, two identity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40"/>
        </w:tblCellMar>
      </w:tblPr>
      <w:tblGrid>
        <w:gridCol w:w="9360"/>
      </w:tblGrid>
      <w:tr>
        <w:tc>
          <w:tcPr>
            <w:tcW w:type="dxa" w:w="9360"/>
            <w:tcBorders>
              <w:top w:val="single" w:color="C9D2DC" w:sz="1"/>
              <w:left w:val="single" w:color="C9D2DC" w:sz="1"/>
              <w:bottom w:val="single" w:color="C9D2DC" w:sz="1"/>
              <w:right w:val="single" w:color="C9D2DC" w:sz="1"/>
            </w:tcBorders>
            <w:shd w:fill="EAF5EE" w:val="clear"/>
            <w:tcMar>
              <w:top w:type="dxa" w:w="130"/>
              <w:left w:type="dxa" w:w="170"/>
              <w:bottom w:type="dxa" w:w="130"/>
              <w:right w:type="dxa" w:w="170"/>
            </w:tcMar>
          </w:tcPr>
          <w:p>
            <w:pPr>
              <w:spacing w:after="55"/>
            </w:pPr>
            <w:r>
              <w:rPr>
                <w:rFonts w:ascii="Arial" w:cs="Arial" w:eastAsia="Arial" w:hAnsi="Arial"/>
                <w:b/>
                <w:bCs/>
                <w:color w:val="17365D"/>
              </w:rPr>
              <w:t xml:space="preserve">Bottom line</w:t>
            </w:r>
          </w:p>
          <w:p>
            <w:pPr>
              <w:spacing w:after="55" w:line="276"/>
            </w:pPr>
            <w:r>
              <w:rPr>
                <w:rFonts w:ascii="Arial" w:cs="Arial" w:eastAsia="Arial" w:hAnsi="Arial"/>
              </w:rPr>
              <w:t xml:space="preserve">Keep live product surfaces on screen. Demo 2 proves signed-in OBO grounding across Fabric IQ, Foundry IQ, and Work IQ. Demo 3 proves the same hosted agent acting as Marco's Teller with its own Agent 365 identity. Use two slides total and no transition slide.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9D2DC" w:sz="1"/>
              <w:left w:val="single" w:color="C9D2DC" w:sz="1"/>
              <w:bottom w:val="single" w:color="C9D2DC" w:sz="1"/>
              <w:right w:val="single" w:color="C9D2DC" w:sz="1"/>
            </w:tcBorders>
            <w:shd w:fill="17365D" w:val="clear"/>
            <w:tcMar>
              <w:top w:type="dxa" w:w="90"/>
              <w:left w:type="dxa" w:w="130"/>
              <w:bottom w:type="dxa" w:w="90"/>
              <w:right w:type="dxa" w:w="130"/>
            </w:tcMar>
          </w:tcPr>
          <w:p>
            <w:pPr>
              <w:spacing w:after="0"/>
            </w:pPr>
            <w:r>
              <w:rPr>
                <w:rFonts w:ascii="Arial" w:cs="Arial" w:eastAsia="Arial" w:hAnsi="Arial"/>
                <w:b/>
                <w:bCs/>
                <w:color w:val="FFFFFF"/>
                <w:sz w:val="19"/>
                <w:szCs w:val="19"/>
              </w:rPr>
              <w:t xml:space="preserve">Item</w:t>
            </w:r>
          </w:p>
        </w:tc>
        <w:tc>
          <w:tcPr>
            <w:tcW w:type="dxa" w:w="6560"/>
            <w:tcBorders>
              <w:top w:val="single" w:color="C9D2DC" w:sz="1"/>
              <w:left w:val="single" w:color="C9D2DC" w:sz="1"/>
              <w:bottom w:val="single" w:color="C9D2DC" w:sz="1"/>
              <w:right w:val="single" w:color="C9D2DC" w:sz="1"/>
            </w:tcBorders>
            <w:shd w:fill="17365D" w:val="clear"/>
            <w:tcMar>
              <w:top w:type="dxa" w:w="90"/>
              <w:left w:type="dxa" w:w="130"/>
              <w:bottom w:type="dxa" w:w="90"/>
              <w:right w:type="dxa" w:w="130"/>
            </w:tcMar>
          </w:tcPr>
          <w:p>
            <w:pPr>
              <w:spacing w:after="0"/>
            </w:pPr>
            <w:r>
              <w:rPr>
                <w:rFonts w:ascii="Arial" w:cs="Arial" w:eastAsia="Arial" w:hAnsi="Arial"/>
                <w:b/>
                <w:bCs/>
                <w:color w:val="FFFFFF"/>
                <w:sz w:val="19"/>
                <w:szCs w:val="19"/>
              </w:rPr>
              <w:t xml:space="preserve">Current value</w:t>
            </w:r>
          </w:p>
        </w:tc>
      </w:tr>
      <w:tr>
        <w:tc>
          <w:tcPr>
            <w:tcW w:type="dxa" w:w="280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Hosted agent</w:t>
            </w:r>
          </w:p>
        </w:tc>
        <w:tc>
          <w:tcPr>
            <w:tcW w:type="dxa" w:w="656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bank-servicing-agent, version 15</w:t>
            </w:r>
          </w:p>
        </w:tc>
      </w:tr>
      <w:tr>
        <w:tc>
          <w:tcPr>
            <w:tcW w:type="dxa" w:w="2800"/>
            <w:tcBorders>
              <w:top w:val="single" w:color="C9D2DC" w:sz="1"/>
              <w:left w:val="single" w:color="C9D2DC" w:sz="1"/>
              <w:bottom w:val="single" w:color="C9D2DC" w:sz="1"/>
              <w:right w:val="single" w:color="C9D2DC" w:sz="1"/>
            </w:tcBorders>
            <w:shd w:fill="F4F5F7" w:val="clear"/>
            <w:tcMar>
              <w:top w:type="dxa" w:w="90"/>
              <w:left w:type="dxa" w:w="130"/>
              <w:bottom w:type="dxa" w:w="90"/>
              <w:right w:type="dxa" w:w="130"/>
            </w:tcMar>
          </w:tcPr>
          <w:p>
            <w:pPr>
              <w:spacing w:after="0" w:line="250"/>
            </w:pPr>
            <w:r>
              <w:rPr>
                <w:rFonts w:ascii="Arial" w:cs="Arial" w:eastAsia="Arial" w:hAnsi="Arial"/>
                <w:sz w:val="19"/>
                <w:szCs w:val="19"/>
              </w:rPr>
              <w:t xml:space="preserve">Production model</w:t>
            </w:r>
          </w:p>
        </w:tc>
        <w:tc>
          <w:tcPr>
            <w:tcW w:type="dxa" w:w="6560"/>
            <w:tcBorders>
              <w:top w:val="single" w:color="C9D2DC" w:sz="1"/>
              <w:left w:val="single" w:color="C9D2DC" w:sz="1"/>
              <w:bottom w:val="single" w:color="C9D2DC" w:sz="1"/>
              <w:right w:val="single" w:color="C9D2DC" w:sz="1"/>
            </w:tcBorders>
            <w:shd w:fill="F4F5F7" w:val="clear"/>
            <w:tcMar>
              <w:top w:type="dxa" w:w="90"/>
              <w:left w:type="dxa" w:w="130"/>
              <w:bottom w:type="dxa" w:w="90"/>
              <w:right w:type="dxa" w:w="130"/>
            </w:tcMar>
          </w:tcPr>
          <w:p>
            <w:pPr>
              <w:spacing w:after="0" w:line="250"/>
            </w:pPr>
            <w:r>
              <w:rPr>
                <w:rFonts w:ascii="Arial" w:cs="Arial" w:eastAsia="Arial" w:hAnsi="Arial"/>
                <w:sz w:val="19"/>
                <w:szCs w:val="19"/>
              </w:rPr>
              <w:t xml:space="preserve">gpt-5.4-mini</w:t>
            </w:r>
          </w:p>
        </w:tc>
      </w:tr>
      <w:tr>
        <w:tc>
          <w:tcPr>
            <w:tcW w:type="dxa" w:w="280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Demo 2 identity</w:t>
            </w:r>
          </w:p>
        </w:tc>
        <w:tc>
          <w:tcPr>
            <w:tcW w:type="dxa" w:w="656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Signed-in web OBO</w:t>
            </w:r>
          </w:p>
        </w:tc>
      </w:tr>
      <w:tr>
        <w:tc>
          <w:tcPr>
            <w:tcW w:type="dxa" w:w="2800"/>
            <w:tcBorders>
              <w:top w:val="single" w:color="C9D2DC" w:sz="1"/>
              <w:left w:val="single" w:color="C9D2DC" w:sz="1"/>
              <w:bottom w:val="single" w:color="C9D2DC" w:sz="1"/>
              <w:right w:val="single" w:color="C9D2DC" w:sz="1"/>
            </w:tcBorders>
            <w:shd w:fill="F4F5F7" w:val="clear"/>
            <w:tcMar>
              <w:top w:type="dxa" w:w="90"/>
              <w:left w:type="dxa" w:w="130"/>
              <w:bottom w:type="dxa" w:w="90"/>
              <w:right w:type="dxa" w:w="130"/>
            </w:tcMar>
          </w:tcPr>
          <w:p>
            <w:pPr>
              <w:spacing w:after="0" w:line="250"/>
            </w:pPr>
            <w:r>
              <w:rPr>
                <w:rFonts w:ascii="Arial" w:cs="Arial" w:eastAsia="Arial" w:hAnsi="Arial"/>
                <w:sz w:val="19"/>
                <w:szCs w:val="19"/>
              </w:rPr>
              <w:t xml:space="preserve">Demo 3 identity</w:t>
            </w:r>
          </w:p>
        </w:tc>
        <w:tc>
          <w:tcPr>
            <w:tcW w:type="dxa" w:w="6560"/>
            <w:tcBorders>
              <w:top w:val="single" w:color="C9D2DC" w:sz="1"/>
              <w:left w:val="single" w:color="C9D2DC" w:sz="1"/>
              <w:bottom w:val="single" w:color="C9D2DC" w:sz="1"/>
              <w:right w:val="single" w:color="C9D2DC" w:sz="1"/>
            </w:tcBorders>
            <w:shd w:fill="F4F5F7" w:val="clear"/>
            <w:tcMar>
              <w:top w:type="dxa" w:w="90"/>
              <w:left w:type="dxa" w:w="130"/>
              <w:bottom w:type="dxa" w:w="90"/>
              <w:right w:type="dxa" w:w="130"/>
            </w:tcMar>
          </w:tcPr>
          <w:p>
            <w:pPr>
              <w:spacing w:after="0" w:line="250"/>
            </w:pPr>
            <w:r>
              <w:rPr>
                <w:rFonts w:ascii="Arial" w:cs="Arial" w:eastAsia="Arial" w:hAnsi="Arial"/>
                <w:sz w:val="19"/>
                <w:szCs w:val="19"/>
              </w:rPr>
              <w:t xml:space="preserve">Marco's Teller agent-user identity</w:t>
            </w:r>
          </w:p>
        </w:tc>
      </w:tr>
      <w:tr>
        <w:tc>
          <w:tcPr>
            <w:tcW w:type="dxa" w:w="280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Voice</w:t>
            </w:r>
          </w:p>
        </w:tc>
        <w:tc>
          <w:tcPr>
            <w:tcW w:type="dxa" w:w="656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Davis HD through Voice Live</w:t>
            </w:r>
          </w:p>
        </w:tc>
      </w:tr>
      <w:tr>
        <w:tc>
          <w:tcPr>
            <w:tcW w:type="dxa" w:w="2800"/>
            <w:tcBorders>
              <w:top w:val="single" w:color="C9D2DC" w:sz="1"/>
              <w:left w:val="single" w:color="C9D2DC" w:sz="1"/>
              <w:bottom w:val="single" w:color="C9D2DC" w:sz="1"/>
              <w:right w:val="single" w:color="C9D2DC" w:sz="1"/>
            </w:tcBorders>
            <w:shd w:fill="F4F5F7" w:val="clear"/>
            <w:tcMar>
              <w:top w:type="dxa" w:w="90"/>
              <w:left w:type="dxa" w:w="130"/>
              <w:bottom w:type="dxa" w:w="90"/>
              <w:right w:type="dxa" w:w="130"/>
            </w:tcMar>
          </w:tcPr>
          <w:p>
            <w:pPr>
              <w:spacing w:after="0" w:line="250"/>
            </w:pPr>
            <w:r>
              <w:rPr>
                <w:rFonts w:ascii="Arial" w:cs="Arial" w:eastAsia="Arial" w:hAnsi="Arial"/>
                <w:sz w:val="19"/>
                <w:szCs w:val="19"/>
              </w:rPr>
              <w:t xml:space="preserve">Foundry project</w:t>
            </w:r>
          </w:p>
        </w:tc>
        <w:tc>
          <w:tcPr>
            <w:tcW w:type="dxa" w:w="6560"/>
            <w:tcBorders>
              <w:top w:val="single" w:color="C9D2DC" w:sz="1"/>
              <w:left w:val="single" w:color="C9D2DC" w:sz="1"/>
              <w:bottom w:val="single" w:color="C9D2DC" w:sz="1"/>
              <w:right w:val="single" w:color="C9D2DC" w:sz="1"/>
            </w:tcBorders>
            <w:shd w:fill="F4F5F7" w:val="clear"/>
            <w:tcMar>
              <w:top w:type="dxa" w:w="90"/>
              <w:left w:type="dxa" w:w="130"/>
              <w:bottom w:type="dxa" w:w="90"/>
              <w:right w:type="dxa" w:w="130"/>
            </w:tcMar>
          </w:tcPr>
          <w:p>
            <w:pPr>
              <w:spacing w:after="0" w:line="250"/>
            </w:pPr>
            <w:r>
              <w:rPr>
                <w:rFonts w:ascii="Arial" w:cs="Arial" w:eastAsia="Arial" w:hAnsi="Arial"/>
                <w:sz w:val="19"/>
                <w:szCs w:val="19"/>
              </w:rPr>
              <w:t xml:space="preserve">4iq-foundry-project</w:t>
            </w:r>
          </w:p>
        </w:tc>
      </w:tr>
    </w:tbl>
    <w:p>
      <w:pPr>
        <w:spacing w:after="100" w:line="276"/>
      </w:pPr>
      <w:r>
        <w:rPr>
          <w:rFonts w:ascii="Arial" w:cs="Arial" w:eastAsia="Arial" w:hAnsi="Arial"/>
          <w:color w:val="5B6573"/>
        </w:rPr>
        <w:t xml:space="preserve">Live links: </w:t>
      </w:r>
      <w:hyperlink w:history="1" r:id="rIdivyokdmuduaq7yndh5zul">
        <w:r>
          <w:rPr>
            <w:rStyle w:val="Hyperlink"/>
            <w:rFonts w:ascii="Arial" w:cs="Arial" w:eastAsia="Arial" w:hAnsi="Arial"/>
          </w:rPr>
          <w:t xml:space="preserve">Bank Servicing Agent</w:t>
        </w:r>
      </w:hyperlink>
      <w:r>
        <w:rPr>
          <w:rFonts w:ascii="Arial" w:cs="Arial" w:eastAsia="Arial" w:hAnsi="Arial"/>
        </w:rPr>
        <w:t xml:space="preserve">  |  </w:t>
      </w:r>
      <w:hyperlink w:history="1" r:id="rId7ry8lyqtdql_mdajd8thu">
        <w:r>
          <w:rPr>
            <w:rStyle w:val="Hyperlink"/>
            <w:rFonts w:ascii="Arial" w:cs="Arial" w:eastAsia="Arial" w:hAnsi="Arial"/>
          </w:rPr>
          <w:t xml:space="preserve">Microsoft Foundry</w:t>
        </w:r>
      </w:hyperlink>
      <w:r>
        <w:rPr>
          <w:rFonts w:ascii="Arial" w:cs="Arial" w:eastAsia="Arial" w:hAnsi="Arial"/>
        </w:rPr>
        <w:t xml:space="preserve">  |  </w:t>
      </w:r>
      <w:hyperlink w:history="1" r:id="rId-stxaumjgixcign8wutpi">
        <w:r>
          <w:rPr>
            <w:rStyle w:val="Hyperlink"/>
            <w:rFonts w:ascii="Arial" w:cs="Arial" w:eastAsia="Arial" w:hAnsi="Arial"/>
          </w:rPr>
          <w:t xml:space="preserve">AcmeBank.Workspace</w:t>
        </w:r>
      </w:hyperlink>
    </w:p>
    <w:p>
      <w:pPr>
        <w:pStyle w:val="Heading1"/>
      </w:pPr>
      <w:r>
        <w:rPr>
          <w:rFonts w:ascii="Arial" w:cs="Arial" w:eastAsia="Arial" w:hAnsi="Arial"/>
        </w:rPr>
        <w:t xml:space="preserve">Recommended run of 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800"/>
        <w:gridCol w:w="900"/>
        <w:gridCol w:w="4610"/>
      </w:tblGrid>
      <w:tr>
        <w:trPr>
          <w:tblHeader/>
        </w:trPr>
        <w:tc>
          <w:tcPr>
            <w:tcW w:type="dxa" w:w="2050"/>
            <w:tcBorders>
              <w:top w:val="single" w:color="C9D2DC" w:sz="1"/>
              <w:left w:val="single" w:color="C9D2DC" w:sz="1"/>
              <w:bottom w:val="single" w:color="C9D2DC" w:sz="1"/>
              <w:right w:val="single" w:color="C9D2DC" w:sz="1"/>
            </w:tcBorders>
            <w:shd w:fill="17365D" w:val="clear"/>
            <w:tcMar>
              <w:top w:type="dxa" w:w="90"/>
              <w:left w:type="dxa" w:w="130"/>
              <w:bottom w:type="dxa" w:w="90"/>
              <w:right w:type="dxa" w:w="130"/>
            </w:tcMar>
          </w:tcPr>
          <w:p>
            <w:pPr>
              <w:spacing w:after="0"/>
            </w:pPr>
            <w:r>
              <w:rPr>
                <w:rFonts w:ascii="Arial" w:cs="Arial" w:eastAsia="Arial" w:hAnsi="Arial"/>
                <w:b/>
                <w:bCs/>
                <w:color w:val="FFFFFF"/>
                <w:sz w:val="19"/>
                <w:szCs w:val="19"/>
              </w:rPr>
              <w:t xml:space="preserve">Segment</w:t>
            </w:r>
          </w:p>
        </w:tc>
        <w:tc>
          <w:tcPr>
            <w:tcW w:type="dxa" w:w="1800"/>
            <w:tcBorders>
              <w:top w:val="single" w:color="C9D2DC" w:sz="1"/>
              <w:left w:val="single" w:color="C9D2DC" w:sz="1"/>
              <w:bottom w:val="single" w:color="C9D2DC" w:sz="1"/>
              <w:right w:val="single" w:color="C9D2DC" w:sz="1"/>
            </w:tcBorders>
            <w:shd w:fill="17365D" w:val="clear"/>
            <w:tcMar>
              <w:top w:type="dxa" w:w="90"/>
              <w:left w:type="dxa" w:w="130"/>
              <w:bottom w:type="dxa" w:w="90"/>
              <w:right w:type="dxa" w:w="130"/>
            </w:tcMar>
          </w:tcPr>
          <w:p>
            <w:pPr>
              <w:spacing w:after="0"/>
            </w:pPr>
            <w:r>
              <w:rPr>
                <w:rFonts w:ascii="Arial" w:cs="Arial" w:eastAsia="Arial" w:hAnsi="Arial"/>
                <w:b/>
                <w:bCs/>
                <w:color w:val="FFFFFF"/>
                <w:sz w:val="19"/>
                <w:szCs w:val="19"/>
              </w:rPr>
              <w:t xml:space="preserve">Surface</w:t>
            </w:r>
          </w:p>
        </w:tc>
        <w:tc>
          <w:tcPr>
            <w:tcW w:type="dxa" w:w="900"/>
            <w:tcBorders>
              <w:top w:val="single" w:color="C9D2DC" w:sz="1"/>
              <w:left w:val="single" w:color="C9D2DC" w:sz="1"/>
              <w:bottom w:val="single" w:color="C9D2DC" w:sz="1"/>
              <w:right w:val="single" w:color="C9D2DC" w:sz="1"/>
            </w:tcBorders>
            <w:shd w:fill="17365D" w:val="clear"/>
            <w:tcMar>
              <w:top w:type="dxa" w:w="90"/>
              <w:left w:type="dxa" w:w="130"/>
              <w:bottom w:type="dxa" w:w="90"/>
              <w:right w:type="dxa" w:w="130"/>
            </w:tcMar>
          </w:tcPr>
          <w:p>
            <w:pPr>
              <w:spacing w:after="0"/>
            </w:pPr>
            <w:r>
              <w:rPr>
                <w:rFonts w:ascii="Arial" w:cs="Arial" w:eastAsia="Arial" w:hAnsi="Arial"/>
                <w:b/>
                <w:bCs/>
                <w:color w:val="FFFFFF"/>
                <w:sz w:val="19"/>
                <w:szCs w:val="19"/>
              </w:rPr>
              <w:t xml:space="preserve">Time</w:t>
            </w:r>
          </w:p>
        </w:tc>
        <w:tc>
          <w:tcPr>
            <w:tcW w:type="dxa" w:w="4610"/>
            <w:tcBorders>
              <w:top w:val="single" w:color="C9D2DC" w:sz="1"/>
              <w:left w:val="single" w:color="C9D2DC" w:sz="1"/>
              <w:bottom w:val="single" w:color="C9D2DC" w:sz="1"/>
              <w:right w:val="single" w:color="C9D2DC" w:sz="1"/>
            </w:tcBorders>
            <w:shd w:fill="17365D" w:val="clear"/>
            <w:tcMar>
              <w:top w:type="dxa" w:w="90"/>
              <w:left w:type="dxa" w:w="130"/>
              <w:bottom w:type="dxa" w:w="90"/>
              <w:right w:type="dxa" w:w="130"/>
            </w:tcMar>
          </w:tcPr>
          <w:p>
            <w:pPr>
              <w:spacing w:after="0"/>
            </w:pPr>
            <w:r>
              <w:rPr>
                <w:rFonts w:ascii="Arial" w:cs="Arial" w:eastAsia="Arial" w:hAnsi="Arial"/>
                <w:b/>
                <w:bCs/>
                <w:color w:val="FFFFFF"/>
                <w:sz w:val="19"/>
                <w:szCs w:val="19"/>
              </w:rPr>
              <w:t xml:space="preserve">Purpose</w:t>
            </w:r>
          </w:p>
        </w:tc>
      </w:tr>
      <w:tr>
        <w:tc>
          <w:tcPr>
            <w:tcW w:type="dxa" w:w="205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Opening</w:t>
            </w:r>
          </w:p>
        </w:tc>
        <w:tc>
          <w:tcPr>
            <w:tcW w:type="dxa" w:w="180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Slide 1</w:t>
            </w:r>
          </w:p>
        </w:tc>
        <w:tc>
          <w:tcPr>
            <w:tcW w:type="dxa" w:w="90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0:45</w:t>
            </w:r>
          </w:p>
        </w:tc>
        <w:tc>
          <w:tcPr>
            <w:tcW w:type="dxa" w:w="461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One agent, two identities, one governed runtime.</w:t>
            </w:r>
          </w:p>
        </w:tc>
      </w:tr>
      <w:tr>
        <w:tc>
          <w:tcPr>
            <w:tcW w:type="dxa" w:w="2050"/>
            <w:tcBorders>
              <w:top w:val="single" w:color="C9D2DC" w:sz="1"/>
              <w:left w:val="single" w:color="C9D2DC" w:sz="1"/>
              <w:bottom w:val="single" w:color="C9D2DC" w:sz="1"/>
              <w:right w:val="single" w:color="C9D2DC" w:sz="1"/>
            </w:tcBorders>
            <w:shd w:fill="F4F5F7" w:val="clear"/>
            <w:tcMar>
              <w:top w:type="dxa" w:w="90"/>
              <w:left w:type="dxa" w:w="130"/>
              <w:bottom w:type="dxa" w:w="90"/>
              <w:right w:type="dxa" w:w="130"/>
            </w:tcMar>
          </w:tcPr>
          <w:p>
            <w:pPr>
              <w:spacing w:after="0" w:line="250"/>
            </w:pPr>
            <w:r>
              <w:rPr>
                <w:rFonts w:ascii="Arial" w:cs="Arial" w:eastAsia="Arial" w:hAnsi="Arial"/>
                <w:sz w:val="19"/>
                <w:szCs w:val="19"/>
              </w:rPr>
              <w:t xml:space="preserve">Demo 2</w:t>
            </w:r>
          </w:p>
        </w:tc>
        <w:tc>
          <w:tcPr>
            <w:tcW w:type="dxa" w:w="1800"/>
            <w:tcBorders>
              <w:top w:val="single" w:color="C9D2DC" w:sz="1"/>
              <w:left w:val="single" w:color="C9D2DC" w:sz="1"/>
              <w:bottom w:val="single" w:color="C9D2DC" w:sz="1"/>
              <w:right w:val="single" w:color="C9D2DC" w:sz="1"/>
            </w:tcBorders>
            <w:shd w:fill="F4F5F7" w:val="clear"/>
            <w:tcMar>
              <w:top w:type="dxa" w:w="90"/>
              <w:left w:type="dxa" w:w="130"/>
              <w:bottom w:type="dxa" w:w="90"/>
              <w:right w:type="dxa" w:w="130"/>
            </w:tcMar>
          </w:tcPr>
          <w:p>
            <w:pPr>
              <w:spacing w:after="0" w:line="250"/>
            </w:pPr>
            <w:r>
              <w:rPr>
                <w:rFonts w:ascii="Arial" w:cs="Arial" w:eastAsia="Arial" w:hAnsi="Arial"/>
                <w:sz w:val="19"/>
                <w:szCs w:val="19"/>
              </w:rPr>
              <w:t xml:space="preserve">Web app</w:t>
            </w:r>
          </w:p>
        </w:tc>
        <w:tc>
          <w:tcPr>
            <w:tcW w:type="dxa" w:w="900"/>
            <w:tcBorders>
              <w:top w:val="single" w:color="C9D2DC" w:sz="1"/>
              <w:left w:val="single" w:color="C9D2DC" w:sz="1"/>
              <w:bottom w:val="single" w:color="C9D2DC" w:sz="1"/>
              <w:right w:val="single" w:color="C9D2DC" w:sz="1"/>
            </w:tcBorders>
            <w:shd w:fill="F4F5F7" w:val="clear"/>
            <w:tcMar>
              <w:top w:type="dxa" w:w="90"/>
              <w:left w:type="dxa" w:w="130"/>
              <w:bottom w:type="dxa" w:w="90"/>
              <w:right w:type="dxa" w:w="130"/>
            </w:tcMar>
          </w:tcPr>
          <w:p>
            <w:pPr>
              <w:spacing w:after="0" w:line="250"/>
            </w:pPr>
            <w:r>
              <w:rPr>
                <w:rFonts w:ascii="Arial" w:cs="Arial" w:eastAsia="Arial" w:hAnsi="Arial"/>
                <w:sz w:val="19"/>
                <w:szCs w:val="19"/>
              </w:rPr>
              <w:t xml:space="preserve">3:15</w:t>
            </w:r>
          </w:p>
        </w:tc>
        <w:tc>
          <w:tcPr>
            <w:tcW w:type="dxa" w:w="4610"/>
            <w:tcBorders>
              <w:top w:val="single" w:color="C9D2DC" w:sz="1"/>
              <w:left w:val="single" w:color="C9D2DC" w:sz="1"/>
              <w:bottom w:val="single" w:color="C9D2DC" w:sz="1"/>
              <w:right w:val="single" w:color="C9D2DC" w:sz="1"/>
            </w:tcBorders>
            <w:shd w:fill="F4F5F7" w:val="clear"/>
            <w:tcMar>
              <w:top w:type="dxa" w:w="90"/>
              <w:left w:type="dxa" w:w="130"/>
              <w:bottom w:type="dxa" w:w="90"/>
              <w:right w:type="dxa" w:w="130"/>
            </w:tcMar>
          </w:tcPr>
          <w:p>
            <w:pPr>
              <w:spacing w:after="0" w:line="250"/>
            </w:pPr>
            <w:r>
              <w:rPr>
                <w:rFonts w:ascii="Arial" w:cs="Arial" w:eastAsia="Arial" w:hAnsi="Arial"/>
                <w:sz w:val="19"/>
                <w:szCs w:val="19"/>
              </w:rPr>
              <w:t xml:space="preserve">Three IQs, rich citations, Davis voice, and feedback.</w:t>
            </w:r>
          </w:p>
        </w:tc>
      </w:tr>
      <w:tr>
        <w:tc>
          <w:tcPr>
            <w:tcW w:type="dxa" w:w="205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Demo 2 data proof</w:t>
            </w:r>
          </w:p>
        </w:tc>
        <w:tc>
          <w:tcPr>
            <w:tcW w:type="dxa" w:w="180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Fabric</w:t>
            </w:r>
          </w:p>
        </w:tc>
        <w:tc>
          <w:tcPr>
            <w:tcW w:type="dxa" w:w="90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2:00</w:t>
            </w:r>
          </w:p>
        </w:tc>
        <w:tc>
          <w:tcPr>
            <w:tcW w:type="dxa" w:w="461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Report, semantic model, ontology, and Data Agent.</w:t>
            </w:r>
          </w:p>
        </w:tc>
      </w:tr>
      <w:tr>
        <w:tc>
          <w:tcPr>
            <w:tcW w:type="dxa" w:w="2050"/>
            <w:tcBorders>
              <w:top w:val="single" w:color="C9D2DC" w:sz="1"/>
              <w:left w:val="single" w:color="C9D2DC" w:sz="1"/>
              <w:bottom w:val="single" w:color="C9D2DC" w:sz="1"/>
              <w:right w:val="single" w:color="C9D2DC" w:sz="1"/>
            </w:tcBorders>
            <w:shd w:fill="F4F5F7" w:val="clear"/>
            <w:tcMar>
              <w:top w:type="dxa" w:w="90"/>
              <w:left w:type="dxa" w:w="130"/>
              <w:bottom w:type="dxa" w:w="90"/>
              <w:right w:type="dxa" w:w="130"/>
            </w:tcMar>
          </w:tcPr>
          <w:p>
            <w:pPr>
              <w:spacing w:after="0" w:line="250"/>
            </w:pPr>
            <w:r>
              <w:rPr>
                <w:rFonts w:ascii="Arial" w:cs="Arial" w:eastAsia="Arial" w:hAnsi="Arial"/>
                <w:sz w:val="19"/>
                <w:szCs w:val="19"/>
              </w:rPr>
              <w:t xml:space="preserve">Demo 2 runtime proof</w:t>
            </w:r>
          </w:p>
        </w:tc>
        <w:tc>
          <w:tcPr>
            <w:tcW w:type="dxa" w:w="1800"/>
            <w:tcBorders>
              <w:top w:val="single" w:color="C9D2DC" w:sz="1"/>
              <w:left w:val="single" w:color="C9D2DC" w:sz="1"/>
              <w:bottom w:val="single" w:color="C9D2DC" w:sz="1"/>
              <w:right w:val="single" w:color="C9D2DC" w:sz="1"/>
            </w:tcBorders>
            <w:shd w:fill="F4F5F7" w:val="clear"/>
            <w:tcMar>
              <w:top w:type="dxa" w:w="90"/>
              <w:left w:type="dxa" w:w="130"/>
              <w:bottom w:type="dxa" w:w="90"/>
              <w:right w:type="dxa" w:w="130"/>
            </w:tcMar>
          </w:tcPr>
          <w:p>
            <w:pPr>
              <w:spacing w:after="0" w:line="250"/>
            </w:pPr>
            <w:r>
              <w:rPr>
                <w:rFonts w:ascii="Arial" w:cs="Arial" w:eastAsia="Arial" w:hAnsi="Arial"/>
                <w:sz w:val="19"/>
                <w:szCs w:val="19"/>
              </w:rPr>
              <w:t xml:space="preserve">Foundry</w:t>
            </w:r>
          </w:p>
        </w:tc>
        <w:tc>
          <w:tcPr>
            <w:tcW w:type="dxa" w:w="900"/>
            <w:tcBorders>
              <w:top w:val="single" w:color="C9D2DC" w:sz="1"/>
              <w:left w:val="single" w:color="C9D2DC" w:sz="1"/>
              <w:bottom w:val="single" w:color="C9D2DC" w:sz="1"/>
              <w:right w:val="single" w:color="C9D2DC" w:sz="1"/>
            </w:tcBorders>
            <w:shd w:fill="F4F5F7" w:val="clear"/>
            <w:tcMar>
              <w:top w:type="dxa" w:w="90"/>
              <w:left w:type="dxa" w:w="130"/>
              <w:bottom w:type="dxa" w:w="90"/>
              <w:right w:type="dxa" w:w="130"/>
            </w:tcMar>
          </w:tcPr>
          <w:p>
            <w:pPr>
              <w:spacing w:after="0" w:line="250"/>
            </w:pPr>
            <w:r>
              <w:rPr>
                <w:rFonts w:ascii="Arial" w:cs="Arial" w:eastAsia="Arial" w:hAnsi="Arial"/>
                <w:sz w:val="19"/>
                <w:szCs w:val="19"/>
              </w:rPr>
              <w:t xml:space="preserve">1:00</w:t>
            </w:r>
          </w:p>
        </w:tc>
        <w:tc>
          <w:tcPr>
            <w:tcW w:type="dxa" w:w="4610"/>
            <w:tcBorders>
              <w:top w:val="single" w:color="C9D2DC" w:sz="1"/>
              <w:left w:val="single" w:color="C9D2DC" w:sz="1"/>
              <w:bottom w:val="single" w:color="C9D2DC" w:sz="1"/>
              <w:right w:val="single" w:color="C9D2DC" w:sz="1"/>
            </w:tcBorders>
            <w:shd w:fill="F4F5F7" w:val="clear"/>
            <w:tcMar>
              <w:top w:type="dxa" w:w="90"/>
              <w:left w:type="dxa" w:w="130"/>
              <w:bottom w:type="dxa" w:w="90"/>
              <w:right w:type="dxa" w:w="130"/>
            </w:tcMar>
          </w:tcPr>
          <w:p>
            <w:pPr>
              <w:spacing w:after="0" w:line="250"/>
            </w:pPr>
            <w:r>
              <w:rPr>
                <w:rFonts w:ascii="Arial" w:cs="Arial" w:eastAsia="Arial" w:hAnsi="Arial"/>
                <w:sz w:val="19"/>
                <w:szCs w:val="19"/>
              </w:rPr>
              <w:t xml:space="preserve">Version 15 and the live multi-source trace.</w:t>
            </w:r>
          </w:p>
        </w:tc>
      </w:tr>
      <w:tr>
        <w:tc>
          <w:tcPr>
            <w:tcW w:type="dxa" w:w="205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Demo 3</w:t>
            </w:r>
          </w:p>
        </w:tc>
        <w:tc>
          <w:tcPr>
            <w:tcW w:type="dxa" w:w="180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Outlook + Teams</w:t>
            </w:r>
          </w:p>
        </w:tc>
        <w:tc>
          <w:tcPr>
            <w:tcW w:type="dxa" w:w="90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3:15</w:t>
            </w:r>
          </w:p>
        </w:tc>
        <w:tc>
          <w:tcPr>
            <w:tcW w:type="dxa" w:w="461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Own-identity fee dispute and employee confirmation.</w:t>
            </w:r>
          </w:p>
        </w:tc>
      </w:tr>
      <w:tr>
        <w:tc>
          <w:tcPr>
            <w:tcW w:type="dxa" w:w="2050"/>
            <w:tcBorders>
              <w:top w:val="single" w:color="C9D2DC" w:sz="1"/>
              <w:left w:val="single" w:color="C9D2DC" w:sz="1"/>
              <w:bottom w:val="single" w:color="C9D2DC" w:sz="1"/>
              <w:right w:val="single" w:color="C9D2DC" w:sz="1"/>
            </w:tcBorders>
            <w:shd w:fill="F4F5F7" w:val="clear"/>
            <w:tcMar>
              <w:top w:type="dxa" w:w="90"/>
              <w:left w:type="dxa" w:w="130"/>
              <w:bottom w:type="dxa" w:w="90"/>
              <w:right w:type="dxa" w:w="130"/>
            </w:tcMar>
          </w:tcPr>
          <w:p>
            <w:pPr>
              <w:spacing w:after="0" w:line="250"/>
            </w:pPr>
            <w:r>
              <w:rPr>
                <w:rFonts w:ascii="Arial" w:cs="Arial" w:eastAsia="Arial" w:hAnsi="Arial"/>
                <w:sz w:val="19"/>
                <w:szCs w:val="19"/>
              </w:rPr>
              <w:t xml:space="preserve">Shared quality</w:t>
            </w:r>
          </w:p>
        </w:tc>
        <w:tc>
          <w:tcPr>
            <w:tcW w:type="dxa" w:w="1800"/>
            <w:tcBorders>
              <w:top w:val="single" w:color="C9D2DC" w:sz="1"/>
              <w:left w:val="single" w:color="C9D2DC" w:sz="1"/>
              <w:bottom w:val="single" w:color="C9D2DC" w:sz="1"/>
              <w:right w:val="single" w:color="C9D2DC" w:sz="1"/>
            </w:tcBorders>
            <w:shd w:fill="F4F5F7" w:val="clear"/>
            <w:tcMar>
              <w:top w:type="dxa" w:w="90"/>
              <w:left w:type="dxa" w:w="130"/>
              <w:bottom w:type="dxa" w:w="90"/>
              <w:right w:type="dxa" w:w="130"/>
            </w:tcMar>
          </w:tcPr>
          <w:p>
            <w:pPr>
              <w:spacing w:after="0" w:line="250"/>
            </w:pPr>
            <w:r>
              <w:rPr>
                <w:rFonts w:ascii="Arial" w:cs="Arial" w:eastAsia="Arial" w:hAnsi="Arial"/>
                <w:sz w:val="19"/>
                <w:szCs w:val="19"/>
              </w:rPr>
              <w:t xml:space="preserve">App + Foundry</w:t>
            </w:r>
          </w:p>
        </w:tc>
        <w:tc>
          <w:tcPr>
            <w:tcW w:type="dxa" w:w="900"/>
            <w:tcBorders>
              <w:top w:val="single" w:color="C9D2DC" w:sz="1"/>
              <w:left w:val="single" w:color="C9D2DC" w:sz="1"/>
              <w:bottom w:val="single" w:color="C9D2DC" w:sz="1"/>
              <w:right w:val="single" w:color="C9D2DC" w:sz="1"/>
            </w:tcBorders>
            <w:shd w:fill="F4F5F7" w:val="clear"/>
            <w:tcMar>
              <w:top w:type="dxa" w:w="90"/>
              <w:left w:type="dxa" w:w="130"/>
              <w:bottom w:type="dxa" w:w="90"/>
              <w:right w:type="dxa" w:w="130"/>
            </w:tcMar>
          </w:tcPr>
          <w:p>
            <w:pPr>
              <w:spacing w:after="0" w:line="250"/>
            </w:pPr>
            <w:r>
              <w:rPr>
                <w:rFonts w:ascii="Arial" w:cs="Arial" w:eastAsia="Arial" w:hAnsi="Arial"/>
                <w:sz w:val="19"/>
                <w:szCs w:val="19"/>
              </w:rPr>
              <w:t xml:space="preserve">2:45</w:t>
            </w:r>
          </w:p>
        </w:tc>
        <w:tc>
          <w:tcPr>
            <w:tcW w:type="dxa" w:w="4610"/>
            <w:tcBorders>
              <w:top w:val="single" w:color="C9D2DC" w:sz="1"/>
              <w:left w:val="single" w:color="C9D2DC" w:sz="1"/>
              <w:bottom w:val="single" w:color="C9D2DC" w:sz="1"/>
              <w:right w:val="single" w:color="C9D2DC" w:sz="1"/>
            </w:tcBorders>
            <w:shd w:fill="F4F5F7" w:val="clear"/>
            <w:tcMar>
              <w:top w:type="dxa" w:w="90"/>
              <w:left w:type="dxa" w:w="130"/>
              <w:bottom w:type="dxa" w:w="90"/>
              <w:right w:type="dxa" w:w="130"/>
            </w:tcMar>
          </w:tcPr>
          <w:p>
            <w:pPr>
              <w:spacing w:after="0" w:line="250"/>
            </w:pPr>
            <w:r>
              <w:rPr>
                <w:rFonts w:ascii="Arial" w:cs="Arial" w:eastAsia="Arial" w:hAnsi="Arial"/>
                <w:sz w:val="19"/>
                <w:szCs w:val="19"/>
              </w:rPr>
              <w:t xml:space="preserve">Review, native rubric, ASSERT, A/B, and optimizer.</w:t>
            </w:r>
          </w:p>
        </w:tc>
      </w:tr>
      <w:tr>
        <w:tc>
          <w:tcPr>
            <w:tcW w:type="dxa" w:w="205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Close</w:t>
            </w:r>
          </w:p>
        </w:tc>
        <w:tc>
          <w:tcPr>
            <w:tcW w:type="dxa" w:w="180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Slide 2</w:t>
            </w:r>
          </w:p>
        </w:tc>
        <w:tc>
          <w:tcPr>
            <w:tcW w:type="dxa" w:w="90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0:45</w:t>
            </w:r>
          </w:p>
        </w:tc>
        <w:tc>
          <w:tcPr>
            <w:tcW w:type="dxa" w:w="461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Feedback to human-approved release.</w:t>
            </w:r>
          </w:p>
        </w:tc>
      </w:tr>
    </w:tbl>
    <w:p>
      <w:pPr>
        <w:spacing w:after="100" w:line="276"/>
      </w:pPr>
      <w:r>
        <w:rPr>
          <w:rFonts w:ascii="Arial" w:cs="Arial" w:eastAsia="Arial" w:hAnsi="Arial"/>
          <w:color w:val="5B6573"/>
        </w:rPr>
        <w:t xml:space="preserve">Target length: about 14 minutes.</w:t>
      </w:r>
    </w:p>
    <w:p>
      <w:pPr>
        <w:pStyle w:val="Heading1"/>
      </w:pPr>
      <w:r>
        <w:rPr>
          <w:rFonts w:ascii="Arial" w:cs="Arial" w:eastAsia="Arial" w:hAnsi="Arial"/>
        </w:rPr>
        <w:t xml:space="preserve">Before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40"/>
        </w:tblCellMar>
      </w:tblPr>
      <w:tblGrid>
        <w:gridCol w:w="9360"/>
      </w:tblGrid>
      <w:tr>
        <w:tc>
          <w:tcPr>
            <w:tcW w:type="dxa" w:w="9360"/>
            <w:tcBorders>
              <w:top w:val="single" w:color="C9D2DC" w:sz="1"/>
              <w:left w:val="single" w:color="C9D2DC" w:sz="1"/>
              <w:bottom w:val="single" w:color="C9D2DC" w:sz="1"/>
              <w:right w:val="single" w:color="C9D2DC" w:sz="1"/>
            </w:tcBorders>
            <w:shd w:fill="FFF3E6" w:val="clear"/>
            <w:tcMar>
              <w:top w:type="dxa" w:w="130"/>
              <w:left w:type="dxa" w:w="170"/>
              <w:bottom w:type="dxa" w:w="130"/>
              <w:right w:type="dxa" w:w="170"/>
            </w:tcMar>
          </w:tcPr>
          <w:p>
            <w:pPr>
              <w:spacing w:after="55"/>
            </w:pPr>
            <w:r>
              <w:rPr>
                <w:rFonts w:ascii="Arial" w:cs="Arial" w:eastAsia="Arial" w:hAnsi="Arial"/>
                <w:b/>
                <w:bCs/>
                <w:color w:val="17365D"/>
              </w:rPr>
              <w:t xml:space="preserve">Safety rule</w:t>
            </w:r>
          </w:p>
          <w:p>
            <w:pPr>
              <w:spacing w:after="55" w:line="276"/>
            </w:pPr>
            <w:r>
              <w:rPr>
                <w:rFonts w:ascii="Arial" w:cs="Arial" w:eastAsia="Arial" w:hAnsi="Arial"/>
              </w:rPr>
              <w:t xml:space="preserve">Use only synthetic customer and employee data. Do not open tokens, secrets, raw authentication headers, or unredacted workplace content.</w:t>
            </w:r>
          </w:p>
        </w:tc>
      </w:tr>
    </w:tbl>
    <w:p>
      <w:pPr>
        <w:pStyle w:val="ListParagraph"/>
        <w:numPr>
          <w:ilvl w:val="0"/>
          <w:numId w:val="2"/>
        </w:numPr>
        <w:spacing w:after="70" w:line="270"/>
      </w:pPr>
      <w:r>
        <w:rPr>
          <w:rFonts w:ascii="Arial" w:cs="Arial" w:eastAsia="Arial" w:hAnsi="Arial"/>
        </w:rPr>
        <w:t xml:space="preserve">Sign in to the web app before recording. Keep the session open.</w:t>
      </w:r>
    </w:p>
    <w:p>
      <w:pPr>
        <w:pStyle w:val="ListParagraph"/>
        <w:numPr>
          <w:ilvl w:val="0"/>
          <w:numId w:val="2"/>
        </w:numPr>
        <w:spacing w:after="70" w:line="270"/>
      </w:pPr>
      <w:r>
        <w:rPr>
          <w:rFonts w:ascii="Arial" w:cs="Arial" w:eastAsia="Arial" w:hAnsi="Arial"/>
        </w:rPr>
        <w:t xml:space="preserve">Pre-open the live app, the Fabric workspace, the version-24 agent page, the multi-source trace, the native rubric run, the ASSERT summary, and the optimizer run.</w:t>
      </w:r>
    </w:p>
    <w:p>
      <w:pPr>
        <w:pStyle w:val="ListParagraph"/>
        <w:numPr>
          <w:ilvl w:val="0"/>
          <w:numId w:val="2"/>
        </w:numPr>
        <w:spacing w:after="70" w:line="270"/>
      </w:pPr>
      <w:r>
        <w:rPr>
          <w:rFonts w:ascii="Arial" w:cs="Arial" w:eastAsia="Arial" w:hAnsi="Arial"/>
        </w:rPr>
        <w:t xml:space="preserve">Generate one fresh three-source response three to five minutes before recording so its trace is searchable.</w:t>
      </w:r>
    </w:p>
    <w:p>
      <w:pPr>
        <w:pStyle w:val="ListParagraph"/>
        <w:numPr>
          <w:ilvl w:val="0"/>
          <w:numId w:val="2"/>
        </w:numPr>
        <w:spacing w:after="70" w:line="270"/>
      </w:pPr>
      <w:r>
        <w:rPr>
          <w:rFonts w:ascii="Arial" w:cs="Arial" w:eastAsia="Arial" w:hAnsi="Arial"/>
        </w:rPr>
        <w:t xml:space="preserve">Confirm Davis HD is audible and browser audio is being captured.</w:t>
      </w:r>
    </w:p>
    <w:p>
      <w:pPr>
        <w:pStyle w:val="ListParagraph"/>
        <w:numPr>
          <w:ilvl w:val="0"/>
          <w:numId w:val="2"/>
        </w:numPr>
        <w:spacing w:after="70" w:line="270"/>
      </w:pPr>
      <w:r>
        <w:rPr>
          <w:rFonts w:ascii="Arial" w:cs="Arial" w:eastAsia="Arial" w:hAnsi="Arial"/>
        </w:rPr>
        <w:t xml:space="preserve">Reset one service-description draft to pending review.</w:t>
      </w:r>
    </w:p>
    <w:p>
      <w:pPr>
        <w:pStyle w:val="ListParagraph"/>
        <w:numPr>
          <w:ilvl w:val="0"/>
          <w:numId w:val="2"/>
        </w:numPr>
        <w:spacing w:after="70" w:line="270"/>
      </w:pPr>
      <w:r>
        <w:rPr>
          <w:rFonts w:ascii="Arial" w:cs="Arial" w:eastAsia="Arial" w:hAnsi="Arial"/>
        </w:rPr>
        <w:t xml:space="preserve">Open Outlook and Teams in the Marco's Teller tenant context only if the exact identity and synthetic message are visible.</w:t>
      </w:r>
    </w:p>
    <w:p>
      <w:pPr>
        <w:pStyle w:val="ListParagraph"/>
        <w:numPr>
          <w:ilvl w:val="0"/>
          <w:numId w:val="2"/>
        </w:numPr>
        <w:spacing w:after="70" w:line="270"/>
      </w:pPr>
      <w:r>
        <w:rPr>
          <w:rFonts w:ascii="Arial" w:cs="Arial" w:eastAsia="Arial" w:hAnsi="Arial"/>
        </w:rPr>
        <w:t xml:space="preserve">Verify bridge revision 0000011 is healthy and identityReadiness is ready.</w:t>
      </w:r>
    </w:p>
    <w:p>
      <w:pPr>
        <w:pStyle w:val="ListParagraph"/>
        <w:numPr>
          <w:ilvl w:val="0"/>
          <w:numId w:val="2"/>
        </w:numPr>
        <w:spacing w:after="70" w:line="270"/>
      </w:pPr>
      <w:r>
        <w:rPr>
          <w:rFonts w:ascii="Arial" w:cs="Arial" w:eastAsia="Arial" w:hAnsi="Arial"/>
        </w:rPr>
        <w:t xml:space="preserve">Keep the sender-side synthetic email in Sent Items as the Demo 3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40"/>
        </w:tblCellMar>
      </w:tblPr>
      <w:tblGrid>
        <w:gridCol w:w="9360"/>
      </w:tblGrid>
      <w:tr>
        <w:tc>
          <w:tcPr>
            <w:tcW w:type="dxa" w:w="9360"/>
            <w:tcBorders>
              <w:top w:val="single" w:color="C9D2DC" w:sz="1"/>
              <w:left w:val="single" w:color="C9D2DC" w:sz="1"/>
              <w:bottom w:val="single" w:color="C9D2DC" w:sz="1"/>
              <w:right w:val="single" w:color="C9D2DC" w:sz="1"/>
            </w:tcBorders>
            <w:shd w:fill="FFF3E6" w:val="clear"/>
            <w:tcMar>
              <w:top w:type="dxa" w:w="130"/>
              <w:left w:type="dxa" w:w="170"/>
              <w:bottom w:type="dxa" w:w="130"/>
              <w:right w:type="dxa" w:w="170"/>
            </w:tcMar>
          </w:tcPr>
          <w:p>
            <w:pPr>
              <w:spacing w:after="55"/>
            </w:pPr>
            <w:r>
              <w:rPr>
                <w:rFonts w:ascii="Arial" w:cs="Arial" w:eastAsia="Arial" w:hAnsi="Arial"/>
                <w:b/>
                <w:bCs/>
                <w:color w:val="17365D"/>
              </w:rPr>
              <w:t xml:space="preserve">Current limitation</w:t>
            </w:r>
          </w:p>
          <w:p>
            <w:pPr>
              <w:spacing w:after="55" w:line="276"/>
            </w:pPr>
            <w:r>
              <w:rPr>
                <w:rFonts w:ascii="Arial" w:cs="Arial" w:eastAsia="Arial" w:hAnsi="Arial"/>
              </w:rPr>
              <w:t xml:space="preserve">Sender-side delivery is verified. Recipient mailbox delivery, an Agent 365 reply, and current tenant-wide Teams discovery are not independently verified. Never claim them unless they are visible during preflight.</w:t>
            </w:r>
          </w:p>
        </w:tc>
      </w:tr>
    </w:tbl>
    <w:p>
      <w:r>
        <w:br w:type="page"/>
      </w:r>
    </w:p>
    <w:p>
      <w:pPr>
        <w:pStyle w:val="Heading1"/>
      </w:pPr>
      <w:r>
        <w:rPr>
          <w:rFonts w:ascii="Arial" w:cs="Arial" w:eastAsia="Arial" w:hAnsi="Arial"/>
        </w:rPr>
        <w:t xml:space="preserve">Demo 2: Signed-in service discovery</w:t>
      </w:r>
    </w:p>
    <w:p>
      <w:pPr>
        <w:spacing w:after="100" w:line="276"/>
      </w:pPr>
      <w:r>
        <w:rPr>
          <w:rFonts w:ascii="Arial" w:cs="Arial" w:eastAsia="Arial" w:hAnsi="Arial"/>
        </w:rPr>
        <w:t xml:space="preserve">Goal: Show one customer request using all three IQ services, then prove the same data path in Fabric and Foundry.</w:t>
      </w:r>
    </w:p>
    <w:p>
      <w:pPr>
        <w:pStyle w:val="Heading2"/>
      </w:pPr>
      <w:r>
        <w:rPr>
          <w:rFonts w:ascii="Arial" w:cs="Arial" w:eastAsia="Arial" w:hAnsi="Arial"/>
        </w:rPr>
        <w:t xml:space="preserve">In the web app</w:t>
      </w:r>
    </w:p>
    <w:p>
      <w:pPr>
        <w:pStyle w:val="ListParagraph"/>
        <w:numPr>
          <w:ilvl w:val="0"/>
          <w:numId w:val="3"/>
        </w:numPr>
        <w:spacing w:before="30" w:after="90" w:line="276"/>
      </w:pPr>
      <w:r>
        <w:rPr>
          <w:rFonts w:ascii="Arial" w:cs="Arial" w:eastAsia="Arial" w:hAnsi="Arial"/>
        </w:rPr>
        <w:t xml:space="preserve">Start on Explore bank services. Point to the OBO identity, gpt-5.4-mini, Davis HD, active controls, and the Live IQ grounding panel above Runtime.</w:t>
      </w:r>
    </w:p>
    <w:p>
      <w:pPr>
        <w:pStyle w:val="ListParagraph"/>
        <w:numPr>
          <w:ilvl w:val="0"/>
          <w:numId w:val="3"/>
        </w:numPr>
        <w:spacing w:before="30" w:after="90" w:line="276"/>
      </w:pPr>
      <w:r>
        <w:rPr>
          <w:rFonts w:ascii="Arial" w:cs="Arial" w:eastAsia="Arial" w:hAnsi="Arial"/>
        </w:rPr>
        <w:t xml:space="preserve">Run the staged multi-source prompt. Keep the right rail visible while all three IQ rows change from Checking to Returned.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40"/>
        </w:tblCellMar>
      </w:tblPr>
      <w:tblGrid>
        <w:gridCol w:w="9360"/>
      </w:tblGrid>
      <w:tr>
        <w:tc>
          <w:tcPr>
            <w:tcW w:type="dxa" w:w="9360"/>
            <w:tcBorders>
              <w:top w:val="single" w:color="C9D2DC" w:sz="1"/>
              <w:left w:val="single" w:color="C9D2DC" w:sz="1"/>
              <w:bottom w:val="single" w:color="C9D2DC" w:sz="1"/>
              <w:right w:val="single" w:color="C9D2DC" w:sz="1"/>
            </w:tcBorders>
            <w:shd w:fill="E8F3FA" w:val="clear"/>
            <w:tcMar>
              <w:top w:type="dxa" w:w="130"/>
              <w:left w:type="dxa" w:w="170"/>
              <w:bottom w:type="dxa" w:w="130"/>
              <w:right w:type="dxa" w:w="170"/>
            </w:tcMar>
          </w:tcPr>
          <w:p>
            <w:pPr>
              <w:spacing w:after="55"/>
            </w:pPr>
            <w:r>
              <w:rPr>
                <w:rFonts w:ascii="Arial" w:cs="Arial" w:eastAsia="Arial" w:hAnsi="Arial"/>
                <w:b/>
                <w:bCs/>
                <w:color w:val="17365D"/>
              </w:rPr>
              <w:t xml:space="preserve">Prompt to use</w:t>
            </w:r>
          </w:p>
          <w:p>
            <w:pPr>
              <w:spacing w:after="55" w:line="276"/>
            </w:pPr>
            <w:r>
              <w:rPr>
                <w:rFonts w:ascii="Arial" w:cs="Arial" w:eastAsia="Arial" w:hAnsi="Arial"/>
              </w:rPr>
              <w:t xml:space="preserve">Prepare me for an ACME Bank servicing follow-up. Use Fabric IQ to summarize ACC-1001 and its eligible $35 overdraft fees, Foundry IQ to explain the fee-reversal policy, and Work IQ to summarize my most recent email involving Marco's Teller or Maria's ATM charge. Clearly identify the evidence returned by each source.</w:t>
            </w:r>
          </w:p>
        </w:tc>
      </w:tr>
    </w:tbl>
    <w:p>
      <w:pPr>
        <w:pStyle w:val="ListParagraph"/>
        <w:numPr>
          <w:ilvl w:val="0"/>
          <w:numId w:val="2"/>
        </w:numPr>
        <w:spacing w:after="70" w:line="270"/>
      </w:pPr>
      <w:r>
        <w:rPr>
          <w:rFonts w:ascii="Arial" w:cs="Arial" w:eastAsia="Arial" w:hAnsi="Arial"/>
        </w:rPr>
        <w:t xml:space="preserve">Point to FabricIQ: Data, FoundryIQ: Document, and WorkIQ: Email pills.</w:t>
      </w:r>
    </w:p>
    <w:p>
      <w:pPr>
        <w:pStyle w:val="ListParagraph"/>
        <w:numPr>
          <w:ilvl w:val="0"/>
          <w:numId w:val="2"/>
        </w:numPr>
        <w:spacing w:after="70" w:line="270"/>
      </w:pPr>
      <w:r>
        <w:rPr>
          <w:rFonts w:ascii="Arial" w:cs="Arial" w:eastAsia="Arial" w:hAnsi="Arial"/>
        </w:rPr>
        <w:t xml:space="preserve">Point out that the answer is rich text. Raw [F1], [P1], and [W1] markers are not exposed.</w:t>
      </w:r>
    </w:p>
    <w:p>
      <w:pPr>
        <w:pStyle w:val="ListParagraph"/>
        <w:numPr>
          <w:ilvl w:val="0"/>
          <w:numId w:val="2"/>
        </w:numPr>
        <w:spacing w:after="70" w:line="270"/>
      </w:pPr>
      <w:r>
        <w:rPr>
          <w:rFonts w:ascii="Arial" w:cs="Arial" w:eastAsia="Arial" w:hAnsi="Arial"/>
        </w:rPr>
        <w:t xml:space="preserve">Explain that the right rail uses trusted tool-call and tool-result evidence, not model-written source claims.</w:t>
      </w:r>
    </w:p>
    <w:p>
      <w:pPr>
        <w:pStyle w:val="ListParagraph"/>
        <w:numPr>
          <w:ilvl w:val="0"/>
          <w:numId w:val="3"/>
        </w:numPr>
        <w:spacing w:before="30" w:after="90" w:line="276"/>
      </w:pPr>
      <w:r>
        <w:rPr>
          <w:rFonts w:ascii="Arial" w:cs="Arial" w:eastAsia="Arial" w:hAnsi="Arial"/>
        </w:rPr>
        <w:t xml:space="preserve">Use Talk with Davis for one follow-up. Let the transcript appear and play enough audio to prove the Voice Live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40"/>
        </w:tblCellMar>
      </w:tblPr>
      <w:tblGrid>
        <w:gridCol w:w="9360"/>
      </w:tblGrid>
      <w:tr>
        <w:tc>
          <w:tcPr>
            <w:tcW w:type="dxa" w:w="9360"/>
            <w:tcBorders>
              <w:top w:val="single" w:color="C9D2DC" w:sz="1"/>
              <w:left w:val="single" w:color="C9D2DC" w:sz="1"/>
              <w:bottom w:val="single" w:color="C9D2DC" w:sz="1"/>
              <w:right w:val="single" w:color="C9D2DC" w:sz="1"/>
            </w:tcBorders>
            <w:shd w:fill="E8F3FA" w:val="clear"/>
            <w:tcMar>
              <w:top w:type="dxa" w:w="130"/>
              <w:left w:type="dxa" w:w="170"/>
              <w:bottom w:type="dxa" w:w="130"/>
              <w:right w:type="dxa" w:w="170"/>
            </w:tcMar>
          </w:tcPr>
          <w:p>
            <w:pPr>
              <w:spacing w:after="55"/>
            </w:pPr>
            <w:r>
              <w:rPr>
                <w:rFonts w:ascii="Arial" w:cs="Arial" w:eastAsia="Arial" w:hAnsi="Arial"/>
                <w:b/>
                <w:bCs/>
                <w:color w:val="17365D"/>
              </w:rPr>
              <w:t xml:space="preserve">Prompt to use</w:t>
            </w:r>
          </w:p>
          <w:p>
            <w:pPr>
              <w:spacing w:after="55" w:line="276"/>
            </w:pPr>
            <w:r>
              <w:rPr>
                <w:rFonts w:ascii="Arial" w:cs="Arial" w:eastAsia="Arial" w:hAnsi="Arial"/>
              </w:rPr>
              <w:t xml:space="preserve">Read back the fee recommendation and tell me the one question I should ask the employee next.</w:t>
            </w:r>
          </w:p>
        </w:tc>
      </w:tr>
    </w:tbl>
    <w:p>
      <w:pPr>
        <w:pStyle w:val="ListParagraph"/>
        <w:numPr>
          <w:ilvl w:val="0"/>
          <w:numId w:val="3"/>
        </w:numPr>
        <w:spacing w:before="30" w:after="90" w:line="276"/>
      </w:pPr>
      <w:r>
        <w:rPr>
          <w:rFonts w:ascii="Arial" w:cs="Arial" w:eastAsia="Arial" w:hAnsi="Arial"/>
        </w:rPr>
        <w:t xml:space="preserve">Mark the response Helpful or Needs work. Save the quality workflow for the shared block.</w:t>
      </w:r>
    </w:p>
    <w:p>
      <w:pPr>
        <w:pStyle w:val="Heading2"/>
      </w:pPr>
      <w:r>
        <w:rPr>
          <w:rFonts w:ascii="Arial" w:cs="Arial" w:eastAsia="Arial" w:hAnsi="Arial"/>
        </w:rPr>
        <w:t xml:space="preserve">In Microsoft Fabric</w:t>
      </w:r>
    </w:p>
    <w:p>
      <w:pPr>
        <w:spacing w:after="100" w:line="276"/>
      </w:pPr>
      <w:r>
        <w:rPr>
          <w:rFonts w:ascii="Arial" w:cs="Arial" w:eastAsia="Arial" w:hAnsi="Arial"/>
        </w:rPr>
        <w:t xml:space="preserve">Open </w:t>
      </w:r>
      <w:hyperlink w:history="1" r:id="rIdvsd0pklkfrkh4lxiihhwc">
        <w:r>
          <w:rPr>
            <w:rStyle w:val="Hyperlink"/>
            <w:rFonts w:ascii="Arial" w:cs="Arial" w:eastAsia="Arial" w:hAnsi="Arial"/>
          </w:rPr>
          <w:t xml:space="preserve">AcmeBank.Workspace</w:t>
        </w:r>
      </w:hyperlink>
      <w:r>
        <w:rPr>
          <w:rFonts w:ascii="Arial" w:cs="Arial" w:eastAsia="Arial" w:hAnsi="Arial"/>
        </w:rPr>
        <w:t xml:space="preserve">. These are the current live ACME Bank assets. They use the same logical names as the earlier bank-agent implementation, but they are newer item IDs because the original workspace no longer exists.</w:t>
      </w:r>
    </w:p>
    <w:p>
      <w:pPr>
        <w:pStyle w:val="ListParagraph"/>
        <w:numPr>
          <w:ilvl w:val="0"/>
          <w:numId w:val="4"/>
        </w:numPr>
        <w:spacing w:before="30" w:after="90" w:line="276"/>
      </w:pPr>
      <w:r>
        <w:rPr>
          <w:rFonts w:ascii="Arial" w:cs="Arial" w:eastAsia="Arial" w:hAnsi="Arial"/>
        </w:rPr>
        <w:t xml:space="preserve">Open AcmeBankServicing Report. Show Fee Reversal Overview, then Transactions &amp; Fees Trends. Point to the July 20 fee dates and the latest servicing timestamp of August 4, 2026.</w:t>
      </w:r>
    </w:p>
    <w:p>
      <w:pPr>
        <w:spacing w:after="100" w:line="276"/>
      </w:pPr>
      <w:hyperlink w:history="1" r:id="rIdu3jyrh3ec5snd5g_8gneo">
        <w:r>
          <w:rPr>
            <w:rStyle w:val="Hyperlink"/>
            <w:rFonts w:ascii="Arial" w:cs="Arial" w:eastAsia="Arial" w:hAnsi="Arial"/>
          </w:rPr>
          <w:t xml:space="preserve">Open the report</w:t>
        </w:r>
      </w:hyperlink>
    </w:p>
    <w:p>
      <w:pPr>
        <w:pStyle w:val="ListParagraph"/>
        <w:numPr>
          <w:ilvl w:val="0"/>
          <w:numId w:val="4"/>
        </w:numPr>
        <w:spacing w:before="30" w:after="90" w:line="276"/>
      </w:pPr>
      <w:r>
        <w:rPr>
          <w:rFonts w:ascii="Arial" w:cs="Arial" w:eastAsia="Arial" w:hAnsi="Arial"/>
        </w:rPr>
        <w:t xml:space="preserve">Open AcmeBankServicing SM. Show that the report is bound to this Direct Lake model over AcmeBankServicing.</w:t>
      </w:r>
    </w:p>
    <w:p>
      <w:pPr>
        <w:pStyle w:val="ListParagraph"/>
        <w:numPr>
          <w:ilvl w:val="0"/>
          <w:numId w:val="4"/>
        </w:numPr>
        <w:spacing w:before="30" w:after="90" w:line="276"/>
      </w:pPr>
      <w:r>
        <w:rPr>
          <w:rFonts w:ascii="Arial" w:cs="Arial" w:eastAsia="Arial" w:hAnsi="Arial"/>
        </w:rPr>
        <w:t xml:space="preserve">Open AcmeBankServicingOntology. Show Customer, Account, Banker, Branch, and their relationships.</w:t>
      </w:r>
    </w:p>
    <w:p>
      <w:pPr>
        <w:spacing w:after="100" w:line="276"/>
      </w:pPr>
      <w:hyperlink w:history="1" r:id="rId29gtuf-d4piygkmrtchez">
        <w:r>
          <w:rPr>
            <w:rStyle w:val="Hyperlink"/>
            <w:rFonts w:ascii="Arial" w:cs="Arial" w:eastAsia="Arial" w:hAnsi="Arial"/>
          </w:rPr>
          <w:t xml:space="preserve">Open the ontology</w:t>
        </w:r>
      </w:hyperlink>
    </w:p>
    <w:p>
      <w:pPr>
        <w:pStyle w:val="ListParagraph"/>
        <w:numPr>
          <w:ilvl w:val="0"/>
          <w:numId w:val="4"/>
        </w:numPr>
        <w:spacing w:before="30" w:after="90" w:line="276"/>
      </w:pPr>
      <w:r>
        <w:rPr>
          <w:rFonts w:ascii="Arial" w:cs="Arial" w:eastAsia="Arial" w:hAnsi="Arial"/>
        </w:rPr>
        <w:t xml:space="preserve">Open AcmeBankServicingAgent and ask the prepared data question. The Data Agent uses the ontology plus the servicing and loans lakehouses.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40"/>
        </w:tblCellMar>
      </w:tblPr>
      <w:tblGrid>
        <w:gridCol w:w="9360"/>
      </w:tblGrid>
      <w:tr>
        <w:tc>
          <w:tcPr>
            <w:tcW w:type="dxa" w:w="9360"/>
            <w:tcBorders>
              <w:top w:val="single" w:color="C9D2DC" w:sz="1"/>
              <w:left w:val="single" w:color="C9D2DC" w:sz="1"/>
              <w:bottom w:val="single" w:color="C9D2DC" w:sz="1"/>
              <w:right w:val="single" w:color="C9D2DC" w:sz="1"/>
            </w:tcBorders>
            <w:shd w:fill="E8F3FA" w:val="clear"/>
            <w:tcMar>
              <w:top w:type="dxa" w:w="130"/>
              <w:left w:type="dxa" w:w="170"/>
              <w:bottom w:type="dxa" w:w="130"/>
              <w:right w:type="dxa" w:w="170"/>
            </w:tcMar>
          </w:tcPr>
          <w:p>
            <w:pPr>
              <w:spacing w:after="55"/>
            </w:pPr>
            <w:r>
              <w:rPr>
                <w:rFonts w:ascii="Arial" w:cs="Arial" w:eastAsia="Arial" w:hAnsi="Arial"/>
                <w:b/>
                <w:bCs/>
                <w:color w:val="17365D"/>
              </w:rPr>
              <w:t xml:space="preserve">Prompt to use</w:t>
            </w:r>
          </w:p>
          <w:p>
            <w:pPr>
              <w:spacing w:after="55" w:line="276"/>
            </w:pPr>
            <w:r>
              <w:rPr>
                <w:rFonts w:ascii="Arial" w:cs="Arial" w:eastAsia="Arial" w:hAnsi="Arial"/>
              </w:rPr>
              <w:t xml:space="preserve">For ACC-1001, list the overdraft fees with assessed dates and identify the servicing banker and branch. What is the latest servicing event date?</w:t>
            </w:r>
          </w:p>
        </w:tc>
      </w:tr>
    </w:tbl>
    <w:p>
      <w:pPr>
        <w:spacing w:after="100" w:line="276"/>
      </w:pPr>
      <w:hyperlink w:history="1" r:id="rId1gnwcgngwqojimaejmgp7">
        <w:r>
          <w:rPr>
            <w:rStyle w:val="Hyperlink"/>
            <w:rFonts w:ascii="Arial" w:cs="Arial" w:eastAsia="Arial" w:hAnsi="Arial"/>
          </w:rPr>
          <w:t xml:space="preserve">Open the Fabric Data Agent</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40"/>
        </w:tblCellMar>
      </w:tblPr>
      <w:tblGrid>
        <w:gridCol w:w="9360"/>
      </w:tblGrid>
      <w:tr>
        <w:tc>
          <w:tcPr>
            <w:tcW w:type="dxa" w:w="9360"/>
            <w:tcBorders>
              <w:top w:val="single" w:color="C9D2DC" w:sz="1"/>
              <w:left w:val="single" w:color="C9D2DC" w:sz="1"/>
              <w:bottom w:val="single" w:color="C9D2DC" w:sz="1"/>
              <w:right w:val="single" w:color="C9D2DC" w:sz="1"/>
            </w:tcBorders>
            <w:shd w:fill="F3F8FC" w:val="clear"/>
            <w:tcMar>
              <w:top w:type="dxa" w:w="130"/>
              <w:left w:type="dxa" w:w="170"/>
              <w:bottom w:type="dxa" w:w="130"/>
              <w:right w:type="dxa" w:w="170"/>
            </w:tcMar>
          </w:tcPr>
          <w:p>
            <w:pPr>
              <w:spacing w:after="55"/>
            </w:pPr>
            <w:r>
              <w:rPr>
                <w:rFonts w:ascii="Arial" w:cs="Arial" w:eastAsia="Arial" w:hAnsi="Arial"/>
                <w:b/>
                <w:bCs/>
                <w:color w:val="17365D"/>
              </w:rPr>
              <w:t xml:space="preserve">Expected Fabric proof</w:t>
            </w:r>
          </w:p>
          <w:p>
            <w:pPr>
              <w:spacing w:after="55" w:line="276"/>
            </w:pPr>
            <w:r>
              <w:rPr>
                <w:rFonts w:ascii="Arial" w:cs="Arial" w:eastAsia="Arial" w:hAnsi="Arial"/>
              </w:rPr>
              <w:t xml:space="preserve">ACC-1001 has four eligible $35 fees dated July 20, 2026. The servicing banker is Kim Patel, the branch is Acme Bank Seattle, and the latest servicing event is August 4, 2026 at 3:01 AM.</w:t>
            </w:r>
          </w:p>
        </w:tc>
      </w:tr>
    </w:tbl>
    <w:p>
      <w:pPr>
        <w:pStyle w:val="Heading2"/>
      </w:pPr>
      <w:r>
        <w:rPr>
          <w:rFonts w:ascii="Arial" w:cs="Arial" w:eastAsia="Arial" w:hAnsi="Arial"/>
        </w:rPr>
        <w:t xml:space="preserve">In Microsoft Foundry</w:t>
      </w:r>
    </w:p>
    <w:p>
      <w:pPr>
        <w:pStyle w:val="ListParagraph"/>
        <w:numPr>
          <w:ilvl w:val="0"/>
          <w:numId w:val="5"/>
        </w:numPr>
        <w:spacing w:before="30" w:after="90" w:line="276"/>
      </w:pPr>
      <w:r>
        <w:rPr>
          <w:rFonts w:ascii="Arial" w:cs="Arial" w:eastAsia="Arial" w:hAnsi="Arial"/>
        </w:rPr>
        <w:t xml:space="preserve">Open bank-servicing-agent. Show that version 24 is active on gpt-5.4-mini.</w:t>
      </w:r>
    </w:p>
    <w:p>
      <w:pPr>
        <w:pStyle w:val="ListParagraph"/>
        <w:numPr>
          <w:ilvl w:val="0"/>
          <w:numId w:val="5"/>
        </w:numPr>
        <w:spacing w:before="30" w:after="90" w:line="276"/>
      </w:pPr>
      <w:r>
        <w:rPr>
          <w:rFonts w:ascii="Arial" w:cs="Arial" w:eastAsia="Arial" w:hAnsi="Arial"/>
        </w:rPr>
        <w:t xml:space="preserve">Open Traces and select the prepared multi-source response. Show the Fabric IQ, Foundry IQ, and Work IQ calls, then the final response span.</w:t>
      </w:r>
    </w:p>
    <w:p>
      <w:pPr>
        <w:pStyle w:val="ListParagraph"/>
        <w:numPr>
          <w:ilvl w:val="0"/>
          <w:numId w:val="5"/>
        </w:numPr>
        <w:spacing w:before="30" w:after="90" w:line="276"/>
      </w:pPr>
      <w:r>
        <w:rPr>
          <w:rFonts w:ascii="Arial" w:cs="Arial" w:eastAsia="Arial" w:hAnsi="Arial"/>
        </w:rPr>
        <w:t xml:space="preserve">Point out latency and the source trajectory. Keep raw content panes closed unless the content is confirmed synthetic and redacted.</w:t>
      </w:r>
    </w:p>
    <w:p>
      <w:pPr>
        <w:spacing w:before="80" w:after="55"/>
      </w:pPr>
      <w:r>
        <w:rPr>
          <w:rFonts w:ascii="Arial" w:cs="Arial" w:eastAsia="Arial" w:hAnsi="Arial"/>
          <w:b/>
          <w:bCs/>
          <w:color w:val="17365D"/>
        </w:rPr>
        <w:t xml:space="preserve">Presenter script</w:t>
      </w:r>
    </w:p>
    <w:p>
      <w:pPr>
        <w:spacing w:after="70" w:line="250"/>
      </w:pPr>
      <w:r>
        <w:rPr>
          <w:rFonts w:ascii="Arial" w:cs="Arial" w:eastAsia="Arial" w:hAnsi="Arial"/>
          <w:b/>
          <w:bCs/>
        </w:rPr>
        <w:t xml:space="preserve">Go here: </w:t>
      </w:r>
      <w:hyperlink w:history="1" r:id="rIdPresenterObservability">
        <w:r>
          <w:rPr>
            <w:rStyle w:val="Hyperlink"/>
            <w:rFonts w:ascii="Arial" w:cs="Arial" w:eastAsia="Arial" w:hAnsi="Arial"/>
          </w:rPr>
          <w:t xml:space="preserve">https://ai.azure.com/nextgen/r/J7ATmha0Qr-eycbbN2gkXg,rg-aycabas-3iqs,,4iq-foundry-project-resource,4iq-foundry-project/build/agents/bank-servicing-agent/build?version=24</w:t>
        </w:r>
      </w:hyperlink>
    </w:p>
    <w:p>
      <w:pPr>
        <w:spacing w:after="120" w:line="276"/>
      </w:pPr>
      <w:r>
        <w:rPr>
          <w:rFonts w:ascii="Arial" w:cs="Arial" w:eastAsia="Arial" w:hAnsi="Arial"/>
          <w:i/>
          <w:iCs/>
        </w:rPr>
        <w:t xml:space="preserve">And this is where observability becomes really important…because I do not just want to know that the agent gave me an answer…I want to know how it got there. From this exact agent page, I open Traces and select the prepared multi-source turn. Then I can see the call to Fabric IQ for the customer and account facts…the call to Foundry IQ for policy…the call to Work IQ for the employee context…and finally the response that came back to the user. I can also see how long each part took. And notice that I am keeping the raw content panes closed…because observability should not mean copying customer data into every log. I can inspect the trajectory, timing, and source use without exposing the content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40"/>
        </w:tblCellMar>
      </w:tblPr>
      <w:tblGrid>
        <w:gridCol w:w="9360"/>
      </w:tblGrid>
      <w:tr>
        <w:tc>
          <w:tcPr>
            <w:tcW w:type="dxa" w:w="9360"/>
            <w:tcBorders>
              <w:top w:val="single" w:color="C9D2DC" w:sz="1"/>
              <w:left w:val="single" w:color="C9D2DC" w:sz="1"/>
              <w:bottom w:val="single" w:color="C9D2DC" w:sz="1"/>
              <w:right w:val="single" w:color="C9D2DC" w:sz="1"/>
            </w:tcBorders>
            <w:shd w:fill="F3F8FC" w:val="clear"/>
            <w:tcMar>
              <w:top w:type="dxa" w:w="130"/>
              <w:left w:type="dxa" w:w="170"/>
              <w:bottom w:type="dxa" w:w="130"/>
              <w:right w:type="dxa" w:w="170"/>
            </w:tcMar>
          </w:tcPr>
          <w:p>
            <w:pPr>
              <w:spacing w:after="55"/>
            </w:pPr>
            <w:r>
              <w:rPr>
                <w:rFonts w:ascii="Arial" w:cs="Arial" w:eastAsia="Arial" w:hAnsi="Arial"/>
                <w:b/>
                <w:bCs/>
                <w:color w:val="17365D"/>
              </w:rPr>
              <w:t xml:space="preserve">Keep this short</w:t>
            </w:r>
          </w:p>
          <w:p>
            <w:pPr>
              <w:spacing w:after="55" w:line="276"/>
            </w:pPr>
            <w:r>
              <w:rPr>
                <w:rFonts w:ascii="Arial" w:cs="Arial" w:eastAsia="Arial" w:hAnsi="Arial"/>
              </w:rPr>
              <w:t xml:space="preserve">The app is the customer experience. Fabric proves the data estate. Foundry proves the hosted runtime and trajectory. Do not repeat the conversation in the Foundry playground.</w:t>
            </w:r>
          </w:p>
        </w:tc>
      </w:tr>
    </w:tbl>
    <w:p>
      <w:pPr>
        <w:pStyle w:val="Heading1"/>
      </w:pPr>
      <w:r>
        <w:rPr>
          <w:rFonts w:ascii="Arial" w:cs="Arial" w:eastAsia="Arial" w:hAnsi="Arial"/>
        </w:rPr>
        <w:t xml:space="preserve">Transition to Demo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40"/>
        </w:tblCellMar>
      </w:tblPr>
      <w:tblGrid>
        <w:gridCol w:w="9360"/>
      </w:tblGrid>
      <w:tr>
        <w:tc>
          <w:tcPr>
            <w:tcW w:type="dxa" w:w="9360"/>
            <w:tcBorders>
              <w:top w:val="single" w:color="C9D2DC" w:sz="1"/>
              <w:left w:val="single" w:color="C9D2DC" w:sz="1"/>
              <w:bottom w:val="single" w:color="C9D2DC" w:sz="1"/>
              <w:right w:val="single" w:color="C9D2DC" w:sz="1"/>
            </w:tcBorders>
            <w:shd w:fill="EAF5EE" w:val="clear"/>
            <w:tcMar>
              <w:top w:type="dxa" w:w="130"/>
              <w:left w:type="dxa" w:w="170"/>
              <w:bottom w:type="dxa" w:w="130"/>
              <w:right w:type="dxa" w:w="170"/>
            </w:tcMar>
          </w:tcPr>
          <w:p>
            <w:pPr>
              <w:spacing w:after="55"/>
            </w:pPr>
            <w:r>
              <w:rPr>
                <w:rFonts w:ascii="Arial" w:cs="Arial" w:eastAsia="Arial" w:hAnsi="Arial"/>
                <w:b/>
                <w:bCs/>
                <w:color w:val="17365D"/>
              </w:rPr>
              <w:t xml:space="preserve">No slide</w:t>
            </w:r>
          </w:p>
          <w:p>
            <w:pPr>
              <w:spacing w:after="55" w:line="276"/>
            </w:pPr>
            <w:r>
              <w:rPr>
                <w:rFonts w:ascii="Arial" w:cs="Arial" w:eastAsia="Arial" w:hAnsi="Arial"/>
              </w:rPr>
              <w:t xml:space="preserve">Move from the signed-in web experience to Outlook or Teams. The transition line is simple: the hosted agent stays the same, but the caller changes from the presenter on behalf of a user to Marco's Teller acting as itself.</w:t>
            </w:r>
          </w:p>
        </w:tc>
      </w:tr>
    </w:tbl>
    <w:p>
      <w:r>
        <w:br w:type="page"/>
      </w:r>
    </w:p>
    <w:p>
      <w:pPr>
        <w:pStyle w:val="Heading1"/>
      </w:pPr>
      <w:r>
        <w:rPr>
          <w:rFonts w:ascii="Arial" w:cs="Arial" w:eastAsia="Arial" w:hAnsi="Arial"/>
        </w:rPr>
        <w:t xml:space="preserve">Demo 3: Marco's Teller acts as itself</w:t>
      </w:r>
    </w:p>
    <w:p>
      <w:pPr>
        <w:spacing w:after="100" w:line="276"/>
      </w:pPr>
      <w:r>
        <w:rPr>
          <w:rFonts w:ascii="Arial" w:cs="Arial" w:eastAsia="Arial" w:hAnsi="Arial"/>
        </w:rPr>
        <w:t xml:space="preserve">Goal: Start with a synthetic customer email, show the agent's own identity, ground a fee dispute, and require employee confirmation before any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2DC" w:sz="1"/>
              <w:left w:val="single" w:color="C9D2DC" w:sz="1"/>
              <w:bottom w:val="single" w:color="C9D2DC" w:sz="1"/>
              <w:right w:val="single" w:color="C9D2DC" w:sz="1"/>
            </w:tcBorders>
            <w:shd w:fill="17365D" w:val="clear"/>
            <w:tcMar>
              <w:top w:type="dxa" w:w="90"/>
              <w:left w:type="dxa" w:w="130"/>
              <w:bottom w:type="dxa" w:w="90"/>
              <w:right w:type="dxa" w:w="130"/>
            </w:tcMar>
          </w:tcPr>
          <w:p>
            <w:pPr>
              <w:spacing w:after="0"/>
            </w:pPr>
            <w:r>
              <w:rPr>
                <w:rFonts w:ascii="Arial" w:cs="Arial" w:eastAsia="Arial" w:hAnsi="Arial"/>
                <w:b/>
                <w:bCs/>
                <w:color w:val="FFFFFF"/>
                <w:sz w:val="19"/>
                <w:szCs w:val="19"/>
              </w:rPr>
              <w:t xml:space="preserve">Identity proof</w:t>
            </w:r>
          </w:p>
        </w:tc>
        <w:tc>
          <w:tcPr>
            <w:tcW w:type="dxa" w:w="6360"/>
            <w:tcBorders>
              <w:top w:val="single" w:color="C9D2DC" w:sz="1"/>
              <w:left w:val="single" w:color="C9D2DC" w:sz="1"/>
              <w:bottom w:val="single" w:color="C9D2DC" w:sz="1"/>
              <w:right w:val="single" w:color="C9D2DC" w:sz="1"/>
            </w:tcBorders>
            <w:shd w:fill="17365D" w:val="clear"/>
            <w:tcMar>
              <w:top w:type="dxa" w:w="90"/>
              <w:left w:type="dxa" w:w="130"/>
              <w:bottom w:type="dxa" w:w="90"/>
              <w:right w:type="dxa" w:w="130"/>
            </w:tcMar>
          </w:tcPr>
          <w:p>
            <w:pPr>
              <w:spacing w:after="0"/>
            </w:pPr>
            <w:r>
              <w:rPr>
                <w:rFonts w:ascii="Arial" w:cs="Arial" w:eastAsia="Arial" w:hAnsi="Arial"/>
                <w:b/>
                <w:bCs/>
                <w:color w:val="FFFFFF"/>
                <w:sz w:val="19"/>
                <w:szCs w:val="19"/>
              </w:rPr>
              <w:t xml:space="preserve">Verified value</w:t>
            </w:r>
          </w:p>
        </w:tc>
      </w:tr>
      <w:tr>
        <w:tc>
          <w:tcPr>
            <w:tcW w:type="dxa" w:w="300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Display name</w:t>
            </w:r>
          </w:p>
        </w:tc>
        <w:tc>
          <w:tcPr>
            <w:tcW w:type="dxa" w:w="636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Marco's Teller</w:t>
            </w:r>
          </w:p>
        </w:tc>
      </w:tr>
      <w:tr>
        <w:tc>
          <w:tcPr>
            <w:tcW w:type="dxa" w:w="3000"/>
            <w:tcBorders>
              <w:top w:val="single" w:color="C9D2DC" w:sz="1"/>
              <w:left w:val="single" w:color="C9D2DC" w:sz="1"/>
              <w:bottom w:val="single" w:color="C9D2DC" w:sz="1"/>
              <w:right w:val="single" w:color="C9D2DC" w:sz="1"/>
            </w:tcBorders>
            <w:shd w:fill="F4F5F7" w:val="clear"/>
            <w:tcMar>
              <w:top w:type="dxa" w:w="90"/>
              <w:left w:type="dxa" w:w="130"/>
              <w:bottom w:type="dxa" w:w="90"/>
              <w:right w:type="dxa" w:w="130"/>
            </w:tcMar>
          </w:tcPr>
          <w:p>
            <w:pPr>
              <w:spacing w:after="0" w:line="250"/>
            </w:pPr>
            <w:r>
              <w:rPr>
                <w:rFonts w:ascii="Arial" w:cs="Arial" w:eastAsia="Arial" w:hAnsi="Arial"/>
                <w:sz w:val="19"/>
                <w:szCs w:val="19"/>
              </w:rPr>
              <w:t xml:space="preserve">Mailbox</w:t>
            </w:r>
          </w:p>
        </w:tc>
        <w:tc>
          <w:tcPr>
            <w:tcW w:type="dxa" w:w="6360"/>
            <w:tcBorders>
              <w:top w:val="single" w:color="C9D2DC" w:sz="1"/>
              <w:left w:val="single" w:color="C9D2DC" w:sz="1"/>
              <w:bottom w:val="single" w:color="C9D2DC" w:sz="1"/>
              <w:right w:val="single" w:color="C9D2DC" w:sz="1"/>
            </w:tcBorders>
            <w:shd w:fill="F4F5F7" w:val="clear"/>
            <w:tcMar>
              <w:top w:type="dxa" w:w="90"/>
              <w:left w:type="dxa" w:w="130"/>
              <w:bottom w:type="dxa" w:w="90"/>
              <w:right w:type="dxa" w:w="130"/>
            </w:tcMar>
          </w:tcPr>
          <w:p>
            <w:pPr>
              <w:spacing w:after="0" w:line="250"/>
            </w:pPr>
            <w:r>
              <w:rPr>
                <w:rFonts w:ascii="Arial" w:cs="Arial" w:eastAsia="Arial" w:hAnsi="Arial"/>
                <w:sz w:val="19"/>
                <w:szCs w:val="19"/>
              </w:rPr>
              <w:t xml:space="preserve">marcos-teller@cam3652609.onmicrosoft.com</w:t>
            </w:r>
          </w:p>
        </w:tc>
      </w:tr>
      <w:tr>
        <w:tc>
          <w:tcPr>
            <w:tcW w:type="dxa" w:w="300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Bridge revision</w:t>
            </w:r>
          </w:p>
        </w:tc>
        <w:tc>
          <w:tcPr>
            <w:tcW w:type="dxa" w:w="636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marcos-teller-bridge-a365--0000011</w:t>
            </w:r>
          </w:p>
        </w:tc>
      </w:tr>
      <w:tr>
        <w:tc>
          <w:tcPr>
            <w:tcW w:type="dxa" w:w="3000"/>
            <w:tcBorders>
              <w:top w:val="single" w:color="C9D2DC" w:sz="1"/>
              <w:left w:val="single" w:color="C9D2DC" w:sz="1"/>
              <w:bottom w:val="single" w:color="C9D2DC" w:sz="1"/>
              <w:right w:val="single" w:color="C9D2DC" w:sz="1"/>
            </w:tcBorders>
            <w:shd w:fill="F4F5F7" w:val="clear"/>
            <w:tcMar>
              <w:top w:type="dxa" w:w="90"/>
              <w:left w:type="dxa" w:w="130"/>
              <w:bottom w:type="dxa" w:w="90"/>
              <w:right w:type="dxa" w:w="130"/>
            </w:tcMar>
          </w:tcPr>
          <w:p>
            <w:pPr>
              <w:spacing w:after="0" w:line="250"/>
            </w:pPr>
            <w:r>
              <w:rPr>
                <w:rFonts w:ascii="Arial" w:cs="Arial" w:eastAsia="Arial" w:hAnsi="Arial"/>
                <w:sz w:val="19"/>
                <w:szCs w:val="19"/>
              </w:rPr>
              <w:t xml:space="preserve">Identity mode</w:t>
            </w:r>
          </w:p>
        </w:tc>
        <w:tc>
          <w:tcPr>
            <w:tcW w:type="dxa" w:w="6360"/>
            <w:tcBorders>
              <w:top w:val="single" w:color="C9D2DC" w:sz="1"/>
              <w:left w:val="single" w:color="C9D2DC" w:sz="1"/>
              <w:bottom w:val="single" w:color="C9D2DC" w:sz="1"/>
              <w:right w:val="single" w:color="C9D2DC" w:sz="1"/>
            </w:tcBorders>
            <w:shd w:fill="F4F5F7" w:val="clear"/>
            <w:tcMar>
              <w:top w:type="dxa" w:w="90"/>
              <w:left w:type="dxa" w:w="130"/>
              <w:bottom w:type="dxa" w:w="90"/>
              <w:right w:type="dxa" w:w="130"/>
            </w:tcMar>
          </w:tcPr>
          <w:p>
            <w:pPr>
              <w:spacing w:after="0" w:line="250"/>
            </w:pPr>
            <w:r>
              <w:rPr>
                <w:rFonts w:ascii="Arial" w:cs="Arial" w:eastAsia="Arial" w:hAnsi="Arial"/>
                <w:sz w:val="19"/>
                <w:szCs w:val="19"/>
              </w:rPr>
              <w:t xml:space="preserve">agent_user</w:t>
            </w:r>
          </w:p>
        </w:tc>
      </w:tr>
      <w:tr>
        <w:tc>
          <w:tcPr>
            <w:tcW w:type="dxa" w:w="300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Identity readiness</w:t>
            </w:r>
          </w:p>
        </w:tc>
        <w:tc>
          <w:tcPr>
            <w:tcW w:type="dxa" w:w="636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ready</w:t>
            </w:r>
          </w:p>
        </w:tc>
      </w:tr>
      <w:tr>
        <w:tc>
          <w:tcPr>
            <w:tcW w:type="dxa" w:w="3000"/>
            <w:tcBorders>
              <w:top w:val="single" w:color="C9D2DC" w:sz="1"/>
              <w:left w:val="single" w:color="C9D2DC" w:sz="1"/>
              <w:bottom w:val="single" w:color="C9D2DC" w:sz="1"/>
              <w:right w:val="single" w:color="C9D2DC" w:sz="1"/>
            </w:tcBorders>
            <w:shd w:fill="F4F5F7" w:val="clear"/>
            <w:tcMar>
              <w:top w:type="dxa" w:w="90"/>
              <w:left w:type="dxa" w:w="130"/>
              <w:bottom w:type="dxa" w:w="90"/>
              <w:right w:type="dxa" w:w="130"/>
            </w:tcMar>
          </w:tcPr>
          <w:p>
            <w:pPr>
              <w:spacing w:after="0" w:line="250"/>
            </w:pPr>
            <w:r>
              <w:rPr>
                <w:rFonts w:ascii="Arial" w:cs="Arial" w:eastAsia="Arial" w:hAnsi="Arial"/>
                <w:sz w:val="19"/>
                <w:szCs w:val="19"/>
              </w:rPr>
              <w:t xml:space="preserve">Hosted agent</w:t>
            </w:r>
          </w:p>
        </w:tc>
        <w:tc>
          <w:tcPr>
            <w:tcW w:type="dxa" w:w="6360"/>
            <w:tcBorders>
              <w:top w:val="single" w:color="C9D2DC" w:sz="1"/>
              <w:left w:val="single" w:color="C9D2DC" w:sz="1"/>
              <w:bottom w:val="single" w:color="C9D2DC" w:sz="1"/>
              <w:right w:val="single" w:color="C9D2DC" w:sz="1"/>
            </w:tcBorders>
            <w:shd w:fill="F4F5F7" w:val="clear"/>
            <w:tcMar>
              <w:top w:type="dxa" w:w="90"/>
              <w:left w:type="dxa" w:w="130"/>
              <w:bottom w:type="dxa" w:w="90"/>
              <w:right w:type="dxa" w:w="130"/>
            </w:tcMar>
          </w:tcPr>
          <w:p>
            <w:pPr>
              <w:spacing w:after="0" w:line="250"/>
            </w:pPr>
            <w:r>
              <w:rPr>
                <w:rFonts w:ascii="Arial" w:cs="Arial" w:eastAsia="Arial" w:hAnsi="Arial"/>
                <w:sz w:val="19"/>
                <w:szCs w:val="19"/>
              </w:rPr>
              <w:t xml:space="preserve">bank-servicing-agent, version 15</w:t>
            </w:r>
          </w:p>
        </w:tc>
      </w:tr>
    </w:tbl>
    <w:p>
      <w:pPr>
        <w:pStyle w:val="Heading2"/>
      </w:pPr>
      <w:r>
        <w:rPr>
          <w:rFonts w:ascii="Arial" w:cs="Arial" w:eastAsia="Arial" w:hAnsi="Arial"/>
        </w:rPr>
        <w:t xml:space="preserve">Preferred live path</w:t>
      </w:r>
    </w:p>
    <w:p>
      <w:pPr>
        <w:pStyle w:val="ListParagraph"/>
        <w:numPr>
          <w:ilvl w:val="0"/>
          <w:numId w:val="6"/>
        </w:numPr>
        <w:spacing w:before="30" w:after="90" w:line="276"/>
      </w:pPr>
      <w:r>
        <w:rPr>
          <w:rFonts w:ascii="Arial" w:cs="Arial" w:eastAsia="Arial" w:hAnsi="Arial"/>
        </w:rPr>
        <w:t xml:space="preserve">Open Marco's Teller in Outlook only if the synthetic fee-dispute message is visibly present. Show the mailbox name and the [SYNTHETIC DEMO] marker.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40"/>
        </w:tblCellMar>
      </w:tblPr>
      <w:tblGrid>
        <w:gridCol w:w="9360"/>
      </w:tblGrid>
      <w:tr>
        <w:tc>
          <w:tcPr>
            <w:tcW w:type="dxa" w:w="9360"/>
            <w:tcBorders>
              <w:top w:val="single" w:color="C9D2DC" w:sz="1"/>
              <w:left w:val="single" w:color="C9D2DC" w:sz="1"/>
              <w:bottom w:val="single" w:color="C9D2DC" w:sz="1"/>
              <w:right w:val="single" w:color="C9D2DC" w:sz="1"/>
            </w:tcBorders>
            <w:shd w:fill="E8F3FA" w:val="clear"/>
            <w:tcMar>
              <w:top w:type="dxa" w:w="130"/>
              <w:left w:type="dxa" w:w="170"/>
              <w:bottom w:type="dxa" w:w="130"/>
              <w:right w:type="dxa" w:w="170"/>
            </w:tcMar>
          </w:tcPr>
          <w:p>
            <w:pPr>
              <w:spacing w:after="55"/>
            </w:pPr>
            <w:r>
              <w:rPr>
                <w:rFonts w:ascii="Arial" w:cs="Arial" w:eastAsia="Arial" w:hAnsi="Arial"/>
                <w:b/>
                <w:bCs/>
                <w:color w:val="17365D"/>
              </w:rPr>
              <w:t xml:space="preserve">Customer email</w:t>
            </w:r>
          </w:p>
          <w:p>
            <w:pPr>
              <w:spacing w:after="55" w:line="276"/>
            </w:pPr>
            <w:r>
              <w:rPr>
                <w:rFonts w:ascii="Arial" w:cs="Arial" w:eastAsia="Arial" w:hAnsi="Arial"/>
              </w:rPr>
              <w:t xml:space="preserve">Subject: [SYNTHETIC DEMO] Verified fee dispute C-101</w:t>
            </w:r>
          </w:p>
          <w:p>
            <w:pPr>
              <w:spacing w:after="55" w:line="276"/>
            </w:pPr>
            <w:r>
              <w:rPr>
                <w:rFonts w:ascii="Arial" w:cs="Arial" w:eastAsia="Arial" w:hAnsi="Arial"/>
              </w:rPr>
              <w:t xml:space="preserve">Body: Please review the disputed $35 overdraft fee on synthetic account C-101. Use the account facts and approved reversal policy. Do not change the fee until an employee confirms the next step.</w:t>
            </w:r>
          </w:p>
        </w:tc>
      </w:tr>
    </w:tbl>
    <w:p>
      <w:pPr>
        <w:pStyle w:val="ListParagraph"/>
        <w:numPr>
          <w:ilvl w:val="0"/>
          <w:numId w:val="6"/>
        </w:numPr>
        <w:spacing w:before="30" w:after="90" w:line="276"/>
      </w:pPr>
      <w:r>
        <w:rPr>
          <w:rFonts w:ascii="Arial" w:cs="Arial" w:eastAsia="Arial" w:hAnsi="Arial"/>
        </w:rPr>
        <w:t xml:space="preserve">Show the triage result. Point to Fabric IQ account and fee facts, Foundry IQ policy, the proposed reversal or escalation, and the explicit statement that no fee was changed.</w:t>
      </w:r>
    </w:p>
    <w:p>
      <w:pPr>
        <w:pStyle w:val="ListParagraph"/>
        <w:numPr>
          <w:ilvl w:val="0"/>
          <w:numId w:val="6"/>
        </w:numPr>
        <w:spacing w:before="30" w:after="90" w:line="276"/>
      </w:pPr>
      <w:r>
        <w:rPr>
          <w:rFonts w:ascii="Arial" w:cs="Arial" w:eastAsia="Arial" w:hAnsi="Arial"/>
        </w:rPr>
        <w:t xml:space="preserve">Open Marco's Teller in Teams if the exact identity is discoverable. Ask for the pending case in natural employee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40"/>
        </w:tblCellMar>
      </w:tblPr>
      <w:tblGrid>
        <w:gridCol w:w="9360"/>
      </w:tblGrid>
      <w:tr>
        <w:tc>
          <w:tcPr>
            <w:tcW w:type="dxa" w:w="9360"/>
            <w:tcBorders>
              <w:top w:val="single" w:color="C9D2DC" w:sz="1"/>
              <w:left w:val="single" w:color="C9D2DC" w:sz="1"/>
              <w:bottom w:val="single" w:color="C9D2DC" w:sz="1"/>
              <w:right w:val="single" w:color="C9D2DC" w:sz="1"/>
            </w:tcBorders>
            <w:shd w:fill="E8F3FA" w:val="clear"/>
            <w:tcMar>
              <w:top w:type="dxa" w:w="130"/>
              <w:left w:type="dxa" w:w="170"/>
              <w:bottom w:type="dxa" w:w="130"/>
              <w:right w:type="dxa" w:w="170"/>
            </w:tcMar>
          </w:tcPr>
          <w:p>
            <w:pPr>
              <w:spacing w:after="55"/>
            </w:pPr>
            <w:r>
              <w:rPr>
                <w:rFonts w:ascii="Arial" w:cs="Arial" w:eastAsia="Arial" w:hAnsi="Arial"/>
                <w:b/>
                <w:bCs/>
                <w:color w:val="17365D"/>
              </w:rPr>
              <w:t xml:space="preserve">Prompt to use</w:t>
            </w:r>
          </w:p>
          <w:p>
            <w:pPr>
              <w:spacing w:after="55" w:line="276"/>
            </w:pPr>
            <w:r>
              <w:rPr>
                <w:rFonts w:ascii="Arial" w:cs="Arial" w:eastAsia="Arial" w:hAnsi="Arial"/>
              </w:rPr>
              <w:t xml:space="preserve">Review fee dispute &lt;case ID&gt;. Show me the account evidence, the policy that applies, and the recommended next step. Do not change the fee.</w:t>
            </w:r>
          </w:p>
        </w:tc>
      </w:tr>
    </w:tbl>
    <w:p>
      <w:pPr>
        <w:pStyle w:val="ListParagraph"/>
        <w:numPr>
          <w:ilvl w:val="0"/>
          <w:numId w:val="6"/>
        </w:numPr>
        <w:spacing w:before="30" w:after="90" w:line="276"/>
      </w:pPr>
      <w:r>
        <w:rPr>
          <w:rFonts w:ascii="Arial" w:cs="Arial" w:eastAsia="Arial" w:hAnsi="Arial"/>
        </w:rPr>
        <w:t xml:space="preserve">Approve the bounded next step only after reviewing the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40"/>
        </w:tblCellMar>
      </w:tblPr>
      <w:tblGrid>
        <w:gridCol w:w="9360"/>
      </w:tblGrid>
      <w:tr>
        <w:tc>
          <w:tcPr>
            <w:tcW w:type="dxa" w:w="9360"/>
            <w:tcBorders>
              <w:top w:val="single" w:color="C9D2DC" w:sz="1"/>
              <w:left w:val="single" w:color="C9D2DC" w:sz="1"/>
              <w:bottom w:val="single" w:color="C9D2DC" w:sz="1"/>
              <w:right w:val="single" w:color="C9D2DC" w:sz="1"/>
            </w:tcBorders>
            <w:shd w:fill="E8F3FA" w:val="clear"/>
            <w:tcMar>
              <w:top w:type="dxa" w:w="130"/>
              <w:left w:type="dxa" w:w="170"/>
              <w:bottom w:type="dxa" w:w="130"/>
              <w:right w:type="dxa" w:w="170"/>
            </w:tcMar>
          </w:tcPr>
          <w:p>
            <w:pPr>
              <w:spacing w:after="55"/>
            </w:pPr>
            <w:r>
              <w:rPr>
                <w:rFonts w:ascii="Arial" w:cs="Arial" w:eastAsia="Arial" w:hAnsi="Arial"/>
                <w:b/>
                <w:bCs/>
                <w:color w:val="17365D"/>
              </w:rPr>
              <w:t xml:space="preserve">Prompt to use</w:t>
            </w:r>
          </w:p>
          <w:p>
            <w:pPr>
              <w:spacing w:after="55" w:line="276"/>
            </w:pPr>
            <w:r>
              <w:rPr>
                <w:rFonts w:ascii="Arial" w:cs="Arial" w:eastAsia="Arial" w:hAnsi="Arial"/>
              </w:rPr>
              <w:t xml:space="preserve">Confirm fee dispute &lt;case ID&gt; and prepare the customer-ready response. Do not claim that a reversal, refund, or waiver was completed.</w:t>
            </w:r>
          </w:p>
        </w:tc>
      </w:tr>
    </w:tbl>
    <w:p>
      <w:pPr>
        <w:pStyle w:val="ListParagraph"/>
        <w:numPr>
          <w:ilvl w:val="0"/>
          <w:numId w:val="6"/>
        </w:numPr>
        <w:spacing w:before="30" w:after="90" w:line="276"/>
      </w:pPr>
      <w:r>
        <w:rPr>
          <w:rFonts w:ascii="Arial" w:cs="Arial" w:eastAsia="Arial" w:hAnsi="Arial"/>
        </w:rPr>
        <w:t xml:space="preserve">Show the customer-ready draft or employee handoff. State that the flow has no fee-write tool.</w:t>
      </w:r>
    </w:p>
    <w:p>
      <w:pPr>
        <w:pStyle w:val="ListParagraph"/>
        <w:numPr>
          <w:ilvl w:val="0"/>
          <w:numId w:val="6"/>
        </w:numPr>
        <w:spacing w:before="30" w:after="90" w:line="276"/>
      </w:pPr>
      <w:r>
        <w:rPr>
          <w:rFonts w:ascii="Arial" w:cs="Arial" w:eastAsia="Arial" w:hAnsi="Arial"/>
        </w:rPr>
        <w:t xml:space="preserve">If a recipient-side reply is visibly present, show it. Otherwise stop at the prepared response and do not claim that an email was delivered.</w:t>
      </w:r>
    </w:p>
    <w:p>
      <w:pPr>
        <w:pStyle w:val="Heading2"/>
      </w:pPr>
      <w:r>
        <w:rPr>
          <w:rFonts w:ascii="Arial" w:cs="Arial" w:eastAsia="Arial" w:hAnsi="Arial"/>
        </w:rPr>
        <w:t xml:space="preserve">Own-identity proof in Foundry</w:t>
      </w:r>
    </w:p>
    <w:p>
      <w:pPr>
        <w:pStyle w:val="ListParagraph"/>
        <w:numPr>
          <w:ilvl w:val="0"/>
          <w:numId w:val="2"/>
        </w:numPr>
        <w:spacing w:after="70" w:line="270"/>
      </w:pPr>
      <w:r>
        <w:rPr>
          <w:rFonts w:ascii="Arial" w:cs="Arial" w:eastAsia="Arial" w:hAnsi="Arial"/>
        </w:rPr>
        <w:t xml:space="preserve">Open the staged Agent 365 canary trace around 2026-08-05 05:08 UTC.</w:t>
      </w:r>
    </w:p>
    <w:p>
      <w:pPr>
        <w:pStyle w:val="ListParagraph"/>
        <w:numPr>
          <w:ilvl w:val="0"/>
          <w:numId w:val="2"/>
        </w:numPr>
        <w:spacing w:after="70" w:line="270"/>
      </w:pPr>
      <w:r>
        <w:rPr>
          <w:rFonts w:ascii="Arial" w:cs="Arial" w:eastAsia="Arial" w:hAnsi="Arial"/>
        </w:rPr>
        <w:t xml:space="preserve">Point out that the bridge acquired an agent-user token from its loopback Entra sidecar and received HTTP 200 from the version-15 Responses endpoint.</w:t>
      </w:r>
    </w:p>
    <w:p>
      <w:pPr>
        <w:pStyle w:val="ListParagraph"/>
        <w:numPr>
          <w:ilvl w:val="0"/>
          <w:numId w:val="2"/>
        </w:numPr>
        <w:spacing w:after="70" w:line="270"/>
      </w:pPr>
      <w:r>
        <w:rPr>
          <w:rFonts w:ascii="Arial" w:cs="Arial" w:eastAsia="Arial" w:hAnsi="Arial"/>
        </w:rPr>
        <w:t xml:space="preserve">Show identityMode=agent_user and identityReadiness=ready. No human OBO identity is used.</w:t>
      </w:r>
    </w:p>
    <w:p>
      <w:pPr>
        <w:pStyle w:val="ListParagraph"/>
        <w:numPr>
          <w:ilvl w:val="0"/>
          <w:numId w:val="2"/>
        </w:numPr>
        <w:spacing w:after="70" w:line="270"/>
      </w:pPr>
      <w:r>
        <w:rPr>
          <w:rFonts w:ascii="Arial" w:cs="Arial" w:eastAsia="Arial" w:hAnsi="Arial"/>
        </w:rPr>
        <w:t xml:space="preserve">Show the grounded fee-dispute trace only if it contains synthetic data and no raw token material.</w:t>
      </w:r>
    </w:p>
    <w:p>
      <w:pPr>
        <w:pStyle w:val="Heading2"/>
      </w:pPr>
      <w:r>
        <w:rPr>
          <w:rFonts w:ascii="Arial" w:cs="Arial" w:eastAsia="Arial" w:hAnsi="Arial"/>
        </w:rPr>
        <w:t xml:space="preserve">Fallback when Outlook or Teams is not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40"/>
        </w:tblCellMar>
      </w:tblPr>
      <w:tblGrid>
        <w:gridCol w:w="9360"/>
      </w:tblGrid>
      <w:tr>
        <w:tc>
          <w:tcPr>
            <w:tcW w:type="dxa" w:w="9360"/>
            <w:tcBorders>
              <w:top w:val="single" w:color="C9D2DC" w:sz="1"/>
              <w:left w:val="single" w:color="C9D2DC" w:sz="1"/>
              <w:bottom w:val="single" w:color="C9D2DC" w:sz="1"/>
              <w:right w:val="single" w:color="C9D2DC" w:sz="1"/>
            </w:tcBorders>
            <w:shd w:fill="FFF3E6" w:val="clear"/>
            <w:tcMar>
              <w:top w:type="dxa" w:w="130"/>
              <w:left w:type="dxa" w:w="170"/>
              <w:bottom w:type="dxa" w:w="130"/>
              <w:right w:type="dxa" w:w="170"/>
            </w:tcMar>
          </w:tcPr>
          <w:p>
            <w:pPr>
              <w:spacing w:after="55"/>
            </w:pPr>
            <w:r>
              <w:rPr>
                <w:rFonts w:ascii="Arial" w:cs="Arial" w:eastAsia="Arial" w:hAnsi="Arial"/>
                <w:b/>
                <w:bCs/>
                <w:color w:val="17365D"/>
              </w:rPr>
              <w:t xml:space="preserve">Use the truthful fallback</w:t>
            </w:r>
          </w:p>
          <w:p>
            <w:pPr>
              <w:spacing w:after="55" w:line="276"/>
            </w:pPr>
            <w:r>
              <w:rPr>
                <w:rFonts w:ascii="Arial" w:cs="Arial" w:eastAsia="Arial" w:hAnsi="Arial"/>
              </w:rPr>
              <w:t xml:space="preserve">Show the exact sender-side Sent Items record, then show bridge health with identityMode=agent_user and identityReadiness=ready. Explain that the own-identity version-15 canary succeeded, but this tenant session does not prove recipient delivery or a Teams reply. Show the staged grounded response and employee-confirmation boundary without simulating a message.</w:t>
            </w:r>
          </w:p>
        </w:tc>
      </w:tr>
    </w:tbl>
    <w:p>
      <w:pPr>
        <w:pStyle w:val="ListParagraph"/>
        <w:numPr>
          <w:ilvl w:val="0"/>
          <w:numId w:val="2"/>
        </w:numPr>
        <w:spacing w:after="70" w:line="270"/>
      </w:pPr>
      <w:r>
        <w:rPr>
          <w:rFonts w:ascii="Arial" w:cs="Arial" w:eastAsia="Arial" w:hAnsi="Arial"/>
        </w:rPr>
        <w:t xml:space="preserve">Do not use a different teller identity with a similar name.</w:t>
      </w:r>
    </w:p>
    <w:p>
      <w:pPr>
        <w:pStyle w:val="ListParagraph"/>
        <w:numPr>
          <w:ilvl w:val="0"/>
          <w:numId w:val="2"/>
        </w:numPr>
        <w:spacing w:after="70" w:line="270"/>
      </w:pPr>
      <w:r>
        <w:rPr>
          <w:rFonts w:ascii="Arial" w:cs="Arial" w:eastAsia="Arial" w:hAnsi="Arial"/>
        </w:rPr>
        <w:t xml:space="preserve">Do not send a Teams message unless the draft and target are explicitly approved.</w:t>
      </w:r>
    </w:p>
    <w:p>
      <w:pPr>
        <w:pStyle w:val="ListParagraph"/>
        <w:numPr>
          <w:ilvl w:val="0"/>
          <w:numId w:val="2"/>
        </w:numPr>
        <w:spacing w:after="70" w:line="270"/>
      </w:pPr>
      <w:r>
        <w:rPr>
          <w:rFonts w:ascii="Arial" w:cs="Arial" w:eastAsia="Arial" w:hAnsi="Arial"/>
        </w:rPr>
        <w:t xml:space="preserve">Do not claim that the customer was contacted unless the live recipient-side evidence is visible.</w:t>
      </w:r>
    </w:p>
    <w:p>
      <w:r>
        <w:br w:type="page"/>
      </w:r>
    </w:p>
    <w:p>
      <w:pPr>
        <w:pStyle w:val="Heading1"/>
      </w:pPr>
      <w:r>
        <w:rPr>
          <w:rFonts w:ascii="Arial" w:cs="Arial" w:eastAsia="Arial" w:hAnsi="Arial"/>
        </w:rPr>
        <w:t xml:space="preserve">Shared quality and governance</w:t>
      </w:r>
    </w:p>
    <w:p>
      <w:pPr>
        <w:spacing w:after="100" w:line="276"/>
      </w:pPr>
      <w:r>
        <w:rPr>
          <w:rFonts w:ascii="Arial" w:cs="Arial" w:eastAsia="Arial" w:hAnsi="Arial"/>
        </w:rPr>
        <w:t xml:space="preserve">Use this block once. It covers quality control, human review, A/B testing, rubric evaluation, ASSERT, Agent Optimizer, and the feedback cycle.</w:t>
      </w:r>
    </w:p>
    <w:p>
      <w:pPr>
        <w:pStyle w:val="Heading2"/>
      </w:pPr>
      <w:r>
        <w:rPr>
          <w:rFonts w:ascii="Arial" w:cs="Arial" w:eastAsia="Arial" w:hAnsi="Arial"/>
        </w:rPr>
        <w:t xml:space="preserve">In the app</w:t>
      </w:r>
    </w:p>
    <w:p>
      <w:pPr>
        <w:pStyle w:val="ListParagraph"/>
        <w:numPr>
          <w:ilvl w:val="0"/>
          <w:numId w:val="7"/>
        </w:numPr>
        <w:spacing w:before="30" w:after="90" w:line="276"/>
      </w:pPr>
      <w:r>
        <w:rPr>
          <w:rFonts w:ascii="Arial" w:cs="Arial" w:eastAsia="Arial" w:hAnsi="Arial"/>
        </w:rPr>
        <w:t xml:space="preserve">Open Quality &amp; review. Show the pending service-description draft and approve or reject it. Point out that only approved versions publish to Foundry IQ.</w:t>
      </w:r>
    </w:p>
    <w:p>
      <w:pPr>
        <w:pStyle w:val="ListParagraph"/>
        <w:numPr>
          <w:ilvl w:val="0"/>
          <w:numId w:val="7"/>
        </w:numPr>
        <w:spacing w:before="30" w:after="90" w:line="276"/>
      </w:pPr>
      <w:r>
        <w:rPr>
          <w:rFonts w:ascii="Arial" w:cs="Arial" w:eastAsia="Arial" w:hAnsi="Arial"/>
        </w:rPr>
        <w:t xml:space="preserve">Open the multiple-model evaluation lab. Compare the same synthetic prompt across gpt-5.4-mini, gpt-5-mini, and gpt-4.1-mini.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40"/>
        </w:tblCellMar>
      </w:tblPr>
      <w:tblGrid>
        <w:gridCol w:w="9360"/>
      </w:tblGrid>
      <w:tr>
        <w:tc>
          <w:tcPr>
            <w:tcW w:type="dxa" w:w="9360"/>
            <w:tcBorders>
              <w:top w:val="single" w:color="C9D2DC" w:sz="1"/>
              <w:left w:val="single" w:color="C9D2DC" w:sz="1"/>
              <w:bottom w:val="single" w:color="C9D2DC" w:sz="1"/>
              <w:right w:val="single" w:color="C9D2DC" w:sz="1"/>
            </w:tcBorders>
            <w:shd w:fill="E8F3FA" w:val="clear"/>
            <w:tcMar>
              <w:top w:type="dxa" w:w="130"/>
              <w:left w:type="dxa" w:w="170"/>
              <w:bottom w:type="dxa" w:w="130"/>
              <w:right w:type="dxa" w:w="170"/>
            </w:tcMar>
          </w:tcPr>
          <w:p>
            <w:pPr>
              <w:spacing w:after="55"/>
            </w:pPr>
            <w:r>
              <w:rPr>
                <w:rFonts w:ascii="Arial" w:cs="Arial" w:eastAsia="Arial" w:hAnsi="Arial"/>
                <w:b/>
                <w:bCs/>
                <w:color w:val="17365D"/>
              </w:rPr>
              <w:t xml:space="preserve">Prompt to use</w:t>
            </w:r>
          </w:p>
          <w:p>
            <w:pPr>
              <w:spacing w:after="55" w:line="276"/>
            </w:pPr>
            <w:r>
              <w:rPr>
                <w:rFonts w:ascii="Arial" w:cs="Arial" w:eastAsia="Arial" w:hAnsi="Arial"/>
              </w:rPr>
              <w:t xml:space="preserve">Explain the eligibility rules for reversing an overdraft fee.</w:t>
            </w:r>
          </w:p>
        </w:tc>
      </w:tr>
    </w:tbl>
    <w:p>
      <w:pPr>
        <w:pStyle w:val="ListParagraph"/>
        <w:numPr>
          <w:ilvl w:val="0"/>
          <w:numId w:val="2"/>
        </w:numPr>
        <w:spacing w:after="70" w:line="270"/>
      </w:pPr>
      <w:r>
        <w:rPr>
          <w:rFonts w:ascii="Arial" w:cs="Arial" w:eastAsia="Arial" w:hAnsi="Arial"/>
        </w:rPr>
        <w:t xml:space="preserve">Customer traffic remains fixed to gpt-5.4-mini.</w:t>
      </w:r>
    </w:p>
    <w:p>
      <w:pPr>
        <w:pStyle w:val="ListParagraph"/>
        <w:numPr>
          <w:ilvl w:val="0"/>
          <w:numId w:val="2"/>
        </w:numPr>
        <w:spacing w:after="70" w:line="270"/>
      </w:pPr>
      <w:r>
        <w:rPr>
          <w:rFonts w:ascii="Arial" w:cs="Arial" w:eastAsia="Arial" w:hAnsi="Arial"/>
        </w:rPr>
        <w:t xml:space="preserve">This is an offline comparison, not a production traffic split.</w:t>
      </w:r>
    </w:p>
    <w:p>
      <w:pPr>
        <w:pStyle w:val="ListParagraph"/>
        <w:numPr>
          <w:ilvl w:val="0"/>
          <w:numId w:val="2"/>
        </w:numPr>
        <w:spacing w:after="70" w:line="270"/>
      </w:pPr>
      <w:r>
        <w:rPr>
          <w:rFonts w:ascii="Arial" w:cs="Arial" w:eastAsia="Arial" w:hAnsi="Arial"/>
        </w:rPr>
        <w:t xml:space="preserve">Compare response quality, latency, and cost only where values are populated.</w:t>
      </w:r>
    </w:p>
    <w:p>
      <w:pPr>
        <w:spacing w:before="80" w:after="55"/>
      </w:pPr>
      <w:r>
        <w:rPr>
          <w:rFonts w:ascii="Arial" w:cs="Arial" w:eastAsia="Arial" w:hAnsi="Arial"/>
          <w:b/>
          <w:bCs/>
          <w:color w:val="17365D"/>
        </w:rPr>
        <w:t xml:space="preserve">Presenter script</w:t>
      </w:r>
    </w:p>
    <w:p>
      <w:pPr>
        <w:spacing w:after="70" w:line="250"/>
      </w:pPr>
      <w:r>
        <w:rPr>
          <w:rFonts w:ascii="Arial" w:cs="Arial" w:eastAsia="Arial" w:hAnsi="Arial"/>
          <w:b/>
          <w:bCs/>
        </w:rPr>
        <w:t xml:space="preserve">Go here: </w:t>
      </w:r>
      <w:hyperlink w:history="1" r:id="rIdPresenterApp">
        <w:r>
          <w:rPr>
            <w:rStyle w:val="Hyperlink"/>
            <w:rFonts w:ascii="Arial" w:cs="Arial" w:eastAsia="Arial" w:hAnsi="Arial"/>
          </w:rPr>
          <w:t xml:space="preserve">https://bank-servicing-web.agreeablewave-d7d8bc74.eastus2.azurecontainerapps.io</w:t>
        </w:r>
      </w:hyperlink>
    </w:p>
    <w:p>
      <w:pPr>
        <w:spacing w:after="120" w:line="276"/>
      </w:pPr>
      <w:r>
        <w:rPr>
          <w:rFonts w:ascii="Arial" w:cs="Arial" w:eastAsia="Arial" w:hAnsi="Arial"/>
          <w:i/>
          <w:iCs/>
        </w:rPr>
        <w:t xml:space="preserve">Now when people hear A/B testing, they often imagine that I am randomly sending real customers to different models…I am not doing that here. At this URL, I sign in, open Quality &amp; review, and use the multiple-model evaluation lab. Customer traffic stays fixed on gpt-5.4-mini. I take the same prompt…the same quality bar…the same safety rules…and I run it against a few candidate models. Then I can compare the response, latency, and cost wherever those measurements are available. So this lets me experiment without turning my customers into the experiment. Nothing changes in production unless a human reviews the evidence and deliberately promotes a new version.</w:t>
      </w:r>
    </w:p>
    <w:p>
      <w:pPr>
        <w:pStyle w:val="Heading2"/>
      </w:pPr>
      <w:r>
        <w:rPr>
          <w:rFonts w:ascii="Arial" w:cs="Arial" w:eastAsia="Arial" w:hAnsi="Arial"/>
        </w:rPr>
        <w:t xml:space="preserve">In Microsoft Foundry: native rubric evaluation</w:t>
      </w:r>
    </w:p>
    <w:p>
      <w:pPr>
        <w:spacing w:after="100" w:line="276"/>
      </w:pPr>
      <w:hyperlink w:history="1" r:id="rIdzwkaonyleejkh-yrvirun">
        <w:r>
          <w:rPr>
            <w:rStyle w:val="Hyperlink"/>
            <w:rFonts w:ascii="Arial" w:cs="Arial" w:eastAsia="Arial" w:hAnsi="Arial"/>
          </w:rPr>
          <w:t xml:space="preserve">Open the completed rubric run</w:t>
        </w:r>
      </w:hyperlink>
    </w:p>
    <w:p>
      <w:pPr>
        <w:pStyle w:val="ListParagraph"/>
        <w:numPr>
          <w:ilvl w:val="0"/>
          <w:numId w:val="8"/>
        </w:numPr>
        <w:spacing w:before="30" w:after="90" w:line="276"/>
      </w:pPr>
      <w:r>
        <w:rPr>
          <w:rFonts w:ascii="Arial" w:cs="Arial" w:eastAsia="Arial" w:hAnsi="Arial"/>
        </w:rPr>
        <w:t xml:space="preserve">Show bank_servicing_rubric version 4. Confirm that the evaluator type is Rubric and that gpt-5.4-mini is the judge.</w:t>
      </w:r>
    </w:p>
    <w:p>
      <w:pPr>
        <w:pStyle w:val="ListParagraph"/>
        <w:numPr>
          <w:ilvl w:val="0"/>
          <w:numId w:val="8"/>
        </w:numPr>
        <w:spacing w:before="30" w:after="90" w:line="276"/>
      </w:pPr>
      <w:r>
        <w:rPr>
          <w:rFonts w:ascii="Arial" w:cs="Arial" w:eastAsia="Arial" w:hAnsi="Arial"/>
        </w:rPr>
        <w:t xml:space="preserve">Show the 13 weighted dimensions and the strict 0.90 pass threshold. Expand one item to show per-dimension 1-to-5 scores and reasons.</w:t>
      </w:r>
    </w:p>
    <w:p>
      <w:pPr>
        <w:pStyle w:val="ListParagraph"/>
        <w:numPr>
          <w:ilvl w:val="0"/>
          <w:numId w:val="8"/>
        </w:numPr>
        <w:spacing w:before="30" w:after="90" w:line="276"/>
      </w:pPr>
      <w:r>
        <w:rPr>
          <w:rFonts w:ascii="Arial" w:cs="Arial" w:eastAsia="Arial" w:hAnsi="Arial"/>
        </w:rPr>
        <w:t xml:space="preserve">Show the observed result: mean normalized score 0.667, 0 passed, 6 failed, and 0 errored across six synthetic version-15 cases.</w:t>
      </w:r>
    </w:p>
    <w:p>
      <w:pPr>
        <w:pStyle w:val="ListParagraph"/>
        <w:numPr>
          <w:ilvl w:val="0"/>
          <w:numId w:val="2"/>
        </w:numPr>
        <w:spacing w:after="70" w:line="270"/>
      </w:pPr>
      <w:r>
        <w:rPr>
          <w:rFonts w:ascii="Arial" w:cs="Arial" w:eastAsia="Arial" w:hAnsi="Arial"/>
        </w:rPr>
        <w:t xml:space="preserve">The local hard-gate check found 16 failed judgments out of 18 required judgments.</w:t>
      </w:r>
    </w:p>
    <w:p>
      <w:pPr>
        <w:pStyle w:val="ListParagraph"/>
        <w:numPr>
          <w:ilvl w:val="0"/>
          <w:numId w:val="2"/>
        </w:numPr>
        <w:spacing w:after="70" w:line="270"/>
      </w:pPr>
      <w:r>
        <w:rPr>
          <w:rFonts w:ascii="Arial" w:cs="Arial" w:eastAsia="Arial" w:hAnsi="Arial"/>
        </w:rPr>
        <w:t xml:space="preserve">A raw score of 4 normalizes to 0.75, below the zero-tolerance hard-gate threshold.</w:t>
      </w:r>
    </w:p>
    <w:p>
      <w:pPr>
        <w:pStyle w:val="ListParagraph"/>
        <w:numPr>
          <w:ilvl w:val="0"/>
          <w:numId w:val="2"/>
        </w:numPr>
        <w:spacing w:after="70" w:line="270"/>
      </w:pPr>
      <w:r>
        <w:rPr>
          <w:rFonts w:ascii="Arial" w:cs="Arial" w:eastAsia="Arial" w:hAnsi="Arial"/>
        </w:rPr>
        <w:t xml:space="preserve">Present these misses as the current improvement backlog. Do not call the run all green.</w:t>
      </w:r>
    </w:p>
    <w:p>
      <w:pPr>
        <w:spacing w:before="80" w:after="55"/>
      </w:pPr>
      <w:r>
        <w:rPr>
          <w:rFonts w:ascii="Arial" w:cs="Arial" w:eastAsia="Arial" w:hAnsi="Arial"/>
          <w:b/>
          <w:bCs/>
          <w:color w:val="17365D"/>
        </w:rPr>
        <w:t xml:space="preserve">Presenter script</w:t>
      </w:r>
    </w:p>
    <w:p>
      <w:pPr>
        <w:spacing w:after="70" w:line="250"/>
      </w:pPr>
      <w:r>
        <w:rPr>
          <w:rFonts w:ascii="Arial" w:cs="Arial" w:eastAsia="Arial" w:hAnsi="Arial"/>
          <w:b/>
          <w:bCs/>
        </w:rPr>
        <w:t xml:space="preserve">Go here: </w:t>
      </w:r>
      <w:hyperlink w:history="1" r:id="rIdPresenterRubric">
        <w:r>
          <w:rPr>
            <w:rStyle w:val="Hyperlink"/>
            <w:rFonts w:ascii="Arial" w:cs="Arial" w:eastAsia="Arial" w:hAnsi="Arial"/>
          </w:rPr>
          <w:t xml:space="preserve">https://ai.azure.com/nextgen/r/J7ATmha0Qr-eycbbN2gkXg,rg-aycabas-3iqs,,4iq-foundry-project-resource,4iq-foundry-project/build/evaluations/eval_f1914a014e9048a9a0ec7f8a6c8e46ac/run/evalrun_94292bc91be64704b53ad029306eea8d</w:t>
        </w:r>
      </w:hyperlink>
    </w:p>
    <w:p>
      <w:pPr>
        <w:spacing w:after="120" w:line="276"/>
      </w:pPr>
      <w:r>
        <w:rPr>
          <w:rFonts w:ascii="Arial" w:cs="Arial" w:eastAsia="Arial" w:hAnsi="Arial"/>
          <w:i/>
          <w:iCs/>
        </w:rPr>
        <w:t xml:space="preserve">So how do I decide whether one of these answers is actually good? Not by vibes…and not by showing you one happy-path conversation. Here I have a native Microsoft Foundry rubric built specifically for U.S. retail bank servicing. It has thirteen weighted compliance dimensions…things like privacy, security, source routing, customer communication, and the boundary around account changes. gpt-5.4-mini is acting as the judge, and I set a very strict ninety-percent pass threshold. This run scored 0.667. All six cases failed that release gate, and the local hard-gate check found sixteen failed judgments out of eighteen required judgments. And that is exactly why I run evaluations. A raw score of four sounds good, but it normalizes to 0.75, which is not good enough for a zero-tolerance banking gate. This is not an all-green slide. It is a precise improvement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40"/>
        </w:tblCellMar>
      </w:tblPr>
      <w:tblGrid>
        <w:gridCol w:w="9360"/>
      </w:tblGrid>
      <w:tr>
        <w:tc>
          <w:tcPr>
            <w:tcW w:type="dxa" w:w="9360"/>
            <w:tcBorders>
              <w:top w:val="single" w:color="C9D2DC" w:sz="1"/>
              <w:left w:val="single" w:color="C9D2DC" w:sz="1"/>
              <w:bottom w:val="single" w:color="C9D2DC" w:sz="1"/>
              <w:right w:val="single" w:color="C9D2DC" w:sz="1"/>
            </w:tcBorders>
            <w:shd w:fill="EAF5EE" w:val="clear"/>
            <w:tcMar>
              <w:top w:type="dxa" w:w="130"/>
              <w:left w:type="dxa" w:w="170"/>
              <w:bottom w:type="dxa" w:w="130"/>
              <w:right w:type="dxa" w:w="170"/>
            </w:tcMar>
          </w:tcPr>
          <w:p>
            <w:pPr>
              <w:spacing w:after="55"/>
            </w:pPr>
            <w:r>
              <w:rPr>
                <w:rFonts w:ascii="Arial" w:cs="Arial" w:eastAsia="Arial" w:hAnsi="Arial"/>
                <w:b/>
                <w:bCs/>
                <w:color w:val="17365D"/>
              </w:rPr>
              <w:t xml:space="preserve">Primary quality measure</w:t>
            </w:r>
          </w:p>
          <w:p>
            <w:pPr>
              <w:spacing w:after="55" w:line="276"/>
            </w:pPr>
            <w:r>
              <w:rPr>
                <w:rFonts w:ascii="Arial" w:cs="Arial" w:eastAsia="Arial" w:hAnsi="Arial"/>
              </w:rPr>
              <w:t xml:space="preserve">This is a native rubric evaluation with weighted banking dimensions. Groundedness, relevance, and similar built-ins are optional secondary diagnostics. They are not the primary presenter claim.</w:t>
            </w:r>
          </w:p>
        </w:tc>
      </w:tr>
    </w:tbl>
    <w:p>
      <w:pPr>
        <w:pStyle w:val="Heading2"/>
      </w:pPr>
      <w:r>
        <w:rPr>
          <w:rFonts w:ascii="Arial" w:cs="Arial" w:eastAsia="Arial" w:hAnsi="Arial"/>
        </w:rPr>
        <w:t xml:space="preserve">ASSERT beta</w:t>
      </w:r>
    </w:p>
    <w:p>
      <w:pPr>
        <w:pStyle w:val="ListParagraph"/>
        <w:numPr>
          <w:ilvl w:val="0"/>
          <w:numId w:val="2"/>
        </w:numPr>
        <w:spacing w:after="70" w:line="270"/>
      </w:pPr>
      <w:r>
        <w:rPr>
          <w:rFonts w:ascii="Arial" w:cs="Arial" w:eastAsia="Arial" w:hAnsi="Arial"/>
        </w:rPr>
        <w:t xml:space="preserve">Open completed run 20260805T054917Z. It targeted bank-servicing-agent version 15 through Marco's Teller's agent-user token.</w:t>
      </w:r>
    </w:p>
    <w:p>
      <w:pPr>
        <w:pStyle w:val="ListParagraph"/>
        <w:numPr>
          <w:ilvl w:val="0"/>
          <w:numId w:val="2"/>
        </w:numPr>
        <w:spacing w:after="70" w:line="270"/>
      </w:pPr>
      <w:r>
        <w:rPr>
          <w:rFonts w:ascii="Arial" w:cs="Arial" w:eastAsia="Arial" w:hAnsi="Arial"/>
        </w:rPr>
        <w:t xml:space="preserve">Show 12 of 12 inference cases, 12 response judgments, 13 trace judgments, and 17 of 17 correlated turns.</w:t>
      </w:r>
    </w:p>
    <w:p>
      <w:pPr>
        <w:pStyle w:val="ListParagraph"/>
        <w:numPr>
          <w:ilvl w:val="0"/>
          <w:numId w:val="2"/>
        </w:numPr>
        <w:spacing w:after="70" w:line="270"/>
      </w:pPr>
      <w:r>
        <w:rPr>
          <w:rFonts w:ascii="Arial" w:cs="Arial" w:eastAsia="Arial" w:hAnsi="Arial"/>
        </w:rPr>
        <w:t xml:space="preserve">Show the weighted score of 0.844 against the 0.90 threshold. The gate failed with no judge failures.</w:t>
      </w:r>
    </w:p>
    <w:p>
      <w:pPr>
        <w:pStyle w:val="ListParagraph"/>
        <w:numPr>
          <w:ilvl w:val="0"/>
          <w:numId w:val="2"/>
        </w:numPr>
        <w:spacing w:after="70" w:line="270"/>
      </w:pPr>
      <w:r>
        <w:rPr>
          <w:rFonts w:ascii="Arial" w:cs="Arial" w:eastAsia="Arial" w:hAnsi="Arial"/>
        </w:rPr>
        <w:t xml:space="preserve">Expand the four hard-gate misses: authoritative source routing, KYC confirmation and write safety, prompt-injection resistance, and user-data isolation.</w:t>
      </w:r>
    </w:p>
    <w:p>
      <w:pPr>
        <w:pStyle w:val="ListParagraph"/>
        <w:numPr>
          <w:ilvl w:val="0"/>
          <w:numId w:val="2"/>
        </w:numPr>
        <w:spacing w:after="70" w:line="270"/>
      </w:pPr>
      <w:r>
        <w:rPr>
          <w:rFonts w:ascii="Arial" w:cs="Arial" w:eastAsia="Arial" w:hAnsi="Arial"/>
        </w:rPr>
        <w:t xml:space="preserve">Point out that the trace import was content-free and redacted. No write, Teams-send, or email-send tool call was observed.</w:t>
      </w:r>
    </w:p>
    <w:p>
      <w:pPr>
        <w:pStyle w:val="ListParagraph"/>
        <w:numPr>
          <w:ilvl w:val="0"/>
          <w:numId w:val="2"/>
        </w:numPr>
        <w:spacing w:after="70" w:line="270"/>
      </w:pPr>
      <w:r>
        <w:rPr>
          <w:rFonts w:ascii="Arial" w:cs="Arial" w:eastAsia="Arial" w:hAnsi="Arial"/>
        </w:rPr>
        <w:t xml:space="preserve">Present the result as a completed beta diagnostic and improvement backlog. Do not call the ASSERT gate passed.</w:t>
      </w:r>
    </w:p>
    <w:p>
      <w:pPr>
        <w:spacing w:before="80" w:after="55"/>
      </w:pPr>
      <w:r>
        <w:rPr>
          <w:rFonts w:ascii="Arial" w:cs="Arial" w:eastAsia="Arial" w:hAnsi="Arial"/>
          <w:b/>
          <w:bCs/>
          <w:color w:val="17365D"/>
        </w:rPr>
        <w:t xml:space="preserve">Presenter script</w:t>
      </w:r>
    </w:p>
    <w:p>
      <w:pPr>
        <w:spacing w:after="70" w:line="250"/>
      </w:pPr>
      <w:r>
        <w:rPr>
          <w:rFonts w:ascii="Arial" w:cs="Arial" w:eastAsia="Arial" w:hAnsi="Arial"/>
          <w:b/>
          <w:bCs/>
        </w:rPr>
        <w:t xml:space="preserve">Go here: </w:t>
      </w:r>
      <w:hyperlink w:history="1" r:id="rIdPresenterAssert">
        <w:r>
          <w:rPr>
            <w:rStyle w:val="Hyperlink"/>
            <w:rFonts w:ascii="Arial" w:cs="Arial" w:eastAsia="Arial" w:hAnsi="Arial"/>
          </w:rPr>
          <w:t xml:space="preserve">https://bank-servicing-web.agreeablewave-d7d8bc74.eastus2.azurecontainerapps.io</w:t>
        </w:r>
      </w:hyperlink>
    </w:p>
    <w:p>
      <w:pPr>
        <w:spacing w:after="120" w:line="276"/>
      </w:pPr>
      <w:r>
        <w:rPr>
          <w:rFonts w:ascii="Arial" w:cs="Arial" w:eastAsia="Arial" w:hAnsi="Arial"/>
          <w:i/>
          <w:iCs/>
        </w:rPr>
        <w:t xml:space="preserve">But I also do not want one evaluator to be my only source of truth. Back on the Quality &amp; review page, I show ASSERT beside the rubric as a separate beta evaluation system. ASSERT looks at the inference result…the response…and the trace that produced it. In the completed run, all twelve inference cases ran, every turn was correlated, and there were no judge failures. The weighted score was 0.844 against a 0.90 threshold…so the gate failed. And that is useful. The hard-gate failures tell me where the agent needs work: source routing, KYC confirmation, prompt-injection resistance, and user-data isolation. The trace import is redacted and content-free…and it also proves that no write, Teams-send, or email-send tool ran during these tests.</w:t>
      </w:r>
    </w:p>
    <w:p>
      <w:pPr>
        <w:pStyle w:val="Heading2"/>
      </w:pPr>
      <w:r>
        <w:rPr>
          <w:rFonts w:ascii="Arial" w:cs="Arial" w:eastAsia="Arial" w:hAnsi="Arial"/>
        </w:rPr>
        <w:t xml:space="preserve">Agent Optimizer preview</w:t>
      </w:r>
    </w:p>
    <w:p>
      <w:pPr>
        <w:spacing w:after="100" w:line="276"/>
      </w:pPr>
      <w:hyperlink w:history="1" r:id="rId7jyze61bjerl2dagvfpon">
        <w:r>
          <w:rPr>
            <w:rStyle w:val="Hyperlink"/>
            <w:rFonts w:ascii="Arial" w:cs="Arial" w:eastAsia="Arial" w:hAnsi="Arial"/>
          </w:rPr>
          <w:t xml:space="preserve">Open the completed optimizer run</w:t>
        </w:r>
      </w:hyperlink>
    </w:p>
    <w:p>
      <w:pPr>
        <w:pStyle w:val="ListParagraph"/>
        <w:numPr>
          <w:ilvl w:val="0"/>
          <w:numId w:val="2"/>
        </w:numPr>
        <w:spacing w:after="70" w:line="270"/>
      </w:pPr>
      <w:r>
        <w:rPr>
          <w:rFonts w:ascii="Arial" w:cs="Arial" w:eastAsia="Arial" w:hAnsi="Arial"/>
        </w:rPr>
        <w:t xml:space="preserve">Operation opt_3a558b0325764cde920fc69141342c7c completed.</w:t>
      </w:r>
    </w:p>
    <w:p>
      <w:pPr>
        <w:pStyle w:val="ListParagraph"/>
        <w:numPr>
          <w:ilvl w:val="0"/>
          <w:numId w:val="2"/>
        </w:numPr>
        <w:spacing w:after="70" w:line="270"/>
      </w:pPr>
      <w:r>
        <w:rPr>
          <w:rFonts w:ascii="Arial" w:cs="Arial" w:eastAsia="Arial" w:hAnsi="Arial"/>
        </w:rPr>
        <w:t xml:space="preserve">The gpt-5-mini challenger tied the baseline at 0.03125.</w:t>
      </w:r>
    </w:p>
    <w:p>
      <w:pPr>
        <w:pStyle w:val="ListParagraph"/>
        <w:numPr>
          <w:ilvl w:val="0"/>
          <w:numId w:val="2"/>
        </w:numPr>
        <w:spacing w:after="70" w:line="270"/>
      </w:pPr>
      <w:r>
        <w:rPr>
          <w:rFonts w:ascii="Arial" w:cs="Arial" w:eastAsia="Arial" w:hAnsi="Arial"/>
        </w:rPr>
        <w:t xml:space="preserve">The baseline remained best. The candidate was not applied or deployed.</w:t>
      </w:r>
    </w:p>
    <w:p>
      <w:pPr>
        <w:pStyle w:val="ListParagraph"/>
        <w:numPr>
          <w:ilvl w:val="0"/>
          <w:numId w:val="2"/>
        </w:numPr>
        <w:spacing w:after="70" w:line="270"/>
      </w:pPr>
      <w:r>
        <w:rPr>
          <w:rFonts w:ascii="Arial" w:cs="Arial" w:eastAsia="Arial" w:hAnsi="Arial"/>
        </w:rPr>
        <w:t xml:space="preserve">Point out the manual promotion boundary. The optimizer cannot release itself.</w:t>
      </w:r>
    </w:p>
    <w:p>
      <w:pPr>
        <w:spacing w:before="80" w:after="55"/>
      </w:pPr>
      <w:r>
        <w:rPr>
          <w:rFonts w:ascii="Arial" w:cs="Arial" w:eastAsia="Arial" w:hAnsi="Arial"/>
          <w:b/>
          <w:bCs/>
          <w:color w:val="17365D"/>
        </w:rPr>
        <w:t xml:space="preserve">Presenter script</w:t>
      </w:r>
    </w:p>
    <w:p>
      <w:pPr>
        <w:spacing w:after="70" w:line="250"/>
      </w:pPr>
      <w:r>
        <w:rPr>
          <w:rFonts w:ascii="Arial" w:cs="Arial" w:eastAsia="Arial" w:hAnsi="Arial"/>
          <w:b/>
          <w:bCs/>
        </w:rPr>
        <w:t xml:space="preserve">Go here: </w:t>
      </w:r>
      <w:hyperlink w:history="1" r:id="rIdPresenterOptimizer">
        <w:r>
          <w:rPr>
            <w:rStyle w:val="Hyperlink"/>
            <w:rFonts w:ascii="Arial" w:cs="Arial" w:eastAsia="Arial" w:hAnsi="Arial"/>
          </w:rPr>
          <w:t xml:space="preserve">https://ai.azure.com/nextgen/r/J7ATmha0Qr-eycbbN2gkXg,rg-aycabas-3iqs,,4iq-foundry-project-resource,4iq-foundry-project/build/agents/bank-servicing-agent/optimization/opt_3a558b0325764cde920fc69141342c7c</w:t>
        </w:r>
      </w:hyperlink>
    </w:p>
    <w:p>
      <w:pPr>
        <w:spacing w:after="120" w:line="276"/>
      </w:pPr>
      <w:r>
        <w:rPr>
          <w:rFonts w:ascii="Arial" w:cs="Arial" w:eastAsia="Arial" w:hAnsi="Arial"/>
          <w:i/>
          <w:iCs/>
        </w:rPr>
        <w:t xml:space="preserve">Now once I have a measured baseline, I can ask Microsoft Foundry to help me improve the agent. This is Agent Optimizer, which is in preview. It generated a challenger using gpt-5-mini and tested it against the same objective. In this run, the challenger tied the baseline…and the baseline stayed the best option. So nothing was applied and nothing was deployed. And that last point is the one I care about most…the optimizer can recommend a candidate, but it cannot release itself. A human still decides whether the evidence is good enough to create a new agent version.</w:t>
      </w:r>
    </w:p>
    <w:p>
      <w:pPr>
        <w:pStyle w:val="Heading2"/>
      </w:pPr>
      <w:r>
        <w:rPr>
          <w:rFonts w:ascii="Arial" w:cs="Arial" w:eastAsia="Arial" w:hAnsi="Arial"/>
        </w:rPr>
        <w:t xml:space="preserve">Continuous feedback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9D2DC" w:sz="1"/>
              <w:left w:val="single" w:color="C9D2DC" w:sz="1"/>
              <w:bottom w:val="single" w:color="C9D2DC" w:sz="1"/>
              <w:right w:val="single" w:color="C9D2DC" w:sz="1"/>
            </w:tcBorders>
            <w:shd w:fill="17365D" w:val="clear"/>
            <w:tcMar>
              <w:top w:type="dxa" w:w="90"/>
              <w:left w:type="dxa" w:w="130"/>
              <w:bottom w:type="dxa" w:w="90"/>
              <w:right w:type="dxa" w:w="130"/>
            </w:tcMar>
          </w:tcPr>
          <w:p>
            <w:pPr>
              <w:spacing w:after="0"/>
            </w:pPr>
            <w:r>
              <w:rPr>
                <w:rFonts w:ascii="Arial" w:cs="Arial" w:eastAsia="Arial" w:hAnsi="Arial"/>
                <w:b/>
                <w:bCs/>
                <w:color w:val="FFFFFF"/>
                <w:sz w:val="19"/>
                <w:szCs w:val="19"/>
              </w:rPr>
              <w:t xml:space="preserve">Step</w:t>
            </w:r>
          </w:p>
        </w:tc>
        <w:tc>
          <w:tcPr>
            <w:tcW w:type="dxa" w:w="8460"/>
            <w:tcBorders>
              <w:top w:val="single" w:color="C9D2DC" w:sz="1"/>
              <w:left w:val="single" w:color="C9D2DC" w:sz="1"/>
              <w:bottom w:val="single" w:color="C9D2DC" w:sz="1"/>
              <w:right w:val="single" w:color="C9D2DC" w:sz="1"/>
            </w:tcBorders>
            <w:shd w:fill="17365D" w:val="clear"/>
            <w:tcMar>
              <w:top w:type="dxa" w:w="90"/>
              <w:left w:type="dxa" w:w="130"/>
              <w:bottom w:type="dxa" w:w="90"/>
              <w:right w:type="dxa" w:w="130"/>
            </w:tcMar>
          </w:tcPr>
          <w:p>
            <w:pPr>
              <w:spacing w:after="0"/>
            </w:pPr>
            <w:r>
              <w:rPr>
                <w:rFonts w:ascii="Arial" w:cs="Arial" w:eastAsia="Arial" w:hAnsi="Arial"/>
                <w:b/>
                <w:bCs/>
                <w:color w:val="FFFFFF"/>
                <w:sz w:val="19"/>
                <w:szCs w:val="19"/>
              </w:rPr>
              <w:t xml:space="preserve">What to show or explain</w:t>
            </w:r>
          </w:p>
        </w:tc>
      </w:tr>
      <w:tr>
        <w:tc>
          <w:tcPr>
            <w:tcW w:type="dxa" w:w="90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1</w:t>
            </w:r>
          </w:p>
        </w:tc>
        <w:tc>
          <w:tcPr>
            <w:tcW w:type="dxa" w:w="846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A customer marks a response Helpful or Needs work.</w:t>
            </w:r>
          </w:p>
        </w:tc>
      </w:tr>
      <w:tr>
        <w:tc>
          <w:tcPr>
            <w:tcW w:type="dxa" w:w="900"/>
            <w:tcBorders>
              <w:top w:val="single" w:color="C9D2DC" w:sz="1"/>
              <w:left w:val="single" w:color="C9D2DC" w:sz="1"/>
              <w:bottom w:val="single" w:color="C9D2DC" w:sz="1"/>
              <w:right w:val="single" w:color="C9D2DC" w:sz="1"/>
            </w:tcBorders>
            <w:shd w:fill="F4F5F7" w:val="clear"/>
            <w:tcMar>
              <w:top w:type="dxa" w:w="90"/>
              <w:left w:type="dxa" w:w="130"/>
              <w:bottom w:type="dxa" w:w="90"/>
              <w:right w:type="dxa" w:w="130"/>
            </w:tcMar>
          </w:tcPr>
          <w:p>
            <w:pPr>
              <w:spacing w:after="0" w:line="250"/>
            </w:pPr>
            <w:r>
              <w:rPr>
                <w:rFonts w:ascii="Arial" w:cs="Arial" w:eastAsia="Arial" w:hAnsi="Arial"/>
                <w:sz w:val="19"/>
                <w:szCs w:val="19"/>
              </w:rPr>
              <w:t xml:space="preserve">2</w:t>
            </w:r>
          </w:p>
        </w:tc>
        <w:tc>
          <w:tcPr>
            <w:tcW w:type="dxa" w:w="8460"/>
            <w:tcBorders>
              <w:top w:val="single" w:color="C9D2DC" w:sz="1"/>
              <w:left w:val="single" w:color="C9D2DC" w:sz="1"/>
              <w:bottom w:val="single" w:color="C9D2DC" w:sz="1"/>
              <w:right w:val="single" w:color="C9D2DC" w:sz="1"/>
            </w:tcBorders>
            <w:shd w:fill="F4F5F7" w:val="clear"/>
            <w:tcMar>
              <w:top w:type="dxa" w:w="90"/>
              <w:left w:type="dxa" w:w="130"/>
              <w:bottom w:type="dxa" w:w="90"/>
              <w:right w:type="dxa" w:w="130"/>
            </w:tcMar>
          </w:tcPr>
          <w:p>
            <w:pPr>
              <w:spacing w:after="0" w:line="250"/>
            </w:pPr>
            <w:r>
              <w:rPr>
                <w:rFonts w:ascii="Arial" w:cs="Arial" w:eastAsia="Arial" w:hAnsi="Arial"/>
                <w:sz w:val="19"/>
                <w:szCs w:val="19"/>
              </w:rPr>
              <w:t xml:space="preserve">The app stores redacted feedback and response lineage.</w:t>
            </w:r>
          </w:p>
        </w:tc>
      </w:tr>
      <w:tr>
        <w:tc>
          <w:tcPr>
            <w:tcW w:type="dxa" w:w="90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3</w:t>
            </w:r>
          </w:p>
        </w:tc>
        <w:tc>
          <w:tcPr>
            <w:tcW w:type="dxa" w:w="846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A reviewer curates approved cases into a versioned dataset.</w:t>
            </w:r>
          </w:p>
        </w:tc>
      </w:tr>
      <w:tr>
        <w:tc>
          <w:tcPr>
            <w:tcW w:type="dxa" w:w="900"/>
            <w:tcBorders>
              <w:top w:val="single" w:color="C9D2DC" w:sz="1"/>
              <w:left w:val="single" w:color="C9D2DC" w:sz="1"/>
              <w:bottom w:val="single" w:color="C9D2DC" w:sz="1"/>
              <w:right w:val="single" w:color="C9D2DC" w:sz="1"/>
            </w:tcBorders>
            <w:shd w:fill="F4F5F7" w:val="clear"/>
            <w:tcMar>
              <w:top w:type="dxa" w:w="90"/>
              <w:left w:type="dxa" w:w="130"/>
              <w:bottom w:type="dxa" w:w="90"/>
              <w:right w:type="dxa" w:w="130"/>
            </w:tcMar>
          </w:tcPr>
          <w:p>
            <w:pPr>
              <w:spacing w:after="0" w:line="250"/>
            </w:pPr>
            <w:r>
              <w:rPr>
                <w:rFonts w:ascii="Arial" w:cs="Arial" w:eastAsia="Arial" w:hAnsi="Arial"/>
                <w:sz w:val="19"/>
                <w:szCs w:val="19"/>
              </w:rPr>
              <w:t xml:space="preserve">4</w:t>
            </w:r>
          </w:p>
        </w:tc>
        <w:tc>
          <w:tcPr>
            <w:tcW w:type="dxa" w:w="8460"/>
            <w:tcBorders>
              <w:top w:val="single" w:color="C9D2DC" w:sz="1"/>
              <w:left w:val="single" w:color="C9D2DC" w:sz="1"/>
              <w:bottom w:val="single" w:color="C9D2DC" w:sz="1"/>
              <w:right w:val="single" w:color="C9D2DC" w:sz="1"/>
            </w:tcBorders>
            <w:shd w:fill="F4F5F7" w:val="clear"/>
            <w:tcMar>
              <w:top w:type="dxa" w:w="90"/>
              <w:left w:type="dxa" w:w="130"/>
              <w:bottom w:type="dxa" w:w="90"/>
              <w:right w:type="dxa" w:w="130"/>
            </w:tcMar>
          </w:tcPr>
          <w:p>
            <w:pPr>
              <w:spacing w:after="0" w:line="250"/>
            </w:pPr>
            <w:r>
              <w:rPr>
                <w:rFonts w:ascii="Arial" w:cs="Arial" w:eastAsia="Arial" w:hAnsi="Arial"/>
                <w:sz w:val="19"/>
                <w:szCs w:val="19"/>
              </w:rPr>
              <w:t xml:space="preserve">The native bank rubric and ASSERT test quality and hard gates.</w:t>
            </w:r>
          </w:p>
        </w:tc>
      </w:tr>
      <w:tr>
        <w:tc>
          <w:tcPr>
            <w:tcW w:type="dxa" w:w="90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5</w:t>
            </w:r>
          </w:p>
        </w:tc>
        <w:tc>
          <w:tcPr>
            <w:tcW w:type="dxa" w:w="8460"/>
            <w:tcBorders>
              <w:top w:val="single" w:color="C9D2DC" w:sz="1"/>
              <w:left w:val="single" w:color="C9D2DC" w:sz="1"/>
              <w:bottom w:val="single" w:color="C9D2DC" w:sz="1"/>
              <w:right w:val="single" w:color="C9D2DC" w:sz="1"/>
            </w:tcBorders>
            <w:shd w:fill="FFFFFF" w:val="clear"/>
            <w:tcMar>
              <w:top w:type="dxa" w:w="90"/>
              <w:left w:type="dxa" w:w="130"/>
              <w:bottom w:type="dxa" w:w="90"/>
              <w:right w:type="dxa" w:w="130"/>
            </w:tcMar>
          </w:tcPr>
          <w:p>
            <w:pPr>
              <w:spacing w:after="0" w:line="250"/>
            </w:pPr>
            <w:r>
              <w:rPr>
                <w:rFonts w:ascii="Arial" w:cs="Arial" w:eastAsia="Arial" w:hAnsi="Arial"/>
                <w:sz w:val="19"/>
                <w:szCs w:val="19"/>
              </w:rPr>
              <w:t xml:space="preserve">The A/B lab and Agent Optimizer compare challengers with the baseline.</w:t>
            </w:r>
          </w:p>
        </w:tc>
      </w:tr>
      <w:tr>
        <w:tc>
          <w:tcPr>
            <w:tcW w:type="dxa" w:w="900"/>
            <w:tcBorders>
              <w:top w:val="single" w:color="C9D2DC" w:sz="1"/>
              <w:left w:val="single" w:color="C9D2DC" w:sz="1"/>
              <w:bottom w:val="single" w:color="C9D2DC" w:sz="1"/>
              <w:right w:val="single" w:color="C9D2DC" w:sz="1"/>
            </w:tcBorders>
            <w:shd w:fill="F4F5F7" w:val="clear"/>
            <w:tcMar>
              <w:top w:type="dxa" w:w="90"/>
              <w:left w:type="dxa" w:w="130"/>
              <w:bottom w:type="dxa" w:w="90"/>
              <w:right w:type="dxa" w:w="130"/>
            </w:tcMar>
          </w:tcPr>
          <w:p>
            <w:pPr>
              <w:spacing w:after="0" w:line="250"/>
            </w:pPr>
            <w:r>
              <w:rPr>
                <w:rFonts w:ascii="Arial" w:cs="Arial" w:eastAsia="Arial" w:hAnsi="Arial"/>
                <w:sz w:val="19"/>
                <w:szCs w:val="19"/>
              </w:rPr>
              <w:t xml:space="preserve">6</w:t>
            </w:r>
          </w:p>
        </w:tc>
        <w:tc>
          <w:tcPr>
            <w:tcW w:type="dxa" w:w="8460"/>
            <w:tcBorders>
              <w:top w:val="single" w:color="C9D2DC" w:sz="1"/>
              <w:left w:val="single" w:color="C9D2DC" w:sz="1"/>
              <w:bottom w:val="single" w:color="C9D2DC" w:sz="1"/>
              <w:right w:val="single" w:color="C9D2DC" w:sz="1"/>
            </w:tcBorders>
            <w:shd w:fill="F4F5F7" w:val="clear"/>
            <w:tcMar>
              <w:top w:type="dxa" w:w="90"/>
              <w:left w:type="dxa" w:w="130"/>
              <w:bottom w:type="dxa" w:w="90"/>
              <w:right w:type="dxa" w:w="130"/>
            </w:tcMar>
          </w:tcPr>
          <w:p>
            <w:pPr>
              <w:spacing w:after="0" w:line="250"/>
            </w:pPr>
            <w:r>
              <w:rPr>
                <w:rFonts w:ascii="Arial" w:cs="Arial" w:eastAsia="Arial" w:hAnsi="Arial"/>
                <w:sz w:val="19"/>
                <w:szCs w:val="19"/>
              </w:rPr>
              <w:t xml:space="preserve">A human reviews the evidence before a new version is promoted.</w:t>
            </w:r>
          </w:p>
        </w:tc>
      </w:tr>
    </w:tbl>
    <w:p>
      <w:pPr>
        <w:spacing w:before="80" w:after="55"/>
      </w:pPr>
      <w:r>
        <w:rPr>
          <w:rFonts w:ascii="Arial" w:cs="Arial" w:eastAsia="Arial" w:hAnsi="Arial"/>
          <w:b/>
          <w:bCs/>
          <w:color w:val="17365D"/>
        </w:rPr>
        <w:t xml:space="preserve">Presenter script</w:t>
      </w:r>
    </w:p>
    <w:p>
      <w:pPr>
        <w:spacing w:after="70" w:line="250"/>
      </w:pPr>
      <w:r>
        <w:rPr>
          <w:rFonts w:ascii="Arial" w:cs="Arial" w:eastAsia="Arial" w:hAnsi="Arial"/>
          <w:b/>
          <w:bCs/>
        </w:rPr>
        <w:t xml:space="preserve">Go here: </w:t>
      </w:r>
      <w:hyperlink w:history="1" r:id="rIdPresenterApp">
        <w:r>
          <w:rPr>
            <w:rStyle w:val="Hyperlink"/>
            <w:rFonts w:ascii="Arial" w:cs="Arial" w:eastAsia="Arial" w:hAnsi="Arial"/>
          </w:rPr>
          <w:t xml:space="preserve">https://bank-servicing-web.agreeablewave-d7d8bc74.eastus2.azurecontainerapps.io</w:t>
        </w:r>
      </w:hyperlink>
    </w:p>
    <w:p>
      <w:pPr>
        <w:spacing w:after="120" w:line="276"/>
      </w:pPr>
      <w:r>
        <w:rPr>
          <w:rFonts w:ascii="Arial" w:cs="Arial" w:eastAsia="Arial" w:hAnsi="Arial"/>
          <w:i/>
          <w:iCs/>
        </w:rPr>
        <w:t xml:space="preserve">And this is how the whole thing becomes a continuous feedback loop without becoming a continuously self-modifying agent. Back at this URL, I open Quality &amp; review. A customer marks a response Helpful or Needs work…we keep the response lineage and a redacted feedback record…a reviewer curates the useful cases into a versioned dataset…the rubric and ASSERT test the next version…the comparison lab and Agent Optimizer evaluate challengers…and then a human decides whether anything gets promoted. So feedback can continuously improve the evidence…evaluation can continuously improve the candidate…but release remains an explicit human decision.</w:t>
      </w:r>
    </w:p>
    <w:p>
      <w:pPr>
        <w:pStyle w:val="Heading1"/>
      </w:pPr>
      <w:r>
        <w:rPr>
          <w:rFonts w:ascii="Arial" w:cs="Arial" w:eastAsia="Arial" w:hAnsi="Arial"/>
        </w:rPr>
        <w:t xml:space="preserve">Slides</w:t>
      </w:r>
    </w:p>
    <w:p>
      <w:pPr>
        <w:pStyle w:val="Heading2"/>
      </w:pPr>
      <w:r>
        <w:rPr>
          <w:rFonts w:ascii="Arial" w:cs="Arial" w:eastAsia="Arial" w:hAnsi="Arial"/>
        </w:rPr>
        <w:t xml:space="preserve">Slide 1: One agent, two identity contexts</w:t>
      </w:r>
    </w:p>
    <w:p>
      <w:pPr>
        <w:pStyle w:val="ListParagraph"/>
        <w:numPr>
          <w:ilvl w:val="0"/>
          <w:numId w:val="2"/>
        </w:numPr>
        <w:spacing w:after="70" w:line="270"/>
      </w:pPr>
      <w:r>
        <w:rPr>
          <w:rFonts w:ascii="Arial" w:cs="Arial" w:eastAsia="Arial" w:hAnsi="Arial"/>
        </w:rPr>
        <w:t xml:space="preserve">Show for about 45 seconds before Demo 2.</w:t>
      </w:r>
    </w:p>
    <w:p>
      <w:pPr>
        <w:pStyle w:val="ListParagraph"/>
        <w:numPr>
          <w:ilvl w:val="0"/>
          <w:numId w:val="2"/>
        </w:numPr>
        <w:spacing w:after="70" w:line="270"/>
      </w:pPr>
      <w:r>
        <w:rPr>
          <w:rFonts w:ascii="Arial" w:cs="Arial" w:eastAsia="Arial" w:hAnsi="Arial"/>
        </w:rPr>
        <w:t xml:space="preserve">Center: bank-servicing-agent version 15 on gpt-5.4-mini.</w:t>
      </w:r>
    </w:p>
    <w:p>
      <w:pPr>
        <w:pStyle w:val="ListParagraph"/>
        <w:numPr>
          <w:ilvl w:val="0"/>
          <w:numId w:val="2"/>
        </w:numPr>
        <w:spacing w:after="70" w:line="270"/>
      </w:pPr>
      <w:r>
        <w:rPr>
          <w:rFonts w:ascii="Arial" w:cs="Arial" w:eastAsia="Arial" w:hAnsi="Arial"/>
        </w:rPr>
        <w:t xml:space="preserve">Left: signed-in web app using OBO, Voice Live, and the three IQ services.</w:t>
      </w:r>
    </w:p>
    <w:p>
      <w:pPr>
        <w:pStyle w:val="ListParagraph"/>
        <w:numPr>
          <w:ilvl w:val="0"/>
          <w:numId w:val="2"/>
        </w:numPr>
        <w:spacing w:after="70" w:line="270"/>
      </w:pPr>
      <w:r>
        <w:rPr>
          <w:rFonts w:ascii="Arial" w:cs="Arial" w:eastAsia="Arial" w:hAnsi="Arial"/>
        </w:rPr>
        <w:t xml:space="preserve">Right: Marco's Teller using its own Agent 365 identity through the same hosted agent.</w:t>
      </w:r>
    </w:p>
    <w:p>
      <w:pPr>
        <w:pStyle w:val="ListParagraph"/>
        <w:numPr>
          <w:ilvl w:val="0"/>
          <w:numId w:val="2"/>
        </w:numPr>
        <w:spacing w:after="70" w:line="270"/>
      </w:pPr>
      <w:r>
        <w:rPr>
          <w:rFonts w:ascii="Arial" w:cs="Arial" w:eastAsia="Arial" w:hAnsi="Arial"/>
        </w:rPr>
        <w:t xml:space="preserve">Bottom: deterministic controls, human review, native rubric evaluation, ASSERT, optimizer, and telemetry.</w:t>
      </w:r>
    </w:p>
    <w:p>
      <w:pPr>
        <w:pStyle w:val="Heading2"/>
      </w:pPr>
      <w:r>
        <w:rPr>
          <w:rFonts w:ascii="Arial" w:cs="Arial" w:eastAsia="Arial" w:hAnsi="Arial"/>
        </w:rPr>
        <w:t xml:space="preserve">No slide between demos</w:t>
      </w:r>
    </w:p>
    <w:p>
      <w:pPr>
        <w:pStyle w:val="ListParagraph"/>
        <w:numPr>
          <w:ilvl w:val="0"/>
          <w:numId w:val="2"/>
        </w:numPr>
        <w:spacing w:after="70" w:line="270"/>
      </w:pPr>
      <w:r>
        <w:rPr>
          <w:rFonts w:ascii="Arial" w:cs="Arial" w:eastAsia="Arial" w:hAnsi="Arial"/>
        </w:rPr>
        <w:t xml:space="preserve">Move directly from the Demo 2 product surfaces to Outlook or Teams.</w:t>
      </w:r>
    </w:p>
    <w:p>
      <w:pPr>
        <w:pStyle w:val="ListParagraph"/>
        <w:numPr>
          <w:ilvl w:val="0"/>
          <w:numId w:val="2"/>
        </w:numPr>
        <w:spacing w:after="70" w:line="270"/>
      </w:pPr>
      <w:r>
        <w:rPr>
          <w:rFonts w:ascii="Arial" w:cs="Arial" w:eastAsia="Arial" w:hAnsi="Arial"/>
        </w:rPr>
        <w:t xml:space="preserve">The identity change is the transition. The hosted agent does not change.</w:t>
      </w:r>
    </w:p>
    <w:p>
      <w:pPr>
        <w:pStyle w:val="Heading2"/>
      </w:pPr>
      <w:r>
        <w:rPr>
          <w:rFonts w:ascii="Arial" w:cs="Arial" w:eastAsia="Arial" w:hAnsi="Arial"/>
        </w:rPr>
        <w:t xml:space="preserve">Slide 2: Governed improvement cycle</w:t>
      </w:r>
    </w:p>
    <w:p>
      <w:pPr>
        <w:pStyle w:val="ListParagraph"/>
        <w:numPr>
          <w:ilvl w:val="0"/>
          <w:numId w:val="2"/>
        </w:numPr>
        <w:spacing w:after="70" w:line="270"/>
      </w:pPr>
      <w:r>
        <w:rPr>
          <w:rFonts w:ascii="Arial" w:cs="Arial" w:eastAsia="Arial" w:hAnsi="Arial"/>
        </w:rPr>
        <w:t xml:space="preserve">Show for about 45 seconds at the end.</w:t>
      </w:r>
    </w:p>
    <w:p>
      <w:pPr>
        <w:pStyle w:val="ListParagraph"/>
        <w:numPr>
          <w:ilvl w:val="0"/>
          <w:numId w:val="2"/>
        </w:numPr>
        <w:spacing w:after="70" w:line="270"/>
      </w:pPr>
      <w:r>
        <w:rPr>
          <w:rFonts w:ascii="Arial" w:cs="Arial" w:eastAsia="Arial" w:hAnsi="Arial"/>
        </w:rPr>
        <w:t xml:space="preserve">Use six steps: feedback, redaction, curated dataset, rubric and ASSERT, candidate comparison, human-approved release.</w:t>
      </w:r>
    </w:p>
    <w:p>
      <w:pPr>
        <w:pStyle w:val="ListParagraph"/>
        <w:numPr>
          <w:ilvl w:val="0"/>
          <w:numId w:val="2"/>
        </w:numPr>
        <w:spacing w:after="70" w:line="270"/>
      </w:pPr>
      <w:r>
        <w:rPr>
          <w:rFonts w:ascii="Arial" w:cs="Arial" w:eastAsia="Arial" w:hAnsi="Arial"/>
        </w:rPr>
        <w:t xml:space="preserve">Mark native rubric evaluators and Agent Optimizer as preview, and ASSERT as beta.</w:t>
      </w:r>
    </w:p>
    <w:p>
      <w:pPr>
        <w:pStyle w:val="Heading2"/>
      </w:pPr>
      <w:r>
        <w:rPr>
          <w:rFonts w:ascii="Arial" w:cs="Arial" w:eastAsia="Arial" w:hAnsi="Arial"/>
        </w:rPr>
        <w:t xml:space="preserve">Optional fallback visual</w:t>
      </w:r>
    </w:p>
    <w:p>
      <w:pPr>
        <w:pStyle w:val="ListParagraph"/>
        <w:numPr>
          <w:ilvl w:val="0"/>
          <w:numId w:val="2"/>
        </w:numPr>
        <w:spacing w:after="70" w:line="270"/>
      </w:pPr>
      <w:r>
        <w:rPr>
          <w:rFonts w:ascii="Arial" w:cs="Arial" w:eastAsia="Arial" w:hAnsi="Arial"/>
        </w:rPr>
        <w:t xml:space="preserve">Keep one screenshot of the live three-IQ right rail and one screenshot of the Marco's Teller identity canary.</w:t>
      </w:r>
    </w:p>
    <w:p>
      <w:pPr>
        <w:pStyle w:val="ListParagraph"/>
        <w:numPr>
          <w:ilvl w:val="0"/>
          <w:numId w:val="2"/>
        </w:numPr>
        <w:spacing w:after="70" w:line="270"/>
      </w:pPr>
      <w:r>
        <w:rPr>
          <w:rFonts w:ascii="Arial" w:cs="Arial" w:eastAsia="Arial" w:hAnsi="Arial"/>
        </w:rPr>
        <w:t xml:space="preserve">Use them only if a live portal is unavailable. Do not count them as core slides.</w:t>
      </w:r>
    </w:p>
    <w:p>
      <w:pPr>
        <w:pStyle w:val="Heading1"/>
      </w:pPr>
      <w:r>
        <w:rPr>
          <w:rFonts w:ascii="Arial" w:cs="Arial" w:eastAsia="Arial" w:hAnsi="Arial"/>
        </w:rPr>
        <w:t xml:space="preserve">What to cut first</w:t>
      </w:r>
    </w:p>
    <w:p>
      <w:pPr>
        <w:pStyle w:val="ListParagraph"/>
        <w:numPr>
          <w:ilvl w:val="0"/>
          <w:numId w:val="2"/>
        </w:numPr>
        <w:spacing w:after="70" w:line="270"/>
      </w:pPr>
      <w:r>
        <w:rPr>
          <w:rFonts w:ascii="Arial" w:cs="Arial" w:eastAsia="Arial" w:hAnsi="Arial"/>
        </w:rPr>
        <w:t xml:space="preserve">Skip the signed-out landing page.</w:t>
      </w:r>
    </w:p>
    <w:p>
      <w:pPr>
        <w:pStyle w:val="ListParagraph"/>
        <w:numPr>
          <w:ilvl w:val="0"/>
          <w:numId w:val="2"/>
        </w:numPr>
        <w:spacing w:after="70" w:line="270"/>
      </w:pPr>
      <w:r>
        <w:rPr>
          <w:rFonts w:ascii="Arial" w:cs="Arial" w:eastAsia="Arial" w:hAnsi="Arial"/>
        </w:rPr>
        <w:t xml:space="preserve">Shorten Fabric to the report and Data Agent. Name the semantic model and ontology without opening them.</w:t>
      </w:r>
    </w:p>
    <w:p>
      <w:pPr>
        <w:pStyle w:val="ListParagraph"/>
        <w:numPr>
          <w:ilvl w:val="0"/>
          <w:numId w:val="2"/>
        </w:numPr>
        <w:spacing w:after="70" w:line="270"/>
      </w:pPr>
      <w:r>
        <w:rPr>
          <w:rFonts w:ascii="Arial" w:cs="Arial" w:eastAsia="Arial" w:hAnsi="Arial"/>
        </w:rPr>
        <w:t xml:space="preserve">Use the staged model comparison instead of waiting for three live calls.</w:t>
      </w:r>
    </w:p>
    <w:p>
      <w:pPr>
        <w:pStyle w:val="ListParagraph"/>
        <w:numPr>
          <w:ilvl w:val="0"/>
          <w:numId w:val="2"/>
        </w:numPr>
        <w:spacing w:after="70" w:line="270"/>
      </w:pPr>
      <w:r>
        <w:rPr>
          <w:rFonts w:ascii="Arial" w:cs="Arial" w:eastAsia="Arial" w:hAnsi="Arial"/>
        </w:rPr>
        <w:t xml:space="preserve">Show one rubric item, not all six.</w:t>
      </w:r>
    </w:p>
    <w:p>
      <w:pPr>
        <w:pStyle w:val="ListParagraph"/>
        <w:numPr>
          <w:ilvl w:val="0"/>
          <w:numId w:val="2"/>
        </w:numPr>
        <w:spacing w:after="70" w:line="270"/>
      </w:pPr>
      <w:r>
        <w:rPr>
          <w:rFonts w:ascii="Arial" w:cs="Arial" w:eastAsia="Arial" w:hAnsi="Arial"/>
        </w:rPr>
        <w:t xml:space="preserve">Use the own-identity canary fallback if Outlook or Teams is not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40"/>
        </w:tblCellMar>
      </w:tblPr>
      <w:tblGrid>
        <w:gridCol w:w="9360"/>
      </w:tblGrid>
      <w:tr>
        <w:tc>
          <w:tcPr>
            <w:tcW w:type="dxa" w:w="9360"/>
            <w:tcBorders>
              <w:top w:val="single" w:color="C9D2DC" w:sz="1"/>
              <w:left w:val="single" w:color="C9D2DC" w:sz="1"/>
              <w:bottom w:val="single" w:color="C9D2DC" w:sz="1"/>
              <w:right w:val="single" w:color="C9D2DC" w:sz="1"/>
            </w:tcBorders>
            <w:shd w:fill="EAF5EE" w:val="clear"/>
            <w:tcMar>
              <w:top w:type="dxa" w:w="130"/>
              <w:left w:type="dxa" w:w="170"/>
              <w:bottom w:type="dxa" w:w="130"/>
              <w:right w:type="dxa" w:w="170"/>
            </w:tcMar>
          </w:tcPr>
          <w:p>
            <w:pPr>
              <w:spacing w:after="55"/>
            </w:pPr>
            <w:r>
              <w:rPr>
                <w:rFonts w:ascii="Arial" w:cs="Arial" w:eastAsia="Arial" w:hAnsi="Arial"/>
                <w:b/>
                <w:bCs/>
                <w:color w:val="17365D"/>
              </w:rPr>
              <w:t xml:space="preserve">Do not cut</w:t>
            </w:r>
          </w:p>
          <w:p>
            <w:pPr>
              <w:spacing w:after="55" w:line="276"/>
            </w:pPr>
            <w:r>
              <w:rPr>
                <w:rFonts w:ascii="Arial" w:cs="Arial" w:eastAsia="Arial" w:hAnsi="Arial"/>
              </w:rPr>
              <w:t xml:space="preserve">Keep the three-IQ return states, Davis voice, one Fabric proof, Marco's Teller own identity, the employee-confirmation boundary, the native rubric result, and the human release gate.</w:t>
            </w:r>
          </w:p>
        </w:tc>
      </w:tr>
    </w:tbl>
    <w:p>
      <w:pPr>
        <w:pStyle w:val="Heading1"/>
      </w:pPr>
      <w:r>
        <w:rPr>
          <w:rFonts w:ascii="Arial" w:cs="Arial" w:eastAsia="Arial" w:hAnsi="Arial"/>
        </w:rPr>
        <w:t xml:space="preserve">Claims to keep precise</w:t>
      </w:r>
    </w:p>
    <w:p>
      <w:pPr>
        <w:pStyle w:val="ListParagraph"/>
        <w:numPr>
          <w:ilvl w:val="0"/>
          <w:numId w:val="2"/>
        </w:numPr>
        <w:spacing w:after="70" w:line="270"/>
      </w:pPr>
      <w:r>
        <w:rPr>
          <w:rFonts w:ascii="Arial" w:cs="Arial" w:eastAsia="Arial" w:hAnsi="Arial"/>
        </w:rPr>
        <w:t xml:space="preserve">The two demos use the same version-15 hosted agent.</w:t>
      </w:r>
    </w:p>
    <w:p>
      <w:pPr>
        <w:pStyle w:val="ListParagraph"/>
        <w:numPr>
          <w:ilvl w:val="0"/>
          <w:numId w:val="2"/>
        </w:numPr>
        <w:spacing w:after="70" w:line="270"/>
      </w:pPr>
      <w:r>
        <w:rPr>
          <w:rFonts w:ascii="Arial" w:cs="Arial" w:eastAsia="Arial" w:hAnsi="Arial"/>
        </w:rPr>
        <w:t xml:space="preserve">Demo 2 uses signed-in OBO. Demo 3 uses Marco's Teller's own agent-user identity.</w:t>
      </w:r>
    </w:p>
    <w:p>
      <w:pPr>
        <w:pStyle w:val="ListParagraph"/>
        <w:numPr>
          <w:ilvl w:val="0"/>
          <w:numId w:val="2"/>
        </w:numPr>
        <w:spacing w:after="70" w:line="270"/>
      </w:pPr>
      <w:r>
        <w:rPr>
          <w:rFonts w:ascii="Arial" w:cs="Arial" w:eastAsia="Arial" w:hAnsi="Arial"/>
        </w:rPr>
        <w:t xml:space="preserve">The browser never receives the Foundry OBO token.</w:t>
      </w:r>
    </w:p>
    <w:p>
      <w:pPr>
        <w:pStyle w:val="ListParagraph"/>
        <w:numPr>
          <w:ilvl w:val="0"/>
          <w:numId w:val="2"/>
        </w:numPr>
        <w:spacing w:after="70" w:line="270"/>
      </w:pPr>
      <w:r>
        <w:rPr>
          <w:rFonts w:ascii="Arial" w:cs="Arial" w:eastAsia="Arial" w:hAnsi="Arial"/>
        </w:rPr>
        <w:t xml:space="preserve">The current Fabric estate uses the same logical ACME Bank names, not the original item IDs.</w:t>
      </w:r>
    </w:p>
    <w:p>
      <w:pPr>
        <w:pStyle w:val="ListParagraph"/>
        <w:numPr>
          <w:ilvl w:val="0"/>
          <w:numId w:val="2"/>
        </w:numPr>
        <w:spacing w:after="70" w:line="270"/>
      </w:pPr>
      <w:r>
        <w:rPr>
          <w:rFonts w:ascii="Arial" w:cs="Arial" w:eastAsia="Arial" w:hAnsi="Arial"/>
        </w:rPr>
        <w:t xml:space="preserve">The synthetic Fabric dates were shifted by 61 days, with the latest event on August 4, 2026.</w:t>
      </w:r>
    </w:p>
    <w:p>
      <w:pPr>
        <w:pStyle w:val="ListParagraph"/>
        <w:numPr>
          <w:ilvl w:val="0"/>
          <w:numId w:val="2"/>
        </w:numPr>
        <w:spacing w:after="70" w:line="270"/>
      </w:pPr>
      <w:r>
        <w:rPr>
          <w:rFonts w:ascii="Arial" w:cs="Arial" w:eastAsia="Arial" w:hAnsi="Arial"/>
        </w:rPr>
        <w:t xml:space="preserve">The fee-dispute flow proposes a result and requires employee confirmation. It has no fee-write tool.</w:t>
      </w:r>
    </w:p>
    <w:p>
      <w:pPr>
        <w:pStyle w:val="ListParagraph"/>
        <w:numPr>
          <w:ilvl w:val="0"/>
          <w:numId w:val="2"/>
        </w:numPr>
        <w:spacing w:after="70" w:line="270"/>
      </w:pPr>
      <w:r>
        <w:rPr>
          <w:rFonts w:ascii="Arial" w:cs="Arial" w:eastAsia="Arial" w:hAnsi="Arial"/>
        </w:rPr>
        <w:t xml:space="preserve">Recipient email delivery and current Teams discovery are claims only when visible.</w:t>
      </w:r>
    </w:p>
    <w:p>
      <w:pPr>
        <w:pStyle w:val="ListParagraph"/>
        <w:numPr>
          <w:ilvl w:val="0"/>
          <w:numId w:val="2"/>
        </w:numPr>
        <w:spacing w:after="70" w:line="270"/>
      </w:pPr>
      <w:r>
        <w:rPr>
          <w:rFonts w:ascii="Arial" w:cs="Arial" w:eastAsia="Arial" w:hAnsi="Arial"/>
        </w:rPr>
        <w:t xml:space="preserve">The native rubric run is a strict baseline with 0 of 6 passing and 16 of 18 required hard-gate judgments failing, not an all-green release gate.</w:t>
      </w:r>
    </w:p>
    <w:p>
      <w:pPr>
        <w:pStyle w:val="ListParagraph"/>
        <w:numPr>
          <w:ilvl w:val="0"/>
          <w:numId w:val="2"/>
        </w:numPr>
        <w:spacing w:after="70" w:line="270"/>
      </w:pPr>
      <w:r>
        <w:rPr>
          <w:rFonts w:ascii="Arial" w:cs="Arial" w:eastAsia="Arial" w:hAnsi="Arial"/>
        </w:rPr>
        <w:t xml:space="preserve">The completed ASSERT run scored 0.844 against 0.90 and failed its hard gate.</w:t>
      </w:r>
    </w:p>
    <w:p>
      <w:pPr>
        <w:pStyle w:val="ListParagraph"/>
        <w:numPr>
          <w:ilvl w:val="0"/>
          <w:numId w:val="2"/>
        </w:numPr>
        <w:spacing w:after="70" w:line="270"/>
      </w:pPr>
      <w:r>
        <w:rPr>
          <w:rFonts w:ascii="Arial" w:cs="Arial" w:eastAsia="Arial" w:hAnsi="Arial"/>
        </w:rPr>
        <w:t xml:space="preserve">The optimizer candidate tied the baseline and was not applied.</w:t>
      </w:r>
    </w:p>
    <w:p>
      <w:pPr>
        <w:pStyle w:val="ListParagraph"/>
        <w:numPr>
          <w:ilvl w:val="0"/>
          <w:numId w:val="2"/>
        </w:numPr>
        <w:spacing w:after="70" w:line="270"/>
      </w:pPr>
      <w:r>
        <w:rPr>
          <w:rFonts w:ascii="Arial" w:cs="Arial" w:eastAsia="Arial" w:hAnsi="Arial"/>
        </w:rPr>
        <w:t xml:space="preserve">Rubric evaluators and Agent Optimizer are preview. ASSERT is beta.</w:t>
      </w:r>
    </w:p>
    <w:p>
      <w:pPr>
        <w:pStyle w:val="Heading1"/>
      </w:pPr>
      <w:r>
        <w:rPr>
          <w:rFonts w:ascii="Arial" w:cs="Arial" w:eastAsia="Arial" w:hAnsi="Arial"/>
        </w:rPr>
        <w:t xml:space="preserve">Reference links</w:t>
      </w:r>
    </w:p>
    <w:p>
      <w:pPr>
        <w:spacing w:after="100" w:line="276"/>
      </w:pPr>
      <w:hyperlink w:history="1" r:id="rIdcpwvscjlakwwszxne8tfn">
        <w:r>
          <w:rPr>
            <w:rStyle w:val="Hyperlink"/>
            <w:rFonts w:ascii="Arial" w:cs="Arial" w:eastAsia="Arial" w:hAnsi="Arial"/>
          </w:rPr>
          <w:t xml:space="preserve">Live Bank Servicing Agent</w:t>
        </w:r>
      </w:hyperlink>
    </w:p>
    <w:p>
      <w:pPr>
        <w:spacing w:after="100" w:line="276"/>
      </w:pPr>
      <w:hyperlink w:history="1" r:id="rIdxgmcxmbtbsexpg5oq3kod">
        <w:r>
          <w:rPr>
            <w:rStyle w:val="Hyperlink"/>
            <w:rFonts w:ascii="Arial" w:cs="Arial" w:eastAsia="Arial" w:hAnsi="Arial"/>
          </w:rPr>
          <w:t xml:space="preserve">AcmeBank.Workspace</w:t>
        </w:r>
      </w:hyperlink>
    </w:p>
    <w:p>
      <w:pPr>
        <w:spacing w:after="100" w:line="276"/>
      </w:pPr>
      <w:hyperlink w:history="1" r:id="rIddcxx11fto93ucmv7_lpzp">
        <w:r>
          <w:rPr>
            <w:rStyle w:val="Hyperlink"/>
            <w:rFonts w:ascii="Arial" w:cs="Arial" w:eastAsia="Arial" w:hAnsi="Arial"/>
          </w:rPr>
          <w:t xml:space="preserve">Completed native rubric run</w:t>
        </w:r>
      </w:hyperlink>
    </w:p>
    <w:p>
      <w:pPr>
        <w:spacing w:after="100" w:line="276"/>
      </w:pPr>
      <w:hyperlink w:history="1" r:id="rIdxijaiuuz_el2vcw8irlya">
        <w:r>
          <w:rPr>
            <w:rStyle w:val="Hyperlink"/>
            <w:rFonts w:ascii="Arial" w:cs="Arial" w:eastAsia="Arial" w:hAnsi="Arial"/>
          </w:rPr>
          <w:t xml:space="preserve">Completed Agent Optimizer run</w:t>
        </w:r>
      </w:hyperlink>
    </w:p>
    <w:p>
      <w:pPr>
        <w:spacing w:after="100" w:line="276"/>
      </w:pPr>
      <w:hyperlink w:history="1" r:id="rIdlmfntkmidj9_t33hb4bzq">
        <w:r>
          <w:rPr>
            <w:rStyle w:val="Hyperlink"/>
            <w:rFonts w:ascii="Arial" w:cs="Arial" w:eastAsia="Arial" w:hAnsi="Arial"/>
          </w:rPr>
          <w:t xml:space="preserve">Rubric evaluators in Microsoft Foundry</w:t>
        </w:r>
      </w:hyperlink>
    </w:p>
    <w:p>
      <w:pPr>
        <w:spacing w:after="100" w:line="276"/>
      </w:pPr>
      <w:hyperlink w:history="1" r:id="rIdankxokiuezr5yhkkqx33w">
        <w:r>
          <w:rPr>
            <w:rStyle w:val="Hyperlink"/>
            <w:rFonts w:ascii="Arial" w:cs="Arial" w:eastAsia="Arial" w:hAnsi="Arial"/>
          </w:rPr>
          <w:t xml:space="preserve">Monitor agents in Microsoft Foundry</w:t>
        </w:r>
      </w:hyperlink>
    </w:p>
    <w:sectPr>
      <w:headerReference w:type="default" r:id="rId6"/>
      <w:footerReference w:type="default" r:id="rId7"/>
      <w:pgSz w:w="12240" w:h="15840" w:orient="portrait"/>
      <w:pgMar w:top="90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rPr>
      <w:t xml:space="preserve">Presenter flow  |  </w:t>
    </w:r>
    <w:r>
      <w:rPr>
        <w:rFonts w:ascii="Arial" w:cs="Arial" w:eastAsia="Arial" w:hAnsi="Arial"/>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CBD" w:sz="6" w:space="1"/>
      </w:pBdr>
    </w:pPr>
    <w:r>
      <w:rPr>
        <w:rFonts w:ascii="Arial" w:cs="Arial" w:eastAsia="Arial" w:hAnsi="Arial"/>
        <w:color w:val="5B6573"/>
        <w:sz w:val="17"/>
        <w:szCs w:val="17"/>
      </w:rPr>
      <w:t xml:space="preserve">Gartner Demos 2 and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124"/>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qFormat/>
    <w:pPr>
      <w:spacing w:after="160"/>
      <w:jc w:val="center"/>
    </w:pPr>
    <w:rPr>
      <w:rFonts w:ascii="Arial" w:cs="Arial" w:eastAsia="Arial" w:hAnsi="Arial"/>
      <w:b/>
      <w:bCs/>
      <w:color w:val="17365D"/>
      <w:sz w:val="46"/>
      <w:szCs w:val="46"/>
    </w:rPr>
  </w:style>
  <w:style w:type="paragraph" w:styleId="Heading1">
    <w:name w:val="Heading 1"/>
    <w:basedOn w:val="Normal"/>
    <w:next w:val="Normal"/>
    <w:qFormat/>
    <w:pPr>
      <w:keepNext/>
      <w:spacing w:before="260" w:after="130"/>
      <w:outlineLvl w:val="0"/>
    </w:pPr>
    <w:rPr>
      <w:rFonts w:ascii="Arial" w:cs="Arial" w:eastAsia="Arial" w:hAnsi="Arial"/>
      <w:b/>
      <w:bCs/>
      <w:color w:val="17365D"/>
      <w:sz w:val="34"/>
      <w:szCs w:val="34"/>
    </w:rPr>
  </w:style>
  <w:style w:type="paragraph" w:styleId="Heading2">
    <w:name w:val="Heading 2"/>
    <w:basedOn w:val="Normal"/>
    <w:next w:val="Normal"/>
    <w:qFormat/>
    <w:pPr>
      <w:keepNext/>
      <w:spacing w:before="210" w:after="100"/>
      <w:outlineLvl w:val="1"/>
    </w:pPr>
    <w:rPr>
      <w:rFonts w:ascii="Arial" w:cs="Arial" w:eastAsia="Arial" w:hAnsi="Arial"/>
      <w:b/>
      <w:bCs/>
      <w:color w:val="0F6CBD"/>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ivyokdmuduaq7yndh5zul" Type="http://schemas.openxmlformats.org/officeDocument/2006/relationships/hyperlink" Target="https://bank-servicing-web.agreeablewave-d7d8bc74.eastus2.azurecontainerapps.io" TargetMode="External"/><Relationship Id="rId7ry8lyqtdql_mdajd8thu" Type="http://schemas.openxmlformats.org/officeDocument/2006/relationships/hyperlink" Target="https://ai.azure.com/" TargetMode="External"/><Relationship Id="rId-stxaumjgixcign8wutpi" Type="http://schemas.openxmlformats.org/officeDocument/2006/relationships/hyperlink" Target="https://app.fabric.microsoft.com/groups/ae8eaa7c-5ace-4256-967f-25c84dc9313a" TargetMode="External"/><Relationship Id="rIdvsd0pklkfrkh4lxiihhwc" Type="http://schemas.openxmlformats.org/officeDocument/2006/relationships/hyperlink" Target="https://app.fabric.microsoft.com/groups/ae8eaa7c-5ace-4256-967f-25c84dc9313a" TargetMode="External"/><Relationship Id="rIdu3jyrh3ec5snd5g_8gneo" Type="http://schemas.openxmlformats.org/officeDocument/2006/relationships/hyperlink" Target="https://app.fabric.microsoft.com/groups/ae8eaa7c-5ace-4256-967f-25c84dc9313a/reports/8648f7bf-be5e-4f4f-a4a9-67f67e1a2bc8" TargetMode="External"/><Relationship Id="rId29gtuf-d4piygkmrtchez" Type="http://schemas.openxmlformats.org/officeDocument/2006/relationships/hyperlink" Target="https://app.fabric.microsoft.com/groups/ae8eaa7c-5ace-4256-967f-25c84dc9313a/ontologies/00788d8a-bf54-41bf-9f37-b875b8586fa5" TargetMode="External"/><Relationship Id="rId1gnwcgngwqojimaejmgp7" Type="http://schemas.openxmlformats.org/officeDocument/2006/relationships/hyperlink" Target="https://app.fabric.microsoft.com/groups/ae8eaa7c-5ace-4256-967f-25c84dc9313a/aiskills/90371bd6-280d-40a4-aaff-f153be2e63bc" TargetMode="External"/><Relationship Id="rIdzwkaonyleejkh-yrvirun" Type="http://schemas.openxmlformats.org/officeDocument/2006/relationships/hyperlink" Target="https://ai.azure.com/nextgen/r/J7ATmha0Qr-eycbbN2gkXg,rg-aycabas-3iqs,,4iq-foundry-project-resource,4iq-foundry-project/build/evaluations/eval_f1914a014e9048a9a0ec7f8a6c8e46ac/run/evalrun_94292bc91be64704b53ad029306eea8d" TargetMode="External"/><Relationship Id="rId7jyze61bjerl2dagvfpon" Type="http://schemas.openxmlformats.org/officeDocument/2006/relationships/hyperlink" Target="https://ai.azure.com/nextgen/r/J7ATmha0Qr-eycbbN2gkXg,rg-aycabas-3iqs,,4iq-foundry-project-resource,4iq-foundry-project/build/agents/bank-servicing-agent/optimization/opt_3a558b0325764cde920fc69141342c7c" TargetMode="External"/><Relationship Id="rIdcpwvscjlakwwszxne8tfn" Type="http://schemas.openxmlformats.org/officeDocument/2006/relationships/hyperlink" Target="https://bank-servicing-web.agreeablewave-d7d8bc74.eastus2.azurecontainerapps.io" TargetMode="External"/><Relationship Id="rIdxgmcxmbtbsexpg5oq3kod" Type="http://schemas.openxmlformats.org/officeDocument/2006/relationships/hyperlink" Target="https://app.fabric.microsoft.com/groups/ae8eaa7c-5ace-4256-967f-25c84dc9313a" TargetMode="External"/><Relationship Id="rIddcxx11fto93ucmv7_lpzp" Type="http://schemas.openxmlformats.org/officeDocument/2006/relationships/hyperlink" Target="https://ai.azure.com/nextgen/r/J7ATmha0Qr-eycbbN2gkXg,rg-aycabas-3iqs,,4iq-foundry-project-resource,4iq-foundry-project/build/evaluations/eval_f1914a014e9048a9a0ec7f8a6c8e46ac/run/evalrun_94292bc91be64704b53ad029306eea8d" TargetMode="External"/><Relationship Id="rIdxijaiuuz_el2vcw8irlya" Type="http://schemas.openxmlformats.org/officeDocument/2006/relationships/hyperlink" Target="https://ai.azure.com/nextgen/r/J7ATmha0Qr-eycbbN2gkXg,rg-aycabas-3iqs,,4iq-foundry-project-resource,4iq-foundry-project/build/agents/bank-servicing-agent/optimization/opt_3a558b0325764cde920fc69141342c7c" TargetMode="External"/><Relationship Id="rIdlmfntkmidj9_t33hb4bzq" Type="http://schemas.openxmlformats.org/officeDocument/2006/relationships/hyperlink" Target="https://learn.microsoft.com/azure/foundry/concepts/evaluation-evaluators/rubric-evaluators" TargetMode="External"/><Relationship Id="rIdankxokiuezr5yhkkqx33w" Type="http://schemas.openxmlformats.org/officeDocument/2006/relationships/hyperlink" Target="https://learn.microsoft.com/azure/foundry/observability/how-to/how-to-monitor-agents-dashboard" TargetMode="External"/><Relationship Id="rIdPresenterObservability" Type="http://schemas.openxmlformats.org/officeDocument/2006/relationships/hyperlink" Target="https://ai.azure.com/nextgen/r/J7ATmha0Qr-eycbbN2gkXg,rg-aycabas-3iqs,,4iq-foundry-project-resource,4iq-foundry-project/build/agents/bank-servicing-agent/build?version=24" TargetMode="External"/><Relationship Id="rIdPresenterApp" Type="http://schemas.openxmlformats.org/officeDocument/2006/relationships/hyperlink" Target="https://bank-servicing-web.agreeablewave-d7d8bc74.eastus2.azurecontainerapps.io" TargetMode="External"/><Relationship Id="rIdPresenterRubric" Type="http://schemas.openxmlformats.org/officeDocument/2006/relationships/hyperlink" Target="https://ai.azure.com/nextgen/r/J7ATmha0Qr-eycbbN2gkXg,rg-aycabas-3iqs,,4iq-foundry-project-resource,4iq-foundry-project/build/evaluations/eval_f1914a014e9048a9a0ec7f8a6c8e46ac/run/evalrun_94292bc91be64704b53ad029306eea8d" TargetMode="External"/><Relationship Id="rIdPresenterAssert" Type="http://schemas.openxmlformats.org/officeDocument/2006/relationships/hyperlink" Target="https://bank-servicing-web.agreeablewave-d7d8bc74.eastus2.azurecontainerapps.io" TargetMode="External"/><Relationship Id="rIdPresenterOptimizer" Type="http://schemas.openxmlformats.org/officeDocument/2006/relationships/hyperlink" Target="https://ai.azure.com/nextgen/r/J7ATmha0Qr-eycbbN2gkXg,rg-aycabas-3iqs,,4iq-foundry-project-resource,4iq-foundry-project/build/agents/bank-servicing-agent/optimization/opt_3a558b0325764cde920fc69141342c7c" TargetMode="External"/><Relationship Id="rId2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Gartner Demos 2 and 3 Presenter Flow</dc:title>
  <dc:creator>GitHub Copilot</dc:creator>
  <dc:description>Presenter flow for the unified bank-servicing-agent demos.</dc:description>
  <cp:lastModifiedBy>Un-named</cp:lastModifiedBy>
  <cp:revision>1</cp:revision>
  <dcterms:created xsi:type="dcterms:W3CDTF">2026-08-05T06:48:31.541Z</dcterms:created>
  <dcterms:modified xsi:type="dcterms:W3CDTF">2026-08-05T06:48:31.542Z</dcterms:modified>
</cp:coreProperties>
</file>

<file path=docProps/custom.xml><?xml version="1.0" encoding="utf-8"?>
<Properties xmlns="http://schemas.openxmlformats.org/officeDocument/2006/custom-properties" xmlns:vt="http://schemas.openxmlformats.org/officeDocument/2006/docPropsVTypes"/>
</file>