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B69D" w14:textId="77777777" w:rsidR="00C93D58" w:rsidRPr="00A76CD6" w:rsidRDefault="00C93D58" w:rsidP="00C93D58">
      <w:pPr>
        <w:pStyle w:val="ListParagraph"/>
        <w:numPr>
          <w:ilvl w:val="1"/>
          <w:numId w:val="1"/>
        </w:numPr>
        <w:spacing w:after="0" w:line="320" w:lineRule="exact"/>
        <w:ind w:left="0" w:firstLine="709"/>
        <w:jc w:val="both"/>
        <w:rPr>
          <w:rFonts w:ascii="Times New Roman" w:eastAsia="TimesNewRoman" w:hAnsi="Times New Roman" w:cs="Times New Roman"/>
        </w:rPr>
      </w:pPr>
      <w:r w:rsidRPr="00A76CD6">
        <w:rPr>
          <w:rFonts w:ascii="Times New Roman" w:eastAsia="TimesNewRoman" w:hAnsi="Times New Roman" w:cs="Times New Roman"/>
          <w:u w:val="single"/>
        </w:rPr>
        <w:t>Remuneração das Debêntures</w:t>
      </w:r>
      <w:r w:rsidRPr="00A76CD6">
        <w:rPr>
          <w:rFonts w:ascii="Times New Roman" w:eastAsia="TimesNewRoman" w:hAnsi="Times New Roman" w:cs="Times New Roman"/>
        </w:rPr>
        <w:t xml:space="preserve">. Conforme Ordem de Alocação prevista acima e observado o previsto na Cláusula 3.8.2 acima, </w:t>
      </w:r>
      <w:r w:rsidRPr="00A76CD6">
        <w:rPr>
          <w:rFonts w:ascii="Times New Roman" w:hAnsi="Times New Roman" w:cs="Times New Roman"/>
        </w:rPr>
        <w:t>sobre o Valor Nominal Unitário ou o saldo do Valor Nominal Unitário, conforme o caso, incidirão, desde a Data de Emissão, juros remuneratórios correspondentes a 100,00% (cem por cento)</w:t>
      </w:r>
      <w:r w:rsidRPr="00A76CD6" w:rsidDel="005C5752">
        <w:rPr>
          <w:rFonts w:ascii="Times New Roman" w:hAnsi="Times New Roman" w:cs="Times New Roman"/>
        </w:rPr>
        <w:t xml:space="preserve"> </w:t>
      </w:r>
      <w:r w:rsidRPr="00A76CD6">
        <w:rPr>
          <w:rFonts w:ascii="Times New Roman" w:hAnsi="Times New Roman" w:cs="Times New Roman"/>
        </w:rPr>
        <w:t xml:space="preserve">da variação acumulada das taxas médias diárias dos DI - </w:t>
      </w:r>
      <w:r w:rsidRPr="00A76CD6">
        <w:rPr>
          <w:rFonts w:ascii="Times New Roman" w:hAnsi="Times New Roman" w:cs="Times New Roman"/>
          <w:bCs/>
        </w:rPr>
        <w:t>Depósitos Interfinanceiros de um dia, “over extra grupo”, expressa na forma percentual ao ano, base 252 (duzentos e cinquenta e dois) Dias Úteis (conforme definido abaixo), calculadas e divulgadas diariamente pela B3 S.A. – Brasil, Bolsa, Balcão (“</w:t>
      </w:r>
      <w:r w:rsidRPr="00A76CD6">
        <w:rPr>
          <w:rFonts w:ascii="Times New Roman" w:hAnsi="Times New Roman" w:cs="Times New Roman"/>
          <w:bCs/>
          <w:u w:val="single"/>
        </w:rPr>
        <w:t>B3</w:t>
      </w:r>
      <w:r w:rsidRPr="00A76CD6">
        <w:rPr>
          <w:rFonts w:ascii="Times New Roman" w:hAnsi="Times New Roman" w:cs="Times New Roman"/>
          <w:bCs/>
        </w:rPr>
        <w:t>”), no informativo diário disponível em sua página na Internet (http://www.b3.com.br) (“</w:t>
      </w:r>
      <w:r w:rsidRPr="00A76CD6">
        <w:rPr>
          <w:rFonts w:ascii="Times New Roman" w:hAnsi="Times New Roman" w:cs="Times New Roman"/>
          <w:bCs/>
          <w:u w:val="single"/>
        </w:rPr>
        <w:t>Taxa DI</w:t>
      </w:r>
      <w:r w:rsidRPr="00A76CD6">
        <w:rPr>
          <w:rFonts w:ascii="Times New Roman" w:hAnsi="Times New Roman" w:cs="Times New Roman"/>
          <w:bCs/>
        </w:rPr>
        <w:t>”), acrescida exponencialmente de uma sobretaxa (spread) a ser determinada no Aditamento à Escritura a ser celebrado antes da emissão de cada nova Série (“</w:t>
      </w:r>
      <w:r w:rsidRPr="00A76CD6">
        <w:rPr>
          <w:rFonts w:ascii="Times New Roman" w:hAnsi="Times New Roman" w:cs="Times New Roman"/>
          <w:bCs/>
          <w:u w:val="single"/>
        </w:rPr>
        <w:t>Juros Remuneratórios</w:t>
      </w:r>
      <w:r w:rsidRPr="00A76CD6">
        <w:rPr>
          <w:rFonts w:ascii="Times New Roman" w:hAnsi="Times New Roman" w:cs="Times New Roman"/>
          <w:bCs/>
        </w:rPr>
        <w:t>”), considerando os critérios estabelecidos no “Caderno de Fórmulas Notas Comerciais– CETIP21”, disponibilizado para consulta na página da B3 na internet (http://www.b3.com.br). O cálculo da Remuneração obedecerá à seguinte fórmula, observado o previsto na Cláusula 3.8.2 acima (“</w:t>
      </w:r>
      <w:r w:rsidRPr="00A76CD6">
        <w:rPr>
          <w:rFonts w:ascii="Times New Roman" w:hAnsi="Times New Roman" w:cs="Times New Roman"/>
          <w:bCs/>
          <w:u w:val="single"/>
        </w:rPr>
        <w:t>Remuneração</w:t>
      </w:r>
      <w:r w:rsidRPr="00A76CD6">
        <w:rPr>
          <w:rFonts w:ascii="Times New Roman" w:hAnsi="Times New Roman" w:cs="Times New Roman"/>
          <w:bCs/>
        </w:rPr>
        <w:t>”).</w:t>
      </w:r>
      <w:r w:rsidRPr="00A76CD6" w:rsidDel="00CB37C1">
        <w:rPr>
          <w:rFonts w:ascii="Times New Roman" w:hAnsi="Times New Roman" w:cs="Times New Roman"/>
          <w:bCs/>
        </w:rPr>
        <w:t xml:space="preserve"> </w:t>
      </w:r>
    </w:p>
    <w:p w14:paraId="76E28790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  <w:bookmarkStart w:id="0" w:name="_DV_M116"/>
      <w:bookmarkStart w:id="1" w:name="_DV_M72"/>
      <w:bookmarkStart w:id="2" w:name="_DV_M73"/>
      <w:bookmarkStart w:id="3" w:name="_DV_M74"/>
      <w:bookmarkStart w:id="4" w:name="_DV_M75"/>
      <w:bookmarkStart w:id="5" w:name="_DV_M76"/>
      <w:bookmarkStart w:id="6" w:name="_DV_M77"/>
      <w:bookmarkStart w:id="7" w:name="_DV_M78"/>
      <w:bookmarkStart w:id="8" w:name="_DV_M79"/>
      <w:bookmarkStart w:id="9" w:name="_DV_M80"/>
      <w:bookmarkStart w:id="10" w:name="_DV_M81"/>
      <w:bookmarkStart w:id="11" w:name="_DV_M82"/>
      <w:bookmarkStart w:id="12" w:name="_DV_M83"/>
      <w:bookmarkStart w:id="13" w:name="_DV_M84"/>
      <w:bookmarkStart w:id="14" w:name="_DV_M85"/>
      <w:bookmarkStart w:id="15" w:name="_DV_M86"/>
      <w:bookmarkStart w:id="16" w:name="_DV_M87"/>
      <w:bookmarkStart w:id="17" w:name="_DV_M89"/>
      <w:bookmarkStart w:id="18" w:name="_DV_M90"/>
      <w:bookmarkStart w:id="19" w:name="_DV_M91"/>
      <w:bookmarkStart w:id="20" w:name="_DV_M92"/>
      <w:bookmarkStart w:id="21" w:name="_DV_M97"/>
      <w:bookmarkStart w:id="22" w:name="_DV_M9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B779A0B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center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  <w:r w:rsidRPr="00A76CD6">
        <w:rPr>
          <w:rFonts w:ascii="Times New Roman" w:eastAsia="Arial" w:hAnsi="Times New Roman" w:cs="Times New Roman"/>
          <w:color w:val="000000"/>
          <w:spacing w:val="-2"/>
        </w:rPr>
        <w:t xml:space="preserve">J = </w:t>
      </w:r>
      <w:proofErr w:type="spellStart"/>
      <w:r w:rsidRPr="00A76CD6">
        <w:rPr>
          <w:rFonts w:ascii="Times New Roman" w:eastAsia="Arial" w:hAnsi="Times New Roman" w:cs="Times New Roman"/>
          <w:color w:val="000000"/>
          <w:spacing w:val="-2"/>
        </w:rPr>
        <w:t>VNe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2"/>
        </w:rPr>
        <w:t xml:space="preserve"> x (</w:t>
      </w:r>
      <w:proofErr w:type="spellStart"/>
      <w:r w:rsidRPr="00A76CD6">
        <w:rPr>
          <w:rFonts w:ascii="Times New Roman" w:eastAsia="Arial" w:hAnsi="Times New Roman" w:cs="Times New Roman"/>
          <w:color w:val="000000"/>
          <w:spacing w:val="-2"/>
        </w:rPr>
        <w:t>FatorJuros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2"/>
        </w:rPr>
        <w:t xml:space="preserve"> - 1)</w:t>
      </w:r>
    </w:p>
    <w:p w14:paraId="665D8637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  <w:r w:rsidRPr="00A76CD6">
        <w:rPr>
          <w:rFonts w:ascii="Times New Roman" w:eastAsia="Arial" w:hAnsi="Times New Roman" w:cs="Times New Roman"/>
          <w:color w:val="000000"/>
          <w:spacing w:val="-2"/>
        </w:rPr>
        <w:t>Sendo que:</w:t>
      </w:r>
    </w:p>
    <w:p w14:paraId="2CF2CD50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center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</w:p>
    <w:p w14:paraId="79BB4E06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567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  <w:r w:rsidRPr="00A76CD6">
        <w:rPr>
          <w:rFonts w:ascii="Times New Roman" w:eastAsia="Arial" w:hAnsi="Times New Roman" w:cs="Times New Roman"/>
          <w:color w:val="000000"/>
        </w:rPr>
        <w:t>J = valor unitário dos Juros Remuneratórios devidos, calculado com 8 (oito) casas decimais, sem arredondamento;</w:t>
      </w:r>
    </w:p>
    <w:p w14:paraId="21AD45D3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567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</w:p>
    <w:p w14:paraId="0F5C7D0E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567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  <w:proofErr w:type="spellStart"/>
      <w:r w:rsidRPr="00A76CD6">
        <w:rPr>
          <w:rFonts w:ascii="Times New Roman" w:eastAsia="Arial" w:hAnsi="Times New Roman" w:cs="Times New Roman"/>
          <w:color w:val="000000"/>
        </w:rPr>
        <w:t>VNe</w:t>
      </w:r>
      <w:proofErr w:type="spellEnd"/>
      <w:r w:rsidRPr="00A76CD6">
        <w:rPr>
          <w:rFonts w:ascii="Times New Roman" w:eastAsia="Arial" w:hAnsi="Times New Roman" w:cs="Times New Roman"/>
          <w:color w:val="000000"/>
        </w:rPr>
        <w:t xml:space="preserve"> = Valor Nominal Unitário ou saldo do Valor Nominal Unitário da respectiva Série informado/calculado com 8 (oito) casas decimais, sem arredondamento;</w:t>
      </w:r>
    </w:p>
    <w:p w14:paraId="6A364DE9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567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</w:p>
    <w:p w14:paraId="4057DCF4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567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  <w:proofErr w:type="spellStart"/>
      <w:r w:rsidRPr="00A76CD6">
        <w:rPr>
          <w:rFonts w:ascii="Times New Roman" w:eastAsia="Arial" w:hAnsi="Times New Roman" w:cs="Times New Roman"/>
          <w:color w:val="000000"/>
          <w:spacing w:val="-2"/>
        </w:rPr>
        <w:t>FatorJuros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2"/>
        </w:rPr>
        <w:t xml:space="preserve"> = fator de juros, </w:t>
      </w:r>
      <w:r w:rsidRPr="00A76CD6">
        <w:rPr>
          <w:rFonts w:ascii="Times New Roman" w:hAnsi="Times New Roman" w:cs="Times New Roman"/>
        </w:rPr>
        <w:t xml:space="preserve">composto pelo parâmetro de flutuação acrescido de </w:t>
      </w:r>
      <w:r w:rsidRPr="00A76CD6">
        <w:rPr>
          <w:rFonts w:ascii="Times New Roman" w:hAnsi="Times New Roman" w:cs="Times New Roman"/>
          <w:i/>
        </w:rPr>
        <w:t>spread</w:t>
      </w:r>
      <w:r w:rsidRPr="00A76CD6">
        <w:rPr>
          <w:rFonts w:ascii="Times New Roman" w:hAnsi="Times New Roman" w:cs="Times New Roman"/>
        </w:rPr>
        <w:t xml:space="preserve">, </w:t>
      </w:r>
      <w:r w:rsidRPr="00A76CD6">
        <w:rPr>
          <w:rFonts w:ascii="Times New Roman" w:eastAsia="Arial" w:hAnsi="Times New Roman" w:cs="Times New Roman"/>
          <w:color w:val="000000"/>
          <w:spacing w:val="-2"/>
        </w:rPr>
        <w:t>calculado com 9 (nove) casas decimais, com arredondamento, apurado da seguinte forma:</w:t>
      </w:r>
    </w:p>
    <w:p w14:paraId="05C45968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</w:p>
    <w:p w14:paraId="58A6994F" w14:textId="77777777" w:rsidR="00C93D58" w:rsidRPr="00A76CD6" w:rsidRDefault="00C93D58" w:rsidP="00C93D58">
      <w:pPr>
        <w:keepLines/>
        <w:spacing w:after="0" w:line="320" w:lineRule="exact"/>
        <w:jc w:val="center"/>
        <w:textAlignment w:val="baseline"/>
        <w:rPr>
          <w:rFonts w:ascii="Times New Roman" w:eastAsia="Verdana" w:hAnsi="Times New Roman" w:cs="Times New Roman"/>
          <w:i/>
          <w:color w:val="000000"/>
        </w:rPr>
      </w:pPr>
      <w:proofErr w:type="spellStart"/>
      <w:r w:rsidRPr="00A76CD6">
        <w:rPr>
          <w:rFonts w:ascii="Times New Roman" w:eastAsia="Verdana" w:hAnsi="Times New Roman" w:cs="Times New Roman"/>
          <w:i/>
          <w:color w:val="000000"/>
        </w:rPr>
        <w:t>FatorJuros</w:t>
      </w:r>
      <w:proofErr w:type="spellEnd"/>
      <w:r w:rsidRPr="00A76CD6">
        <w:rPr>
          <w:rFonts w:ascii="Times New Roman" w:eastAsia="Verdana" w:hAnsi="Times New Roman" w:cs="Times New Roman"/>
          <w:i/>
          <w:color w:val="000000"/>
        </w:rPr>
        <w:t xml:space="preserve">= </w:t>
      </w:r>
      <w:proofErr w:type="spellStart"/>
      <w:r w:rsidRPr="00A76CD6">
        <w:rPr>
          <w:rFonts w:ascii="Times New Roman" w:eastAsia="Verdana" w:hAnsi="Times New Roman" w:cs="Times New Roman"/>
          <w:i/>
          <w:color w:val="000000"/>
        </w:rPr>
        <w:t>FatorDI</w:t>
      </w:r>
      <w:proofErr w:type="spellEnd"/>
      <w:r w:rsidRPr="00A76CD6">
        <w:rPr>
          <w:rFonts w:ascii="Times New Roman" w:eastAsia="Verdana" w:hAnsi="Times New Roman" w:cs="Times New Roman"/>
          <w:i/>
          <w:color w:val="000000"/>
        </w:rPr>
        <w:t xml:space="preserve"> x </w:t>
      </w:r>
      <w:proofErr w:type="spellStart"/>
      <w:r w:rsidRPr="00A76CD6">
        <w:rPr>
          <w:rFonts w:ascii="Times New Roman" w:eastAsia="Verdana" w:hAnsi="Times New Roman" w:cs="Times New Roman"/>
          <w:i/>
          <w:color w:val="000000"/>
        </w:rPr>
        <w:t>FatorSpread</w:t>
      </w:r>
      <w:proofErr w:type="spellEnd"/>
    </w:p>
    <w:p w14:paraId="0A546430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</w:p>
    <w:p w14:paraId="62943BE9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firstLine="567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  <w:r w:rsidRPr="00A76CD6">
        <w:rPr>
          <w:rFonts w:ascii="Times New Roman" w:eastAsia="Arial" w:hAnsi="Times New Roman" w:cs="Times New Roman"/>
          <w:color w:val="000000"/>
          <w:spacing w:val="-2"/>
        </w:rPr>
        <w:t xml:space="preserve">Sendo que: </w:t>
      </w:r>
    </w:p>
    <w:p w14:paraId="6BCB3581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</w:p>
    <w:p w14:paraId="6DD08A39" w14:textId="77777777" w:rsidR="00C93D58" w:rsidRPr="00A76CD6" w:rsidRDefault="00C93D58" w:rsidP="00C93D58">
      <w:pPr>
        <w:keepLines/>
        <w:spacing w:after="0" w:line="320" w:lineRule="exact"/>
        <w:ind w:left="1134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  <w:r w:rsidRPr="00A76CD6">
        <w:rPr>
          <w:rFonts w:ascii="Times New Roman" w:eastAsia="Arial" w:hAnsi="Times New Roman" w:cs="Times New Roman"/>
          <w:color w:val="000000"/>
          <w:spacing w:val="-4"/>
        </w:rPr>
        <w:t xml:space="preserve">Fator DI = </w:t>
      </w:r>
      <w:proofErr w:type="spellStart"/>
      <w:r w:rsidRPr="00A76CD6">
        <w:rPr>
          <w:rFonts w:ascii="Times New Roman" w:eastAsia="Arial" w:hAnsi="Times New Roman" w:cs="Times New Roman"/>
          <w:color w:val="000000"/>
          <w:spacing w:val="-4"/>
        </w:rPr>
        <w:t>produtório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4"/>
        </w:rPr>
        <w:t xml:space="preserve"> das Taxas DI, durante o Período de Capitalização, calculado com 8 (oito) casas decimais, com arredondamento, apurado da seguinte forma:</w:t>
      </w:r>
    </w:p>
    <w:p w14:paraId="7453B05A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</w:p>
    <w:p w14:paraId="49A17271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  <w:r w:rsidRPr="00A76CD6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D2DFB57" wp14:editId="280FFA8B">
            <wp:simplePos x="0" y="0"/>
            <wp:positionH relativeFrom="column">
              <wp:posOffset>1631315</wp:posOffset>
            </wp:positionH>
            <wp:positionV relativeFrom="paragraph">
              <wp:posOffset>58420</wp:posOffset>
            </wp:positionV>
            <wp:extent cx="2188800" cy="442800"/>
            <wp:effectExtent l="0" t="0" r="2540" b="0"/>
            <wp:wrapSquare wrapText="bothSides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00" cy="4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03BBB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</w:p>
    <w:p w14:paraId="70F0573D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</w:p>
    <w:p w14:paraId="4F4FA4FD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1134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  <w:r w:rsidRPr="00A76CD6">
        <w:rPr>
          <w:rFonts w:ascii="Times New Roman" w:eastAsia="Arial" w:hAnsi="Times New Roman" w:cs="Times New Roman"/>
          <w:color w:val="000000"/>
          <w:spacing w:val="-4"/>
        </w:rPr>
        <w:t>Sendo que:</w:t>
      </w:r>
    </w:p>
    <w:p w14:paraId="3D79520E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</w:p>
    <w:p w14:paraId="724DBC3F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1701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  <w:proofErr w:type="spellStart"/>
      <w:r w:rsidRPr="00A76CD6">
        <w:rPr>
          <w:rFonts w:ascii="Times New Roman" w:eastAsia="Arial" w:hAnsi="Times New Roman" w:cs="Times New Roman"/>
          <w:color w:val="000000"/>
          <w:spacing w:val="-4"/>
        </w:rPr>
        <w:t>nDI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4"/>
        </w:rPr>
        <w:t xml:space="preserve"> = número total de Taxas DI, consideradas na apuração do </w:t>
      </w:r>
      <w:proofErr w:type="spellStart"/>
      <w:r w:rsidRPr="00A76CD6">
        <w:rPr>
          <w:rFonts w:ascii="Times New Roman" w:eastAsia="Arial" w:hAnsi="Times New Roman" w:cs="Times New Roman"/>
          <w:color w:val="000000"/>
          <w:spacing w:val="-4"/>
        </w:rPr>
        <w:t>produtório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4"/>
        </w:rPr>
        <w:t xml:space="preserve">, sendo </w:t>
      </w:r>
      <w:r w:rsidRPr="00A76CD6">
        <w:rPr>
          <w:rFonts w:ascii="Times New Roman" w:eastAsia="Arial" w:hAnsi="Times New Roman" w:cs="Times New Roman"/>
          <w:color w:val="000000"/>
          <w:spacing w:val="-4"/>
        </w:rPr>
        <w:lastRenderedPageBreak/>
        <w:t>"</w:t>
      </w:r>
      <w:proofErr w:type="spellStart"/>
      <w:r w:rsidRPr="00A76CD6">
        <w:rPr>
          <w:rFonts w:ascii="Times New Roman" w:eastAsia="Arial" w:hAnsi="Times New Roman" w:cs="Times New Roman"/>
          <w:color w:val="000000"/>
          <w:spacing w:val="-4"/>
        </w:rPr>
        <w:t>nDI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4"/>
        </w:rPr>
        <w:t>" um número inteiro;</w:t>
      </w:r>
    </w:p>
    <w:p w14:paraId="2B3BC2EF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1701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</w:p>
    <w:p w14:paraId="2EB22304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1701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  <w:r w:rsidRPr="00A76CD6">
        <w:rPr>
          <w:rFonts w:ascii="Times New Roman" w:eastAsia="Arial" w:hAnsi="Times New Roman" w:cs="Times New Roman"/>
          <w:color w:val="000000"/>
          <w:spacing w:val="-4"/>
        </w:rPr>
        <w:t>k = número de ordem das Taxas DI, variando de "1" até "</w:t>
      </w:r>
      <w:proofErr w:type="spellStart"/>
      <w:r w:rsidRPr="00A76CD6">
        <w:rPr>
          <w:rFonts w:ascii="Times New Roman" w:eastAsia="Arial" w:hAnsi="Times New Roman" w:cs="Times New Roman"/>
          <w:color w:val="000000"/>
          <w:spacing w:val="-4"/>
        </w:rPr>
        <w:t>nDI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4"/>
        </w:rPr>
        <w:t>";</w:t>
      </w:r>
    </w:p>
    <w:p w14:paraId="02F62247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1701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</w:p>
    <w:p w14:paraId="378DBEC2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1701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</w:p>
    <w:p w14:paraId="53DBDE76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1701"/>
        <w:jc w:val="both"/>
        <w:textAlignment w:val="baseline"/>
        <w:rPr>
          <w:rFonts w:ascii="Times New Roman" w:eastAsia="Arial" w:hAnsi="Times New Roman" w:cs="Times New Roman"/>
          <w:color w:val="000000"/>
          <w:spacing w:val="-4"/>
        </w:rPr>
      </w:pPr>
      <w:proofErr w:type="spellStart"/>
      <w:r w:rsidRPr="00A76CD6">
        <w:rPr>
          <w:rFonts w:ascii="Times New Roman" w:eastAsia="Arial" w:hAnsi="Times New Roman" w:cs="Times New Roman"/>
          <w:color w:val="000000"/>
          <w:spacing w:val="-4"/>
        </w:rPr>
        <w:t>TDIk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4"/>
        </w:rPr>
        <w:t xml:space="preserve"> = Taxa DI, de ordem "k", expressa ao dia, calculada com 8 (oito) casas decimais, com arredondamento, apurada da seguinte forma:</w:t>
      </w:r>
    </w:p>
    <w:p w14:paraId="34F2385F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jc w:val="both"/>
        <w:textAlignment w:val="baseline"/>
        <w:rPr>
          <w:rFonts w:ascii="Times New Roman" w:hAnsi="Times New Roman" w:cs="Times New Roman"/>
        </w:rPr>
      </w:pPr>
      <w:r w:rsidRPr="00A76CD6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80B7A58" wp14:editId="3B613F43">
            <wp:simplePos x="0" y="0"/>
            <wp:positionH relativeFrom="column">
              <wp:posOffset>2044700</wp:posOffset>
            </wp:positionH>
            <wp:positionV relativeFrom="paragraph">
              <wp:posOffset>107315</wp:posOffset>
            </wp:positionV>
            <wp:extent cx="1493520" cy="51816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76CD6">
        <w:rPr>
          <w:rFonts w:ascii="Times New Roman" w:hAnsi="Times New Roman" w:cs="Times New Roman"/>
        </w:rPr>
        <w:t xml:space="preserve"> </w:t>
      </w:r>
    </w:p>
    <w:p w14:paraId="4B6976BE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jc w:val="both"/>
        <w:textAlignment w:val="baseline"/>
        <w:rPr>
          <w:rFonts w:ascii="Times New Roman" w:hAnsi="Times New Roman" w:cs="Times New Roman"/>
        </w:rPr>
      </w:pPr>
    </w:p>
    <w:p w14:paraId="27FD35E2" w14:textId="77777777" w:rsidR="00C93D58" w:rsidRPr="00A76CD6" w:rsidRDefault="00C93D58" w:rsidP="00C93D58">
      <w:pPr>
        <w:keepLines/>
        <w:spacing w:line="320" w:lineRule="exact"/>
        <w:jc w:val="center"/>
        <w:rPr>
          <w:rFonts w:ascii="Times New Roman" w:hAnsi="Times New Roman" w:cs="Times New Roman"/>
        </w:rPr>
      </w:pPr>
    </w:p>
    <w:p w14:paraId="3808F74B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jc w:val="both"/>
        <w:textAlignment w:val="baseline"/>
        <w:rPr>
          <w:rFonts w:ascii="Times New Roman" w:hAnsi="Times New Roman" w:cs="Times New Roman"/>
        </w:rPr>
      </w:pPr>
    </w:p>
    <w:p w14:paraId="4B03CA11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1701"/>
        <w:jc w:val="both"/>
        <w:textAlignment w:val="baseline"/>
        <w:rPr>
          <w:rFonts w:ascii="Times New Roman" w:hAnsi="Times New Roman" w:cs="Times New Roman"/>
        </w:rPr>
      </w:pPr>
      <w:r w:rsidRPr="00A76CD6">
        <w:rPr>
          <w:rFonts w:ascii="Times New Roman" w:hAnsi="Times New Roman" w:cs="Times New Roman"/>
        </w:rPr>
        <w:t>Sendo que:</w:t>
      </w:r>
    </w:p>
    <w:p w14:paraId="6B6BD580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2268"/>
        <w:jc w:val="both"/>
        <w:textAlignment w:val="baseline"/>
        <w:rPr>
          <w:rFonts w:ascii="Times New Roman" w:hAnsi="Times New Roman" w:cs="Times New Roman"/>
        </w:rPr>
      </w:pPr>
    </w:p>
    <w:p w14:paraId="22EA7BD9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2268"/>
        <w:jc w:val="both"/>
        <w:textAlignment w:val="baseline"/>
        <w:rPr>
          <w:rFonts w:ascii="Times New Roman" w:hAnsi="Times New Roman" w:cs="Times New Roman"/>
        </w:rPr>
      </w:pPr>
      <w:proofErr w:type="spellStart"/>
      <w:r w:rsidRPr="00A76CD6">
        <w:rPr>
          <w:rFonts w:ascii="Times New Roman" w:hAnsi="Times New Roman" w:cs="Times New Roman"/>
        </w:rPr>
        <w:t>DIk</w:t>
      </w:r>
      <w:proofErr w:type="spellEnd"/>
      <w:r w:rsidRPr="00A76CD6">
        <w:rPr>
          <w:rFonts w:ascii="Times New Roman" w:hAnsi="Times New Roman" w:cs="Times New Roman"/>
        </w:rPr>
        <w:t xml:space="preserve"> = Taxa DI, de ordem "k", divulgada pela B3 S.A. – Brasil, Bolsa, Balcão, utilizada com 2 (duas) casas decimais;</w:t>
      </w:r>
    </w:p>
    <w:p w14:paraId="189E007D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2268"/>
        <w:jc w:val="both"/>
        <w:textAlignment w:val="baseline"/>
        <w:rPr>
          <w:rFonts w:ascii="Times New Roman" w:hAnsi="Times New Roman" w:cs="Times New Roman"/>
        </w:rPr>
      </w:pPr>
    </w:p>
    <w:p w14:paraId="008567EC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ind w:left="2268"/>
        <w:jc w:val="both"/>
        <w:textAlignment w:val="baseline"/>
        <w:rPr>
          <w:rFonts w:ascii="Times New Roman" w:hAnsi="Times New Roman" w:cs="Times New Roman"/>
        </w:rPr>
      </w:pPr>
      <w:proofErr w:type="spellStart"/>
      <w:r w:rsidRPr="00A76CD6">
        <w:rPr>
          <w:rFonts w:ascii="Times New Roman" w:hAnsi="Times New Roman" w:cs="Times New Roman"/>
        </w:rPr>
        <w:t>FatorSpread</w:t>
      </w:r>
      <w:proofErr w:type="spellEnd"/>
      <w:r w:rsidRPr="00A76CD6">
        <w:rPr>
          <w:rFonts w:ascii="Times New Roman" w:hAnsi="Times New Roman" w:cs="Times New Roman"/>
        </w:rPr>
        <w:t xml:space="preserve"> = sobretaxa, calculada com 9 (nove) casas decimais, com arredondamento, apurado da seguinte forma:</w:t>
      </w:r>
    </w:p>
    <w:p w14:paraId="18F0782B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line="300" w:lineRule="exact"/>
        <w:jc w:val="both"/>
        <w:textAlignment w:val="baseline"/>
        <w:rPr>
          <w:rFonts w:ascii="Times New Roman" w:eastAsia="Times New Roman" w:hAnsi="Times New Roman" w:cs="Times New Roman"/>
          <w:i/>
          <w:color w:val="000000"/>
        </w:rPr>
      </w:pPr>
      <w:r w:rsidRPr="00A76CD6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1CC4B726" wp14:editId="41B2DD0F">
            <wp:simplePos x="0" y="0"/>
            <wp:positionH relativeFrom="column">
              <wp:posOffset>1644650</wp:posOffset>
            </wp:positionH>
            <wp:positionV relativeFrom="paragraph">
              <wp:posOffset>5715</wp:posOffset>
            </wp:positionV>
            <wp:extent cx="2298700" cy="736600"/>
            <wp:effectExtent l="0" t="0" r="0" b="0"/>
            <wp:wrapTight wrapText="bothSides">
              <wp:wrapPolygon edited="0">
                <wp:start x="8592" y="0"/>
                <wp:lineTo x="0" y="8379"/>
                <wp:lineTo x="0" y="12290"/>
                <wp:lineTo x="8413" y="18993"/>
                <wp:lineTo x="8413" y="21228"/>
                <wp:lineTo x="21302" y="21228"/>
                <wp:lineTo x="21481" y="18993"/>
                <wp:lineTo x="21302" y="0"/>
                <wp:lineTo x="859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EBC46" w14:textId="77777777" w:rsidR="00C93D58" w:rsidRPr="00A76CD6" w:rsidRDefault="00C93D58" w:rsidP="00C93D58">
      <w:pPr>
        <w:keepLines/>
        <w:spacing w:line="320" w:lineRule="exact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</w:rPr>
      </w:pPr>
    </w:p>
    <w:p w14:paraId="6DC9A6AD" w14:textId="77777777" w:rsidR="00C93D58" w:rsidRPr="00A76CD6" w:rsidRDefault="00C93D58" w:rsidP="00C93D58">
      <w:pPr>
        <w:keepLines/>
        <w:spacing w:after="0" w:line="320" w:lineRule="exact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pacing w:val="19"/>
        </w:rPr>
      </w:pPr>
    </w:p>
    <w:p w14:paraId="6C0C29E4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3"/>
        </w:rPr>
      </w:pPr>
    </w:p>
    <w:p w14:paraId="29AFF129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2835" w:hanging="567"/>
        <w:jc w:val="both"/>
        <w:textAlignment w:val="baseline"/>
        <w:rPr>
          <w:rFonts w:ascii="Times New Roman" w:eastAsia="Arial" w:hAnsi="Times New Roman" w:cs="Times New Roman"/>
          <w:color w:val="000000"/>
          <w:spacing w:val="-3"/>
        </w:rPr>
      </w:pPr>
      <w:r w:rsidRPr="00A76CD6">
        <w:rPr>
          <w:rFonts w:ascii="Times New Roman" w:eastAsia="Arial" w:hAnsi="Times New Roman" w:cs="Times New Roman"/>
          <w:color w:val="000000"/>
          <w:spacing w:val="-3"/>
        </w:rPr>
        <w:t>Sendo que:</w:t>
      </w:r>
    </w:p>
    <w:p w14:paraId="5DC389EF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2835"/>
        <w:jc w:val="both"/>
        <w:textAlignment w:val="baseline"/>
        <w:rPr>
          <w:rFonts w:ascii="Times New Roman" w:eastAsia="Arial" w:hAnsi="Times New Roman" w:cs="Times New Roman"/>
          <w:color w:val="000000"/>
          <w:spacing w:val="-3"/>
        </w:rPr>
      </w:pPr>
    </w:p>
    <w:p w14:paraId="318F8013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2835"/>
        <w:jc w:val="both"/>
        <w:textAlignment w:val="baseline"/>
        <w:rPr>
          <w:rFonts w:ascii="Times New Roman" w:eastAsia="Arial" w:hAnsi="Times New Roman" w:cs="Times New Roman"/>
          <w:color w:val="000000"/>
          <w:spacing w:val="-3"/>
        </w:rPr>
      </w:pPr>
      <w:r w:rsidRPr="00A76CD6">
        <w:rPr>
          <w:rFonts w:ascii="Times New Roman" w:eastAsia="Arial" w:hAnsi="Times New Roman" w:cs="Times New Roman"/>
          <w:color w:val="000000"/>
          <w:spacing w:val="-3"/>
        </w:rPr>
        <w:t>spread = a ser definida no Aditamento à Escritura – Nova Série; e</w:t>
      </w:r>
    </w:p>
    <w:p w14:paraId="6931221B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2835"/>
        <w:jc w:val="both"/>
        <w:textAlignment w:val="baseline"/>
        <w:rPr>
          <w:rFonts w:ascii="Times New Roman" w:eastAsia="Arial" w:hAnsi="Times New Roman" w:cs="Times New Roman"/>
          <w:color w:val="000000"/>
          <w:spacing w:val="-3"/>
        </w:rPr>
      </w:pPr>
    </w:p>
    <w:p w14:paraId="1CF65168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2835"/>
        <w:jc w:val="both"/>
        <w:textAlignment w:val="baseline"/>
        <w:rPr>
          <w:rFonts w:ascii="Times New Roman" w:eastAsia="Arial" w:hAnsi="Times New Roman" w:cs="Times New Roman"/>
          <w:color w:val="000000"/>
          <w:spacing w:val="-3"/>
        </w:rPr>
      </w:pPr>
      <w:r w:rsidRPr="00A76CD6">
        <w:rPr>
          <w:rFonts w:ascii="Times New Roman" w:eastAsia="Arial" w:hAnsi="Times New Roman" w:cs="Times New Roman"/>
          <w:color w:val="000000"/>
          <w:spacing w:val="-3"/>
        </w:rPr>
        <w:t>DP = número de dias úteis do Período de Capitalização, sendo "</w:t>
      </w:r>
      <w:proofErr w:type="spellStart"/>
      <w:r w:rsidRPr="00A76CD6">
        <w:rPr>
          <w:rFonts w:ascii="Times New Roman" w:eastAsia="Arial" w:hAnsi="Times New Roman" w:cs="Times New Roman"/>
          <w:color w:val="000000"/>
          <w:spacing w:val="-3"/>
        </w:rPr>
        <w:t>n</w:t>
      </w:r>
      <w:r w:rsidRPr="00A76CD6">
        <w:rPr>
          <w:rFonts w:ascii="Times New Roman" w:eastAsia="Arial" w:hAnsi="Times New Roman" w:cs="Times New Roman"/>
          <w:color w:val="000000"/>
          <w:spacing w:val="-4"/>
        </w:rPr>
        <w:t>DI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3"/>
        </w:rPr>
        <w:t>" um número inteiro.</w:t>
      </w:r>
    </w:p>
    <w:p w14:paraId="309DD654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3"/>
        </w:rPr>
      </w:pPr>
    </w:p>
    <w:p w14:paraId="32341C4C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3"/>
        </w:rPr>
      </w:pPr>
      <w:r w:rsidRPr="00A76CD6">
        <w:rPr>
          <w:rFonts w:ascii="Times New Roman" w:eastAsia="Arial" w:hAnsi="Times New Roman" w:cs="Times New Roman"/>
          <w:color w:val="000000"/>
          <w:spacing w:val="-3"/>
        </w:rPr>
        <w:t>Observações:</w:t>
      </w:r>
    </w:p>
    <w:p w14:paraId="142E69E7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jc w:val="both"/>
        <w:textAlignment w:val="baseline"/>
        <w:rPr>
          <w:rFonts w:ascii="Times New Roman" w:eastAsia="Arial" w:hAnsi="Times New Roman" w:cs="Times New Roman"/>
          <w:color w:val="000000"/>
          <w:spacing w:val="-3"/>
        </w:rPr>
      </w:pPr>
    </w:p>
    <w:p w14:paraId="53A171AC" w14:textId="77777777" w:rsidR="00C93D58" w:rsidRPr="00A76CD6" w:rsidRDefault="00C93D58" w:rsidP="00C93D58">
      <w:pPr>
        <w:pStyle w:val="ListParagraph"/>
        <w:keepLines/>
        <w:numPr>
          <w:ilvl w:val="0"/>
          <w:numId w:val="2"/>
        </w:numPr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  <w:r w:rsidRPr="00A76CD6">
        <w:rPr>
          <w:rFonts w:ascii="Times New Roman" w:eastAsia="Arial" w:hAnsi="Times New Roman" w:cs="Times New Roman"/>
          <w:color w:val="000000"/>
        </w:rPr>
        <w:t xml:space="preserve">O fator resultante da expressão (1 + </w:t>
      </w:r>
      <w:proofErr w:type="spellStart"/>
      <w:r w:rsidRPr="00A76CD6">
        <w:rPr>
          <w:rFonts w:ascii="Times New Roman" w:eastAsia="Arial" w:hAnsi="Times New Roman" w:cs="Times New Roman"/>
          <w:color w:val="000000"/>
        </w:rPr>
        <w:t>TDIk</w:t>
      </w:r>
      <w:proofErr w:type="spellEnd"/>
      <w:r w:rsidRPr="00A76CD6">
        <w:rPr>
          <w:rFonts w:ascii="Times New Roman" w:eastAsia="Arial" w:hAnsi="Times New Roman" w:cs="Times New Roman"/>
          <w:color w:val="000000"/>
        </w:rPr>
        <w:t xml:space="preserve">) é considerado com 16 (dezesseis) casas </w:t>
      </w:r>
      <w:r w:rsidRPr="00A76CD6">
        <w:rPr>
          <w:rFonts w:ascii="Times New Roman" w:eastAsia="Arial" w:hAnsi="Times New Roman" w:cs="Times New Roman"/>
          <w:color w:val="000000"/>
        </w:rPr>
        <w:br/>
        <w:t>decimais, sem arredondamento.</w:t>
      </w:r>
    </w:p>
    <w:p w14:paraId="7392BA82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</w:p>
    <w:p w14:paraId="5F0A0410" w14:textId="77777777" w:rsidR="00C93D58" w:rsidRPr="00A76CD6" w:rsidRDefault="00C93D58" w:rsidP="00C93D58">
      <w:pPr>
        <w:pStyle w:val="ListParagraph"/>
        <w:keepLines/>
        <w:numPr>
          <w:ilvl w:val="0"/>
          <w:numId w:val="2"/>
        </w:numPr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  <w:r w:rsidRPr="00A76CD6">
        <w:rPr>
          <w:rFonts w:ascii="Times New Roman" w:eastAsia="Arial" w:hAnsi="Times New Roman" w:cs="Times New Roman"/>
          <w:color w:val="000000"/>
        </w:rPr>
        <w:lastRenderedPageBreak/>
        <w:t xml:space="preserve">Efetua-se o </w:t>
      </w:r>
      <w:proofErr w:type="spellStart"/>
      <w:r w:rsidRPr="00A76CD6">
        <w:rPr>
          <w:rFonts w:ascii="Times New Roman" w:eastAsia="Arial" w:hAnsi="Times New Roman" w:cs="Times New Roman"/>
          <w:color w:val="000000"/>
        </w:rPr>
        <w:t>produtório</w:t>
      </w:r>
      <w:proofErr w:type="spellEnd"/>
      <w:r w:rsidRPr="00A76CD6">
        <w:rPr>
          <w:rFonts w:ascii="Times New Roman" w:eastAsia="Arial" w:hAnsi="Times New Roman" w:cs="Times New Roman"/>
          <w:color w:val="000000"/>
        </w:rPr>
        <w:t xml:space="preserve"> dos fatores (1 + </w:t>
      </w:r>
      <w:proofErr w:type="spellStart"/>
      <w:r w:rsidRPr="00A76CD6">
        <w:rPr>
          <w:rFonts w:ascii="Times New Roman" w:eastAsia="Arial" w:hAnsi="Times New Roman" w:cs="Times New Roman"/>
          <w:color w:val="000000"/>
        </w:rPr>
        <w:t>TDIk</w:t>
      </w:r>
      <w:proofErr w:type="spellEnd"/>
      <w:r w:rsidRPr="00A76CD6">
        <w:rPr>
          <w:rFonts w:ascii="Times New Roman" w:eastAsia="Arial" w:hAnsi="Times New Roman" w:cs="Times New Roman"/>
          <w:color w:val="000000"/>
        </w:rPr>
        <w:t>), sendo que a cada fator acumulado, trunca-se o resultado com 16 (dezesseis) casas decimais, aplicando-se o próximo fator diário, e assim por diante até o último considerado.</w:t>
      </w:r>
    </w:p>
    <w:p w14:paraId="1E4AB6F3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</w:p>
    <w:p w14:paraId="335959A7" w14:textId="77777777" w:rsidR="00C93D58" w:rsidRPr="00A76CD6" w:rsidRDefault="00C93D58" w:rsidP="00C93D58">
      <w:pPr>
        <w:pStyle w:val="ListParagraph"/>
        <w:keepLines/>
        <w:numPr>
          <w:ilvl w:val="0"/>
          <w:numId w:val="2"/>
        </w:numPr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  <w:r w:rsidRPr="00A76CD6">
        <w:rPr>
          <w:rFonts w:ascii="Times New Roman" w:eastAsia="Arial" w:hAnsi="Times New Roman" w:cs="Times New Roman"/>
          <w:color w:val="000000"/>
        </w:rPr>
        <w:t xml:space="preserve">Estando os fatores acumulados, considera-se o fator resultante "Fator DI" com </w:t>
      </w:r>
      <w:r w:rsidRPr="00A76CD6">
        <w:rPr>
          <w:rFonts w:ascii="Times New Roman" w:eastAsia="Arial" w:hAnsi="Times New Roman" w:cs="Times New Roman"/>
          <w:color w:val="000000"/>
          <w:spacing w:val="-2"/>
        </w:rPr>
        <w:t>8 (oito) casas decimais, com arredondamento.</w:t>
      </w:r>
    </w:p>
    <w:p w14:paraId="05D11930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</w:p>
    <w:p w14:paraId="41BFFEC9" w14:textId="77777777" w:rsidR="00C93D58" w:rsidRPr="00A76CD6" w:rsidRDefault="00C93D58" w:rsidP="00C93D58">
      <w:pPr>
        <w:pStyle w:val="ListParagraph"/>
        <w:keepLines/>
        <w:numPr>
          <w:ilvl w:val="0"/>
          <w:numId w:val="2"/>
        </w:numPr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</w:rPr>
      </w:pPr>
      <w:r w:rsidRPr="00A76CD6">
        <w:rPr>
          <w:rFonts w:ascii="Times New Roman" w:eastAsia="Arial" w:hAnsi="Times New Roman" w:cs="Times New Roman"/>
          <w:color w:val="000000"/>
        </w:rPr>
        <w:t xml:space="preserve">O fator resultante da expressão (Fator DI x </w:t>
      </w:r>
      <w:proofErr w:type="spellStart"/>
      <w:r w:rsidRPr="00A76CD6">
        <w:rPr>
          <w:rFonts w:ascii="Times New Roman" w:eastAsia="Arial" w:hAnsi="Times New Roman" w:cs="Times New Roman"/>
          <w:color w:val="000000"/>
        </w:rPr>
        <w:t>FatorSpread</w:t>
      </w:r>
      <w:proofErr w:type="spellEnd"/>
      <w:r w:rsidRPr="00A76CD6">
        <w:rPr>
          <w:rFonts w:ascii="Times New Roman" w:eastAsia="Arial" w:hAnsi="Times New Roman" w:cs="Times New Roman"/>
          <w:color w:val="000000"/>
        </w:rPr>
        <w:t xml:space="preserve">) deve ser considerado com </w:t>
      </w:r>
      <w:r w:rsidRPr="00A76CD6">
        <w:rPr>
          <w:rFonts w:ascii="Times New Roman" w:eastAsia="Arial" w:hAnsi="Times New Roman" w:cs="Times New Roman"/>
          <w:color w:val="000000"/>
          <w:spacing w:val="-2"/>
        </w:rPr>
        <w:t>9 (nove) casas decimais, com arredondamento.</w:t>
      </w:r>
    </w:p>
    <w:p w14:paraId="7D9E2F45" w14:textId="77777777" w:rsidR="00C93D58" w:rsidRPr="00A76CD6" w:rsidRDefault="00C93D58" w:rsidP="00C93D58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</w:p>
    <w:p w14:paraId="38886A7F" w14:textId="77777777" w:rsidR="00C93D58" w:rsidRPr="00A76CD6" w:rsidRDefault="00C93D58" w:rsidP="00C93D58">
      <w:pPr>
        <w:pStyle w:val="ListParagraph"/>
        <w:keepLines/>
        <w:numPr>
          <w:ilvl w:val="0"/>
          <w:numId w:val="2"/>
        </w:numPr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  <w:r w:rsidRPr="00A76CD6">
        <w:rPr>
          <w:rFonts w:ascii="Times New Roman" w:eastAsia="Arial" w:hAnsi="Times New Roman" w:cs="Times New Roman"/>
          <w:color w:val="000000"/>
          <w:spacing w:val="-2"/>
        </w:rPr>
        <w:t>A Taxa DI deverá ser utilizada considerando idêntico número de casas decimais divulgado pela entidade responsável por seu cálculo, salvo quando expressamente indicado de outra forma.</w:t>
      </w:r>
    </w:p>
    <w:p w14:paraId="646A4A80" w14:textId="77777777" w:rsidR="00C93D58" w:rsidRPr="00A76CD6" w:rsidRDefault="00C93D58" w:rsidP="00C93D58">
      <w:pPr>
        <w:pStyle w:val="ListParagraph"/>
        <w:spacing w:after="0" w:line="320" w:lineRule="exact"/>
        <w:rPr>
          <w:rFonts w:ascii="Times New Roman" w:eastAsia="Arial" w:hAnsi="Times New Roman" w:cs="Times New Roman"/>
          <w:color w:val="000000"/>
          <w:spacing w:val="-2"/>
        </w:rPr>
      </w:pPr>
    </w:p>
    <w:p w14:paraId="5CB8EB76" w14:textId="77777777" w:rsidR="00C93D58" w:rsidRPr="00A76CD6" w:rsidRDefault="00C93D58" w:rsidP="00C93D58">
      <w:pPr>
        <w:pStyle w:val="ListParagraph"/>
        <w:keepLines/>
        <w:numPr>
          <w:ilvl w:val="0"/>
          <w:numId w:val="2"/>
        </w:numPr>
        <w:spacing w:after="0" w:line="320" w:lineRule="exact"/>
        <w:ind w:left="1134" w:hanging="425"/>
        <w:jc w:val="both"/>
        <w:textAlignment w:val="baseline"/>
        <w:rPr>
          <w:rFonts w:ascii="Times New Roman" w:eastAsia="Arial" w:hAnsi="Times New Roman" w:cs="Times New Roman"/>
          <w:color w:val="000000"/>
          <w:spacing w:val="-2"/>
        </w:rPr>
      </w:pPr>
      <w:r w:rsidRPr="00A76CD6">
        <w:rPr>
          <w:rFonts w:ascii="Times New Roman" w:eastAsia="Arial" w:hAnsi="Times New Roman" w:cs="Times New Roman"/>
          <w:color w:val="000000"/>
          <w:spacing w:val="-2"/>
        </w:rPr>
        <w:t>“Período de Capitalização” significa (i) para o primeiro período, o período entre a primeira Data de Emissão (inclusive) da respectiva Série e a primeira data de pagamento da Remuneração da respectiva Série (exclusive); e (</w:t>
      </w:r>
      <w:proofErr w:type="spellStart"/>
      <w:r w:rsidRPr="00A76CD6">
        <w:rPr>
          <w:rFonts w:ascii="Times New Roman" w:eastAsia="Arial" w:hAnsi="Times New Roman" w:cs="Times New Roman"/>
          <w:color w:val="000000"/>
          <w:spacing w:val="-2"/>
        </w:rPr>
        <w:t>ii</w:t>
      </w:r>
      <w:proofErr w:type="spellEnd"/>
      <w:r w:rsidRPr="00A76CD6">
        <w:rPr>
          <w:rFonts w:ascii="Times New Roman" w:eastAsia="Arial" w:hAnsi="Times New Roman" w:cs="Times New Roman"/>
          <w:color w:val="000000"/>
          <w:spacing w:val="-2"/>
        </w:rPr>
        <w:t>) para os demais períodos, o período entre a data de pagamento da Remuneração da respectiva Série (inclusive) e a próxima data de pagamento da Remuneração  (exclusive).</w:t>
      </w:r>
    </w:p>
    <w:p w14:paraId="0544D797" w14:textId="77777777" w:rsidR="002F4087" w:rsidRDefault="00C93D58"/>
    <w:sectPr w:rsidR="002F4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00"/>
    <w:family w:val="roman"/>
    <w:notTrueType/>
    <w:pitch w:val="default"/>
    <w:sig w:usb0="00000001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2301E"/>
    <w:multiLevelType w:val="hybridMultilevel"/>
    <w:tmpl w:val="9E70977E"/>
    <w:lvl w:ilvl="0" w:tplc="33C44C68">
      <w:start w:val="1"/>
      <w:numFmt w:val="decimal"/>
      <w:lvlText w:val="4.%1."/>
      <w:lvlJc w:val="left"/>
      <w:pPr>
        <w:ind w:left="754" w:hanging="360"/>
      </w:pPr>
      <w:rPr>
        <w:rFonts w:hint="default"/>
        <w:b/>
      </w:rPr>
    </w:lvl>
    <w:lvl w:ilvl="1" w:tplc="D52C95B4">
      <w:start w:val="1"/>
      <w:numFmt w:val="decimal"/>
      <w:lvlText w:val="4.10.%2"/>
      <w:lvlJc w:val="left"/>
      <w:pPr>
        <w:ind w:left="36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ind w:left="2194" w:hanging="180"/>
      </w:pPr>
    </w:lvl>
    <w:lvl w:ilvl="3" w:tplc="0416000F" w:tentative="1">
      <w:start w:val="1"/>
      <w:numFmt w:val="decimal"/>
      <w:lvlText w:val="%4."/>
      <w:lvlJc w:val="left"/>
      <w:pPr>
        <w:ind w:left="2914" w:hanging="360"/>
      </w:pPr>
    </w:lvl>
    <w:lvl w:ilvl="4" w:tplc="04160019" w:tentative="1">
      <w:start w:val="1"/>
      <w:numFmt w:val="lowerLetter"/>
      <w:lvlText w:val="%5."/>
      <w:lvlJc w:val="left"/>
      <w:pPr>
        <w:ind w:left="3634" w:hanging="360"/>
      </w:pPr>
    </w:lvl>
    <w:lvl w:ilvl="5" w:tplc="0416001B" w:tentative="1">
      <w:start w:val="1"/>
      <w:numFmt w:val="lowerRoman"/>
      <w:lvlText w:val="%6."/>
      <w:lvlJc w:val="right"/>
      <w:pPr>
        <w:ind w:left="4354" w:hanging="180"/>
      </w:pPr>
    </w:lvl>
    <w:lvl w:ilvl="6" w:tplc="0416000F" w:tentative="1">
      <w:start w:val="1"/>
      <w:numFmt w:val="decimal"/>
      <w:lvlText w:val="%7."/>
      <w:lvlJc w:val="left"/>
      <w:pPr>
        <w:ind w:left="5074" w:hanging="360"/>
      </w:pPr>
    </w:lvl>
    <w:lvl w:ilvl="7" w:tplc="04160019" w:tentative="1">
      <w:start w:val="1"/>
      <w:numFmt w:val="lowerLetter"/>
      <w:lvlText w:val="%8."/>
      <w:lvlJc w:val="left"/>
      <w:pPr>
        <w:ind w:left="5794" w:hanging="360"/>
      </w:pPr>
    </w:lvl>
    <w:lvl w:ilvl="8" w:tplc="0416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 w15:restartNumberingAfterBreak="0">
    <w:nsid w:val="27981B48"/>
    <w:multiLevelType w:val="hybridMultilevel"/>
    <w:tmpl w:val="21C263D6"/>
    <w:lvl w:ilvl="0" w:tplc="7EDAE236">
      <w:start w:val="1"/>
      <w:numFmt w:val="lowerRoman"/>
      <w:lvlText w:val="(%1)"/>
      <w:lvlJc w:val="left"/>
      <w:pPr>
        <w:ind w:left="2496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58"/>
    <w:rsid w:val="000228A2"/>
    <w:rsid w:val="009833C1"/>
    <w:rsid w:val="00C9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DA41"/>
  <w15:chartTrackingRefBased/>
  <w15:docId w15:val="{7FD55077-B825-46E8-B449-5BC723D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5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93D5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9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590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Teixeira</dc:creator>
  <cp:keywords/>
  <dc:description/>
  <cp:lastModifiedBy>Marcela Teixeira</cp:lastModifiedBy>
  <cp:revision>1</cp:revision>
  <dcterms:created xsi:type="dcterms:W3CDTF">2020-07-23T17:52:00Z</dcterms:created>
  <dcterms:modified xsi:type="dcterms:W3CDTF">2020-07-23T18:02:00Z</dcterms:modified>
</cp:coreProperties>
</file>