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missionTitle"/>
        <w:widowControl w:val="false"/>
        <w:rPr>
          <w:lang w:val="es-ES"/>
        </w:rPr>
      </w:pPr>
      <w:r>
        <w:rPr>
          <w:lang w:val="es-ES"/>
        </w:rPr>
        <w:t xml:space="preserve">Detección de cúmulos estelares en galaxias cercanas utilizando técnicas de Machine Learning y algoritmos de aplicación </w:t>
        <w:br/>
        <w:t>en redes sociales</w:t>
      </w:r>
    </w:p>
    <w:p>
      <w:pPr>
        <w:pStyle w:val="Normal"/>
        <w:spacing w:lineRule="auto" w:line="240" w:before="0" w:after="0"/>
        <w:jc w:val="center"/>
        <w:rPr>
          <w:lang w:val="pt-PT"/>
        </w:rPr>
      </w:pPr>
      <w:r>
        <w:rPr>
          <w:rFonts w:eastAsia="Times New Roman" w:cs="Times New Roman" w:ascii="Times New Roman" w:hAnsi="Times New Roman"/>
          <w:szCs w:val="24"/>
          <w:lang w:val="pt-PT"/>
        </w:rPr>
        <w:t>Martin Casatti</w:t>
      </w:r>
      <w:r>
        <w:rPr>
          <w:rFonts w:eastAsia="Times New Roman" w:cs="Times New Roman" w:ascii="Times New Roman" w:hAnsi="Times New Roman"/>
          <w:szCs w:val="24"/>
          <w:vertAlign w:val="superscript"/>
          <w:lang w:val="pt-PT"/>
        </w:rPr>
        <w:t>1</w:t>
      </w:r>
      <w:r>
        <w:rPr>
          <w:rFonts w:eastAsia="Times New Roman" w:cs="Times New Roman" w:ascii="Times New Roman" w:hAnsi="Times New Roman"/>
          <w:szCs w:val="24"/>
          <w:lang w:val="pt-PT"/>
        </w:rPr>
        <w:t>, Marcelo Marciszack</w:t>
      </w:r>
      <w:r>
        <w:rPr>
          <w:rFonts w:eastAsia="Times New Roman" w:cs="Times New Roman" w:ascii="Times New Roman" w:hAnsi="Times New Roman"/>
          <w:szCs w:val="24"/>
          <w:vertAlign w:val="superscript"/>
          <w:lang w:val="pt-PT"/>
        </w:rPr>
        <w:t>1</w:t>
      </w:r>
      <w:r>
        <w:rPr>
          <w:rFonts w:eastAsia="Times New Roman" w:cs="Times New Roman" w:ascii="Times New Roman" w:hAnsi="Times New Roman"/>
          <w:szCs w:val="24"/>
          <w:lang w:val="pt-PT"/>
        </w:rPr>
        <w:t xml:space="preserve"> and Carlos Feinstein</w:t>
      </w:r>
      <w:r>
        <w:rPr>
          <w:rFonts w:eastAsia="Times New Roman" w:cs="Times New Roman" w:ascii="Times New Roman" w:hAnsi="Times New Roman"/>
          <w:szCs w:val="24"/>
          <w:vertAlign w:val="superscript"/>
          <w:lang w:val="pt-PT"/>
        </w:rPr>
        <w:t>2</w:t>
      </w:r>
    </w:p>
    <w:p>
      <w:pPr>
        <w:pStyle w:val="Normal"/>
        <w:spacing w:lineRule="auto" w:line="240" w:before="0" w:after="0"/>
        <w:jc w:val="center"/>
        <w:rPr>
          <w:lang w:val="es-ES"/>
        </w:rPr>
      </w:pPr>
      <w:r>
        <w:rPr>
          <w:rFonts w:eastAsia="Times New Roman" w:cs="Times New Roman" w:ascii="Times New Roman" w:hAnsi="Times New Roman"/>
          <w:i/>
          <w:iCs/>
          <w:sz w:val="18"/>
          <w:szCs w:val="24"/>
          <w:vertAlign w:val="superscript"/>
          <w:lang w:val="es-ES"/>
        </w:rPr>
        <w:t>1</w:t>
      </w:r>
      <w:r>
        <w:rPr>
          <w:rFonts w:eastAsia="Times New Roman" w:cs="Times New Roman" w:ascii="Times New Roman" w:hAnsi="Times New Roman"/>
          <w:i/>
          <w:iCs/>
          <w:sz w:val="18"/>
          <w:szCs w:val="24"/>
          <w:lang w:val="es-ES"/>
        </w:rPr>
        <w:t>Universidad Tecnológica Nacional, Facultad Regional Córdoba, Argentina</w:t>
      </w:r>
    </w:p>
    <w:p>
      <w:pPr>
        <w:pStyle w:val="Normal"/>
        <w:spacing w:lineRule="auto" w:line="240" w:before="0" w:after="0"/>
        <w:jc w:val="center"/>
        <w:rPr>
          <w:lang w:val="es-ES"/>
        </w:rPr>
      </w:pPr>
      <w:r>
        <w:rPr>
          <w:rFonts w:eastAsia="Times New Roman" w:cs="Times New Roman" w:ascii="Times New Roman" w:hAnsi="Times New Roman"/>
          <w:i/>
          <w:iCs/>
          <w:sz w:val="18"/>
          <w:szCs w:val="24"/>
          <w:vertAlign w:val="superscript"/>
          <w:lang w:val="es-ES"/>
        </w:rPr>
        <w:t>2</w:t>
      </w:r>
      <w:r>
        <w:rPr>
          <w:rFonts w:eastAsia="Times New Roman" w:cs="Times New Roman" w:ascii="Times New Roman" w:hAnsi="Times New Roman"/>
          <w:i/>
          <w:iCs/>
          <w:sz w:val="18"/>
          <w:szCs w:val="24"/>
          <w:lang w:val="es-ES"/>
        </w:rPr>
        <w:t>Universidad Nacional de La Plata, Argentina</w:t>
      </w:r>
    </w:p>
    <w:p>
      <w:pPr>
        <w:pStyle w:val="AbstractTitle"/>
        <w:rPr>
          <w:lang w:val="es-ES"/>
        </w:rPr>
      </w:pPr>
      <w:r>
        <w:rPr>
          <w:lang w:val="es-ES"/>
        </w:rPr>
        <w:t>Resumen</w:t>
      </w:r>
    </w:p>
    <w:p>
      <w:pPr>
        <w:pStyle w:val="AbstractText"/>
        <w:rPr>
          <w:lang w:val="es-ES"/>
        </w:rPr>
      </w:pPr>
      <w:r>
        <w:rPr>
          <w:lang w:val="es-ES"/>
        </w:rPr>
        <w:t>El presente trabajo expone la hipótesis de trabajo y las actividades en desarrollo de una tesis de doctorado que busca demostrar la viabilidad de la utilización de técnicas de reconocimiento de comunidades en redes sociales pero aplicadas a la detección de clusters estelares en galaxias cercanas. El trabajo expone las condiciones actuales, que dan surgimiento a la necesidad del uso de técnicas de detección automatizada, describe los ámbitos bajo estudio y plantea la hipótesis de trabajo así como las tareas a desarrollar para la consecusión del objetivo general de la tesis.</w:t>
      </w:r>
    </w:p>
    <w:p>
      <w:pPr>
        <w:pStyle w:val="AbstractText"/>
        <w:rPr>
          <w:lang w:val="es-ES"/>
        </w:rPr>
      </w:pPr>
      <w:r>
        <w:rPr/>
      </w:r>
    </w:p>
    <w:p>
      <w:pPr>
        <w:pStyle w:val="AbstractText"/>
        <w:rPr>
          <w:lang w:val="es-ES"/>
        </w:rPr>
      </w:pPr>
      <w:r>
        <w:rPr>
          <w:b/>
          <w:bCs/>
          <w:lang w:val="es-ES"/>
        </w:rPr>
        <w:t>Palabras clave:</w:t>
      </w:r>
      <w:r>
        <w:rPr>
          <w:lang w:val="es-ES"/>
        </w:rPr>
        <w:t xml:space="preserve"> reconocimiento, patrones, astronomía, redes sociales, machine learning</w:t>
      </w:r>
    </w:p>
    <w:p>
      <w:pPr>
        <w:pStyle w:val="FirstOrderHeadings"/>
        <w:widowControl w:val="false"/>
        <w:rPr>
          <w:lang w:val="es-ES"/>
        </w:rPr>
      </w:pPr>
      <w:r>
        <w:rPr>
          <w:lang w:val="es-ES"/>
        </w:rPr>
        <w:t>1.</w:t>
        <w:tab/>
        <w:t>Introducción</w:t>
      </w:r>
    </w:p>
    <w:p>
      <w:pPr>
        <w:pStyle w:val="Normal"/>
        <w:spacing w:lineRule="auto" w:line="240" w:before="0" w:after="0"/>
        <w:jc w:val="both"/>
        <w:rPr>
          <w:lang w:val="es-ES"/>
        </w:rPr>
      </w:pPr>
      <w:r>
        <w:rPr>
          <w:rFonts w:cs="Times New Roman" w:ascii="Times New Roman" w:hAnsi="Times New Roman"/>
          <w:sz w:val="20"/>
          <w:szCs w:val="20"/>
          <w:lang w:val="es-ES"/>
        </w:rPr>
        <w:t>El presente trabajo se enmarca en el desarrollo de una tesis doctoral, llevada adelante en forma conjunta por el Centro de Investigación, Desarrollo y Transferencia de Sistemas, de la Universidad Tecnológica Nacional, Facultad Regional Córdoba, con el Instituto de Astrofísica de la Universidad Nacional de La Plata y cuyo objetivo principal es lograr la detección de cúmulos estelares en galaxias cercanas utilizando algoritmos de redes sociales y técnicas de Machine Learning.</w:t>
      </w:r>
    </w:p>
    <w:p>
      <w:pPr>
        <w:pStyle w:val="Normal"/>
        <w:spacing w:lineRule="auto" w:line="240" w:before="0" w:after="0"/>
        <w:ind w:firstLine="284"/>
        <w:jc w:val="both"/>
        <w:rPr>
          <w:lang w:val="es-ES"/>
        </w:rPr>
      </w:pPr>
      <w:r>
        <w:rPr>
          <w:rFonts w:cs="Times New Roman" w:ascii="Times New Roman" w:hAnsi="Times New Roman"/>
          <w:sz w:val="20"/>
          <w:szCs w:val="20"/>
          <w:lang w:val="es-ES"/>
        </w:rPr>
        <w:t>Las agrupaciones estelares, también denominados cúmulos o clusters, han sido objetos reconocidos desde hace tiempo como laboratorios importantes para la investigación astrofísica, siendo muy útiles en varios aspectos, entre los que se pueden destacar los siguientes:</w:t>
      </w:r>
    </w:p>
    <w:p>
      <w:pPr>
        <w:pStyle w:val="Normal"/>
        <w:numPr>
          <w:ilvl w:val="0"/>
          <w:numId w:val="2"/>
        </w:numPr>
        <w:spacing w:lineRule="auto" w:line="240" w:before="0" w:after="0"/>
        <w:jc w:val="both"/>
        <w:rPr>
          <w:lang w:val="es-ES"/>
        </w:rPr>
      </w:pPr>
      <w:r>
        <w:rPr>
          <w:rFonts w:cs="Times New Roman" w:ascii="Times New Roman" w:hAnsi="Times New Roman"/>
          <w:sz w:val="20"/>
          <w:szCs w:val="20"/>
          <w:lang w:val="es-ES"/>
        </w:rPr>
        <w:t>Contienen muestras estadísticamente significativas de estrellas de aproxima-damente la misma edad, con composiciones químicas similares, un amplio rango de masas estelares y localizadas en un volumen relativamente pequeño del espacio, haciéndolas un conjunto ideal para el análisis de características comunes y determinación de los patrones que rigen su surgimiento (Klessen y Burkert, 2000).</w:t>
      </w:r>
    </w:p>
    <w:p>
      <w:pPr>
        <w:pStyle w:val="Normal"/>
        <w:numPr>
          <w:ilvl w:val="0"/>
          <w:numId w:val="2"/>
        </w:numPr>
        <w:spacing w:lineRule="auto" w:line="240" w:before="0" w:after="0"/>
        <w:jc w:val="both"/>
        <w:rPr>
          <w:lang w:val="es-ES"/>
        </w:rPr>
      </w:pPr>
      <w:r>
        <w:rPr>
          <w:rFonts w:cs="Times New Roman" w:ascii="Times New Roman" w:hAnsi="Times New Roman"/>
          <w:sz w:val="20"/>
          <w:szCs w:val="20"/>
          <w:lang w:val="es-ES"/>
        </w:rPr>
        <w:t>En relación con el proceso de formación estelar, los cúmulos jóvenes permiten esclarecer la forma y las escalas de tiempo en las que estos mecanismos están activos, así como también permiten analizar su dependendencia de los distintos ambientes interestelares de la Vía Láctea o de otras galaxias (Fall y Chandar, 2012).</w:t>
      </w:r>
    </w:p>
    <w:p>
      <w:pPr>
        <w:pStyle w:val="FirstOrderHeadings"/>
        <w:widowControl w:val="false"/>
        <w:rPr>
          <w:lang w:val="es-ES"/>
        </w:rPr>
      </w:pPr>
      <w:r>
        <w:rPr>
          <w:lang w:val="es-ES"/>
        </w:rPr>
        <w:t>2.</w:t>
        <w:tab/>
        <w:t>desarrollo</w:t>
      </w:r>
    </w:p>
    <w:p>
      <w:pPr>
        <w:pStyle w:val="Normal"/>
        <w:spacing w:lineRule="auto" w:line="240" w:before="0" w:after="0"/>
        <w:jc w:val="both"/>
        <w:rPr>
          <w:lang w:val="es-ES"/>
        </w:rPr>
      </w:pPr>
      <w:r>
        <w:rPr>
          <w:rFonts w:cs="Times New Roman" w:ascii="Times New Roman" w:hAnsi="Times New Roman"/>
          <w:sz w:val="20"/>
          <w:szCs w:val="20"/>
          <w:lang w:val="es-ES"/>
        </w:rPr>
        <w:t>En la actualidad existe una gran cantidad de información de las galaxias cercanas (a varios Mpc</w:t>
      </w:r>
      <w:r>
        <w:rPr>
          <w:rStyle w:val="FootnoteAnchor"/>
          <w:rFonts w:cs="Times New Roman" w:ascii="Times New Roman" w:hAnsi="Times New Roman"/>
          <w:sz w:val="20"/>
          <w:szCs w:val="20"/>
        </w:rPr>
        <w:footnoteReference w:id="2"/>
      </w:r>
      <w:r>
        <w:rPr>
          <w:rFonts w:cs="Times New Roman" w:ascii="Times New Roman" w:hAnsi="Times New Roman"/>
          <w:sz w:val="20"/>
          <w:szCs w:val="20"/>
          <w:lang w:val="es-ES"/>
        </w:rPr>
        <w:t>) debido, en gran parte, a que el Telescopio Espacial Hubble (HST) ha permitido obtener datos con alta resolución espacial utilizando varias cámaras de campo amplio (WFPC2; ACS) (Dalcanton et al., 2009).</w:t>
      </w:r>
    </w:p>
    <w:p>
      <w:pPr>
        <w:pStyle w:val="Normal"/>
        <w:spacing w:lineRule="auto" w:line="240" w:before="0" w:after="0"/>
        <w:ind w:firstLine="284"/>
        <w:jc w:val="both"/>
        <w:rPr>
          <w:lang w:val="es-ES"/>
        </w:rPr>
      </w:pPr>
      <w:r>
        <w:rPr>
          <w:rFonts w:cs="Times New Roman" w:ascii="Times New Roman" w:hAnsi="Times New Roman"/>
          <w:sz w:val="20"/>
          <w:szCs w:val="20"/>
          <w:lang w:val="es-ES"/>
        </w:rPr>
        <w:t xml:space="preserve">Se cuenta con una enorme cantidad de datos proveniente de las varias ob-servaciones continuas que se están realizando y que se proyectan realizar en modo “survey” </w:t>
      </w:r>
      <w:r>
        <w:rPr>
          <w:rStyle w:val="FootnoteAnchor"/>
          <w:rFonts w:cs="Times New Roman" w:ascii="Times New Roman" w:hAnsi="Times New Roman"/>
          <w:sz w:val="20"/>
          <w:szCs w:val="20"/>
        </w:rPr>
        <w:footnoteReference w:id="3"/>
      </w:r>
      <w:r>
        <w:rPr>
          <w:rFonts w:cs="Times New Roman" w:ascii="Times New Roman" w:hAnsi="Times New Roman"/>
          <w:sz w:val="20"/>
          <w:szCs w:val="20"/>
          <w:lang w:val="es-ES"/>
        </w:rPr>
        <w:t xml:space="preserve"> (p.e. VVV</w:t>
      </w:r>
      <w:r>
        <w:rPr>
          <w:rStyle w:val="FootnoteAnchor"/>
          <w:rFonts w:cs="Times New Roman" w:ascii="Times New Roman" w:hAnsi="Times New Roman"/>
          <w:sz w:val="20"/>
          <w:szCs w:val="20"/>
        </w:rPr>
        <w:footnoteReference w:id="4"/>
      </w:r>
      <w:r>
        <w:rPr>
          <w:rFonts w:cs="Times New Roman" w:ascii="Times New Roman" w:hAnsi="Times New Roman"/>
          <w:sz w:val="20"/>
          <w:szCs w:val="20"/>
          <w:lang w:val="es-ES"/>
        </w:rPr>
        <w:t xml:space="preserve"> o LSST</w:t>
      </w:r>
      <w:r>
        <w:rPr>
          <w:rStyle w:val="FootnoteAnchor"/>
          <w:rFonts w:cs="Times New Roman" w:ascii="Times New Roman" w:hAnsi="Times New Roman"/>
          <w:sz w:val="20"/>
          <w:szCs w:val="20"/>
        </w:rPr>
        <w:footnoteReference w:id="5"/>
      </w:r>
      <w:r>
        <w:rPr>
          <w:rFonts w:cs="Times New Roman" w:ascii="Times New Roman" w:hAnsi="Times New Roman"/>
          <w:sz w:val="20"/>
          <w:szCs w:val="20"/>
          <w:lang w:val="es-ES"/>
        </w:rPr>
        <w:t>) que necesitan ser estudiados con métodos automáticos.</w:t>
      </w:r>
    </w:p>
    <w:p>
      <w:pPr>
        <w:pStyle w:val="Normal"/>
        <w:spacing w:lineRule="auto" w:line="240" w:before="0" w:after="0"/>
        <w:ind w:firstLine="284"/>
        <w:jc w:val="both"/>
        <w:rPr>
          <w:lang w:val="es-ES"/>
        </w:rPr>
      </w:pPr>
      <w:r>
        <w:rPr>
          <w:rFonts w:cs="Times New Roman" w:ascii="Times New Roman" w:hAnsi="Times New Roman"/>
          <w:sz w:val="20"/>
          <w:szCs w:val="20"/>
          <w:lang w:val="es-ES"/>
        </w:rPr>
        <w:t>En este ámbito, los algoritmos de reconocimiento automático de patrones, están teniendo una importante revisión y desarrollo tal como se puede apreciar en el análisis comparativo de Schmeja (2011) (Schmeja, 2011).</w:t>
      </w:r>
    </w:p>
    <w:p>
      <w:pPr>
        <w:pStyle w:val="Normal"/>
        <w:spacing w:lineRule="auto" w:line="240" w:before="0" w:after="0"/>
        <w:ind w:firstLine="284"/>
        <w:jc w:val="both"/>
        <w:rPr>
          <w:lang w:val="es-ES"/>
        </w:rPr>
      </w:pPr>
      <w:r>
        <w:rPr>
          <w:rFonts w:cs="Times New Roman" w:ascii="Times New Roman" w:hAnsi="Times New Roman"/>
          <w:sz w:val="20"/>
          <w:szCs w:val="20"/>
          <w:lang w:val="es-ES"/>
        </w:rPr>
        <w:t>En otros ámbitos científicos se han aplicado con éxito diversos algoritmos de clustering, como por ejemplo “K-mean”, “Birch”, “Spectral Clustering”, “Dbscan”, etc. (Rodriguez et al., 2019)</w:t>
      </w:r>
    </w:p>
    <w:p>
      <w:pPr>
        <w:pStyle w:val="Normal"/>
        <w:spacing w:lineRule="auto" w:line="240" w:before="0" w:after="0"/>
        <w:ind w:firstLine="284"/>
        <w:jc w:val="both"/>
        <w:rPr>
          <w:lang w:val="es-ES"/>
        </w:rPr>
      </w:pPr>
      <w:r>
        <w:rPr>
          <w:rFonts w:cs="Times New Roman" w:ascii="Times New Roman" w:hAnsi="Times New Roman"/>
          <w:sz w:val="20"/>
          <w:szCs w:val="20"/>
          <w:lang w:val="es-ES"/>
        </w:rPr>
        <w:t>Por otra parte, el auge que tiene desde hace algunos años el análisis de redes sociales nos ha brindado otro amplio campo de estudios en el que se pueden apreciar algunos de los atributos que son comunes al problema de la detección de cúmulos estelares, como por ejemplo:</w:t>
      </w:r>
    </w:p>
    <w:p>
      <w:pPr>
        <w:pStyle w:val="ListParagraph"/>
        <w:numPr>
          <w:ilvl w:val="0"/>
          <w:numId w:val="1"/>
        </w:numPr>
        <w:spacing w:lineRule="auto" w:line="240" w:before="0" w:after="0"/>
        <w:contextualSpacing/>
        <w:jc w:val="both"/>
        <w:rPr>
          <w:lang w:val="es-ES"/>
        </w:rPr>
      </w:pPr>
      <w:r>
        <w:rPr>
          <w:rFonts w:cs="Times New Roman" w:ascii="Times New Roman" w:hAnsi="Times New Roman"/>
          <w:sz w:val="20"/>
          <w:szCs w:val="20"/>
          <w:lang w:val="es-ES"/>
        </w:rPr>
        <w:t>En el ámbito de las redes sociales también se cuenta con una gran cantidad de datos.</w:t>
      </w:r>
    </w:p>
    <w:p>
      <w:pPr>
        <w:pStyle w:val="ListParagraph"/>
        <w:numPr>
          <w:ilvl w:val="0"/>
          <w:numId w:val="1"/>
        </w:numPr>
        <w:spacing w:lineRule="auto" w:line="240" w:before="0" w:after="0"/>
        <w:contextualSpacing/>
        <w:jc w:val="both"/>
        <w:rPr>
          <w:lang w:val="es-ES"/>
        </w:rPr>
      </w:pPr>
      <w:r>
        <w:rPr>
          <w:rFonts w:cs="Times New Roman" w:ascii="Times New Roman" w:hAnsi="Times New Roman"/>
          <w:sz w:val="20"/>
          <w:szCs w:val="20"/>
          <w:lang w:val="es-ES"/>
        </w:rPr>
        <w:t>Existe un conjunto de relaciones no evidentes entre los mismos y</w:t>
      </w:r>
    </w:p>
    <w:p>
      <w:pPr>
        <w:pStyle w:val="ListParagraph"/>
        <w:numPr>
          <w:ilvl w:val="0"/>
          <w:numId w:val="1"/>
        </w:numPr>
        <w:spacing w:lineRule="auto" w:line="240" w:before="0" w:after="0"/>
        <w:contextualSpacing/>
        <w:jc w:val="both"/>
        <w:rPr>
          <w:lang w:val="es-ES"/>
        </w:rPr>
      </w:pPr>
      <w:r>
        <w:rPr>
          <w:rFonts w:cs="Times New Roman" w:ascii="Times New Roman" w:hAnsi="Times New Roman"/>
          <w:sz w:val="20"/>
          <w:szCs w:val="20"/>
          <w:lang w:val="es-ES"/>
        </w:rPr>
        <w:t>Un nutrido grupo de atributos analizables a fin de guiar la detección de patrones.</w:t>
      </w:r>
    </w:p>
    <w:p>
      <w:pPr>
        <w:pStyle w:val="Normal"/>
        <w:spacing w:lineRule="auto" w:line="240" w:before="0" w:after="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lang w:val="es-ES"/>
        </w:rPr>
      </w:pPr>
      <w:r>
        <w:rPr>
          <w:rFonts w:cs="Times New Roman" w:ascii="Times New Roman" w:hAnsi="Times New Roman"/>
          <w:sz w:val="20"/>
          <w:szCs w:val="20"/>
          <w:lang w:val="es-ES"/>
        </w:rPr>
        <w:t>La estructura inherente de dichas redes es la de un grafo, sobre el que se puede realizar multitud de análisis sustentados por la Teoría de Grafos (West, 2001). Diversos estudios, tanto de la topología de dichas redes (Barnes y Harary, 1983) como de las características que presentan sus participantes, brindan un fértil campo para el estudio de algoritmos de detección de patrones estructurales, muchos de ellos asistidos por técnicas de Machine Learning (Alharbi y Alsubhi, 2021). Algoritmos como los de “detección de comunidades” (Wang et al., 2015), “detección de anomalías” (Kaur y Singh, 2016), “determinación de subredes similares”, “clustering dinámico” (Boccaletti et al., 2007) y “predicción de enlaces más probables” (Kushwah y Manjhvar, 2016), son un ámbito en donde las técnicas de aprendizaje supervisado está encontrando cada vez más aplicaciones.</w:t>
      </w:r>
    </w:p>
    <w:p>
      <w:pPr>
        <w:pStyle w:val="Normal"/>
        <w:spacing w:lineRule="auto" w:line="240" w:before="0" w:after="0"/>
        <w:ind w:firstLine="284"/>
        <w:jc w:val="both"/>
        <w:rPr>
          <w:lang w:val="es-ES"/>
        </w:rPr>
      </w:pPr>
      <w:r>
        <w:rPr>
          <w:rFonts w:cs="Times New Roman" w:ascii="Times New Roman" w:hAnsi="Times New Roman"/>
          <w:sz w:val="20"/>
          <w:szCs w:val="20"/>
          <w:lang w:val="es-ES"/>
        </w:rPr>
        <w:t>Existen actualmente estudios comparativos de diversos algoritmos de detección de comunidades en redes (Lancichinetti y Fortunato, 2009) que presentan resultados prometedores para su aplicación, o las de sus derivados, en ámbitos diferentes.</w:t>
      </w:r>
    </w:p>
    <w:p>
      <w:pPr>
        <w:pStyle w:val="Normal"/>
        <w:spacing w:lineRule="auto" w:line="240" w:before="0" w:after="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lang w:val="es-ES"/>
        </w:rPr>
      </w:pPr>
      <w:r>
        <w:rPr>
          <w:rFonts w:cs="Times New Roman" w:ascii="Times New Roman" w:hAnsi="Times New Roman"/>
          <w:sz w:val="20"/>
          <w:szCs w:val="20"/>
          <w:lang w:val="es-ES"/>
        </w:rPr>
        <w:t>La puesta en funcionamiento de instrumentos de observación astronómica cada vez más potentes, durante los últimos 50 años, ha dado lugar a un crecimiento exponencial de la cantidad de objetos detectados, los que requieren análisis y estudio.</w:t>
      </w:r>
    </w:p>
    <w:p>
      <w:pPr>
        <w:pStyle w:val="Normal"/>
        <w:spacing w:lineRule="auto" w:line="240" w:before="0" w:after="0"/>
        <w:ind w:firstLine="284"/>
        <w:jc w:val="both"/>
        <w:rPr>
          <w:lang w:val="es-ES"/>
        </w:rPr>
      </w:pPr>
      <w:r>
        <w:rPr>
          <w:rFonts w:cs="Times New Roman" w:ascii="Times New Roman" w:hAnsi="Times New Roman"/>
          <w:sz w:val="20"/>
          <w:szCs w:val="20"/>
          <w:lang w:val="es-ES"/>
        </w:rPr>
        <w:t>Sin ir demasiado lejos, el recientemente lanzado telescopio James Webb produce casi 60 Gigabytes de información al día, la cual no puede ser almacenada de manera local y debe ser transmitida de inmediato el centro de control de misión (All Quick Facts 2023), mientras que el proyecto “Legacy Survey of Space and Time” (Rubin/LSST), basado en el observatorio Vera C. Rubin</w:t>
      </w:r>
      <w:r>
        <w:rPr>
          <w:rStyle w:val="FootnoteAnchor"/>
          <w:rFonts w:cs="Times New Roman" w:ascii="Times New Roman" w:hAnsi="Times New Roman"/>
          <w:sz w:val="20"/>
          <w:szCs w:val="20"/>
        </w:rPr>
        <w:footnoteReference w:id="6"/>
      </w:r>
      <w:r>
        <w:rPr>
          <w:rFonts w:cs="Times New Roman" w:ascii="Times New Roman" w:hAnsi="Times New Roman"/>
          <w:sz w:val="20"/>
          <w:szCs w:val="20"/>
          <w:lang w:val="es-ES"/>
        </w:rPr>
        <w:t>, en Chile, se estima que producirá 20 TB (terabytes) de información cada noche, durante una vida útil de al menos 10 años (Telescope, 2021).</w:t>
      </w:r>
    </w:p>
    <w:p>
      <w:pPr>
        <w:pStyle w:val="Normal"/>
        <w:spacing w:lineRule="auto" w:line="240" w:before="0" w:after="0"/>
        <w:ind w:firstLine="284"/>
        <w:jc w:val="both"/>
        <w:rPr>
          <w:lang w:val="es-ES"/>
        </w:rPr>
      </w:pPr>
      <w:r>
        <w:rPr>
          <w:rFonts w:cs="Times New Roman" w:ascii="Times New Roman" w:hAnsi="Times New Roman"/>
          <w:sz w:val="20"/>
          <w:szCs w:val="20"/>
          <w:lang w:val="es-ES"/>
        </w:rPr>
        <w:t>Estos volúmenes de datos hacen que sea imprescindible la utilización de mecanismos automáticos para su análisis.</w:t>
      </w:r>
    </w:p>
    <w:p>
      <w:pPr>
        <w:pStyle w:val="Normal"/>
        <w:spacing w:lineRule="auto" w:line="240" w:before="0" w:after="0"/>
        <w:ind w:firstLine="284"/>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lang w:val="es-ES"/>
        </w:rPr>
      </w:pPr>
      <w:r>
        <w:rPr>
          <w:rFonts w:cs="Times New Roman" w:ascii="Times New Roman" w:hAnsi="Times New Roman"/>
          <w:sz w:val="20"/>
          <w:szCs w:val="20"/>
          <w:lang w:val="es-ES"/>
        </w:rPr>
        <w:t>La tésis postula que:</w:t>
      </w:r>
    </w:p>
    <w:p>
      <w:pPr>
        <w:pStyle w:val="Normal"/>
        <w:spacing w:lineRule="auto" w:line="240" w:before="0" w:after="0"/>
        <w:ind w:firstLine="284"/>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rFonts w:ascii="Times New Roman" w:hAnsi="Times New Roman" w:cs="Times New Roman"/>
          <w:sz w:val="20"/>
          <w:szCs w:val="20"/>
          <w:lang w:val="es-ES"/>
        </w:rPr>
      </w:pPr>
      <w:r>
        <w:rPr>
          <w:rFonts w:cs="Times New Roman" w:ascii="Times New Roman" w:hAnsi="Times New Roman"/>
          <w:sz w:val="20"/>
          <w:szCs w:val="20"/>
          <w:lang w:val="es-ES"/>
        </w:rPr>
        <w:t>La aplicación de técnicas de machine learning para el entrenamiento de algoritmos inteligentes posibilitará que los algoritmos de detección y caracterización de comunidades en redes sociales, puedan detectar agrupaciones estelares, a partir del correspondiente cambio en los atributos descriptivos y estructurales, de acuerdo al nuevo ámbito de aplicación.</w:t>
      </w:r>
    </w:p>
    <w:p>
      <w:pPr>
        <w:pStyle w:val="Normal"/>
        <w:spacing w:lineRule="auto" w:line="240" w:before="0" w:after="0"/>
        <w:ind w:firstLine="284"/>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ind w:firstLine="284"/>
        <w:jc w:val="both"/>
        <w:rPr>
          <w:lang w:val="es-ES"/>
        </w:rPr>
      </w:pPr>
      <w:r>
        <w:rPr>
          <w:lang w:val="es-ES"/>
        </w:rPr>
      </w:r>
    </w:p>
    <w:p>
      <w:pPr>
        <w:pStyle w:val="Normal"/>
        <w:spacing w:lineRule="auto" w:line="240" w:before="0" w:after="0"/>
        <w:ind w:firstLine="284"/>
        <w:jc w:val="both"/>
        <w:rPr>
          <w:lang w:val="es-ES"/>
        </w:rPr>
      </w:pPr>
      <w:r>
        <w:rPr>
          <w:rFonts w:cs="Times New Roman" w:ascii="Times New Roman" w:hAnsi="Times New Roman"/>
          <w:sz w:val="20"/>
          <w:szCs w:val="20"/>
          <w:lang w:val="es-ES"/>
        </w:rPr>
        <w:t>Para ellos se analizarán tanto las técnicas actuales de reconocimiento de agrupaciones estelares, como técnicas actuales para reconocimiento de comunidades en redes sociales. Se prevé construir un entorno de pruebas, basado en datos del repositorio GAIA</w:t>
      </w:r>
      <w:r>
        <w:rPr>
          <w:rStyle w:val="FootnoteAnchor"/>
          <w:rFonts w:cs="Times New Roman" w:ascii="Times New Roman" w:hAnsi="Times New Roman"/>
          <w:sz w:val="20"/>
          <w:szCs w:val="20"/>
        </w:rPr>
        <w:footnoteReference w:id="7"/>
      </w:r>
      <w:r>
        <w:rPr>
          <w:rFonts w:cs="Times New Roman" w:ascii="Times New Roman" w:hAnsi="Times New Roman"/>
          <w:sz w:val="20"/>
          <w:szCs w:val="20"/>
          <w:lang w:val="es-ES"/>
        </w:rPr>
        <w:t xml:space="preserve"> o similar (ESO</w:t>
      </w:r>
      <w:r>
        <w:rPr>
          <w:rStyle w:val="FootnoteAnchor"/>
          <w:rFonts w:cs="Times New Roman" w:ascii="Times New Roman" w:hAnsi="Times New Roman"/>
          <w:sz w:val="20"/>
          <w:szCs w:val="20"/>
        </w:rPr>
        <w:footnoteReference w:id="8"/>
      </w:r>
      <w:r>
        <w:rPr>
          <w:rFonts w:cs="Times New Roman" w:ascii="Times New Roman" w:hAnsi="Times New Roman"/>
          <w:sz w:val="20"/>
          <w:szCs w:val="20"/>
          <w:lang w:val="es-ES"/>
        </w:rPr>
        <w:t>, NASA</w:t>
      </w:r>
      <w:r>
        <w:rPr>
          <w:rStyle w:val="FootnoteAnchor"/>
          <w:rFonts w:cs="Times New Roman" w:ascii="Times New Roman" w:hAnsi="Times New Roman"/>
          <w:sz w:val="20"/>
          <w:szCs w:val="20"/>
        </w:rPr>
        <w:footnoteReference w:id="9"/>
      </w:r>
      <w:r>
        <w:rPr>
          <w:rFonts w:cs="Times New Roman" w:ascii="Times New Roman" w:hAnsi="Times New Roman"/>
          <w:sz w:val="20"/>
          <w:szCs w:val="20"/>
          <w:lang w:val="es-ES"/>
        </w:rPr>
        <w:t>, etc.), sobre el cual se realizará la aplicación de un algoritmo de detección de comunidades originalmente diseñado para redes sociales, y se analizará el resultado obtenido de su aplicación sobre un dominio astronómico, a fin de validar conceptualmente la propuesta de trabajo.</w:t>
      </w:r>
    </w:p>
    <w:p>
      <w:pPr>
        <w:pStyle w:val="Normal"/>
        <w:spacing w:lineRule="auto" w:line="240" w:before="0" w:after="0"/>
        <w:ind w:firstLine="284"/>
        <w:jc w:val="both"/>
        <w:rPr>
          <w:lang w:val="es-ES"/>
        </w:rPr>
      </w:pPr>
      <w:r>
        <w:rPr>
          <w:rFonts w:cs="Times New Roman" w:ascii="Times New Roman" w:hAnsi="Times New Roman"/>
          <w:sz w:val="20"/>
          <w:szCs w:val="20"/>
          <w:lang w:val="es-ES"/>
        </w:rPr>
        <w:t>Por otra parte se realizará un análisis de sets de datos de redes sociales, descargados de repositorios como el Stanford Large Network Dataset Collection</w:t>
      </w:r>
      <w:r>
        <w:rPr>
          <w:rStyle w:val="FootnoteAnchor"/>
          <w:rFonts w:cs="Times New Roman" w:ascii="Times New Roman" w:hAnsi="Times New Roman"/>
          <w:sz w:val="20"/>
          <w:szCs w:val="20"/>
        </w:rPr>
        <w:footnoteReference w:id="10"/>
      </w:r>
      <w:r>
        <w:rPr>
          <w:rFonts w:cs="Times New Roman" w:ascii="Times New Roman" w:hAnsi="Times New Roman"/>
          <w:sz w:val="20"/>
          <w:szCs w:val="20"/>
          <w:lang w:val="es-ES"/>
        </w:rPr>
        <w:t xml:space="preserve"> o el Network Data Repository</w:t>
      </w:r>
      <w:r>
        <w:rPr>
          <w:rStyle w:val="FootnoteAnchor"/>
          <w:rFonts w:cs="Times New Roman" w:ascii="Times New Roman" w:hAnsi="Times New Roman"/>
          <w:sz w:val="20"/>
          <w:szCs w:val="20"/>
        </w:rPr>
        <w:footnoteReference w:id="11"/>
      </w:r>
      <w:r>
        <w:rPr>
          <w:rFonts w:cs="Times New Roman" w:ascii="Times New Roman" w:hAnsi="Times New Roman"/>
          <w:sz w:val="20"/>
          <w:szCs w:val="20"/>
          <w:lang w:val="es-ES"/>
        </w:rPr>
        <w:t>, en base al cual se determinarán los atributos entrenables por medio de técnicas de machine learning y los mismos se extrapolarán a sets de datos astronómicos.</w:t>
      </w:r>
    </w:p>
    <w:p>
      <w:pPr>
        <w:pStyle w:val="Normal"/>
        <w:spacing w:lineRule="auto" w:line="240" w:before="0" w:after="0"/>
        <w:ind w:firstLine="284"/>
        <w:jc w:val="both"/>
        <w:rPr>
          <w:lang w:val="es-ES"/>
        </w:rPr>
      </w:pPr>
      <w:r>
        <w:rPr>
          <w:rFonts w:cs="Times New Roman" w:ascii="Times New Roman" w:hAnsi="Times New Roman"/>
          <w:sz w:val="20"/>
          <w:szCs w:val="20"/>
          <w:lang w:val="es-ES"/>
        </w:rPr>
        <w:t>Por último se modelará y entrenará un mecanismo de machine learning con los atributos astronómicos, ya sean mediciones reales o sus equivalentes simulados, utilizando las librerías más populares y probadas en la actualidad, como Tensor Flow, PyTorch, SciKit-Learn o Keras, para determinar la eficacia en la detección de clusters. Este modelo se pondrá a prueba, mediante su aplicación a los datos de GAIA previamente mencionados, y se analizará la eficación y precisión de la detección de cúmulos estelares que se hubiera alcanzado.</w:t>
      </w:r>
    </w:p>
    <w:p>
      <w:pPr>
        <w:pStyle w:val="ReferencesTitle"/>
        <w:rPr>
          <w:lang w:val="es-ES"/>
        </w:rPr>
      </w:pPr>
      <w:r>
        <w:rPr>
          <w:lang w:val="es-ES"/>
        </w:rPr>
        <w:t>Referencias</w:t>
      </w:r>
    </w:p>
    <w:p>
      <w:pPr>
        <w:pStyle w:val="Normal"/>
        <w:spacing w:lineRule="auto" w:line="240" w:before="0" w:after="40"/>
        <w:ind w:left="284" w:hanging="284"/>
        <w:jc w:val="both"/>
        <w:rPr/>
      </w:pPr>
      <w:r>
        <w:rPr>
          <w:rFonts w:cs="Times New Roman" w:ascii="Times New Roman" w:hAnsi="Times New Roman"/>
          <w:sz w:val="18"/>
          <w:szCs w:val="18"/>
          <w:lang w:val="es-ES"/>
        </w:rPr>
        <w:t xml:space="preserve">Alharbi, A. y Alsubhi, K. (2021). </w:t>
      </w:r>
      <w:r>
        <w:rPr>
          <w:rFonts w:cs="Times New Roman" w:ascii="Times New Roman" w:hAnsi="Times New Roman"/>
          <w:sz w:val="18"/>
          <w:szCs w:val="18"/>
        </w:rPr>
        <w:t>«Botnet detection approach using graph-based machine learning». En: IEEE Access 9, págs. 99166-99180.</w:t>
      </w:r>
    </w:p>
    <w:p>
      <w:pPr>
        <w:pStyle w:val="Normal"/>
        <w:spacing w:lineRule="auto" w:line="240" w:before="0" w:after="40"/>
        <w:ind w:left="284" w:hanging="284"/>
        <w:jc w:val="both"/>
        <w:rPr/>
      </w:pPr>
      <w:r>
        <w:rPr>
          <w:rFonts w:cs="Times New Roman" w:ascii="Times New Roman" w:hAnsi="Times New Roman"/>
          <w:sz w:val="18"/>
          <w:szCs w:val="18"/>
        </w:rPr>
        <w:t>All Quick Facts (feb. de 2023). [Online; accessed 4. Feb. 2023]. url: https:// webbtelescope.org/quick-facts/all-quick-facts.</w:t>
      </w:r>
    </w:p>
    <w:p>
      <w:pPr>
        <w:pStyle w:val="Normal"/>
        <w:spacing w:lineRule="auto" w:line="240" w:before="0" w:after="40"/>
        <w:ind w:left="284" w:hanging="284"/>
        <w:jc w:val="both"/>
        <w:rPr/>
      </w:pPr>
      <w:r>
        <w:rPr>
          <w:rFonts w:cs="Times New Roman" w:ascii="Times New Roman" w:hAnsi="Times New Roman"/>
          <w:sz w:val="18"/>
          <w:szCs w:val="18"/>
        </w:rPr>
        <w:t>Barnes, J. A. y Harary, F. (1983). «Graph theory in network analysis». En: Social networks 5.2, págs. 235-244.</w:t>
      </w:r>
    </w:p>
    <w:p>
      <w:pPr>
        <w:pStyle w:val="Normal"/>
        <w:spacing w:lineRule="auto" w:line="240" w:before="0" w:after="40"/>
        <w:ind w:left="284" w:hanging="284"/>
        <w:jc w:val="both"/>
        <w:rPr/>
      </w:pPr>
      <w:r>
        <w:rPr>
          <w:rFonts w:cs="Times New Roman" w:ascii="Times New Roman" w:hAnsi="Times New Roman"/>
          <w:sz w:val="18"/>
          <w:szCs w:val="18"/>
        </w:rPr>
        <w:t>Boccaletti, S. et al. (2007). «Detecting complex network modularity by dynamical clustering». En: Physical Review E 75.4, pág. 045102.</w:t>
      </w:r>
    </w:p>
    <w:p>
      <w:pPr>
        <w:pStyle w:val="Normal"/>
        <w:spacing w:lineRule="auto" w:line="240" w:before="0" w:after="40"/>
        <w:ind w:left="284" w:hanging="284"/>
        <w:jc w:val="both"/>
        <w:rPr/>
      </w:pPr>
      <w:r>
        <w:rPr>
          <w:rFonts w:cs="Times New Roman" w:ascii="Times New Roman" w:hAnsi="Times New Roman"/>
          <w:sz w:val="18"/>
          <w:szCs w:val="18"/>
        </w:rPr>
        <w:t>Dalcanton, J. J. et al. (2009). «The ACS nearby galaxy survey treasury». En: The Astrophysical Journal Supplement Series 183.1, pág. 67.</w:t>
      </w:r>
    </w:p>
    <w:p>
      <w:pPr>
        <w:pStyle w:val="Normal"/>
        <w:spacing w:lineRule="auto" w:line="240" w:before="0" w:after="40"/>
        <w:ind w:left="284" w:hanging="284"/>
        <w:jc w:val="both"/>
        <w:rPr/>
      </w:pPr>
      <w:r>
        <w:rPr>
          <w:rFonts w:cs="Times New Roman" w:ascii="Times New Roman" w:hAnsi="Times New Roman"/>
          <w:sz w:val="18"/>
          <w:szCs w:val="18"/>
          <w:lang w:val="fr-FR"/>
        </w:rPr>
        <w:t xml:space="preserve">Fall, S. M. y Chandar, R. (2012). </w:t>
      </w:r>
      <w:r>
        <w:rPr>
          <w:rFonts w:cs="Times New Roman" w:ascii="Times New Roman" w:hAnsi="Times New Roman"/>
          <w:sz w:val="18"/>
          <w:szCs w:val="18"/>
        </w:rPr>
        <w:t xml:space="preserve">«Similarities in populations of star clus-ters». En: The Astrophysical Journal 752.2, </w:t>
        <w:br/>
        <w:t>pág. 96.</w:t>
      </w:r>
    </w:p>
    <w:p>
      <w:pPr>
        <w:pStyle w:val="Normal"/>
        <w:spacing w:lineRule="auto" w:line="240" w:before="0" w:after="40"/>
        <w:ind w:left="284" w:hanging="284"/>
        <w:jc w:val="both"/>
        <w:rPr/>
      </w:pPr>
      <w:r>
        <w:rPr>
          <w:rFonts w:cs="Times New Roman" w:ascii="Times New Roman" w:hAnsi="Times New Roman"/>
          <w:sz w:val="18"/>
          <w:szCs w:val="18"/>
        </w:rPr>
        <w:t>Kaur, R. &amp; Singh, S. (2016). «A survey of data mining and social network analysis based anomaly detection techniques». En: Egyptian informatics journal 17.2, págs. 199-216.</w:t>
      </w:r>
    </w:p>
    <w:p>
      <w:pPr>
        <w:pStyle w:val="Normal"/>
        <w:spacing w:lineRule="auto" w:line="240" w:before="0" w:after="40"/>
        <w:ind w:left="284" w:hanging="284"/>
        <w:jc w:val="both"/>
        <w:rPr/>
      </w:pPr>
      <w:r>
        <w:rPr>
          <w:rFonts w:cs="Times New Roman" w:ascii="Times New Roman" w:hAnsi="Times New Roman"/>
          <w:sz w:val="18"/>
          <w:szCs w:val="18"/>
        </w:rPr>
        <w:t>Klessen, R S. y Burkert, A. (2000). «The Formation of Stellar Clusters: Gaussian Cloud Conditions. I.» En: The Astrophysical Journal Supplement Series 128.1, pág. 287.</w:t>
      </w:r>
    </w:p>
    <w:p>
      <w:pPr>
        <w:pStyle w:val="Normal"/>
        <w:spacing w:lineRule="auto" w:line="240" w:before="0" w:after="40"/>
        <w:ind w:left="284" w:hanging="284"/>
        <w:jc w:val="both"/>
        <w:rPr/>
      </w:pPr>
      <w:r>
        <w:rPr>
          <w:rFonts w:cs="Times New Roman" w:ascii="Times New Roman" w:hAnsi="Times New Roman"/>
          <w:sz w:val="18"/>
          <w:szCs w:val="18"/>
          <w:lang w:val="es-ES"/>
        </w:rPr>
        <w:t xml:space="preserve">Kushwah, A. K. S. y Manjhvar, A. K. (2016). </w:t>
      </w:r>
      <w:r>
        <w:rPr>
          <w:rFonts w:cs="Times New Roman" w:ascii="Times New Roman" w:hAnsi="Times New Roman"/>
          <w:sz w:val="18"/>
          <w:szCs w:val="18"/>
        </w:rPr>
        <w:t>«A review on link prediction in social network». En: International Journal of Grid and Distributed Computing 9.2, págs. 43-50.</w:t>
      </w:r>
    </w:p>
    <w:p>
      <w:pPr>
        <w:pStyle w:val="Normal"/>
        <w:spacing w:lineRule="auto" w:line="240" w:before="0" w:after="40"/>
        <w:ind w:left="284" w:hanging="284"/>
        <w:jc w:val="both"/>
        <w:rPr/>
      </w:pPr>
      <w:r>
        <w:rPr>
          <w:rFonts w:cs="Times New Roman" w:ascii="Times New Roman" w:hAnsi="Times New Roman"/>
          <w:sz w:val="18"/>
          <w:szCs w:val="18"/>
        </w:rPr>
        <w:t>Lancichinetti, A. y Fortunato, S. (nov. de 2009). «Community detection algorithms: A comparative analysis». En: Phys. Rev. E 80 (5), pág. 056117. doi: 10.1103/PhysRevE.80.056117. url: https://link.aps.org/doi/10.1103/ PhysRevE.80.056117.</w:t>
      </w:r>
    </w:p>
    <w:p>
      <w:pPr>
        <w:pStyle w:val="Normal"/>
        <w:spacing w:lineRule="auto" w:line="240" w:before="0" w:after="40"/>
        <w:ind w:left="284" w:hanging="284"/>
        <w:jc w:val="both"/>
        <w:rPr/>
      </w:pPr>
      <w:r>
        <w:rPr>
          <w:rFonts w:cs="Times New Roman" w:ascii="Times New Roman" w:hAnsi="Times New Roman"/>
          <w:sz w:val="18"/>
          <w:szCs w:val="18"/>
          <w:lang w:val="es-ES"/>
        </w:rPr>
        <w:t xml:space="preserve">Rodriguez, M. Z. et al. </w:t>
      </w:r>
      <w:r>
        <w:rPr>
          <w:rFonts w:cs="Times New Roman" w:ascii="Times New Roman" w:hAnsi="Times New Roman"/>
          <w:sz w:val="18"/>
          <w:szCs w:val="18"/>
        </w:rPr>
        <w:t>(2019). «Clustering algorithms: A comparative approach». En: PLoS ONE 14(1): e0210236.</w:t>
      </w:r>
    </w:p>
    <w:p>
      <w:pPr>
        <w:pStyle w:val="Normal"/>
        <w:spacing w:lineRule="auto" w:line="240" w:before="0" w:after="40"/>
        <w:ind w:left="284" w:hanging="284"/>
        <w:jc w:val="both"/>
        <w:rPr>
          <w:lang w:val="fr-FR"/>
        </w:rPr>
      </w:pPr>
      <w:r>
        <w:rPr>
          <w:rFonts w:cs="Times New Roman" w:ascii="Times New Roman" w:hAnsi="Times New Roman"/>
          <w:sz w:val="18"/>
          <w:szCs w:val="18"/>
        </w:rPr>
        <w:t xml:space="preserve">Schmeja, S. (2011). «Identifying star clusters in a field: A comparison of different algorithms». </w:t>
      </w:r>
      <w:r>
        <w:rPr>
          <w:rFonts w:cs="Times New Roman" w:ascii="Times New Roman" w:hAnsi="Times New Roman"/>
          <w:sz w:val="18"/>
          <w:szCs w:val="18"/>
          <w:lang w:val="fr-FR"/>
        </w:rPr>
        <w:t>En: Astronomische Nachrichten 332.2, págs. 172-184.</w:t>
      </w:r>
    </w:p>
    <w:p>
      <w:pPr>
        <w:pStyle w:val="Normal"/>
        <w:spacing w:lineRule="auto" w:line="240" w:before="0" w:after="40"/>
        <w:ind w:left="284" w:hanging="284"/>
        <w:jc w:val="both"/>
        <w:rPr/>
      </w:pPr>
      <w:r>
        <w:rPr>
          <w:rFonts w:cs="Times New Roman" w:ascii="Times New Roman" w:hAnsi="Times New Roman"/>
          <w:sz w:val="18"/>
          <w:szCs w:val="18"/>
          <w:lang w:val="fr-FR"/>
        </w:rPr>
        <w:t xml:space="preserve">Telescope, Large Synoptic Survey (jul. de 2021). </w:t>
      </w:r>
      <w:r>
        <w:rPr>
          <w:rFonts w:cs="Times New Roman" w:ascii="Times New Roman" w:hAnsi="Times New Roman"/>
          <w:sz w:val="18"/>
          <w:szCs w:val="18"/>
        </w:rPr>
        <w:t>«Key Numbers». En: Rubin Obser-vatory. url: https://www.lsst.org/scientists/keynumbers.</w:t>
      </w:r>
      <w:bookmarkStart w:id="0" w:name="_GoBack"/>
      <w:bookmarkEnd w:id="0"/>
    </w:p>
    <w:p>
      <w:pPr>
        <w:pStyle w:val="Normal"/>
        <w:spacing w:lineRule="auto" w:line="240" w:before="0" w:after="40"/>
        <w:ind w:left="284" w:hanging="284"/>
        <w:jc w:val="both"/>
        <w:rPr/>
      </w:pPr>
      <w:r>
        <w:rPr>
          <w:rFonts w:cs="Times New Roman" w:ascii="Times New Roman" w:hAnsi="Times New Roman"/>
          <w:sz w:val="18"/>
          <w:szCs w:val="18"/>
        </w:rPr>
        <w:t>Wang, C. et al. (2015). «Review on community detection algorithms in social networks». En: 2015 IEEE international conference on progress in informatics and computing (PIC). IEEE, págs. 551-555.</w:t>
      </w:r>
    </w:p>
    <w:p>
      <w:pPr>
        <w:pStyle w:val="Normal"/>
        <w:spacing w:lineRule="auto" w:line="240" w:before="0" w:after="40"/>
        <w:ind w:left="284" w:hanging="284"/>
        <w:jc w:val="both"/>
        <w:rPr/>
      </w:pPr>
      <w:r>
        <w:rPr>
          <w:rFonts w:cs="Times New Roman" w:ascii="Times New Roman" w:hAnsi="Times New Roman"/>
          <w:sz w:val="18"/>
          <w:szCs w:val="18"/>
        </w:rPr>
        <w:t>West, D. B. (2001). Introduction to graph theory. 2nd Edition, Prentice-Hall, Inc., Upper Saddle River.</w:t>
      </w:r>
    </w:p>
    <w:sectPr>
      <w:footnotePr>
        <w:numFmt w:val="lowerLetter"/>
      </w:footnotePr>
      <w:type w:val="nextPage"/>
      <w:pgSz w:w="11906" w:h="16838"/>
      <w:pgMar w:left="1701" w:right="1418" w:header="0" w:top="1871" w:footer="0" w:bottom="226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s-ES"/>
        </w:rPr>
      </w:pPr>
      <w:r>
        <w:rPr>
          <w:rStyle w:val="FootnoteCharacters"/>
        </w:rPr>
        <w:footnoteRef/>
      </w:r>
      <w:r>
        <w:rPr>
          <w:rFonts w:cs="Times New Roman" w:ascii="Times New Roman" w:hAnsi="Times New Roman"/>
          <w:sz w:val="16"/>
          <w:szCs w:val="16"/>
          <w:lang w:val="es-ES"/>
        </w:rPr>
        <w:t xml:space="preserve"> </w:t>
      </w:r>
      <w:r>
        <w:rPr>
          <w:rFonts w:cs="Times New Roman" w:ascii="Times New Roman" w:hAnsi="Times New Roman"/>
          <w:sz w:val="16"/>
          <w:szCs w:val="16"/>
          <w:lang w:val="es-ES"/>
        </w:rPr>
        <w:t>Megaparsec, medida de distancia, aproximadamente 3.26 millones de años luz</w:t>
      </w:r>
    </w:p>
  </w:footnote>
  <w:footnote w:id="3">
    <w:p>
      <w:pPr>
        <w:pStyle w:val="Footnote"/>
        <w:rPr>
          <w:lang w:val="es-ES"/>
        </w:rPr>
      </w:pPr>
      <w:r>
        <w:rPr>
          <w:rStyle w:val="FootnoteCharacters"/>
        </w:rPr>
        <w:footnoteRef/>
      </w:r>
      <w:r>
        <w:rPr>
          <w:rFonts w:cs="Times New Roman" w:ascii="Times New Roman" w:hAnsi="Times New Roman"/>
          <w:sz w:val="16"/>
          <w:szCs w:val="16"/>
          <w:lang w:val="es-ES"/>
        </w:rPr>
        <w:t xml:space="preserve"> </w:t>
      </w:r>
      <w:r>
        <w:rPr>
          <w:rFonts w:cs="Times New Roman" w:ascii="Times New Roman" w:hAnsi="Times New Roman"/>
          <w:sz w:val="16"/>
          <w:szCs w:val="16"/>
          <w:lang w:val="es-ES"/>
        </w:rPr>
        <w:t>Técnica que consiste en realizar un mapeo sistemático de una porción determinada de la esfera celeste sin concentrarse de manera puntual en ningún objeto</w:t>
      </w:r>
    </w:p>
  </w:footnote>
  <w:footnote w:id="4">
    <w:p>
      <w:pPr>
        <w:pStyle w:val="Footnote"/>
        <w:rPr>
          <w:lang w:val="es-ES"/>
        </w:rPr>
      </w:pPr>
      <w:r>
        <w:rPr>
          <w:rStyle w:val="FootnoteCharacters"/>
        </w:rPr>
        <w:footnoteRef/>
      </w:r>
      <w:r>
        <w:rPr>
          <w:rFonts w:cs="Times New Roman" w:ascii="Times New Roman" w:hAnsi="Times New Roman"/>
          <w:sz w:val="16"/>
          <w:szCs w:val="16"/>
          <w:lang w:val="es-ES"/>
        </w:rPr>
        <w:t xml:space="preserve"> </w:t>
      </w:r>
      <w:r>
        <w:rPr>
          <w:rFonts w:cs="Times New Roman" w:ascii="Times New Roman" w:hAnsi="Times New Roman"/>
          <w:sz w:val="16"/>
          <w:szCs w:val="16"/>
          <w:lang w:val="es-ES"/>
        </w:rPr>
        <w:t>https://vvvsurvey.org</w:t>
      </w:r>
    </w:p>
  </w:footnote>
  <w:footnote w:id="5">
    <w:p>
      <w:pPr>
        <w:pStyle w:val="Footnote"/>
        <w:rPr>
          <w:lang w:val="es-ES"/>
        </w:rPr>
      </w:pPr>
      <w:r>
        <w:rPr>
          <w:rStyle w:val="FootnoteCharacters"/>
        </w:rPr>
        <w:footnoteRef/>
      </w:r>
      <w:r>
        <w:rPr>
          <w:rFonts w:cs="Times New Roman" w:ascii="Times New Roman" w:hAnsi="Times New Roman"/>
          <w:sz w:val="16"/>
          <w:szCs w:val="16"/>
          <w:lang w:val="es-ES"/>
        </w:rPr>
        <w:t>https://www.lsst.org/</w:t>
      </w:r>
    </w:p>
  </w:footnote>
  <w:footnote w:id="6">
    <w:p>
      <w:pPr>
        <w:pStyle w:val="Footnote"/>
        <w:rPr>
          <w:rFonts w:ascii="Times New Roman" w:hAnsi="Times New Roman" w:cs="Times New Roman"/>
          <w:sz w:val="16"/>
          <w:szCs w:val="16"/>
          <w:lang w:val="es-ES"/>
        </w:rPr>
      </w:pPr>
      <w:r>
        <w:rPr>
          <w:rStyle w:val="FootnoteCharacters"/>
        </w:rPr>
        <w:footnoteRef/>
      </w:r>
      <w:r>
        <w:rPr>
          <w:rFonts w:cs="Times New Roman" w:ascii="Times New Roman" w:hAnsi="Times New Roman"/>
          <w:sz w:val="16"/>
          <w:szCs w:val="16"/>
          <w:lang w:val="es-ES"/>
        </w:rPr>
        <w:t>https://rubinobs.org/</w:t>
      </w:r>
    </w:p>
  </w:footnote>
  <w:footnote w:id="7">
    <w:p>
      <w:pPr>
        <w:pStyle w:val="Footnote"/>
        <w:rPr>
          <w:rFonts w:ascii="Times New Roman" w:hAnsi="Times New Roman" w:cs="Times New Roman"/>
          <w:sz w:val="16"/>
          <w:szCs w:val="16"/>
          <w:lang w:val="es-ES"/>
        </w:rPr>
      </w:pPr>
      <w:r>
        <w:rPr>
          <w:rStyle w:val="FootnoteCharacters"/>
        </w:rPr>
        <w:footnoteRef/>
      </w:r>
      <w:r>
        <w:rPr>
          <w:rFonts w:cs="Times New Roman" w:ascii="Times New Roman" w:hAnsi="Times New Roman"/>
          <w:sz w:val="16"/>
          <w:szCs w:val="16"/>
          <w:lang w:val="es-ES"/>
        </w:rPr>
        <w:t>https://gea.esac.esa.int/archive/</w:t>
      </w:r>
    </w:p>
  </w:footnote>
  <w:footnote w:id="8">
    <w:p>
      <w:pPr>
        <w:pStyle w:val="Footnote"/>
        <w:rPr>
          <w:rFonts w:ascii="Times New Roman" w:hAnsi="Times New Roman" w:cs="Times New Roman"/>
          <w:sz w:val="16"/>
          <w:szCs w:val="16"/>
          <w:lang w:val="es-ES"/>
        </w:rPr>
      </w:pPr>
      <w:r>
        <w:rPr>
          <w:rStyle w:val="FootnoteCharacters"/>
        </w:rPr>
        <w:footnoteRef/>
      </w:r>
      <w:r>
        <w:rPr>
          <w:rFonts w:cs="Times New Roman" w:ascii="Times New Roman" w:hAnsi="Times New Roman"/>
          <w:sz w:val="16"/>
          <w:szCs w:val="16"/>
          <w:lang w:val="es-ES"/>
        </w:rPr>
        <w:t>http://archive.eso.org/cms.html</w:t>
      </w:r>
    </w:p>
  </w:footnote>
  <w:footnote w:id="9">
    <w:p>
      <w:pPr>
        <w:pStyle w:val="Footnote"/>
        <w:rPr>
          <w:rFonts w:ascii="Times New Roman" w:hAnsi="Times New Roman" w:cs="Times New Roman"/>
          <w:sz w:val="16"/>
          <w:szCs w:val="16"/>
          <w:lang w:val="es-ES"/>
        </w:rPr>
      </w:pPr>
      <w:r>
        <w:rPr>
          <w:rStyle w:val="FootnoteCharacters"/>
        </w:rPr>
        <w:footnoteRef/>
      </w:r>
      <w:r>
        <w:rPr>
          <w:rFonts w:cs="Times New Roman" w:ascii="Times New Roman" w:hAnsi="Times New Roman"/>
          <w:sz w:val="16"/>
          <w:szCs w:val="16"/>
          <w:lang w:val="es-ES"/>
        </w:rPr>
        <w:t>https://nssdc.gsfc.nasa.gov/astro/</w:t>
      </w:r>
    </w:p>
  </w:footnote>
  <w:footnote w:id="10">
    <w:p>
      <w:pPr>
        <w:pStyle w:val="Footnote"/>
        <w:rPr>
          <w:rFonts w:ascii="Times New Roman" w:hAnsi="Times New Roman" w:cs="Times New Roman"/>
          <w:sz w:val="16"/>
          <w:szCs w:val="16"/>
          <w:lang w:val="es-ES"/>
        </w:rPr>
      </w:pPr>
      <w:r>
        <w:rPr>
          <w:rStyle w:val="FootnoteCharacters"/>
        </w:rPr>
        <w:footnoteRef/>
      </w:r>
      <w:r>
        <w:rPr>
          <w:rFonts w:cs="Times New Roman" w:ascii="Times New Roman" w:hAnsi="Times New Roman"/>
          <w:sz w:val="16"/>
          <w:szCs w:val="16"/>
          <w:lang w:val="es-ES"/>
        </w:rPr>
        <w:t>https://snap.stanford.edu/data/</w:t>
      </w:r>
    </w:p>
  </w:footnote>
  <w:footnote w:id="11">
    <w:p>
      <w:pPr>
        <w:pStyle w:val="Footnote"/>
        <w:rPr/>
      </w:pPr>
      <w:r>
        <w:rPr>
          <w:rStyle w:val="FootnoteCharacters"/>
        </w:rPr>
        <w:footnoteRef/>
      </w:r>
      <w:r>
        <w:rPr>
          <w:rFonts w:cs="Times New Roman" w:ascii="Times New Roman" w:hAnsi="Times New Roman"/>
          <w:sz w:val="16"/>
          <w:szCs w:val="16"/>
        </w:rPr>
        <w:t>https://networkrepository.com/soc.php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mailMerge>
    <w:mainDocumentType w:val="formLetters"/>
    <w:dataType w:val="textFile"/>
    <w:query w:val="SELECT * FROM file:///home/mcasatti/Documents/Addresses1.odb.dbo.Sheet1$"/>
  </w:mailMerge>
  <w:autoHyphenation w:val="true"/>
  <w:footnotePr>
    <w:numFmt w:val="lowerLette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506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424f"/>
    <w:rPr/>
  </w:style>
  <w:style w:type="character" w:styleId="FooterChar" w:customStyle="1">
    <w:name w:val="Footer Char"/>
    <w:basedOn w:val="DefaultParagraphFont"/>
    <w:link w:val="Footer"/>
    <w:uiPriority w:val="99"/>
    <w:qFormat/>
    <w:rsid w:val="0071424f"/>
    <w:rPr/>
  </w:style>
  <w:style w:type="character" w:styleId="FootnoteTextChar" w:customStyle="1">
    <w:name w:val="Footnote Text Char"/>
    <w:basedOn w:val="DefaultParagraphFont"/>
    <w:link w:val="FootnoteText"/>
    <w:uiPriority w:val="99"/>
    <w:semiHidden/>
    <w:qFormat/>
    <w:rsid w:val="0071424f"/>
    <w:rPr>
      <w:sz w:val="20"/>
      <w:szCs w:val="20"/>
    </w:rPr>
  </w:style>
  <w:style w:type="character" w:styleId="FootnoteCharacters" w:customStyle="1">
    <w:name w:val="Footnote Characters"/>
    <w:basedOn w:val="DefaultParagraphFont"/>
    <w:uiPriority w:val="99"/>
    <w:semiHidden/>
    <w:unhideWhenUsed/>
    <w:qFormat/>
    <w:rsid w:val="0071424f"/>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ubmissionTitle" w:customStyle="1">
    <w:name w:val="Submission Title"/>
    <w:basedOn w:val="Normal"/>
    <w:qFormat/>
    <w:rsid w:val="00db5066"/>
    <w:pPr>
      <w:spacing w:lineRule="auto" w:line="240" w:before="0" w:after="480"/>
      <w:jc w:val="center"/>
    </w:pPr>
    <w:rPr>
      <w:rFonts w:ascii="Times New Roman" w:hAnsi="Times New Roman" w:eastAsia="Times New Roman" w:cs="Times New Roman"/>
      <w:b/>
      <w:caps/>
      <w:sz w:val="32"/>
      <w:szCs w:val="24"/>
      <w:lang w:val="en-US"/>
    </w:rPr>
  </w:style>
  <w:style w:type="paragraph" w:styleId="AbstractTitle" w:customStyle="1">
    <w:name w:val="Abstract Title"/>
    <w:basedOn w:val="Normal"/>
    <w:next w:val="Normal"/>
    <w:qFormat/>
    <w:rsid w:val="00db5066"/>
    <w:pPr>
      <w:spacing w:lineRule="auto" w:line="240" w:before="840" w:after="120"/>
      <w:jc w:val="both"/>
    </w:pPr>
    <w:rPr>
      <w:rFonts w:ascii="Times New Roman" w:hAnsi="Times New Roman" w:eastAsia="Times New Roman" w:cs="Times New Roman"/>
      <w:b/>
      <w:bCs/>
      <w:caps/>
      <w:sz w:val="18"/>
      <w:szCs w:val="24"/>
      <w:lang w:val="en-US"/>
    </w:rPr>
  </w:style>
  <w:style w:type="paragraph" w:styleId="AbstractText" w:customStyle="1">
    <w:name w:val="Abstract Text"/>
    <w:basedOn w:val="Normal"/>
    <w:qFormat/>
    <w:rsid w:val="00db5066"/>
    <w:pPr>
      <w:spacing w:lineRule="auto" w:line="240" w:before="0" w:after="0"/>
      <w:jc w:val="both"/>
    </w:pPr>
    <w:rPr>
      <w:rFonts w:ascii="Times New Roman" w:hAnsi="Times New Roman" w:eastAsia="Times New Roman" w:cs="Times New Roman"/>
      <w:sz w:val="18"/>
      <w:szCs w:val="24"/>
      <w:lang w:val="en-US"/>
    </w:rPr>
  </w:style>
  <w:style w:type="paragraph" w:styleId="FirstOrderHeadings" w:customStyle="1">
    <w:name w:val="First Order Headings"/>
    <w:basedOn w:val="Normal"/>
    <w:next w:val="Normal"/>
    <w:qFormat/>
    <w:rsid w:val="00db5066"/>
    <w:pPr>
      <w:tabs>
        <w:tab w:val="clear" w:pos="720"/>
        <w:tab w:val="left" w:pos="397" w:leader="none"/>
      </w:tabs>
      <w:spacing w:lineRule="auto" w:line="240" w:before="480" w:after="240"/>
      <w:ind w:left="397" w:hanging="397"/>
      <w:jc w:val="both"/>
    </w:pPr>
    <w:rPr>
      <w:rFonts w:ascii="Times New Roman" w:hAnsi="Times New Roman" w:eastAsia="Times New Roman" w:cs="Times New Roman"/>
      <w:b/>
      <w:bCs/>
      <w:caps/>
      <w:sz w:val="26"/>
      <w:szCs w:val="24"/>
      <w:lang w:val="en-US"/>
    </w:rPr>
  </w:style>
  <w:style w:type="paragraph" w:styleId="ReferencesTitle" w:customStyle="1">
    <w:name w:val="References Title"/>
    <w:basedOn w:val="Normal"/>
    <w:next w:val="Normal"/>
    <w:qFormat/>
    <w:rsid w:val="00db5066"/>
    <w:pPr>
      <w:spacing w:lineRule="auto" w:line="240" w:before="480" w:after="240"/>
      <w:jc w:val="both"/>
    </w:pPr>
    <w:rPr>
      <w:rFonts w:ascii="Times New Roman" w:hAnsi="Times New Roman" w:eastAsia="Times New Roman" w:cs="Times New Roman"/>
      <w:b/>
      <w:bCs/>
      <w:caps/>
      <w:sz w:val="26"/>
      <w:szCs w:val="24"/>
      <w:lang w:val="en-U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1424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1424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71424f"/>
    <w:pPr>
      <w:spacing w:before="0" w:after="160"/>
      <w:ind w:left="720" w:hanging="0"/>
      <w:contextualSpacing/>
    </w:pPr>
    <w:rPr/>
  </w:style>
  <w:style w:type="paragraph" w:styleId="Footnote">
    <w:name w:val="Footnote Text"/>
    <w:basedOn w:val="Normal"/>
    <w:link w:val="FootnoteTextChar"/>
    <w:uiPriority w:val="99"/>
    <w:semiHidden/>
    <w:unhideWhenUsed/>
    <w:rsid w:val="0071424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C064-86D3-4030-829A-12D97ED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3</Pages>
  <Words>1515</Words>
  <Characters>8906</Characters>
  <CharactersWithSpaces>10364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2023-10-10T12:34:00Z</dcterms:created>
  <dc:creator>staff</dc:creator>
  <dc:description/>
  <dc:language>en-US</dc:language>
  <cp:lastModifiedBy/>
  <dcterms:modified xsi:type="dcterms:W3CDTF">2023-10-11T12:56:42Z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