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r>
        <w:rPr>
          <w:rFonts w:ascii="Arial" w:cs="Arial" w:eastAsia="Arial" w:hAnsi="Arial"/>
          <w:caps/>
          <w:color w:val="666666"/>
          <w:sz w:val="20"/>
          <w:szCs w:val="20"/>
        </w:rPr>
        <w:t xml:space="preserve">VANGUARD SELL &amp; REBALANCE TOOL</w:t>
      </w:r>
    </w:p>
    <w:p>
      <w:pPr>
        <w:spacing w:before="80" w:after="0"/>
      </w:pPr>
      <w:r>
        <w:rPr>
          <w:rFonts w:ascii="Arial" w:cs="Arial" w:eastAsia="Arial" w:hAnsi="Arial"/>
          <w:b/>
          <w:bCs/>
          <w:color w:val="1B3A6B"/>
          <w:sz w:val="52"/>
          <w:szCs w:val="52"/>
        </w:rPr>
        <w:t xml:space="preserve">User Research Synthesis</w:t>
      </w:r>
    </w:p>
    <w:p>
      <w:pPr>
        <w:pBdr>
          <w:bottom w:val="single" w:color="8EB4D9" w:sz="8" w:space="1"/>
        </w:pBdr>
        <w:spacing w:before="40" w:after="40"/>
      </w:pPr>
      <w:r>
        <w:t xml:space="preserve"/>
      </w:r>
    </w:p>
    <w:p>
      <w:pPr>
        <w:spacing w:before="120" w:after="480"/>
      </w:pPr>
      <w:r>
        <w:rPr>
          <w:rFonts w:ascii="Arial" w:cs="Arial" w:eastAsia="Arial" w:hAnsi="Arial"/>
          <w:i/>
          <w:iCs/>
          <w:color w:val="666666"/>
          <w:sz w:val="20"/>
          <w:szCs w:val="20"/>
        </w:rPr>
        <w:t xml:space="preserve">Secondary research synthesis · February 2026 · Self-initiated design project</w:t>
      </w:r>
    </w:p>
    <w:p>
      <w:pPr>
        <w:pStyle w:val="Heading1"/>
        <w:spacing w:before="360" w:after="120"/>
      </w:pPr>
      <w:r>
        <w:rPr>
          <w:rFonts w:ascii="Arial" w:cs="Arial" w:eastAsia="Arial" w:hAnsi="Arial"/>
          <w:b/>
          <w:bCs/>
          <w:color w:val="1B3A6B"/>
          <w:sz w:val="32"/>
          <w:szCs w:val="32"/>
        </w:rPr>
        <w:t xml:space="preserve">Overview &amp; Research Approach</w:t>
      </w:r>
    </w:p>
    <w:p>
      <w:pPr>
        <w:spacing w:before="80" w:after="100"/>
      </w:pPr>
      <w:r>
        <w:rPr>
          <w:rFonts w:ascii="Arial" w:cs="Arial" w:eastAsia="Arial" w:hAnsi="Arial"/>
          <w:i w:val="false"/>
          <w:iCs w:val="false"/>
          <w:color w:val="333333"/>
          <w:sz w:val="22"/>
          <w:szCs w:val="22"/>
        </w:rPr>
        <w:t xml:space="preserve">This document synthesizes published research on self-directed investor behavior to ground the design of a Vanguard sell-and-rebalance tool. The research was conducted before defining detailed UX requirements, with the goal of establishing a user-centered foundation for the problem definition, workflow architecture, and interaction design decisions that followed.</w:t>
      </w:r>
    </w:p>
    <w:p>
      <w:pPr>
        <w:spacing w:before="80" w:after="100"/>
      </w:pPr>
      <w:r>
        <w:rPr>
          <w:rFonts w:ascii="Arial" w:cs="Arial" w:eastAsia="Arial" w:hAnsi="Arial"/>
          <w:i w:val="false"/>
          <w:iCs w:val="false"/>
          <w:color w:val="333333"/>
          <w:sz w:val="22"/>
          <w:szCs w:val="22"/>
        </w:rPr>
        <w:t xml:space="preserve">The research draws on three primary source categories: Vanguard's own published investor behavior studies, peer-reviewed behavioral finance literature, and published analyses of how investors engage with tax-related tools and decisions. No primary research was conducted; the synthesis relies on secondary sources, all cited.</w:t>
      </w:r>
    </w:p>
    <w:p>
      <w:pPr>
        <w:spacing w:before="80" w:after="0"/>
      </w:pPr>
      <w:r>
        <w:t xml:space="preserve"/>
      </w:r>
    </w:p>
    <w:p>
      <w:pPr>
        <w:pStyle w:val="Heading2"/>
        <w:spacing w:before="280" w:after="100"/>
      </w:pPr>
      <w:r>
        <w:rPr>
          <w:rFonts w:ascii="Arial" w:cs="Arial" w:eastAsia="Arial" w:hAnsi="Arial"/>
          <w:b/>
          <w:bCs/>
          <w:color w:val="3E5C8E"/>
          <w:sz w:val="24"/>
          <w:szCs w:val="24"/>
        </w:rPr>
        <w:t xml:space="preserve">Research Questions</w:t>
      </w:r>
    </w:p>
    <w:p>
      <w:pPr>
        <w:spacing w:before="80" w:after="100"/>
      </w:pPr>
      <w:r>
        <w:rPr>
          <w:rFonts w:ascii="Arial" w:cs="Arial" w:eastAsia="Arial" w:hAnsi="Arial"/>
          <w:i w:val="false"/>
          <w:iCs w:val="false"/>
          <w:color w:val="333333"/>
          <w:sz w:val="22"/>
          <w:szCs w:val="22"/>
        </w:rPr>
        <w:t xml:space="preserve">The following questions framed the research and were selected because the answers would directly shape design decisions — not because they were open-ended exploration.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gridSpan w:val="2"/>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Guiding Research Questions</w:t>
            </w:r>
          </w:p>
        </w:tc>
      </w:tr>
      <w:tr>
        <w:tc>
          <w:tcPr>
            <w:tcW w:type="dxa" w:w="400"/>
            <w:tcBorders>
              <w:top w:val="single" w:color="CCCCCC" w:sz="1"/>
              <w:left w:val="single" w:color="CCCCCC" w:sz="1"/>
              <w:bottom w:val="single" w:color="CCCCCC" w:sz="1"/>
              <w:right w:val="single" w:color="CCCCCC" w:sz="1"/>
            </w:tcBorders>
            <w:shd w:fill="D6E4F7" w:val="clear"/>
            <w:tcMar>
              <w:top w:type="dxa" w:w="80"/>
              <w:left w:type="dxa" w:w="100"/>
              <w:bottom w:type="dxa" w:w="80"/>
              <w:right w:type="dxa" w:w="100"/>
            </w:tcMar>
          </w:tcPr>
          <w:p>
            <w:pPr>
              <w:jc w:val="center"/>
            </w:pPr>
            <w:r>
              <w:rPr>
                <w:rFonts w:ascii="Arial" w:cs="Arial" w:eastAsia="Arial" w:hAnsi="Arial"/>
                <w:b/>
                <w:bCs/>
                <w:color w:val="1B3A6B"/>
                <w:sz w:val="19"/>
                <w:szCs w:val="19"/>
              </w:rPr>
              <w:t xml:space="preserve">RQ1</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How do self-directed Vanguard investors currently approach a sell decision that involves both rebalancing and tax considerations? Do they address these as one problem or two?</w:t>
            </w:r>
          </w:p>
        </w:tc>
      </w:tr>
      <w:tr>
        <w:tc>
          <w:tcPr>
            <w:tcW w:type="dxa" w:w="400"/>
            <w:tcBorders>
              <w:top w:val="single" w:color="CCCCCC" w:sz="1"/>
              <w:left w:val="single" w:color="CCCCCC" w:sz="1"/>
              <w:bottom w:val="single" w:color="CCCCCC" w:sz="1"/>
              <w:right w:val="single" w:color="CCCCCC" w:sz="1"/>
            </w:tcBorders>
            <w:shd w:fill="D6E4F7" w:val="clear"/>
            <w:tcMar>
              <w:top w:type="dxa" w:w="80"/>
              <w:left w:type="dxa" w:w="100"/>
              <w:bottom w:type="dxa" w:w="80"/>
              <w:right w:type="dxa" w:w="100"/>
            </w:tcMar>
          </w:tcPr>
          <w:p>
            <w:pPr>
              <w:jc w:val="center"/>
            </w:pPr>
            <w:r>
              <w:rPr>
                <w:rFonts w:ascii="Arial" w:cs="Arial" w:eastAsia="Arial" w:hAnsi="Arial"/>
                <w:b/>
                <w:bCs/>
                <w:color w:val="1B3A6B"/>
                <w:sz w:val="19"/>
                <w:szCs w:val="19"/>
              </w:rPr>
              <w:t xml:space="preserve">RQ2</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What is investors' baseline understanding of tax lots — specifically the short-term vs. long-term capital gains distinction and how cost basis method affects their tax bill?</w:t>
            </w:r>
          </w:p>
        </w:tc>
      </w:tr>
      <w:tr>
        <w:tc>
          <w:tcPr>
            <w:tcW w:type="dxa" w:w="400"/>
            <w:tcBorders>
              <w:top w:val="single" w:color="CCCCCC" w:sz="1"/>
              <w:left w:val="single" w:color="CCCCCC" w:sz="1"/>
              <w:bottom w:val="single" w:color="CCCCCC" w:sz="1"/>
              <w:right w:val="single" w:color="CCCCCC" w:sz="1"/>
            </w:tcBorders>
            <w:shd w:fill="D6E4F7" w:val="clear"/>
            <w:tcMar>
              <w:top w:type="dxa" w:w="80"/>
              <w:left w:type="dxa" w:w="100"/>
              <w:bottom w:type="dxa" w:w="80"/>
              <w:right w:type="dxa" w:w="100"/>
            </w:tcMar>
          </w:tcPr>
          <w:p>
            <w:pPr>
              <w:jc w:val="center"/>
            </w:pPr>
            <w:r>
              <w:rPr>
                <w:rFonts w:ascii="Arial" w:cs="Arial" w:eastAsia="Arial" w:hAnsi="Arial"/>
                <w:b/>
                <w:bCs/>
                <w:color w:val="1B3A6B"/>
                <w:sz w:val="19"/>
                <w:szCs w:val="19"/>
              </w:rPr>
              <w:t xml:space="preserve">RQ3</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When do investors prefer a system recommendation, and when do they prefer direct control? What factors drive that preference?</w:t>
            </w:r>
          </w:p>
        </w:tc>
      </w:tr>
      <w:tr>
        <w:tc>
          <w:tcPr>
            <w:tcW w:type="dxa" w:w="400"/>
            <w:tcBorders>
              <w:top w:val="single" w:color="CCCCCC" w:sz="1"/>
              <w:left w:val="single" w:color="CCCCCC" w:sz="1"/>
              <w:bottom w:val="single" w:color="CCCCCC" w:sz="1"/>
              <w:right w:val="single" w:color="CCCCCC" w:sz="1"/>
            </w:tcBorders>
            <w:shd w:fill="D6E4F7" w:val="clear"/>
            <w:tcMar>
              <w:top w:type="dxa" w:w="80"/>
              <w:left w:type="dxa" w:w="100"/>
              <w:bottom w:type="dxa" w:w="80"/>
              <w:right w:type="dxa" w:w="100"/>
            </w:tcMar>
          </w:tcPr>
          <w:p>
            <w:pPr>
              <w:jc w:val="center"/>
            </w:pPr>
            <w:r>
              <w:rPr>
                <w:rFonts w:ascii="Arial" w:cs="Arial" w:eastAsia="Arial" w:hAnsi="Arial"/>
                <w:b/>
                <w:bCs/>
                <w:color w:val="1B3A6B"/>
                <w:sz w:val="19"/>
                <w:szCs w:val="19"/>
              </w:rPr>
              <w:t xml:space="preserve">RQ4</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What behavioral biases are most likely to produce suboptimal sell decisions, and how can the interface design mitigate them?</w:t>
            </w:r>
          </w:p>
        </w:tc>
      </w:tr>
      <w:tr>
        <w:tc>
          <w:tcPr>
            <w:tcW w:type="dxa" w:w="400"/>
            <w:tcBorders>
              <w:top w:val="single" w:color="CCCCCC" w:sz="1"/>
              <w:left w:val="single" w:color="CCCCCC" w:sz="1"/>
              <w:bottom w:val="single" w:color="CCCCCC" w:sz="1"/>
              <w:right w:val="single" w:color="CCCCCC" w:sz="1"/>
            </w:tcBorders>
            <w:shd w:fill="D6E4F7" w:val="clear"/>
            <w:tcMar>
              <w:top w:type="dxa" w:w="80"/>
              <w:left w:type="dxa" w:w="100"/>
              <w:bottom w:type="dxa" w:w="80"/>
              <w:right w:type="dxa" w:w="100"/>
            </w:tcMar>
          </w:tcPr>
          <w:p>
            <w:pPr>
              <w:jc w:val="center"/>
            </w:pPr>
            <w:r>
              <w:rPr>
                <w:rFonts w:ascii="Arial" w:cs="Arial" w:eastAsia="Arial" w:hAnsi="Arial"/>
                <w:b/>
                <w:bCs/>
                <w:color w:val="1B3A6B"/>
                <w:sz w:val="19"/>
                <w:szCs w:val="19"/>
              </w:rPr>
              <w:t xml:space="preserve">RQ5</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What is investors' tolerance for complexity in a side-by-side comparison interface? At what point does more information become counterproductive?</w:t>
            </w:r>
          </w:p>
        </w:tc>
      </w:tr>
    </w:tbl>
    <w:p>
      <w:pPr>
        <w:pBdr>
          <w:bottom w:val="single" w:color="8EB4D9" w:sz="4" w:space="1"/>
        </w:pBdr>
        <w:spacing w:before="200" w:after="200"/>
      </w:pPr>
      <w:r>
        <w:t xml:space="preserve"/>
      </w:r>
    </w:p>
    <w:p>
      <w:pPr>
        <w:pStyle w:val="Heading1"/>
        <w:spacing w:before="360" w:after="120"/>
      </w:pPr>
      <w:r>
        <w:rPr>
          <w:rFonts w:ascii="Arial" w:cs="Arial" w:eastAsia="Arial" w:hAnsi="Arial"/>
          <w:b/>
          <w:bCs/>
          <w:color w:val="1B3A6B"/>
          <w:sz w:val="32"/>
          <w:szCs w:val="32"/>
        </w:rPr>
        <w:t xml:space="preserve">User Segments</w:t>
      </w:r>
    </w:p>
    <w:p>
      <w:pPr>
        <w:spacing w:before="80" w:after="100"/>
      </w:pPr>
      <w:r>
        <w:rPr>
          <w:rFonts w:ascii="Arial" w:cs="Arial" w:eastAsia="Arial" w:hAnsi="Arial"/>
          <w:i w:val="false"/>
          <w:iCs w:val="false"/>
          <w:color w:val="333333"/>
          <w:sz w:val="22"/>
          <w:szCs w:val="22"/>
        </w:rPr>
        <w:t xml:space="preserve">The research supports a two-segment model grounded in locus of control and financial self-efficacy rather than demographics. These dimensions — how much control investors believe they have over outcomes, and how confident they feel in their own financial judgment — predict workflow preference more reliably than age or portfolio size.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3E5C8E" w:val="clear"/>
            <w:tcMar>
              <w:top w:type="dxa" w:w="120"/>
              <w:left w:type="dxa" w:w="160"/>
              <w:bottom w:type="dxa" w:w="120"/>
              <w:right w:type="dxa" w:w="160"/>
            </w:tcMar>
          </w:tcPr>
          <w:p>
            <w:r>
              <w:rPr>
                <w:rFonts w:ascii="Arial" w:cs="Arial" w:eastAsia="Arial" w:hAnsi="Arial"/>
                <w:b/>
                <w:bCs/>
                <w:color w:val="FFFFFF"/>
                <w:sz w:val="26"/>
                <w:szCs w:val="26"/>
              </w:rPr>
              <w:t xml:space="preserve">The Delegator</w:t>
            </w:r>
          </w:p>
          <w:p>
            <w:r>
              <w:rPr>
                <w:rFonts w:ascii="Arial" w:cs="Arial" w:eastAsia="Arial" w:hAnsi="Arial"/>
                <w:i/>
                <w:iCs/>
                <w:color w:val="D6E4F7"/>
                <w:sz w:val="20"/>
                <w:szCs w:val="20"/>
              </w:rPr>
              <w:t xml:space="preserve">Workflow A user · Trusts a recommendation, wants to understand it enough to approve it</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1B3A6B"/>
                <w:sz w:val="20"/>
                <w:szCs w:val="20"/>
              </w:rPr>
              <w:t xml:space="preserve">Primary goal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Sell a target dollar amount in a tax-efficient way without having to become a tax-lot expert.</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1B3A6B"/>
                <w:sz w:val="20"/>
                <w:szCs w:val="20"/>
              </w:rPr>
              <w:t xml:space="preserve">Mental model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Views the platform as a capable assistant. Comfortable accepting a system recommendation if it can be briefly explained.</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1B3A6B"/>
                <w:sz w:val="20"/>
                <w:szCs w:val="20"/>
              </w:rPr>
              <w:t xml:space="preserve">Key concern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Making an irreversible mistake. Loss aversion is high; the fear of locking in short-term gains or missing a better approach outweighs the desire for control.</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1B3A6B"/>
                <w:sz w:val="20"/>
                <w:szCs w:val="20"/>
              </w:rPr>
              <w:t xml:space="preserve">Tax literacy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Aware that tax implications exist and differ by holding period, but does not track individual lots or manually select cost basis method.</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1B3A6B"/>
                <w:sz w:val="20"/>
                <w:szCs w:val="20"/>
              </w:rPr>
              <w:t xml:space="preserve">Behavioral signature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Uses default or system-recommended cost basis methods (FIFO or MinTax). May ignore unrealized gain/loss report unless prompted.</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1B3A6B"/>
                <w:sz w:val="20"/>
                <w:szCs w:val="20"/>
              </w:rPr>
              <w:t xml:space="preserve">Design need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 clear, trusted recommendation with enough transparency to feel confident — not so much detail that it creates anxiety or decision fatigue.</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1B3A6B"/>
                <w:sz w:val="20"/>
                <w:szCs w:val="20"/>
              </w:rPr>
              <w:t xml:space="preserve">Research basis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Vanguard (2020) found that among 44,000+ self-directed investors, fewer than one-third required only minor portfolio adjustments when presented with professional advice. The majority benefited from significant guidance (Pagliaro &amp; Utkus, 2020). Vanguard's behavioral design research identifies this segment as primary beneficiaries of nudges like MinTax (Xu et al., 2025).</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3E5C8E" w:val="clear"/>
            <w:tcMar>
              <w:top w:type="dxa" w:w="120"/>
              <w:left w:type="dxa" w:w="160"/>
              <w:bottom w:type="dxa" w:w="120"/>
              <w:right w:type="dxa" w:w="160"/>
            </w:tcMar>
          </w:tcPr>
          <w:p>
            <w:r>
              <w:rPr>
                <w:rFonts w:ascii="Arial" w:cs="Arial" w:eastAsia="Arial" w:hAnsi="Arial"/>
                <w:b/>
                <w:bCs/>
                <w:color w:val="FFFFFF"/>
                <w:sz w:val="26"/>
                <w:szCs w:val="26"/>
              </w:rPr>
              <w:t xml:space="preserve">The Active Optimizer</w:t>
            </w:r>
          </w:p>
          <w:p>
            <w:r>
              <w:rPr>
                <w:rFonts w:ascii="Arial" w:cs="Arial" w:eastAsia="Arial" w:hAnsi="Arial"/>
                <w:i/>
                <w:iCs/>
                <w:color w:val="D6E4F7"/>
                <w:sz w:val="20"/>
                <w:szCs w:val="20"/>
              </w:rPr>
              <w:t xml:space="preserve">Workflow B user · Arrives with a predetermined objective; uses the tool to evaluate and execute on a thesis already formed</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1B3A6B"/>
                <w:sz w:val="20"/>
                <w:szCs w:val="20"/>
              </w:rPr>
              <w:t xml:space="preserve">Primary goal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Execute a specific portfolio action — often informed by external research, news, or a considered view on a particular fund — while understanding and managing the tax consequences. May already know which fund they want to buy or sell; the tool’s job is to help them execute that thesis intelligently, not to suggest a different one.</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1B3A6B"/>
                <w:sz w:val="20"/>
                <w:szCs w:val="20"/>
              </w:rPr>
              <w:t xml:space="preserve">Mental model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Does not arrive at the tool with an open question like “how should I sell $X?” — arrives with a partially-formed answer: “I want to reduce my position in Fund A” or “I’ve decided to exit this holding.” External triggers drive the decision: a market event, a change in conviction about a sector or fund strategy, a rebalancing target they have calculated independently, or a desire to consolidate holdings. The automated recommendation engine optimizes within the existing allocation; it does not accommodate a predetermined fund-level intent. This investor needs to override or start outside that logic.</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1B3A6B"/>
                <w:sz w:val="20"/>
                <w:szCs w:val="20"/>
              </w:rPr>
              <w:t xml:space="preserve">Key concern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Two distinct concerns that are often in tension. First, that an automated recommendation will exclude the fund they specifically want to act on — or include funds they specifically do not want to touch — because the optimization logic has no visibility into their external reasoning. Second, having executed the right trade for the wrong tax reason: selling the correct fund but from the wrong lots, triggering an avoidable short-term gain or missing a harvestable loss. Control is the mechanism for managing both risks simultaneously.</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1B3A6B"/>
                <w:sz w:val="20"/>
                <w:szCs w:val="20"/>
              </w:rPr>
              <w:t xml:space="preserve">Tax literacy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Higher than average. Understands short-term vs. long-term distinctions, tracks cost basis, and may already use Specific ID method manually.</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1B3A6B"/>
                <w:sz w:val="20"/>
                <w:szCs w:val="20"/>
              </w:rPr>
              <w:t xml:space="preserve">Behavioral signature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More likely to compare scenarios mentally or in a spreadsheet before executing. Research shows this type is more susceptible to overconfidence bias and excessive trading (Barber &amp; Odean, 2000; Odean, 1998).</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1B3A6B"/>
                <w:sz w:val="20"/>
                <w:szCs w:val="20"/>
              </w:rPr>
              <w:t xml:space="preserve">Design need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Direct access to lot-level data, real-time tax impact calculation, and the ability to build and compare multiple scenarios. The recommendation should be visible but not mandatory.</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1B3A6B"/>
                <w:sz w:val="20"/>
                <w:szCs w:val="20"/>
              </w:rPr>
              <w:t xml:space="preserve">Research basis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Research on investor locus of control (Neneh &amp; Dzomonda, 2024; Caliendo et al., 2024) finds that investors with a strong internal LOC — those who believe their own knowledge and decisions drive outcomes — show significantly higher preference for agency in financial decision-making and are more likely to act on independent analysis rather than delegating to an advisor or algorithm. This investor type is also documented in the behavioral finance literature as more susceptible to overconfidence: Odean (1998) and Barber &amp; Odean (2000) found that investors who trade based on conviction and information tend to over-estimate their information edge, which structured scenario comparison can partially mitigate by making the tax cost of a thesis-driven trade explicit before execution.</w:t>
            </w:r>
          </w:p>
        </w:tc>
      </w:tr>
    </w:tbl>
    <w:p>
      <w:pPr>
        <w:pBdr>
          <w:bottom w:val="single" w:color="8EB4D9" w:sz="4" w:space="1"/>
        </w:pBdr>
        <w:spacing w:before="200" w:after="200"/>
      </w:pPr>
      <w:r>
        <w:t xml:space="preserve"/>
      </w:r>
    </w:p>
    <w:p>
      <w:pPr>
        <w:pStyle w:val="Heading1"/>
        <w:spacing w:before="360" w:after="120"/>
      </w:pPr>
      <w:r>
        <w:rPr>
          <w:rFonts w:ascii="Arial" w:cs="Arial" w:eastAsia="Arial" w:hAnsi="Arial"/>
          <w:b/>
          <w:bCs/>
          <w:color w:val="1B3A6B"/>
          <w:sz w:val="32"/>
          <w:szCs w:val="32"/>
        </w:rPr>
        <w:t xml:space="preserve">Key Findings</w:t>
      </w:r>
    </w:p>
    <w:p>
      <w:pPr>
        <w:spacing w:before="80" w:after="100"/>
      </w:pPr>
      <w:r>
        <w:rPr>
          <w:rFonts w:ascii="Arial" w:cs="Arial" w:eastAsia="Arial" w:hAnsi="Arial"/>
          <w:i w:val="false"/>
          <w:iCs w:val="false"/>
          <w:color w:val="333333"/>
          <w:sz w:val="22"/>
          <w:szCs w:val="22"/>
        </w:rPr>
        <w:t xml:space="preserve">Six findings from the research directly informed design decisions. Each is grounded in published sources.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2"/>
                <w:szCs w:val="22"/>
              </w:rPr>
              <w:t>Finding 1: Self-directed investors systematically underuse tax-efficient selling strategies</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before="40" w:after="60"/>
            </w:pPr>
            <w:r>
              <w:rPr>
                <w:rFonts w:ascii="Arial" w:cs="Arial" w:eastAsia="Arial" w:hAnsi="Arial"/>
                <w:color w:val="333333"/>
                <w:sz w:val="21"/>
                <w:szCs w:val="21"/>
              </w:rPr>
              <w:t xml:space="preserve">Vanguard's 2025 behavioral design research identifies recurring investor missteps in taxable account trading: choosing default cost basis methods (typically FIFO) rather than tax-optimized alternatives, locking in short-term gains when long-term alternatives exist, and selling just short of the one-year holding period that triggers lower capital gains rates. The research found that most investors default to FIFO or Average Cost, which consistently produces higher tax bills than alternatives. In the first half of 2025 alone, more than 200,000 Vanguard investors used the MinTax method for transactions totaling over $38 billion — evidence of significant latent demand for tax-guided selling that is not fully met by existing self-directed tools. (Source: Xu et al., 2025, "Principles for Behavioral Design: Nudging for Better Investor Outcomes," Vanguard Research.)</w:t>
            </w:r>
          </w:p>
          <w:p>
            <w:pPr>
              <w:spacing w:before="60" w:after="40"/>
            </w:pPr>
            <w:r>
              <w:rPr>
                <w:rFonts w:ascii="Arial" w:cs="Arial" w:eastAsia="Arial" w:hAnsi="Arial"/>
                <w:b/>
                <w:bCs/>
                <w:color w:val="3E5C8E"/>
                <w:sz w:val="21"/>
                <w:szCs w:val="21"/>
              </w:rPr>
              <w:t xml:space="preserve">Design implication: </w:t>
            </w:r>
            <w:r>
              <w:rPr>
                <w:rFonts w:ascii="Arial" w:cs="Arial" w:eastAsia="Arial" w:hAnsi="Arial"/>
                <w:color w:val="333333"/>
                <w:sz w:val="21"/>
                <w:szCs w:val="21"/>
              </w:rPr>
              <w:t xml:space="preserve">The tool must surface tax impact proactively and in dollar terms, not leave it for the investor to calculate. The MinTax logic embedded in Vanguard's existing system is a starting point, but a sell-and-rebalance workflow requires integrating tax optimization with allocation targets simultaneously — a problem MinTax alone does not solve.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2"/>
                <w:szCs w:val="22"/>
              </w:rPr>
              <w:t>Finding 2: Investors are subject to the disposition effect — a bias that runs directly counter to tax-loss harvesting</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before="40" w:after="60"/>
            </w:pPr>
            <w:r>
              <w:rPr>
                <w:rFonts w:ascii="Arial" w:cs="Arial" w:eastAsia="Arial" w:hAnsi="Arial"/>
                <w:color w:val="333333"/>
                <w:sz w:val="21"/>
                <w:szCs w:val="21"/>
              </w:rPr>
              <w:t xml:space="preserve">One of the most extensively documented findings in behavioral finance is the disposition effect: investors tend to sell winning positions too early and hold losing positions too long (Shefrin &amp; Statman, 1985; Odean, 1998). This bias is specifically counterproductive in the context of tax-loss harvesting, which requires doing the opposite — realizing losses strategically. Odean's analysis of 10,000 brokerage accounts found that investors were more than 50% more likely to realize gains than losses across most of the year, with the pattern partially reversing in December due to year-end tax awareness. The bias is driven by loss aversion (the psychological pain of locking in a loss exceeds the rational benefit) and mental accounting (each position is evaluated independently rather than as part of a portfolio-level tax strategy). (Sources: Shefrin &amp; Statman, 1985, Journal of Finance; Odean, 1998, Journal of Finance.)</w:t>
            </w:r>
          </w:p>
          <w:p>
            <w:pPr>
              <w:spacing w:before="60" w:after="40"/>
            </w:pPr>
            <w:r>
              <w:rPr>
                <w:rFonts w:ascii="Arial" w:cs="Arial" w:eastAsia="Arial" w:hAnsi="Arial"/>
                <w:b/>
                <w:bCs/>
                <w:color w:val="3E5C8E"/>
                <w:sz w:val="21"/>
                <w:szCs w:val="21"/>
              </w:rPr>
              <w:t xml:space="preserve">Design implication: </w:t>
            </w:r>
            <w:r>
              <w:rPr>
                <w:rFonts w:ascii="Arial" w:cs="Arial" w:eastAsia="Arial" w:hAnsi="Arial"/>
                <w:color w:val="333333"/>
                <w:sz w:val="21"/>
                <w:szCs w:val="21"/>
              </w:rPr>
              <w:t xml:space="preserve">The interface should frame selling decisions at the portfolio level, not fund by fund. Tax impact should be shown in aggregate alongside per-fund detail. The recommendation engine (Workflow A) can counteract the disposition effect by identifying optimal lots automatically — removing the emotional friction of the investor having to manually select losing lots to sell.</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2"/>
                <w:szCs w:val="22"/>
              </w:rPr>
              <w:t>Finding 3: Decision autonomy increases recommendation acceptance — but requires visible choice</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before="40" w:after="60"/>
            </w:pPr>
            <w:r>
              <w:rPr>
                <w:rFonts w:ascii="Arial" w:cs="Arial" w:eastAsia="Arial" w:hAnsi="Arial"/>
                <w:color w:val="333333"/>
                <w:sz w:val="21"/>
                <w:szCs w:val="21"/>
              </w:rPr>
              <w:t xml:space="preserve">Research on algorithm aversion and recommendation systems finds that users are more likely to accept algorithmic recommendations when they retain visible control over the process. A 2024 study (Fink, Newman &amp; Haran) found that offering multiple recommendations rather than a single mandate significantly increased acceptance — even when the recommendations did not include a perfectly optimal option. The mechanism is self-determination theory: when users can choose from alternatives or control how recommendations are presented, their psychological need for autonomy is satisfied and resistance to algorithm-generated outputs decreases. A parallel finding from behavioral finance research on locus of control shows that investors with high internal locus of control (those who believe their own decisions drive outcomes) are significantly less likely to accept automated recommendations unless they can also see and override them. (Source: Fink, Newman &amp; Haran, 2024, Computers in Human Behavior; behavioral LOC research synthesized in Neneh &amp; Dzomonda, 2024.)</w:t>
            </w:r>
          </w:p>
          <w:p>
            <w:pPr>
              <w:spacing w:before="60" w:after="40"/>
            </w:pPr>
            <w:r>
              <w:rPr>
                <w:rFonts w:ascii="Arial" w:cs="Arial" w:eastAsia="Arial" w:hAnsi="Arial"/>
                <w:b/>
                <w:bCs/>
                <w:color w:val="3E5C8E"/>
                <w:sz w:val="21"/>
                <w:szCs w:val="21"/>
              </w:rPr>
              <w:t xml:space="preserve">Design implication: </w:t>
            </w:r>
            <w:r>
              <w:rPr>
                <w:rFonts w:ascii="Arial" w:cs="Arial" w:eastAsia="Arial" w:hAnsi="Arial"/>
                <w:color w:val="333333"/>
                <w:sz w:val="21"/>
                <w:szCs w:val="21"/>
              </w:rPr>
              <w:t xml:space="preserve">This is the direct research basis for the dual-workflow architecture. The Delegator arrives with an open question (“how should I sell $X?”) and is well-served by a system recommendation as a starting point. The Active Optimizer arrives with a partially-formed answer (“I want to act on Fund X specifically”) and needs a workflow that accepts that as a valid entry point rather than overriding it. Neither workflow should be invisible or mandatory. Both converge on the Scenario Analysis screen, which gives the Active Optimizer the ability to see the system recommendation alongside their thesis-driven scenario — satisfying the autonomy need while making the cost of any deviation from the optimized path explicit. The three-scenario maximum for side-by-side comparison is supported by choice overload research showing that more than three or four options increases cognitive load without improving decision quality.</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2"/>
                <w:szCs w:val="22"/>
              </w:rPr>
              <w:t>Finding 4: Tax lot complexity is a significant barrier to optimal decision-making for most investors</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before="40" w:after="60"/>
            </w:pPr>
            <w:r>
              <w:rPr>
                <w:rFonts w:ascii="Arial" w:cs="Arial" w:eastAsia="Arial" w:hAnsi="Arial"/>
                <w:color w:val="333333"/>
                <w:sz w:val="21"/>
                <w:szCs w:val="21"/>
              </w:rPr>
              <w:t xml:space="preserve">Vanguard's own educational content on cost basis methods acknowledges that the most flexible approach — Specific ID — requires the investor to understand individual lot cost basis and holding periods for every fund, a task Vanguard describes as requiring "more work" but offering the "greatest tax benefits." Evaluating positions at the tax-lot level, while time-consuming, provides the maximum control over capital gains. The research gap between what is theoretically optimal (lot-level Specific ID selection) and what most investors actually do (accept the default method) represents the primary UX problem this tool addresses. Behavioral research confirms that when tasks require evaluating more information than working memory can hold, investors fall back on heuristics — including selling the most familiar or recently discussed fund, regardless of its tax profile. (Sources: Vanguard cost basis educational resources; behavioral decision-making research on cognitive load and heuristics.)</w:t>
            </w:r>
          </w:p>
          <w:p>
            <w:pPr>
              <w:spacing w:before="60" w:after="40"/>
            </w:pPr>
            <w:r>
              <w:rPr>
                <w:rFonts w:ascii="Arial" w:cs="Arial" w:eastAsia="Arial" w:hAnsi="Arial"/>
                <w:b/>
                <w:bCs/>
                <w:color w:val="3E5C8E"/>
                <w:sz w:val="21"/>
                <w:szCs w:val="21"/>
              </w:rPr>
              <w:t xml:space="preserve">Design implication: </w:t>
            </w:r>
            <w:r>
              <w:rPr>
                <w:rFonts w:ascii="Arial" w:cs="Arial" w:eastAsia="Arial" w:hAnsi="Arial"/>
                <w:color w:val="333333"/>
                <w:sz w:val="21"/>
                <w:szCs w:val="21"/>
              </w:rPr>
              <w:t xml:space="preserve">The tool must perform the lot-level calculation on behalf of the investor and surface the result in plain-language terms. Tax impact should be presented in dollars, not percentages or tax rate labels, because dollar framing is more salient and less abstract. The gain/loss detail at the lot level should be available but not mandatory to view — progressive disclosure that supports both the Delegator (needs a summary) and the Active Optimizer (wants the full breakdown).</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2"/>
                <w:szCs w:val="22"/>
              </w:rPr>
              <w:t>Finding 5: Portfolio rebalancing is emotionally difficult — selling underperformers to buy underperformers feels counterintuitive</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before="40" w:after="60"/>
            </w:pPr>
            <w:r>
              <w:rPr>
                <w:rFonts w:ascii="Arial" w:cs="Arial" w:eastAsia="Arial" w:hAnsi="Arial"/>
                <w:color w:val="333333"/>
                <w:sz w:val="21"/>
                <w:szCs w:val="21"/>
              </w:rPr>
              <w:t xml:space="preserve">Published research on the behavioral challenges of rebalancing identifies a consistent pattern: the optimal rebalancing action (selling what has risen to buy what has fallen) runs directly against investor intuition and emotional comfort. Vanguard's behavioral coaching research documents this explicitly, noting that rebalancing opportunities arise most often when the action "feels counterintuitive" and involves "a very uncomfortable leap of faith." The emotional barrier is compounded when a sell decision involves tax consequences — now the investor is simultaneously being asked to take a counterintuitive allocation action and accept a visible tax bill. The combination of these two discomforts is a primary reason investors defer or ignore rebalancing decisions. (Source: Vanguard adviser behavioral coaching research; Weber, 2013, cited in Vanguard Adviser's Alpha.)</w:t>
            </w:r>
          </w:p>
          <w:p>
            <w:pPr>
              <w:spacing w:before="60" w:after="40"/>
            </w:pPr>
            <w:r>
              <w:rPr>
                <w:rFonts w:ascii="Arial" w:cs="Arial" w:eastAsia="Arial" w:hAnsi="Arial"/>
                <w:b/>
                <w:bCs/>
                <w:color w:val="3E5C8E"/>
                <w:sz w:val="21"/>
                <w:szCs w:val="21"/>
              </w:rPr>
              <w:t xml:space="preserve">Design implication: </w:t>
            </w:r>
            <w:r>
              <w:rPr>
                <w:rFonts w:ascii="Arial" w:cs="Arial" w:eastAsia="Arial" w:hAnsi="Arial"/>
                <w:color w:val="333333"/>
                <w:sz w:val="21"/>
                <w:szCs w:val="21"/>
              </w:rPr>
              <w:t xml:space="preserve">The interface should frame the sell decision in terms of goal progress ("bringing your portfolio back toward your target allocation") alongside the tax impact. The system recommendation should present both dimensions — the allocation benefit and the net estimated tax cost — so that the investor can evaluate the tradeoff rather than just feeling the pain of one side. The ability to compare scenarios side-by-side addresses this by making the allocation and tax consequences of different choices directly comparable.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2"/>
                <w:szCs w:val="22"/>
              </w:rPr>
              <w:t>Finding 6: Tax-loss harvesting delivers measurable value — but only with disciplined, systematic behavior</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before="40" w:after="60"/>
            </w:pPr>
            <w:r>
              <w:rPr>
                <w:rFonts w:ascii="Arial" w:cs="Arial" w:eastAsia="Arial" w:hAnsi="Arial"/>
                <w:color w:val="333333"/>
                <w:sz w:val="21"/>
                <w:szCs w:val="21"/>
              </w:rPr>
              <w:t xml:space="preserve">Vanguard's 2024 research on tax-loss harvesting quantifies the potential additional annual after-tax return from TLH at between 0.47% and 1.27%, depending on portfolio composition and reinvestment behavior. The research identifies the single most important behavioral driver of TLH value as reinvesting tax savings back into the portfolio — a step most manual investors skip. The research also finds that investors who scan for harvest opportunities quarterly rather than daily, and who harvest within a single commingled fund rather than across a direct-indexed portfolio, realize significantly less of the theoretical value. This confirms that the gap between knowing about tax-loss harvesting and executing it optimally is behavioral, not informational — and is therefore addressable through tool design. (Source: Vanguard, 2024, "Tax-Loss Harvesting: Why a Personalized Approach Is Important.")</w:t>
            </w:r>
          </w:p>
          <w:p>
            <w:pPr>
              <w:spacing w:before="60" w:after="40"/>
            </w:pPr>
            <w:r>
              <w:rPr>
                <w:rFonts w:ascii="Arial" w:cs="Arial" w:eastAsia="Arial" w:hAnsi="Arial"/>
                <w:b/>
                <w:bCs/>
                <w:color w:val="3E5C8E"/>
                <w:sz w:val="21"/>
                <w:szCs w:val="21"/>
              </w:rPr>
              <w:t xml:space="preserve">Design implication: </w:t>
            </w:r>
            <w:r>
              <w:rPr>
                <w:rFonts w:ascii="Arial" w:cs="Arial" w:eastAsia="Arial" w:hAnsi="Arial"/>
                <w:color w:val="333333"/>
                <w:sz w:val="21"/>
                <w:szCs w:val="21"/>
              </w:rPr>
              <w:t xml:space="preserve">The tool's scenario analysis screen should make the estimated tax savings of each scenario visible and comparable. Framing the tax impact as a dollar savings ("this scenario saves you an estimated $X compared to a default FIFO sell") — rather than as an abstract tax efficiency metric — connects the outcome to a concrete, meaningful benefit. This framing also reduces loss aversion by reframing the decision as gaining savings rather than accepting tax costs.</w:t>
            </w:r>
          </w:p>
        </w:tc>
      </w:tr>
    </w:tbl>
    <w:p>
      <w:pPr>
        <w:pBdr>
          <w:bottom w:val="single" w:color="8EB4D9" w:sz="4" w:space="1"/>
        </w:pBdr>
        <w:spacing w:before="200" w:after="200"/>
      </w:pPr>
      <w:r>
        <w:t xml:space="preserve"/>
      </w:r>
    </w:p>
    <w:p>
      <w:pPr>
        <w:pStyle w:val="Heading1"/>
        <w:spacing w:before="360" w:after="120"/>
      </w:pPr>
      <w:r>
        <w:rPr>
          <w:rFonts w:ascii="Arial" w:cs="Arial" w:eastAsia="Arial" w:hAnsi="Arial"/>
          <w:b/>
          <w:bCs/>
          <w:color w:val="1B3A6B"/>
          <w:sz w:val="32"/>
          <w:szCs w:val="32"/>
        </w:rPr>
        <w:t xml:space="preserve">User Profiles</w:t>
      </w:r>
    </w:p>
    <w:p>
      <w:pPr>
        <w:spacing w:before="80" w:after="100"/>
      </w:pPr>
      <w:r>
        <w:rPr>
          <w:rFonts w:ascii="Arial" w:cs="Arial" w:eastAsia="Arial" w:hAnsi="Arial"/>
          <w:i w:val="false"/>
          <w:iCs w:val="false"/>
          <w:color w:val="333333"/>
          <w:sz w:val="22"/>
          <w:szCs w:val="22"/>
        </w:rPr>
        <w:t xml:space="preserve">The following two profiles translate the research segments into concrete descriptions. These are composite profiles grounded in the behavioral research above — not fictional interview subjects.</w:t>
      </w:r>
    </w:p>
    <w:p>
      <w:pPr>
        <w:spacing w:before="120" w:after="0"/>
      </w:pPr>
      <w:r>
        <w:t xml:space="preserve"/>
      </w:r>
    </w:p>
    <w:p>
      <w:pPr>
        <w:spacing w:before="40" w:after="100"/>
      </w:pPr>
      <w:r>
        <w:rPr>
          <w:rFonts w:ascii="Arial" w:cs="Arial" w:eastAsia="Arial" w:hAnsi="Arial"/>
          <w:b/>
          <w:bCs/>
          <w:color w:val="1B3A6B"/>
          <w:sz w:val="26"/>
          <w:szCs w:val="26"/>
        </w:rPr>
        <w:t xml:space="preserve">Profile 1: The Delegator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1B3A6B"/>
                <w:sz w:val="20"/>
                <w:szCs w:val="20"/>
              </w:rPr>
              <w:t xml:space="preserve">Goals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Raise cash from taxable holdings for a near-term need or to rebalance toward a target. Wants the outcome to be tax-efficient without having to become a tax expert.</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1B3A6B"/>
                <w:sz w:val="20"/>
                <w:szCs w:val="20"/>
              </w:rPr>
              <w:t xml:space="preserve">Current behavior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Accepts Vanguard's default cost basis method (FIFO or Average Cost). Rarely consults the unrealized gain/loss report before selling. Sells the fund they think of as "extra" rather than the tax-optimal one.</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1B3A6B"/>
                <w:sz w:val="20"/>
                <w:szCs w:val="20"/>
              </w:rPr>
              <w:t xml:space="preserve">Primary frustration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Does not know what the tax consequences of a sell will be until after it happens, or until they receive a year-end tax form. The current interface does not connect the sell decision to the tax outcome.</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1B3A6B"/>
                <w:sz w:val="20"/>
                <w:szCs w:val="20"/>
              </w:rPr>
              <w:t xml:space="preserve">What they need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 clear recommendation with a brief explanation. Confidence that the system has considered the tax implications. The ability to approve, not just execute.</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1B3A6B"/>
                <w:sz w:val="20"/>
                <w:szCs w:val="20"/>
              </w:rPr>
              <w:t xml:space="preserve">Decision trigger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 need $20,000 from my taxable account. Tell me how to do this in a way that doesn't hurt me at tax time."</w:t>
            </w:r>
          </w:p>
        </w:tc>
      </w:tr>
    </w:tbl>
    <w:p>
      <w:pPr>
        <w:spacing w:before="160" w:after="0"/>
      </w:pPr>
      <w:r>
        <w:t xml:space="preserve"/>
      </w:r>
    </w:p>
    <w:p>
      <w:pPr>
        <w:spacing w:before="40" w:after="100"/>
      </w:pPr>
      <w:r>
        <w:rPr>
          <w:rFonts w:ascii="Arial" w:cs="Arial" w:eastAsia="Arial" w:hAnsi="Arial"/>
          <w:b/>
          <w:bCs/>
          <w:color w:val="1B3A6B"/>
          <w:sz w:val="26"/>
          <w:szCs w:val="26"/>
        </w:rPr>
        <w:t xml:space="preserve">Profile 2: The Active Optimizer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1B3A6B"/>
                <w:sz w:val="20"/>
                <w:szCs w:val="20"/>
              </w:rPr>
              <w:t xml:space="preserve">Goals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Act on a predetermined view about a specific fund or holding, while managing the tax consequence of doing so. The objective is fund-specific first, tax-optimized second — the reverse of Workflow A’s logic, which is tax-optimized first and fund-agnostic.</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1B3A6B"/>
                <w:sz w:val="20"/>
                <w:szCs w:val="20"/>
              </w:rPr>
              <w:t xml:space="preserve">Current behavior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Uses Specific ID cost basis method when available. Cross-references unrealized gain/loss report with a target allocation spreadsheet before selling. Aware of wash-sale rules.</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1B3A6B"/>
                <w:sz w:val="20"/>
                <w:szCs w:val="20"/>
              </w:rPr>
              <w:t xml:space="preserve">Primary frustration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Two layers. At the workflow level: there is no entry point for “I want to sell Fund X specifically” — the existing interface forces a generic sell transaction without surfacing the tax implication of that specific fund choice versus alternatives. At the lot level: the unrealized gain/loss report, sell screen, and account summary exist on separate screens with no way to model the total tax consequence of a multi-fund scenario before committing.</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1B3A6B"/>
                <w:sz w:val="20"/>
                <w:szCs w:val="20"/>
              </w:rPr>
              <w:t xml:space="preserve">What they need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The ability to specify a target fund and amount as a starting point, then see the tax consequence of that choice alongside alternative scenarios — including what the automated recommendation would have suggested. Lot-level data, real-time tax impact, and side-by-side comparison. The system recommendation should be available for reference without being the mandatory entry point.</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1B3A6B"/>
                <w:sz w:val="20"/>
                <w:szCs w:val="20"/>
              </w:rPr>
              <w:t xml:space="preserve">Decision trigger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“I’ve decided to reduce my position in [Fund X]. I need to understand the tax consequences and compare it against other options before I pull the trigger.” The decision to act on this fund has already been made; the tool is being used to execute it intelligently.</w:t>
            </w:r>
          </w:p>
        </w:tc>
      </w:tr>
    </w:tbl>
    <w:p>
      <w:pPr>
        <w:pBdr>
          <w:bottom w:val="single" w:color="8EB4D9" w:sz="4" w:space="1"/>
        </w:pBdr>
        <w:spacing w:before="200" w:after="200"/>
      </w:pPr>
      <w:r>
        <w:t xml:space="preserve"/>
      </w:r>
    </w:p>
    <w:p>
      <w:pPr>
        <w:pStyle w:val="Heading1"/>
        <w:spacing w:before="360" w:after="120"/>
      </w:pPr>
      <w:r>
        <w:rPr>
          <w:rFonts w:ascii="Arial" w:cs="Arial" w:eastAsia="Arial" w:hAnsi="Arial"/>
          <w:b/>
          <w:bCs/>
          <w:color w:val="1B3A6B"/>
          <w:sz w:val="32"/>
          <w:szCs w:val="32"/>
        </w:rPr>
        <w:t xml:space="preserve">How Might We Statements</w:t>
      </w:r>
    </w:p>
    <w:p>
      <w:pPr>
        <w:spacing w:before="80" w:after="100"/>
      </w:pPr>
      <w:r>
        <w:rPr>
          <w:rFonts w:ascii="Arial" w:cs="Arial" w:eastAsia="Arial" w:hAnsi="Arial"/>
          <w:i w:val="false"/>
          <w:iCs w:val="false"/>
          <w:color w:val="333333"/>
          <w:sz w:val="22"/>
          <w:szCs w:val="22"/>
        </w:rPr>
        <w:t xml:space="preserve">These statements translate research findings into design opportunities. They informed the core workflow decisions and the Scenario Analysis screen interaction model.</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8EB4D9" w:val="clear"/>
            <w:tcMar>
              <w:top w:type="dxa" w:w="100"/>
              <w:left w:type="dxa" w:w="100"/>
              <w:bottom w:type="dxa" w:w="100"/>
              <w:right w:type="dxa" w:w="100"/>
            </w:tcMar>
          </w:tcPr>
          <w:p>
            <w:pPr>
              <w:jc w:val="center"/>
            </w:pPr>
            <w:r>
              <w:rPr>
                <w:rFonts w:ascii="Arial" w:cs="Arial" w:eastAsia="Arial" w:hAnsi="Arial"/>
                <w:b/>
                <w:bCs/>
                <w:color w:val="FFFFFF"/>
                <w:sz w:val="28"/>
                <w:szCs w:val="28"/>
              </w:rPr>
              <w:t xml:space="preserve">1</w:t>
            </w:r>
          </w:p>
        </w:tc>
        <w:tc>
          <w:tcPr>
            <w:tcW w:type="dxa" w:w="876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color w:val="1B3A6B"/>
                <w:sz w:val="22"/>
                <w:szCs w:val="22"/>
              </w:rPr>
              <w:t xml:space="preserve">How might we help self-directed investors make tax-optimized sell decisions without requiring them to understand tax-lot accounting?</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8EB4D9" w:val="clear"/>
            <w:tcMar>
              <w:top w:type="dxa" w:w="100"/>
              <w:left w:type="dxa" w:w="100"/>
              <w:bottom w:type="dxa" w:w="100"/>
              <w:right w:type="dxa" w:w="100"/>
            </w:tcMar>
          </w:tcPr>
          <w:p>
            <w:pPr>
              <w:jc w:val="center"/>
            </w:pPr>
            <w:r>
              <w:rPr>
                <w:rFonts w:ascii="Arial" w:cs="Arial" w:eastAsia="Arial" w:hAnsi="Arial"/>
                <w:b/>
                <w:bCs/>
                <w:color w:val="FFFFFF"/>
                <w:sz w:val="28"/>
                <w:szCs w:val="28"/>
              </w:rPr>
              <w:t xml:space="preserve">2</w:t>
            </w:r>
          </w:p>
        </w:tc>
        <w:tc>
          <w:tcPr>
            <w:tcW w:type="dxa" w:w="876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color w:val="1B3A6B"/>
                <w:sz w:val="22"/>
                <w:szCs w:val="22"/>
              </w:rPr>
              <w:t xml:space="preserve">How might we counteract the disposition effect — the tendency to hold losers and sell winners — by making the tax benefit of the optimal sell action visible and concrete?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8EB4D9" w:val="clear"/>
            <w:tcMar>
              <w:top w:type="dxa" w:w="100"/>
              <w:left w:type="dxa" w:w="100"/>
              <w:bottom w:type="dxa" w:w="100"/>
              <w:right w:type="dxa" w:w="100"/>
            </w:tcMar>
          </w:tcPr>
          <w:p>
            <w:pPr>
              <w:jc w:val="center"/>
            </w:pPr>
            <w:r>
              <w:rPr>
                <w:rFonts w:ascii="Arial" w:cs="Arial" w:eastAsia="Arial" w:hAnsi="Arial"/>
                <w:b/>
                <w:bCs/>
                <w:color w:val="FFFFFF"/>
                <w:sz w:val="28"/>
                <w:szCs w:val="28"/>
              </w:rPr>
              <w:t xml:space="preserve">3</w:t>
            </w:r>
          </w:p>
        </w:tc>
        <w:tc>
          <w:tcPr>
            <w:tcW w:type="dxa" w:w="876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color w:val="1B3A6B"/>
                <w:sz w:val="22"/>
                <w:szCs w:val="22"/>
              </w:rPr>
              <w:t xml:space="preserve">How might we give investors meaningful control over a system recommendation so that accepting it feels like a decision, not a surrender?</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8EB4D9" w:val="clear"/>
            <w:tcMar>
              <w:top w:type="dxa" w:w="100"/>
              <w:left w:type="dxa" w:w="100"/>
              <w:bottom w:type="dxa" w:w="100"/>
              <w:right w:type="dxa" w:w="100"/>
            </w:tcMar>
          </w:tcPr>
          <w:p>
            <w:pPr>
              <w:jc w:val="center"/>
            </w:pPr>
            <w:r>
              <w:rPr>
                <w:rFonts w:ascii="Arial" w:cs="Arial" w:eastAsia="Arial" w:hAnsi="Arial"/>
                <w:b/>
                <w:bCs/>
                <w:color w:val="FFFFFF"/>
                <w:sz w:val="28"/>
                <w:szCs w:val="28"/>
              </w:rPr>
              <w:t xml:space="preserve">4</w:t>
            </w:r>
          </w:p>
        </w:tc>
        <w:tc>
          <w:tcPr>
            <w:tcW w:type="dxa" w:w="876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color w:val="1B3A6B"/>
                <w:sz w:val="22"/>
                <w:szCs w:val="22"/>
              </w:rPr>
              <w:t xml:space="preserve">How might we let investors see the combined effect of rebalancing and tax impact across a multi-fund sell, before they commit to any transaction?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8EB4D9" w:val="clear"/>
            <w:tcMar>
              <w:top w:type="dxa" w:w="100"/>
              <w:left w:type="dxa" w:w="100"/>
              <w:bottom w:type="dxa" w:w="100"/>
              <w:right w:type="dxa" w:w="100"/>
            </w:tcMar>
          </w:tcPr>
          <w:p>
            <w:pPr>
              <w:jc w:val="center"/>
            </w:pPr>
            <w:r>
              <w:rPr>
                <w:rFonts w:ascii="Arial" w:cs="Arial" w:eastAsia="Arial" w:hAnsi="Arial"/>
                <w:b/>
                <w:bCs/>
                <w:color w:val="FFFFFF"/>
                <w:sz w:val="28"/>
                <w:szCs w:val="28"/>
              </w:rPr>
              <w:t xml:space="preserve">5</w:t>
            </w:r>
          </w:p>
        </w:tc>
        <w:tc>
          <w:tcPr>
            <w:tcW w:type="dxa" w:w="876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color w:val="1B3A6B"/>
                <w:sz w:val="22"/>
                <w:szCs w:val="22"/>
              </w:rPr>
              <w:t xml:space="preserve">How might we support an investor who arrives with a specific fund or objective already in mind — making the tax-optimized recommendation visible as a reference point rather than forcing it as the only entry into the workflow?</w:t>
            </w:r>
          </w:p>
        </w:tc>
      </w:tr>
    </w:tbl>
    <w:p>
      <w:pPr>
        <w:pBdr>
          <w:bottom w:val="single" w:color="8EB4D9" w:sz="4" w:space="1"/>
        </w:pBdr>
        <w:spacing w:before="200" w:after="200"/>
      </w:pPr>
      <w:r>
        <w:t xml:space="preserve"/>
      </w:r>
    </w:p>
    <w:p>
      <w:pPr>
        <w:pStyle w:val="Heading1"/>
        <w:spacing w:before="360" w:after="120"/>
      </w:pPr>
      <w:r>
        <w:rPr>
          <w:rFonts w:ascii="Arial" w:cs="Arial" w:eastAsia="Arial" w:hAnsi="Arial"/>
          <w:b/>
          <w:bCs/>
          <w:color w:val="1B3A6B"/>
          <w:sz w:val="32"/>
          <w:szCs w:val="32"/>
        </w:rPr>
        <w:t xml:space="preserve">Sources</w:t>
      </w:r>
    </w:p>
    <w:p>
      <w:pPr>
        <w:spacing w:before="80" w:after="100"/>
      </w:pPr>
      <w:r>
        <w:rPr>
          <w:rFonts w:ascii="Arial" w:cs="Arial" w:eastAsia="Arial" w:hAnsi="Arial"/>
          <w:i w:val="false"/>
          <w:iCs w:val="false"/>
          <w:color w:val="333333"/>
          <w:sz w:val="22"/>
          <w:szCs w:val="22"/>
        </w:rPr>
        <w:t xml:space="preserve">All findings in this document are drawn from the following published sources.</w:t>
      </w:r>
    </w:p>
    <w:p>
      <w:pPr>
        <w:spacing w:before="80" w:after="0"/>
      </w:pPr>
      <w:r>
        <w:t xml:space="preserve"/>
      </w:r>
    </w:p>
    <w:p>
      <w:pPr>
        <w:pStyle w:val="ListParagraph"/>
        <w:numPr>
          <w:ilvl w:val="0"/>
          <w:numId w:val="2"/>
        </w:numPr>
        <w:spacing w:before="60" w:after="60"/>
      </w:pPr>
      <w:r>
        <w:rPr>
          <w:rFonts w:ascii="Arial" w:cs="Arial" w:eastAsia="Arial" w:hAnsi="Arial"/>
          <w:color w:val="333333"/>
          <w:sz w:val="22"/>
          <w:szCs w:val="22"/>
        </w:rPr>
        <w:t xml:space="preserve">Xu, X., et al. (2025). Principles for Behavioral Design: Nudging for Better Investor Outcomes. Vanguard Research.</w:t>
      </w:r>
    </w:p>
    <w:p>
      <w:pPr>
        <w:pStyle w:val="ListParagraph"/>
        <w:numPr>
          <w:ilvl w:val="0"/>
          <w:numId w:val="2"/>
        </w:numPr>
        <w:spacing w:before="60" w:after="60"/>
      </w:pPr>
      <w:r>
        <w:rPr>
          <w:rFonts w:ascii="Arial" w:cs="Arial" w:eastAsia="Arial" w:hAnsi="Arial"/>
          <w:color w:val="333333"/>
          <w:sz w:val="22"/>
          <w:szCs w:val="22"/>
        </w:rPr>
        <w:t xml:space="preserve">Vanguard (2025). Unlocking Better Outcomes with Behavioral Design. Corporate.vanguard.com.</w:t>
      </w:r>
    </w:p>
    <w:p>
      <w:pPr>
        <w:pStyle w:val="ListParagraph"/>
        <w:numPr>
          <w:ilvl w:val="0"/>
          <w:numId w:val="2"/>
        </w:numPr>
        <w:spacing w:before="60" w:after="60"/>
      </w:pPr>
      <w:r>
        <w:rPr>
          <w:rFonts w:ascii="Arial" w:cs="Arial" w:eastAsia="Arial" w:hAnsi="Arial"/>
          <w:color w:val="333333"/>
          <w:sz w:val="22"/>
          <w:szCs w:val="22"/>
        </w:rPr>
        <w:t xml:space="preserve">Pagliaro, C. &amp; Utkus, S. (2020). The Value of Advice: Improving Portfolio Diversification. Vanguard Research.</w:t>
      </w:r>
    </w:p>
    <w:p>
      <w:pPr>
        <w:pStyle w:val="ListParagraph"/>
        <w:numPr>
          <w:ilvl w:val="0"/>
          <w:numId w:val="2"/>
        </w:numPr>
        <w:spacing w:before="60" w:after="60"/>
      </w:pPr>
      <w:r>
        <w:rPr>
          <w:rFonts w:ascii="Arial" w:cs="Arial" w:eastAsia="Arial" w:hAnsi="Arial"/>
          <w:color w:val="333333"/>
          <w:sz w:val="22"/>
          <w:szCs w:val="22"/>
        </w:rPr>
        <w:t xml:space="preserve">Vanguard (2024). Tax-Loss Harvesting: Why a Personalized Approach Is Important. Vanguard Research.</w:t>
      </w:r>
    </w:p>
    <w:p>
      <w:pPr>
        <w:pStyle w:val="ListParagraph"/>
        <w:numPr>
          <w:ilvl w:val="0"/>
          <w:numId w:val="2"/>
        </w:numPr>
        <w:spacing w:before="60" w:after="60"/>
      </w:pPr>
      <w:r>
        <w:rPr>
          <w:rFonts w:ascii="Arial" w:cs="Arial" w:eastAsia="Arial" w:hAnsi="Arial"/>
          <w:color w:val="333333"/>
          <w:sz w:val="22"/>
          <w:szCs w:val="22"/>
        </w:rPr>
        <w:t xml:space="preserve">Vanguard (2023). Fundamentals of Tax Planning: Beyond the Basics. Vanguard Financial Planning Perspectives.</w:t>
      </w:r>
    </w:p>
    <w:p>
      <w:pPr>
        <w:pStyle w:val="ListParagraph"/>
        <w:numPr>
          <w:ilvl w:val="0"/>
          <w:numId w:val="2"/>
        </w:numPr>
        <w:spacing w:before="60" w:after="60"/>
      </w:pPr>
      <w:r>
        <w:rPr>
          <w:rFonts w:ascii="Arial" w:cs="Arial" w:eastAsia="Arial" w:hAnsi="Arial"/>
          <w:color w:val="333333"/>
          <w:sz w:val="22"/>
          <w:szCs w:val="22"/>
        </w:rPr>
        <w:t xml:space="preserve">Weber, M. (2013). Self-Directed Investor Returns, cited in Vanguard Adviser's Alpha (2020).</w:t>
      </w:r>
    </w:p>
    <w:p>
      <w:pPr>
        <w:pStyle w:val="ListParagraph"/>
        <w:numPr>
          <w:ilvl w:val="0"/>
          <w:numId w:val="2"/>
        </w:numPr>
        <w:spacing w:before="60" w:after="60"/>
      </w:pPr>
      <w:r>
        <w:rPr>
          <w:rFonts w:ascii="Arial" w:cs="Arial" w:eastAsia="Arial" w:hAnsi="Arial"/>
          <w:color w:val="333333"/>
          <w:sz w:val="22"/>
          <w:szCs w:val="22"/>
        </w:rPr>
        <w:t xml:space="preserve">Shefrin, H. &amp; Statman, M. (1985). The Disposition to Sell Winners Too Early and Ride Losers Too Long: Theory and Evidence. Journal of Finance, 40(3), 777–790.</w:t>
      </w:r>
    </w:p>
    <w:p>
      <w:pPr>
        <w:pStyle w:val="ListParagraph"/>
        <w:numPr>
          <w:ilvl w:val="0"/>
          <w:numId w:val="2"/>
        </w:numPr>
        <w:spacing w:before="60" w:after="60"/>
      </w:pPr>
      <w:r>
        <w:rPr>
          <w:rFonts w:ascii="Arial" w:cs="Arial" w:eastAsia="Arial" w:hAnsi="Arial"/>
          <w:color w:val="333333"/>
          <w:sz w:val="22"/>
          <w:szCs w:val="22"/>
        </w:rPr>
        <w:t xml:space="preserve">Odean, T. (1998). Are Investors Reluctant to Realize Their Losses? Journal of Finance, 53(5), 1775–1798.</w:t>
      </w:r>
    </w:p>
    <w:p>
      <w:pPr>
        <w:pStyle w:val="ListParagraph"/>
        <w:numPr>
          <w:ilvl w:val="0"/>
          <w:numId w:val="2"/>
        </w:numPr>
        <w:spacing w:before="60" w:after="60"/>
      </w:pPr>
      <w:r>
        <w:rPr>
          <w:rFonts w:ascii="Arial" w:cs="Arial" w:eastAsia="Arial" w:hAnsi="Arial"/>
          <w:color w:val="333333"/>
          <w:sz w:val="22"/>
          <w:szCs w:val="22"/>
        </w:rPr>
        <w:t xml:space="preserve">Barber, B. &amp; Odean, T. (2000). Trading Is Hazardous to Your Wealth. Journal of Finance, 55(2), 773–806.</w:t>
      </w:r>
    </w:p>
    <w:p>
      <w:pPr>
        <w:pStyle w:val="ListParagraph"/>
        <w:numPr>
          <w:ilvl w:val="0"/>
          <w:numId w:val="2"/>
        </w:numPr>
        <w:spacing w:before="60" w:after="60"/>
      </w:pPr>
      <w:r>
        <w:rPr>
          <w:rFonts w:ascii="Arial" w:cs="Arial" w:eastAsia="Arial" w:hAnsi="Arial"/>
          <w:color w:val="333333"/>
          <w:sz w:val="22"/>
          <w:szCs w:val="22"/>
        </w:rPr>
        <w:t xml:space="preserve">Fink, L., Newman, L. &amp; Haran, U. (2024). Let Me Decide: Increasing User Autonomy Increases Recommendation Acceptance. Computers in Human Behavior.</w:t>
      </w:r>
    </w:p>
    <w:p>
      <w:pPr>
        <w:pStyle w:val="ListParagraph"/>
        <w:numPr>
          <w:ilvl w:val="0"/>
          <w:numId w:val="2"/>
        </w:numPr>
        <w:spacing w:before="60" w:after="60"/>
      </w:pPr>
      <w:r>
        <w:rPr>
          <w:rFonts w:ascii="Arial" w:cs="Arial" w:eastAsia="Arial" w:hAnsi="Arial"/>
          <w:color w:val="333333"/>
          <w:sz w:val="22"/>
          <w:szCs w:val="22"/>
        </w:rPr>
        <w:t xml:space="preserve">Dowd, J. &amp; Richards, B. (2021). Capital Gains Tax Options: Behavioral Responses and Revenues. Congressional Research Service.</w:t>
      </w:r>
    </w:p>
    <w:p>
      <w:pPr>
        <w:pStyle w:val="ListParagraph"/>
        <w:numPr>
          <w:ilvl w:val="0"/>
          <w:numId w:val="2"/>
        </w:numPr>
        <w:spacing w:before="60" w:after="60"/>
      </w:pPr>
      <w:r>
        <w:rPr>
          <w:rFonts w:ascii="Arial" w:cs="Arial" w:eastAsia="Arial" w:hAnsi="Arial"/>
          <w:color w:val="333333"/>
          <w:sz w:val="22"/>
          <w:szCs w:val="22"/>
        </w:rPr>
        <w:t xml:space="preserve">Vanguard (2022). The Science Behind Behavioral Coaching. Vanguard Research.</w:t>
      </w:r>
    </w:p>
    <w:p>
      <w:pPr>
        <w:pStyle w:val="ListParagraph"/>
        <w:numPr>
          <w:ilvl w:val="0"/>
          <w:numId w:val="2"/>
        </w:numPr>
        <w:spacing w:before="60" w:after="60"/>
      </w:pPr>
      <w:r>
        <w:rPr>
          <w:rFonts w:ascii="Arial" w:cs="Arial" w:eastAsia="Arial" w:hAnsi="Arial"/>
          <w:color w:val="333333"/>
          <w:sz w:val="22"/>
          <w:szCs w:val="22"/>
        </w:rPr>
        <w:t xml:space="preserve">Vanguard investor education resources on cost basis methods, capital gains, and MinTax. Investor.vanguard.com.</w:t>
      </w:r>
    </w:p>
    <w:p>
      <w:pPr>
        <w:spacing w:before="120" w:after="0"/>
      </w:pPr>
      <w:r>
        <w:t xml:space="preserve"/>
      </w:r>
    </w:p>
    <w:p>
      <w:pPr>
        <w:pBdr>
          <w:top w:val="single" w:color="EEEEEE" w:sz="2" w:space="1"/>
        </w:pBdr>
        <w:spacing w:before="80" w:after="80"/>
      </w:pPr>
      <w:r>
        <w:rPr>
          <w:rFonts w:ascii="Arial" w:cs="Arial" w:eastAsia="Arial" w:hAnsi="Arial"/>
          <w:i/>
          <w:iCs/>
          <w:color w:val="666666"/>
          <w:sz w:val="18"/>
          <w:szCs w:val="18"/>
        </w:rPr>
        <w:t xml:space="preserve">Vanguard Sell &amp; Rebalance Tool — User Research Synthesis · February 2026 · Self-initiated design project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3E5C8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2026-02-24T21:09:36.178Z</dcterms:created>
  <dcterms:modified xsi:type="dcterms:W3CDTF">2026-02-24T21:09:36.179Z</dcterms:modified>
</cp:coreProperties>
</file>

<file path=docProps/custom.xml><?xml version="1.0" encoding="utf-8"?>
<Properties xmlns="http://schemas.openxmlformats.org/officeDocument/2006/custom-properties" xmlns:vt="http://schemas.openxmlformats.org/officeDocument/2006/docPropsVTypes"/>
</file>