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237"/>
        <w:gridCol w:w="732"/>
        <w:gridCol w:w="1032"/>
        <w:gridCol w:w="1380"/>
        <w:gridCol w:w="1753"/>
        <w:gridCol w:w="2882"/>
      </w:tblGrid>
      <w:tr w:rsidR="003461AB" w:rsidTr="003461AB">
        <w:tc>
          <w:tcPr>
            <w:tcW w:w="1237" w:type="dxa"/>
          </w:tcPr>
          <w:p w:rsidR="00E106CC" w:rsidRDefault="00E106CC">
            <w:r>
              <w:t>Authors</w:t>
            </w:r>
          </w:p>
        </w:tc>
        <w:tc>
          <w:tcPr>
            <w:tcW w:w="732" w:type="dxa"/>
          </w:tcPr>
          <w:p w:rsidR="00E106CC" w:rsidRDefault="00E106CC">
            <w:r>
              <w:t>Year</w:t>
            </w:r>
          </w:p>
        </w:tc>
        <w:tc>
          <w:tcPr>
            <w:tcW w:w="1032" w:type="dxa"/>
          </w:tcPr>
          <w:p w:rsidR="00E106CC" w:rsidRDefault="00E106CC">
            <w:r>
              <w:t>Paper type</w:t>
            </w:r>
          </w:p>
        </w:tc>
        <w:tc>
          <w:tcPr>
            <w:tcW w:w="1380" w:type="dxa"/>
          </w:tcPr>
          <w:p w:rsidR="00E106CC" w:rsidRDefault="00E106CC">
            <w:r>
              <w:t>Topic</w:t>
            </w:r>
          </w:p>
        </w:tc>
        <w:tc>
          <w:tcPr>
            <w:tcW w:w="1753" w:type="dxa"/>
          </w:tcPr>
          <w:p w:rsidR="00E106CC" w:rsidRDefault="00E106CC">
            <w:r>
              <w:t>Species</w:t>
            </w:r>
          </w:p>
        </w:tc>
        <w:tc>
          <w:tcPr>
            <w:tcW w:w="2882" w:type="dxa"/>
          </w:tcPr>
          <w:p w:rsidR="00E106CC" w:rsidRDefault="00E106CC">
            <w:r>
              <w:t>Key findings</w:t>
            </w:r>
          </w:p>
        </w:tc>
      </w:tr>
      <w:tr w:rsidR="003461AB" w:rsidTr="003461AB">
        <w:tc>
          <w:tcPr>
            <w:tcW w:w="1237" w:type="dxa"/>
          </w:tcPr>
          <w:p w:rsidR="00F11289" w:rsidRDefault="00F11289">
            <w:r>
              <w:t>O’Loughlin &amp; Green</w:t>
            </w:r>
          </w:p>
        </w:tc>
        <w:tc>
          <w:tcPr>
            <w:tcW w:w="732" w:type="dxa"/>
          </w:tcPr>
          <w:p w:rsidR="00F11289" w:rsidRDefault="00F11289">
            <w:r>
              <w:t>2017</w:t>
            </w:r>
          </w:p>
        </w:tc>
        <w:tc>
          <w:tcPr>
            <w:tcW w:w="1032" w:type="dxa"/>
          </w:tcPr>
          <w:p w:rsidR="00F11289" w:rsidRDefault="00F11289">
            <w:r>
              <w:t>Review</w:t>
            </w:r>
          </w:p>
        </w:tc>
        <w:tc>
          <w:tcPr>
            <w:tcW w:w="1380" w:type="dxa"/>
          </w:tcPr>
          <w:p w:rsidR="00F11289" w:rsidRDefault="00F11289">
            <w:r>
              <w:t>Secondary invasion</w:t>
            </w:r>
          </w:p>
        </w:tc>
        <w:tc>
          <w:tcPr>
            <w:tcW w:w="1753" w:type="dxa"/>
          </w:tcPr>
          <w:p w:rsidR="00F11289" w:rsidRDefault="00F11289">
            <w:r>
              <w:t>-</w:t>
            </w:r>
          </w:p>
        </w:tc>
        <w:tc>
          <w:tcPr>
            <w:tcW w:w="2882" w:type="dxa"/>
          </w:tcPr>
          <w:p w:rsidR="00F11289" w:rsidRDefault="00536B24">
            <w:r>
              <w:t>Primary invasions, or species presence, can facilitate secondary invasions via environment modification</w:t>
            </w:r>
          </w:p>
        </w:tc>
      </w:tr>
      <w:tr w:rsidR="00210A2E" w:rsidTr="003461AB">
        <w:tc>
          <w:tcPr>
            <w:tcW w:w="1237" w:type="dxa"/>
          </w:tcPr>
          <w:p w:rsidR="00210A2E" w:rsidRDefault="00210A2E">
            <w:proofErr w:type="spellStart"/>
            <w:r>
              <w:t>Simberloff</w:t>
            </w:r>
            <w:proofErr w:type="spellEnd"/>
            <w:r>
              <w:t xml:space="preserve"> &amp; Von </w:t>
            </w:r>
            <w:proofErr w:type="spellStart"/>
            <w:r>
              <w:t>Holle</w:t>
            </w:r>
            <w:proofErr w:type="spellEnd"/>
          </w:p>
        </w:tc>
        <w:tc>
          <w:tcPr>
            <w:tcW w:w="732" w:type="dxa"/>
          </w:tcPr>
          <w:p w:rsidR="00210A2E" w:rsidRDefault="00210A2E">
            <w:r>
              <w:t>1999</w:t>
            </w:r>
          </w:p>
        </w:tc>
        <w:tc>
          <w:tcPr>
            <w:tcW w:w="1032" w:type="dxa"/>
          </w:tcPr>
          <w:p w:rsidR="00210A2E" w:rsidRDefault="00210A2E">
            <w:r>
              <w:t>Meta-analysis</w:t>
            </w:r>
          </w:p>
        </w:tc>
        <w:tc>
          <w:tcPr>
            <w:tcW w:w="1380" w:type="dxa"/>
          </w:tcPr>
          <w:p w:rsidR="00210A2E" w:rsidRDefault="00210A2E">
            <w:proofErr w:type="spellStart"/>
            <w:r>
              <w:t>Invasional</w:t>
            </w:r>
            <w:proofErr w:type="spellEnd"/>
            <w:r>
              <w:t xml:space="preserve"> meltdowns</w:t>
            </w:r>
          </w:p>
        </w:tc>
        <w:tc>
          <w:tcPr>
            <w:tcW w:w="1753" w:type="dxa"/>
          </w:tcPr>
          <w:p w:rsidR="00210A2E" w:rsidRDefault="00210A2E">
            <w:r>
              <w:t>-</w:t>
            </w:r>
          </w:p>
        </w:tc>
        <w:tc>
          <w:tcPr>
            <w:tcW w:w="2882" w:type="dxa"/>
          </w:tcPr>
          <w:p w:rsidR="00210A2E" w:rsidRDefault="00210A2E">
            <w:r>
              <w:t xml:space="preserve">Analysed frequencies of </w:t>
            </w:r>
            <w:proofErr w:type="spellStart"/>
            <w:r>
              <w:t>invasional</w:t>
            </w:r>
            <w:proofErr w:type="spellEnd"/>
            <w:r>
              <w:t xml:space="preserve"> meltdowns- characterised invader interactions and examples in plant/pollinator, plant/disperser/prey, environmental modification and soil legacies in co-invasion. </w:t>
            </w:r>
          </w:p>
        </w:tc>
      </w:tr>
      <w:tr w:rsidR="003461AB" w:rsidTr="003461AB">
        <w:tc>
          <w:tcPr>
            <w:tcW w:w="1237" w:type="dxa"/>
          </w:tcPr>
          <w:p w:rsidR="00181799" w:rsidRDefault="00181799">
            <w:r>
              <w:t>Rivett</w:t>
            </w:r>
          </w:p>
        </w:tc>
        <w:tc>
          <w:tcPr>
            <w:tcW w:w="732" w:type="dxa"/>
          </w:tcPr>
          <w:p w:rsidR="00181799" w:rsidRDefault="00181799">
            <w:r>
              <w:t>2018</w:t>
            </w:r>
          </w:p>
        </w:tc>
        <w:tc>
          <w:tcPr>
            <w:tcW w:w="1032" w:type="dxa"/>
          </w:tcPr>
          <w:p w:rsidR="00181799" w:rsidRDefault="00181799">
            <w:r>
              <w:t>Research article</w:t>
            </w:r>
          </w:p>
        </w:tc>
        <w:tc>
          <w:tcPr>
            <w:tcW w:w="1380" w:type="dxa"/>
          </w:tcPr>
          <w:p w:rsidR="00181799" w:rsidRDefault="00181799">
            <w:r>
              <w:t>Co-selection, PE</w:t>
            </w:r>
          </w:p>
        </w:tc>
        <w:tc>
          <w:tcPr>
            <w:tcW w:w="1753" w:type="dxa"/>
          </w:tcPr>
          <w:p w:rsidR="00181799" w:rsidRDefault="00181799">
            <w:r>
              <w:t>Bacteria, natural community</w:t>
            </w:r>
          </w:p>
        </w:tc>
        <w:tc>
          <w:tcPr>
            <w:tcW w:w="2882" w:type="dxa"/>
          </w:tcPr>
          <w:p w:rsidR="00181799" w:rsidRDefault="00181799">
            <w:r>
              <w:t xml:space="preserve">Increased invader diversity increased co-invasion success into communities. Positive pairwise effects decreased with increasing invasion delay (PE). </w:t>
            </w:r>
          </w:p>
        </w:tc>
      </w:tr>
      <w:tr w:rsidR="003461AB" w:rsidTr="003461AB">
        <w:tc>
          <w:tcPr>
            <w:tcW w:w="1237" w:type="dxa"/>
          </w:tcPr>
          <w:p w:rsidR="00795C3E" w:rsidRDefault="00795C3E">
            <w:r>
              <w:t xml:space="preserve">Lu et al. </w:t>
            </w:r>
          </w:p>
        </w:tc>
        <w:tc>
          <w:tcPr>
            <w:tcW w:w="732" w:type="dxa"/>
          </w:tcPr>
          <w:p w:rsidR="00795C3E" w:rsidRDefault="00795C3E">
            <w:r>
              <w:t>2018</w:t>
            </w:r>
          </w:p>
        </w:tc>
        <w:tc>
          <w:tcPr>
            <w:tcW w:w="1032" w:type="dxa"/>
          </w:tcPr>
          <w:p w:rsidR="00795C3E" w:rsidRDefault="00795C3E">
            <w:r>
              <w:t>Research article</w:t>
            </w:r>
          </w:p>
        </w:tc>
        <w:tc>
          <w:tcPr>
            <w:tcW w:w="1380" w:type="dxa"/>
          </w:tcPr>
          <w:p w:rsidR="00795C3E" w:rsidRDefault="00795C3E">
            <w:r>
              <w:t>Co-selection</w:t>
            </w:r>
          </w:p>
        </w:tc>
        <w:tc>
          <w:tcPr>
            <w:tcW w:w="1753" w:type="dxa"/>
          </w:tcPr>
          <w:p w:rsidR="00795C3E" w:rsidRDefault="00795C3E">
            <w:r>
              <w:t>Plant, soil microbiome</w:t>
            </w:r>
          </w:p>
        </w:tc>
        <w:tc>
          <w:tcPr>
            <w:tcW w:w="2882" w:type="dxa"/>
          </w:tcPr>
          <w:p w:rsidR="00795C3E" w:rsidRDefault="00795C3E">
            <w:r>
              <w:t>Weak evidence of top-down co-selection. Invasion success of dominant species increased in presence of rarer species (bottom-up)</w:t>
            </w:r>
          </w:p>
        </w:tc>
      </w:tr>
      <w:tr w:rsidR="003461AB" w:rsidTr="003461AB">
        <w:tc>
          <w:tcPr>
            <w:tcW w:w="1237" w:type="dxa"/>
          </w:tcPr>
          <w:p w:rsidR="00E106CC" w:rsidRDefault="00E106CC">
            <w:r>
              <w:t>Ames et al.</w:t>
            </w:r>
          </w:p>
        </w:tc>
        <w:tc>
          <w:tcPr>
            <w:tcW w:w="732" w:type="dxa"/>
          </w:tcPr>
          <w:p w:rsidR="00E106CC" w:rsidRDefault="00E106CC">
            <w:r>
              <w:t>1991</w:t>
            </w:r>
          </w:p>
        </w:tc>
        <w:tc>
          <w:tcPr>
            <w:tcW w:w="1032" w:type="dxa"/>
          </w:tcPr>
          <w:p w:rsidR="00E106CC" w:rsidRDefault="00E106CC">
            <w:r>
              <w:t>Research article</w:t>
            </w:r>
          </w:p>
        </w:tc>
        <w:tc>
          <w:tcPr>
            <w:tcW w:w="1380" w:type="dxa"/>
          </w:tcPr>
          <w:p w:rsidR="00E106CC" w:rsidRDefault="00E106CC">
            <w:r>
              <w:t>Co-selection</w:t>
            </w:r>
          </w:p>
        </w:tc>
        <w:tc>
          <w:tcPr>
            <w:tcW w:w="1753" w:type="dxa"/>
          </w:tcPr>
          <w:p w:rsidR="00E106CC" w:rsidRDefault="00E106CC">
            <w:r>
              <w:t>Rhizobia, mycorrhizal fungi, cowpea</w:t>
            </w:r>
          </w:p>
        </w:tc>
        <w:tc>
          <w:tcPr>
            <w:tcW w:w="2882" w:type="dxa"/>
          </w:tcPr>
          <w:p w:rsidR="00E106CC" w:rsidRPr="00E106CC" w:rsidRDefault="00E106CC">
            <w:r>
              <w:t xml:space="preserve">In non-sterile soil, two rhizobia sp. significantly improved cowpea growth when paired with mycorrhizae. Specific sp. interactions. </w:t>
            </w:r>
          </w:p>
        </w:tc>
      </w:tr>
      <w:tr w:rsidR="00942BAB" w:rsidTr="003461AB">
        <w:tc>
          <w:tcPr>
            <w:tcW w:w="1237" w:type="dxa"/>
          </w:tcPr>
          <w:p w:rsidR="00942BAB" w:rsidRDefault="00942BAB">
            <w:r>
              <w:t xml:space="preserve">Lawrence et al. </w:t>
            </w:r>
          </w:p>
        </w:tc>
        <w:tc>
          <w:tcPr>
            <w:tcW w:w="732" w:type="dxa"/>
          </w:tcPr>
          <w:p w:rsidR="00942BAB" w:rsidRDefault="00942BAB">
            <w:r>
              <w:t>2012</w:t>
            </w:r>
          </w:p>
        </w:tc>
        <w:tc>
          <w:tcPr>
            <w:tcW w:w="1032" w:type="dxa"/>
          </w:tcPr>
          <w:p w:rsidR="00942BAB" w:rsidRDefault="00942BAB">
            <w:r>
              <w:t>Research article</w:t>
            </w:r>
          </w:p>
        </w:tc>
        <w:tc>
          <w:tcPr>
            <w:tcW w:w="1380" w:type="dxa"/>
          </w:tcPr>
          <w:p w:rsidR="00942BAB" w:rsidRDefault="00942BAB">
            <w:r>
              <w:t>Co-selection</w:t>
            </w:r>
          </w:p>
        </w:tc>
        <w:tc>
          <w:tcPr>
            <w:tcW w:w="1753" w:type="dxa"/>
          </w:tcPr>
          <w:p w:rsidR="00942BAB" w:rsidRDefault="00942BAB">
            <w:r>
              <w:t>Beech tea microbes</w:t>
            </w:r>
          </w:p>
        </w:tc>
        <w:tc>
          <w:tcPr>
            <w:tcW w:w="2882" w:type="dxa"/>
          </w:tcPr>
          <w:p w:rsidR="00942BAB" w:rsidRDefault="00942BAB">
            <w:r>
              <w:t>Species A-C growth depended on the presence of at least one other species. Species D was adapted to the background media</w:t>
            </w:r>
          </w:p>
        </w:tc>
      </w:tr>
      <w:tr w:rsidR="00942BAB" w:rsidTr="003461AB">
        <w:tc>
          <w:tcPr>
            <w:tcW w:w="1237" w:type="dxa"/>
          </w:tcPr>
          <w:p w:rsidR="00942BAB" w:rsidRDefault="00942BAB">
            <w:r>
              <w:t>Ren et al.</w:t>
            </w:r>
          </w:p>
        </w:tc>
        <w:tc>
          <w:tcPr>
            <w:tcW w:w="732" w:type="dxa"/>
          </w:tcPr>
          <w:p w:rsidR="00942BAB" w:rsidRDefault="00942BAB">
            <w:r>
              <w:t>2013</w:t>
            </w:r>
          </w:p>
        </w:tc>
        <w:tc>
          <w:tcPr>
            <w:tcW w:w="1032" w:type="dxa"/>
          </w:tcPr>
          <w:p w:rsidR="00942BAB" w:rsidRDefault="00942BAB">
            <w:r>
              <w:t>Research article</w:t>
            </w:r>
          </w:p>
        </w:tc>
        <w:tc>
          <w:tcPr>
            <w:tcW w:w="1380" w:type="dxa"/>
          </w:tcPr>
          <w:p w:rsidR="00942BAB" w:rsidRDefault="00942BAB">
            <w:r>
              <w:t>Co-selection, synergy</w:t>
            </w:r>
          </w:p>
        </w:tc>
        <w:tc>
          <w:tcPr>
            <w:tcW w:w="1753" w:type="dxa"/>
          </w:tcPr>
          <w:p w:rsidR="00942BAB" w:rsidRDefault="00942BAB">
            <w:r>
              <w:t>Soil microbiomes</w:t>
            </w:r>
          </w:p>
        </w:tc>
        <w:tc>
          <w:tcPr>
            <w:tcW w:w="2882" w:type="dxa"/>
          </w:tcPr>
          <w:p w:rsidR="00942BAB" w:rsidRDefault="00942BAB">
            <w:proofErr w:type="spellStart"/>
            <w:r w:rsidRPr="00942BAB">
              <w:t>Stenotropomonas</w:t>
            </w:r>
            <w:proofErr w:type="spellEnd"/>
            <w:r w:rsidRPr="00942BAB">
              <w:t xml:space="preserve"> </w:t>
            </w:r>
            <w:proofErr w:type="spellStart"/>
            <w:r w:rsidRPr="00942BAB">
              <w:t>rhizophilia</w:t>
            </w:r>
            <w:proofErr w:type="spellEnd"/>
            <w:r>
              <w:t xml:space="preserve">, </w:t>
            </w:r>
            <w:proofErr w:type="spellStart"/>
            <w:r w:rsidRPr="00942BAB">
              <w:t>Xanthomonas</w:t>
            </w:r>
            <w:proofErr w:type="spellEnd"/>
            <w:r w:rsidRPr="00942BAB">
              <w:t xml:space="preserve"> </w:t>
            </w:r>
            <w:proofErr w:type="spellStart"/>
            <w:r w:rsidRPr="00942BAB">
              <w:t>retroflexus</w:t>
            </w:r>
            <w:proofErr w:type="spellEnd"/>
            <w:r w:rsidRPr="00942BAB">
              <w:t xml:space="preserve">, </w:t>
            </w:r>
            <w:proofErr w:type="spellStart"/>
            <w:r w:rsidRPr="00942BAB">
              <w:t>Microbacterium</w:t>
            </w:r>
            <w:proofErr w:type="spellEnd"/>
            <w:r w:rsidRPr="00942BAB">
              <w:t xml:space="preserve"> </w:t>
            </w:r>
            <w:proofErr w:type="spellStart"/>
            <w:r w:rsidRPr="00942BAB">
              <w:t>oxydans</w:t>
            </w:r>
            <w:proofErr w:type="spellEnd"/>
            <w:r w:rsidRPr="00942BAB">
              <w:t xml:space="preserve"> and </w:t>
            </w:r>
            <w:proofErr w:type="spellStart"/>
            <w:r w:rsidRPr="00942BAB">
              <w:t>Paenibacillus</w:t>
            </w:r>
            <w:proofErr w:type="spellEnd"/>
            <w:r w:rsidRPr="00942BAB">
              <w:t xml:space="preserve"> </w:t>
            </w:r>
            <w:proofErr w:type="spellStart"/>
            <w:r w:rsidRPr="00942BAB">
              <w:t>amylolyticu</w:t>
            </w:r>
            <w:r>
              <w:t>s</w:t>
            </w:r>
            <w:proofErr w:type="spellEnd"/>
            <w:r>
              <w:t xml:space="preserve"> form multi-species biofilms which have &gt;300% greater biomass to single species biofilms</w:t>
            </w:r>
          </w:p>
        </w:tc>
      </w:tr>
      <w:tr w:rsidR="00942BAB" w:rsidTr="003461AB">
        <w:tc>
          <w:tcPr>
            <w:tcW w:w="1237" w:type="dxa"/>
          </w:tcPr>
          <w:p w:rsidR="00942BAB" w:rsidRDefault="00942BAB">
            <w:r>
              <w:t>Ren et al.</w:t>
            </w:r>
          </w:p>
        </w:tc>
        <w:tc>
          <w:tcPr>
            <w:tcW w:w="732" w:type="dxa"/>
          </w:tcPr>
          <w:p w:rsidR="00942BAB" w:rsidRDefault="00942BAB">
            <w:r>
              <w:t>2015</w:t>
            </w:r>
          </w:p>
        </w:tc>
        <w:tc>
          <w:tcPr>
            <w:tcW w:w="1032" w:type="dxa"/>
          </w:tcPr>
          <w:p w:rsidR="00942BAB" w:rsidRDefault="00942BAB">
            <w:r>
              <w:t>Research article</w:t>
            </w:r>
          </w:p>
        </w:tc>
        <w:tc>
          <w:tcPr>
            <w:tcW w:w="1380" w:type="dxa"/>
          </w:tcPr>
          <w:p w:rsidR="00942BAB" w:rsidRDefault="00942BAB">
            <w:r>
              <w:t>Co-selection, synergy</w:t>
            </w:r>
          </w:p>
        </w:tc>
        <w:tc>
          <w:tcPr>
            <w:tcW w:w="1753" w:type="dxa"/>
          </w:tcPr>
          <w:p w:rsidR="00942BAB" w:rsidRDefault="00942BAB">
            <w:r>
              <w:t>Soil microbiomes</w:t>
            </w:r>
          </w:p>
        </w:tc>
        <w:tc>
          <w:tcPr>
            <w:tcW w:w="2882" w:type="dxa"/>
          </w:tcPr>
          <w:p w:rsidR="00942BAB" w:rsidRPr="00942BAB" w:rsidRDefault="00942BAB">
            <w:r>
              <w:t xml:space="preserve">Follow up to above. Biofilms were dominated by X. </w:t>
            </w:r>
            <w:proofErr w:type="spellStart"/>
            <w:r>
              <w:t>retroflexus</w:t>
            </w:r>
            <w:proofErr w:type="spellEnd"/>
            <w:r>
              <w:t xml:space="preserve"> but success of biofilm (biomass) is critically dependent on the presence </w:t>
            </w:r>
            <w:r>
              <w:lastRenderedPageBreak/>
              <w:t>of rare species (bottom-up co-selection)</w:t>
            </w:r>
          </w:p>
        </w:tc>
      </w:tr>
      <w:tr w:rsidR="00B87755" w:rsidTr="003461AB">
        <w:tc>
          <w:tcPr>
            <w:tcW w:w="1237" w:type="dxa"/>
          </w:tcPr>
          <w:p w:rsidR="00B87755" w:rsidRDefault="00B87755">
            <w:r>
              <w:lastRenderedPageBreak/>
              <w:t>Rigg et al.</w:t>
            </w:r>
          </w:p>
        </w:tc>
        <w:tc>
          <w:tcPr>
            <w:tcW w:w="732" w:type="dxa"/>
          </w:tcPr>
          <w:p w:rsidR="00B87755" w:rsidRDefault="00B87755">
            <w:r>
              <w:t>2016</w:t>
            </w:r>
          </w:p>
        </w:tc>
        <w:tc>
          <w:tcPr>
            <w:tcW w:w="1032" w:type="dxa"/>
          </w:tcPr>
          <w:p w:rsidR="00B87755" w:rsidRDefault="00B87755">
            <w:r>
              <w:t>Research article</w:t>
            </w:r>
          </w:p>
        </w:tc>
        <w:tc>
          <w:tcPr>
            <w:tcW w:w="1380" w:type="dxa"/>
          </w:tcPr>
          <w:p w:rsidR="00B87755" w:rsidRDefault="001A7F52">
            <w:r>
              <w:t>Co-selection, ecosystem engineering</w:t>
            </w:r>
          </w:p>
        </w:tc>
        <w:tc>
          <w:tcPr>
            <w:tcW w:w="1753" w:type="dxa"/>
          </w:tcPr>
          <w:p w:rsidR="00B87755" w:rsidRDefault="001A7F52">
            <w:r>
              <w:t>Wollemi pine, soil microbes</w:t>
            </w:r>
          </w:p>
        </w:tc>
        <w:tc>
          <w:tcPr>
            <w:tcW w:w="2882" w:type="dxa"/>
          </w:tcPr>
          <w:p w:rsidR="00B87755" w:rsidRDefault="001A7F52">
            <w:r>
              <w:t xml:space="preserve">Soil microbiomes did not affect the establishment of pine. However, over time, pine altered bacterial and fungi communities within the soil and root systems- the fungi communities were distinct from the surrounding environment. </w:t>
            </w:r>
          </w:p>
        </w:tc>
      </w:tr>
      <w:tr w:rsidR="003E7676" w:rsidTr="003461AB">
        <w:tc>
          <w:tcPr>
            <w:tcW w:w="1237" w:type="dxa"/>
          </w:tcPr>
          <w:p w:rsidR="003E7676" w:rsidRDefault="003E7676">
            <w:proofErr w:type="spellStart"/>
            <w:r w:rsidRPr="003E7676">
              <w:t>Rúa</w:t>
            </w:r>
            <w:proofErr w:type="spellEnd"/>
            <w:r w:rsidRPr="003E7676">
              <w:t xml:space="preserve"> et al.</w:t>
            </w:r>
          </w:p>
        </w:tc>
        <w:tc>
          <w:tcPr>
            <w:tcW w:w="732" w:type="dxa"/>
          </w:tcPr>
          <w:p w:rsidR="003E7676" w:rsidRDefault="003E7676">
            <w:r>
              <w:t>2016</w:t>
            </w:r>
          </w:p>
        </w:tc>
        <w:tc>
          <w:tcPr>
            <w:tcW w:w="1032" w:type="dxa"/>
          </w:tcPr>
          <w:p w:rsidR="003E7676" w:rsidRDefault="003E7676">
            <w:r>
              <w:t>Research article</w:t>
            </w:r>
          </w:p>
        </w:tc>
        <w:tc>
          <w:tcPr>
            <w:tcW w:w="1380" w:type="dxa"/>
          </w:tcPr>
          <w:p w:rsidR="003E7676" w:rsidRDefault="00DF2510">
            <w:r>
              <w:t>Ecosystem engineering</w:t>
            </w:r>
          </w:p>
        </w:tc>
        <w:tc>
          <w:tcPr>
            <w:tcW w:w="1753" w:type="dxa"/>
          </w:tcPr>
          <w:p w:rsidR="003E7676" w:rsidRDefault="00DF2510">
            <w:r>
              <w:t xml:space="preserve">Conifers, bacterial endophyte </w:t>
            </w:r>
            <w:proofErr w:type="gramStart"/>
            <w:r>
              <w:t>and  fungal</w:t>
            </w:r>
            <w:proofErr w:type="gramEnd"/>
            <w:r>
              <w:t xml:space="preserve"> ectomycorrhizal communities</w:t>
            </w:r>
          </w:p>
        </w:tc>
        <w:tc>
          <w:tcPr>
            <w:tcW w:w="2882" w:type="dxa"/>
          </w:tcPr>
          <w:p w:rsidR="003E7676" w:rsidRDefault="00DF2510">
            <w:r>
              <w:t xml:space="preserve">Relationships between specific fungi species and bacterial communities. </w:t>
            </w:r>
            <w:proofErr w:type="spellStart"/>
            <w:r>
              <w:t>Cortinarius</w:t>
            </w:r>
            <w:proofErr w:type="spellEnd"/>
            <w:r>
              <w:t xml:space="preserve"> I was significant in structuring the endophyte community. </w:t>
            </w:r>
            <w:proofErr w:type="spellStart"/>
            <w:r>
              <w:t>Sarcosphaera</w:t>
            </w:r>
            <w:proofErr w:type="spellEnd"/>
            <w:r>
              <w:t xml:space="preserve"> was also important but both species were not simultaneously important. This further depended on environmental conditions. </w:t>
            </w:r>
            <w:bookmarkStart w:id="0" w:name="_GoBack"/>
            <w:bookmarkEnd w:id="0"/>
          </w:p>
        </w:tc>
      </w:tr>
      <w:tr w:rsidR="003461AB" w:rsidTr="003461AB">
        <w:tc>
          <w:tcPr>
            <w:tcW w:w="1237" w:type="dxa"/>
          </w:tcPr>
          <w:p w:rsidR="008049DD" w:rsidRDefault="008049DD">
            <w:proofErr w:type="spellStart"/>
            <w:r>
              <w:t>Coyte</w:t>
            </w:r>
            <w:proofErr w:type="spellEnd"/>
            <w:r>
              <w:t xml:space="preserve"> et al.</w:t>
            </w:r>
          </w:p>
        </w:tc>
        <w:tc>
          <w:tcPr>
            <w:tcW w:w="732" w:type="dxa"/>
          </w:tcPr>
          <w:p w:rsidR="008049DD" w:rsidRDefault="008049DD">
            <w:r>
              <w:t>2015</w:t>
            </w:r>
          </w:p>
        </w:tc>
        <w:tc>
          <w:tcPr>
            <w:tcW w:w="1032" w:type="dxa"/>
          </w:tcPr>
          <w:p w:rsidR="008049DD" w:rsidRDefault="008049DD">
            <w:r>
              <w:t>Model</w:t>
            </w:r>
          </w:p>
        </w:tc>
        <w:tc>
          <w:tcPr>
            <w:tcW w:w="1380" w:type="dxa"/>
          </w:tcPr>
          <w:p w:rsidR="008049DD" w:rsidRDefault="008049DD">
            <w:r>
              <w:t>Microbiome stability</w:t>
            </w:r>
          </w:p>
        </w:tc>
        <w:tc>
          <w:tcPr>
            <w:tcW w:w="1753" w:type="dxa"/>
          </w:tcPr>
          <w:p w:rsidR="008049DD" w:rsidRDefault="008049DD">
            <w:r>
              <w:t>-</w:t>
            </w:r>
          </w:p>
        </w:tc>
        <w:tc>
          <w:tcPr>
            <w:tcW w:w="2882" w:type="dxa"/>
          </w:tcPr>
          <w:p w:rsidR="008049DD" w:rsidRDefault="008049DD">
            <w:r>
              <w:t xml:space="preserve">Positive species interactions decrease stability by creating positive feedbacks. Negative interactions (e.g. competition) results in instability through negative feedbacks. Hosts can modulate interactions to promote stability. </w:t>
            </w:r>
          </w:p>
        </w:tc>
      </w:tr>
      <w:tr w:rsidR="003461AB" w:rsidTr="003461AB">
        <w:tc>
          <w:tcPr>
            <w:tcW w:w="1237" w:type="dxa"/>
          </w:tcPr>
          <w:p w:rsidR="00640E9D" w:rsidRDefault="00AE624E">
            <w:r>
              <w:t>Shade et al.</w:t>
            </w:r>
          </w:p>
        </w:tc>
        <w:tc>
          <w:tcPr>
            <w:tcW w:w="732" w:type="dxa"/>
          </w:tcPr>
          <w:p w:rsidR="00640E9D" w:rsidRDefault="00AE624E">
            <w:r>
              <w:t>2012</w:t>
            </w:r>
          </w:p>
        </w:tc>
        <w:tc>
          <w:tcPr>
            <w:tcW w:w="1032" w:type="dxa"/>
          </w:tcPr>
          <w:p w:rsidR="00640E9D" w:rsidRDefault="00AE624E">
            <w:r>
              <w:t>Review</w:t>
            </w:r>
          </w:p>
        </w:tc>
        <w:tc>
          <w:tcPr>
            <w:tcW w:w="1380" w:type="dxa"/>
          </w:tcPr>
          <w:p w:rsidR="00640E9D" w:rsidRDefault="00AE624E">
            <w:r>
              <w:t>Microbial community stability</w:t>
            </w:r>
          </w:p>
        </w:tc>
        <w:tc>
          <w:tcPr>
            <w:tcW w:w="1753" w:type="dxa"/>
          </w:tcPr>
          <w:p w:rsidR="00640E9D" w:rsidRDefault="00AE624E">
            <w:r>
              <w:t>-</w:t>
            </w:r>
          </w:p>
        </w:tc>
        <w:tc>
          <w:tcPr>
            <w:tcW w:w="2882" w:type="dxa"/>
          </w:tcPr>
          <w:p w:rsidR="00640E9D" w:rsidRDefault="00AE624E">
            <w:r>
              <w:t xml:space="preserve">Definitions of stability (resistance to change) and disturbance (inducers of change- direct and indirect). Measures of stability- Disturbance response, invasion resistance. Ecological and evolutionary indicators </w:t>
            </w:r>
            <w:proofErr w:type="spellStart"/>
            <w:r>
              <w:t>inc</w:t>
            </w:r>
            <w:proofErr w:type="spellEnd"/>
            <w:r>
              <w:t xml:space="preserve"> diversity and networks. </w:t>
            </w:r>
          </w:p>
        </w:tc>
      </w:tr>
      <w:tr w:rsidR="003461AB" w:rsidTr="003461AB">
        <w:tc>
          <w:tcPr>
            <w:tcW w:w="1237" w:type="dxa"/>
          </w:tcPr>
          <w:p w:rsidR="00C0231C" w:rsidRDefault="00A937D6">
            <w:r>
              <w:t>Wei et al.</w:t>
            </w:r>
          </w:p>
        </w:tc>
        <w:tc>
          <w:tcPr>
            <w:tcW w:w="732" w:type="dxa"/>
          </w:tcPr>
          <w:p w:rsidR="00C0231C" w:rsidRDefault="00A937D6">
            <w:r>
              <w:t>2015</w:t>
            </w:r>
          </w:p>
        </w:tc>
        <w:tc>
          <w:tcPr>
            <w:tcW w:w="1032" w:type="dxa"/>
          </w:tcPr>
          <w:p w:rsidR="00C0231C" w:rsidRDefault="00A937D6">
            <w:r>
              <w:t>Research article</w:t>
            </w:r>
          </w:p>
        </w:tc>
        <w:tc>
          <w:tcPr>
            <w:tcW w:w="1380" w:type="dxa"/>
          </w:tcPr>
          <w:p w:rsidR="00C0231C" w:rsidRDefault="00A937D6">
            <w:r>
              <w:t>Microbial community stability</w:t>
            </w:r>
          </w:p>
        </w:tc>
        <w:tc>
          <w:tcPr>
            <w:tcW w:w="1753" w:type="dxa"/>
          </w:tcPr>
          <w:p w:rsidR="00C0231C" w:rsidRPr="00A937D6" w:rsidRDefault="00A937D6">
            <w:proofErr w:type="spellStart"/>
            <w:r>
              <w:rPr>
                <w:i/>
              </w:rPr>
              <w:t>Ralstonia</w:t>
            </w:r>
            <w:proofErr w:type="spellEnd"/>
            <w:r>
              <w:rPr>
                <w:i/>
              </w:rPr>
              <w:t xml:space="preserve"> solanacearum, </w:t>
            </w:r>
            <w:proofErr w:type="spellStart"/>
            <w:r>
              <w:rPr>
                <w:i/>
              </w:rPr>
              <w:t>Ralstonia</w:t>
            </w:r>
            <w:proofErr w:type="spellEnd"/>
            <w:r>
              <w:rPr>
                <w:i/>
              </w:rPr>
              <w:t xml:space="preserve"> </w:t>
            </w:r>
            <w:r>
              <w:t>spp., tomato plants</w:t>
            </w:r>
          </w:p>
        </w:tc>
        <w:tc>
          <w:tcPr>
            <w:tcW w:w="2882" w:type="dxa"/>
          </w:tcPr>
          <w:p w:rsidR="00C0231C" w:rsidRDefault="00A937D6">
            <w:r>
              <w:t xml:space="preserve">Community networks are a better predictor of invasion resistance than diversity- low </w:t>
            </w:r>
            <w:proofErr w:type="spellStart"/>
            <w:r>
              <w:t>nestedness</w:t>
            </w:r>
            <w:proofErr w:type="spellEnd"/>
            <w:r>
              <w:t xml:space="preserve">, high </w:t>
            </w:r>
            <w:proofErr w:type="spellStart"/>
            <w:r>
              <w:t>connectance</w:t>
            </w:r>
            <w:proofErr w:type="spellEnd"/>
            <w:r>
              <w:t xml:space="preserve">, niche overlap. Niche overlap less important- intra-community competition and resource use important. Diversity also linked invasion resistance outside of </w:t>
            </w:r>
            <w:r>
              <w:lastRenderedPageBreak/>
              <w:t>resource use- other mechanisms as well.</w:t>
            </w:r>
          </w:p>
        </w:tc>
      </w:tr>
      <w:tr w:rsidR="003461AB" w:rsidTr="003461AB">
        <w:tc>
          <w:tcPr>
            <w:tcW w:w="1237" w:type="dxa"/>
          </w:tcPr>
          <w:p w:rsidR="003461AB" w:rsidRDefault="003461AB">
            <w:proofErr w:type="spellStart"/>
            <w:r>
              <w:lastRenderedPageBreak/>
              <w:t>Eiler</w:t>
            </w:r>
            <w:proofErr w:type="spellEnd"/>
            <w:r>
              <w:t xml:space="preserve"> et al.</w:t>
            </w:r>
          </w:p>
        </w:tc>
        <w:tc>
          <w:tcPr>
            <w:tcW w:w="732" w:type="dxa"/>
          </w:tcPr>
          <w:p w:rsidR="003461AB" w:rsidRDefault="003461AB">
            <w:r>
              <w:t>2012</w:t>
            </w:r>
          </w:p>
        </w:tc>
        <w:tc>
          <w:tcPr>
            <w:tcW w:w="1032" w:type="dxa"/>
          </w:tcPr>
          <w:p w:rsidR="003461AB" w:rsidRDefault="003461AB">
            <w:r>
              <w:t>Research article</w:t>
            </w:r>
          </w:p>
        </w:tc>
        <w:tc>
          <w:tcPr>
            <w:tcW w:w="1380" w:type="dxa"/>
          </w:tcPr>
          <w:p w:rsidR="003461AB" w:rsidRDefault="003461AB">
            <w:r>
              <w:t>Microbial community stability</w:t>
            </w:r>
          </w:p>
        </w:tc>
        <w:tc>
          <w:tcPr>
            <w:tcW w:w="1753" w:type="dxa"/>
          </w:tcPr>
          <w:p w:rsidR="003461AB" w:rsidRPr="003461AB" w:rsidRDefault="003461AB">
            <w:r>
              <w:t>Bacterioplankton</w:t>
            </w:r>
          </w:p>
        </w:tc>
        <w:tc>
          <w:tcPr>
            <w:tcW w:w="2882" w:type="dxa"/>
          </w:tcPr>
          <w:p w:rsidR="003461AB" w:rsidRDefault="003461AB">
            <w:r>
              <w:t xml:space="preserve">Co-occurrence of bacterial groups over temporal environmental shifts. Networks established between groups. Closely related phylogenetic groups- high functional redundancy/ similar ecological roles. Shifts in groups in response to environment. Competitive interactions for phosphorus. High numbers of associations suggestive of interdependencies. </w:t>
            </w:r>
          </w:p>
        </w:tc>
      </w:tr>
      <w:tr w:rsidR="003461AB" w:rsidTr="003461AB">
        <w:tc>
          <w:tcPr>
            <w:tcW w:w="1237" w:type="dxa"/>
          </w:tcPr>
          <w:p w:rsidR="00D92F9D" w:rsidRDefault="00D92F9D">
            <w:r>
              <w:t>Johnson et al.</w:t>
            </w:r>
          </w:p>
        </w:tc>
        <w:tc>
          <w:tcPr>
            <w:tcW w:w="732" w:type="dxa"/>
          </w:tcPr>
          <w:p w:rsidR="00D92F9D" w:rsidRDefault="00C66DA5">
            <w:r>
              <w:t>2009</w:t>
            </w:r>
          </w:p>
        </w:tc>
        <w:tc>
          <w:tcPr>
            <w:tcW w:w="1032" w:type="dxa"/>
          </w:tcPr>
          <w:p w:rsidR="00D92F9D" w:rsidRDefault="00D92F9D">
            <w:r>
              <w:t>Research article</w:t>
            </w:r>
          </w:p>
        </w:tc>
        <w:tc>
          <w:tcPr>
            <w:tcW w:w="1380" w:type="dxa"/>
          </w:tcPr>
          <w:p w:rsidR="00D92F9D" w:rsidRDefault="00D92F9D">
            <w:r>
              <w:t>Invader interactions</w:t>
            </w:r>
          </w:p>
        </w:tc>
        <w:tc>
          <w:tcPr>
            <w:tcW w:w="1753" w:type="dxa"/>
          </w:tcPr>
          <w:p w:rsidR="00D92F9D" w:rsidRDefault="00D92F9D">
            <w:r>
              <w:t>Crayfish, snails</w:t>
            </w:r>
          </w:p>
        </w:tc>
        <w:tc>
          <w:tcPr>
            <w:tcW w:w="2882" w:type="dxa"/>
          </w:tcPr>
          <w:p w:rsidR="00D92F9D" w:rsidRDefault="000343C2">
            <w:r>
              <w:t>Rus</w:t>
            </w:r>
            <w:r w:rsidR="00C66DA5">
              <w:t>t</w:t>
            </w:r>
            <w:r>
              <w:t xml:space="preserve">y crayfish predates on native snails. Chinese mystery snails compete with native snails. Combined invaders decrease natives in an effect greater than as individuals. Rusty crayfish only weakly predated on CMS due to greater predation resistance. </w:t>
            </w:r>
          </w:p>
        </w:tc>
      </w:tr>
      <w:tr w:rsidR="003461AB" w:rsidTr="003461AB">
        <w:tc>
          <w:tcPr>
            <w:tcW w:w="1237" w:type="dxa"/>
          </w:tcPr>
          <w:p w:rsidR="00E106CC" w:rsidRDefault="00034F6B">
            <w:proofErr w:type="spellStart"/>
            <w:r>
              <w:t>Buric</w:t>
            </w:r>
            <w:proofErr w:type="spellEnd"/>
            <w:r>
              <w:t xml:space="preserve"> et al.</w:t>
            </w:r>
          </w:p>
        </w:tc>
        <w:tc>
          <w:tcPr>
            <w:tcW w:w="732" w:type="dxa"/>
          </w:tcPr>
          <w:p w:rsidR="00E106CC" w:rsidRDefault="00034F6B">
            <w:r>
              <w:t>2009</w:t>
            </w:r>
          </w:p>
        </w:tc>
        <w:tc>
          <w:tcPr>
            <w:tcW w:w="1032" w:type="dxa"/>
          </w:tcPr>
          <w:p w:rsidR="00E106CC" w:rsidRDefault="00034F6B">
            <w:r>
              <w:t>Research article</w:t>
            </w:r>
          </w:p>
        </w:tc>
        <w:tc>
          <w:tcPr>
            <w:tcW w:w="1380" w:type="dxa"/>
          </w:tcPr>
          <w:p w:rsidR="00E106CC" w:rsidRDefault="00034F6B">
            <w:r>
              <w:t>Invader interactions</w:t>
            </w:r>
          </w:p>
        </w:tc>
        <w:tc>
          <w:tcPr>
            <w:tcW w:w="1753" w:type="dxa"/>
          </w:tcPr>
          <w:p w:rsidR="00E106CC" w:rsidRDefault="00034F6B">
            <w:r>
              <w:t>Crayfish</w:t>
            </w:r>
          </w:p>
        </w:tc>
        <w:tc>
          <w:tcPr>
            <w:tcW w:w="2882" w:type="dxa"/>
          </w:tcPr>
          <w:p w:rsidR="00E106CC" w:rsidRDefault="00034F6B">
            <w:r>
              <w:t>Two invasive species of crayfish predated on one another- one more dominant</w:t>
            </w:r>
          </w:p>
        </w:tc>
      </w:tr>
      <w:tr w:rsidR="003461AB" w:rsidTr="003461AB">
        <w:tc>
          <w:tcPr>
            <w:tcW w:w="1237" w:type="dxa"/>
          </w:tcPr>
          <w:p w:rsidR="00E106CC" w:rsidRDefault="00823B62">
            <w:r>
              <w:t>Preston et al.</w:t>
            </w:r>
          </w:p>
        </w:tc>
        <w:tc>
          <w:tcPr>
            <w:tcW w:w="732" w:type="dxa"/>
          </w:tcPr>
          <w:p w:rsidR="00E106CC" w:rsidRDefault="00823B62">
            <w:r>
              <w:t>2012</w:t>
            </w:r>
          </w:p>
        </w:tc>
        <w:tc>
          <w:tcPr>
            <w:tcW w:w="1032" w:type="dxa"/>
          </w:tcPr>
          <w:p w:rsidR="00E106CC" w:rsidRDefault="00823B62">
            <w:r>
              <w:t>Research article</w:t>
            </w:r>
          </w:p>
        </w:tc>
        <w:tc>
          <w:tcPr>
            <w:tcW w:w="1380" w:type="dxa"/>
          </w:tcPr>
          <w:p w:rsidR="00E106CC" w:rsidRDefault="00823B62">
            <w:r>
              <w:t>Invader interactions</w:t>
            </w:r>
          </w:p>
        </w:tc>
        <w:tc>
          <w:tcPr>
            <w:tcW w:w="1753" w:type="dxa"/>
          </w:tcPr>
          <w:p w:rsidR="00E106CC" w:rsidRDefault="00823B62">
            <w:r>
              <w:t xml:space="preserve">Mosquitofish, bullfrogs, </w:t>
            </w:r>
            <w:proofErr w:type="spellStart"/>
            <w:r>
              <w:t>amphbians</w:t>
            </w:r>
            <w:proofErr w:type="spellEnd"/>
          </w:p>
        </w:tc>
        <w:tc>
          <w:tcPr>
            <w:tcW w:w="2882" w:type="dxa"/>
          </w:tcPr>
          <w:p w:rsidR="00E106CC" w:rsidRDefault="00823B62">
            <w:r>
              <w:t xml:space="preserve">Mosquitofish (-) on treefrog and newt survival, no effect on toads. </w:t>
            </w:r>
            <w:r w:rsidR="00471174">
              <w:t xml:space="preserve">Toads developed more rapidly with MF. Bullfrogs decreased toad biomass. No direct invader interaction. </w:t>
            </w:r>
          </w:p>
        </w:tc>
      </w:tr>
      <w:tr w:rsidR="00980390" w:rsidTr="003461AB">
        <w:tc>
          <w:tcPr>
            <w:tcW w:w="1237" w:type="dxa"/>
          </w:tcPr>
          <w:p w:rsidR="00980390" w:rsidRDefault="00980390">
            <w:proofErr w:type="spellStart"/>
            <w:r>
              <w:t>Barthell</w:t>
            </w:r>
            <w:proofErr w:type="spellEnd"/>
            <w:r>
              <w:t xml:space="preserve"> et al.</w:t>
            </w:r>
          </w:p>
        </w:tc>
        <w:tc>
          <w:tcPr>
            <w:tcW w:w="732" w:type="dxa"/>
          </w:tcPr>
          <w:p w:rsidR="00980390" w:rsidRDefault="00980390">
            <w:r>
              <w:t>2001</w:t>
            </w:r>
          </w:p>
        </w:tc>
        <w:tc>
          <w:tcPr>
            <w:tcW w:w="1032" w:type="dxa"/>
          </w:tcPr>
          <w:p w:rsidR="00980390" w:rsidRDefault="001677D9">
            <w:r>
              <w:t>Research article</w:t>
            </w:r>
          </w:p>
        </w:tc>
        <w:tc>
          <w:tcPr>
            <w:tcW w:w="1380" w:type="dxa"/>
          </w:tcPr>
          <w:p w:rsidR="00980390" w:rsidRDefault="001677D9">
            <w:r>
              <w:t>Invader interactions</w:t>
            </w:r>
          </w:p>
        </w:tc>
        <w:tc>
          <w:tcPr>
            <w:tcW w:w="1753" w:type="dxa"/>
          </w:tcPr>
          <w:p w:rsidR="00980390" w:rsidRDefault="001677D9">
            <w:r>
              <w:t>Invasive honeybee and yellow star-thistle (</w:t>
            </w:r>
            <w:proofErr w:type="spellStart"/>
            <w:r w:rsidRPr="001677D9">
              <w:rPr>
                <w:i/>
              </w:rPr>
              <w:t>Cebtaurea</w:t>
            </w:r>
            <w:proofErr w:type="spellEnd"/>
            <w:r w:rsidRPr="001677D9">
              <w:rPr>
                <w:i/>
              </w:rPr>
              <w:t xml:space="preserve"> </w:t>
            </w:r>
            <w:proofErr w:type="spellStart"/>
            <w:r w:rsidRPr="001677D9">
              <w:rPr>
                <w:i/>
              </w:rPr>
              <w:t>solstitialis</w:t>
            </w:r>
            <w:proofErr w:type="spellEnd"/>
            <w:r>
              <w:t>)</w:t>
            </w:r>
          </w:p>
        </w:tc>
        <w:tc>
          <w:tcPr>
            <w:tcW w:w="2882" w:type="dxa"/>
          </w:tcPr>
          <w:p w:rsidR="00980390" w:rsidRDefault="001677D9">
            <w:r>
              <w:t>Honeybees dominant visitors of thistle. Seed set number coincided with treatments facilitating highest/lowest honeybee visitation. Mutualistic invader interaction.</w:t>
            </w:r>
          </w:p>
        </w:tc>
      </w:tr>
      <w:tr w:rsidR="00DD4E0D" w:rsidTr="003461AB">
        <w:tc>
          <w:tcPr>
            <w:tcW w:w="1237" w:type="dxa"/>
          </w:tcPr>
          <w:p w:rsidR="00DD4E0D" w:rsidRDefault="00DD4E0D">
            <w:r>
              <w:t>Green et al.</w:t>
            </w:r>
          </w:p>
        </w:tc>
        <w:tc>
          <w:tcPr>
            <w:tcW w:w="732" w:type="dxa"/>
          </w:tcPr>
          <w:p w:rsidR="00DD4E0D" w:rsidRDefault="00DD4E0D">
            <w:r>
              <w:t>2011</w:t>
            </w:r>
          </w:p>
        </w:tc>
        <w:tc>
          <w:tcPr>
            <w:tcW w:w="1032" w:type="dxa"/>
          </w:tcPr>
          <w:p w:rsidR="00DD4E0D" w:rsidRDefault="00DD4E0D">
            <w:r>
              <w:t>Research article</w:t>
            </w:r>
          </w:p>
        </w:tc>
        <w:tc>
          <w:tcPr>
            <w:tcW w:w="1380" w:type="dxa"/>
          </w:tcPr>
          <w:p w:rsidR="00DD4E0D" w:rsidRDefault="00DD4E0D">
            <w:r>
              <w:t>Invader interactions</w:t>
            </w:r>
          </w:p>
        </w:tc>
        <w:tc>
          <w:tcPr>
            <w:tcW w:w="1753" w:type="dxa"/>
          </w:tcPr>
          <w:p w:rsidR="00DD4E0D" w:rsidRPr="00DD4E0D" w:rsidRDefault="00DD4E0D">
            <w:r>
              <w:t>Yellow crazy ant (</w:t>
            </w:r>
            <w:proofErr w:type="spellStart"/>
            <w:r w:rsidRPr="00DD4E0D">
              <w:rPr>
                <w:i/>
              </w:rPr>
              <w:t>Anoplolepis</w:t>
            </w:r>
            <w:proofErr w:type="spellEnd"/>
            <w:r w:rsidRPr="00DD4E0D">
              <w:rPr>
                <w:i/>
              </w:rPr>
              <w:t xml:space="preserve"> </w:t>
            </w:r>
            <w:proofErr w:type="spellStart"/>
            <w:r w:rsidRPr="00DD4E0D">
              <w:rPr>
                <w:i/>
              </w:rPr>
              <w:t>gracilipes</w:t>
            </w:r>
            <w:proofErr w:type="spellEnd"/>
            <w:r>
              <w:t>), honeydew- secreting scale insects (</w:t>
            </w:r>
            <w:proofErr w:type="spellStart"/>
            <w:r w:rsidRPr="00DD4E0D">
              <w:rPr>
                <w:i/>
              </w:rPr>
              <w:t>Tachardinia</w:t>
            </w:r>
            <w:proofErr w:type="spellEnd"/>
            <w:r w:rsidRPr="00DD4E0D">
              <w:rPr>
                <w:i/>
              </w:rPr>
              <w:t xml:space="preserve"> </w:t>
            </w:r>
            <w:proofErr w:type="spellStart"/>
            <w:r w:rsidRPr="00DD4E0D">
              <w:rPr>
                <w:i/>
              </w:rPr>
              <w:t>aurantiaca</w:t>
            </w:r>
            <w:proofErr w:type="spellEnd"/>
            <w:r>
              <w:t xml:space="preserve">) and </w:t>
            </w:r>
            <w:r>
              <w:lastRenderedPageBreak/>
              <w:t>giant African land snails</w:t>
            </w:r>
          </w:p>
        </w:tc>
        <w:tc>
          <w:tcPr>
            <w:tcW w:w="2882" w:type="dxa"/>
          </w:tcPr>
          <w:p w:rsidR="00DD4E0D" w:rsidRDefault="00DD4E0D">
            <w:r>
              <w:lastRenderedPageBreak/>
              <w:t xml:space="preserve">Invader-invader mutualism between YCA and HSI increased secondary invasion success of GALS by killing GALS predator, red land crabs. This increased GALS propagule pressure, thus increasing invasion success. </w:t>
            </w:r>
          </w:p>
        </w:tc>
      </w:tr>
      <w:tr w:rsidR="007B2ED2" w:rsidTr="003461AB">
        <w:tc>
          <w:tcPr>
            <w:tcW w:w="1237" w:type="dxa"/>
          </w:tcPr>
          <w:p w:rsidR="007B2ED2" w:rsidRDefault="007B2ED2">
            <w:proofErr w:type="spellStart"/>
            <w:r>
              <w:t>Groscholz</w:t>
            </w:r>
            <w:proofErr w:type="spellEnd"/>
          </w:p>
        </w:tc>
        <w:tc>
          <w:tcPr>
            <w:tcW w:w="732" w:type="dxa"/>
          </w:tcPr>
          <w:p w:rsidR="007B2ED2" w:rsidRDefault="007B2ED2">
            <w:r>
              <w:t>2005</w:t>
            </w:r>
          </w:p>
        </w:tc>
        <w:tc>
          <w:tcPr>
            <w:tcW w:w="1032" w:type="dxa"/>
          </w:tcPr>
          <w:p w:rsidR="007B2ED2" w:rsidRDefault="007B2ED2">
            <w:r>
              <w:t>Research article</w:t>
            </w:r>
          </w:p>
        </w:tc>
        <w:tc>
          <w:tcPr>
            <w:tcW w:w="1380" w:type="dxa"/>
          </w:tcPr>
          <w:p w:rsidR="007B2ED2" w:rsidRDefault="007B2ED2">
            <w:r>
              <w:t>Invader interactions</w:t>
            </w:r>
          </w:p>
        </w:tc>
        <w:tc>
          <w:tcPr>
            <w:tcW w:w="1753" w:type="dxa"/>
          </w:tcPr>
          <w:p w:rsidR="007B2ED2" w:rsidRDefault="007B2ED2">
            <w:r>
              <w:t>Crabs, clams</w:t>
            </w:r>
          </w:p>
        </w:tc>
        <w:tc>
          <w:tcPr>
            <w:tcW w:w="2882" w:type="dxa"/>
          </w:tcPr>
          <w:p w:rsidR="007B2ED2" w:rsidRDefault="007B2ED2">
            <w:r w:rsidRPr="007B2ED2">
              <w:t xml:space="preserve">Introduced crab species preferentially predates on native clams and facilitates the historic (50 </w:t>
            </w:r>
            <w:proofErr w:type="spellStart"/>
            <w:r w:rsidRPr="007B2ED2">
              <w:t>yr</w:t>
            </w:r>
            <w:proofErr w:type="spellEnd"/>
            <w:r w:rsidRPr="007B2ED2">
              <w:t>) population expansion of an invasive clam species.</w:t>
            </w:r>
          </w:p>
        </w:tc>
      </w:tr>
    </w:tbl>
    <w:p w:rsidR="00E106CC" w:rsidRDefault="00DD4E0D">
      <w:r>
        <w:t xml:space="preserve"> </w:t>
      </w:r>
    </w:p>
    <w:sectPr w:rsidR="00E10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6CC"/>
    <w:rsid w:val="000343C2"/>
    <w:rsid w:val="00034F6B"/>
    <w:rsid w:val="001677D9"/>
    <w:rsid w:val="00181799"/>
    <w:rsid w:val="001A7F52"/>
    <w:rsid w:val="00210A2E"/>
    <w:rsid w:val="003461AB"/>
    <w:rsid w:val="003E7676"/>
    <w:rsid w:val="00471174"/>
    <w:rsid w:val="00536B24"/>
    <w:rsid w:val="00640E9D"/>
    <w:rsid w:val="00795C3E"/>
    <w:rsid w:val="007B2ED2"/>
    <w:rsid w:val="008049DD"/>
    <w:rsid w:val="00823B62"/>
    <w:rsid w:val="00942BAB"/>
    <w:rsid w:val="00980390"/>
    <w:rsid w:val="00A937D6"/>
    <w:rsid w:val="00AE624E"/>
    <w:rsid w:val="00B87755"/>
    <w:rsid w:val="00C0231C"/>
    <w:rsid w:val="00C66DA5"/>
    <w:rsid w:val="00D92F9D"/>
    <w:rsid w:val="00DD4E0D"/>
    <w:rsid w:val="00DF2510"/>
    <w:rsid w:val="00E106CC"/>
    <w:rsid w:val="00F11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3E25"/>
  <w15:chartTrackingRefBased/>
  <w15:docId w15:val="{85E6C763-B664-450B-8105-5FCD6B1E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0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1661</TotalTime>
  <Pages>4</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Castledine, Meaghan</dc:creator>
  <cp:keywords/>
  <dc:description/>
  <cp:lastModifiedBy>Castledine, Meaghan</cp:lastModifiedBy>
  <cp:revision>14</cp:revision>
  <dcterms:created xsi:type="dcterms:W3CDTF">2018-05-30T14:38:00Z</dcterms:created>
  <dcterms:modified xsi:type="dcterms:W3CDTF">2018-06-28T15:55:00Z</dcterms:modified>
</cp:coreProperties>
</file>