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0891B2"/>
          <w:sz w:val="18"/>
        </w:rPr>
        <w:t>WAYPOINT</w:t>
      </w:r>
    </w:p>
    <w:p>
      <w:pPr>
        <w:spacing w:after="40"/>
      </w:pPr>
      <w:r>
        <w:rPr>
          <w:b/>
          <w:color w:val="1B2A4A"/>
          <w:sz w:val="48"/>
        </w:rPr>
        <w:t>Waypoint — Grant Pipeline</w:t>
      </w:r>
    </w:p>
    <w:p>
      <w:pPr>
        <w:spacing w:after="200"/>
      </w:pPr>
      <w:r>
        <w:rPr>
          <w:i/>
          <w:color w:val="64748B"/>
          <w:sz w:val="26"/>
        </w:rPr>
        <w:t>Part I of II · Non-dilutive funding, verified September 7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96"/>
        <w:gridCol w:w="4896"/>
      </w:tblGrid>
      <w:tr>
        <w:tc>
          <w:tcPr>
            <w:tcW w:type="dxa" w:w="2088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763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September 7, 2026</w:t>
            </w:r>
          </w:p>
        </w:tc>
      </w:tr>
      <w:tr>
        <w:tc>
          <w:tcPr>
            <w:tcW w:type="dxa" w:w="2088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Status</w:t>
            </w:r>
          </w:p>
        </w:tc>
        <w:tc>
          <w:tcPr>
            <w:tcW w:type="dxa" w:w="763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Draft — decision required from owner before entity filing</w:t>
            </w:r>
          </w:p>
        </w:tc>
      </w:tr>
      <w:tr>
        <w:tc>
          <w:tcPr>
            <w:tcW w:type="dxa" w:w="2088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Prepared for</w:t>
            </w:r>
          </w:p>
        </w:tc>
        <w:tc>
          <w:tcPr>
            <w:tcW w:type="dxa" w:w="763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Waypoint · waypointchild.com</w:t>
            </w:r>
          </w:p>
        </w:tc>
      </w:tr>
      <w:tr>
        <w:tc>
          <w:tcPr>
            <w:tcW w:type="dxa" w:w="2088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Source of record</w:t>
            </w:r>
          </w:p>
        </w:tc>
        <w:tc>
          <w:tcPr>
            <w:tcW w:type="dxa" w:w="763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Operations/Grant-Pipeline-Sep2026.md · Operations/Entity-Formation-Plan-Sep2026.md</w:t>
            </w:r>
          </w:p>
        </w:tc>
      </w:tr>
      <w:tr>
        <w:tc>
          <w:tcPr>
            <w:tcW w:type="dxa" w:w="2088"/>
          </w:tcPr>
          <w:p>
            <w:pPr>
              <w:spacing w:after="40" w:before="40"/>
            </w:pPr>
            <w:r/>
            <w:r>
              <w:rPr>
                <w:b/>
                <w:sz w:val="19"/>
              </w:rPr>
              <w:t>Companion</w:t>
            </w:r>
          </w:p>
        </w:tc>
        <w:tc>
          <w:tcPr>
            <w:tcW w:type="dxa" w:w="763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Operations/Waypoint-Grant-Pipeline-Sep2026.xlsx (21 programs, 3 sheets)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fill="FDF3E3"/>
          </w:tcPr>
          <w:p>
            <w:pPr>
              <w:spacing w:after="60"/>
            </w:pPr>
            <w:r/>
            <w:r>
              <w:rPr>
                <w:b/>
                <w:color w:val="B45309"/>
                <w:sz w:val="21"/>
              </w:rPr>
              <w:t>Two findings worth reading before anything else</w:t>
            </w:r>
          </w:p>
          <w:p>
            <w:pPr>
              <w:spacing w:after="40"/>
            </w:pPr>
            <w:r>
              <w:rPr>
                <w:sz w:val="20"/>
              </w:rPr>
              <w:t>First: a “benefit corporation LLC” does not exist in California. Corporations Code § 14600 defines a benefit corporation as a corporation organized under the General Corporation Law; LLCs sit in a separate title with no parallel provision. Delaware has a statutory benefit LLC (6 Del. C. § 18-1201); California does not. The request therefore resolves to one of three real filings, compared in Part II.</w:t>
            </w:r>
          </w:p>
          <w:p>
            <w:pPr>
              <w:spacing w:after="40"/>
            </w:pPr>
            <w:r>
              <w:rPr>
                <w:sz w:val="20"/>
              </w:rPr>
              <w:t>Second: three of the four grant sources named in the August 2026 plan of record are wrong or unusable as stated, and the one it got right — the DDS Service Access &amp; Equity program — was undersold. Part I sets out the corrections.</w:t>
            </w:r>
          </w:p>
        </w:tc>
      </w:tr>
    </w:tbl>
    <w:p>
      <w:pPr>
        <w:spacing w:after="40"/>
      </w:pPr>
    </w:p>
    <w:p>
      <w:pPr>
        <w:pStyle w:val="Heading1"/>
      </w:pPr>
      <w:r>
        <w:t>Part I · Grant &amp; non-dilutive funding pipeline</w:t>
      </w:r>
    </w:p>
    <w:p>
      <w:pPr>
        <w:pStyle w:val="Heading2"/>
      </w:pPr>
      <w:r>
        <w:t>1 · Three corrections to the plan of record</w:t>
      </w:r>
    </w:p>
    <w:p>
      <w:pPr>
        <w:spacing w:after="140"/>
      </w:pPr>
      <w:r>
        <w:rPr>
          <w:b w:val="0"/>
          <w:i w:val="0"/>
          <w:sz w:val="21"/>
        </w:rPr>
        <w:t xml:space="preserve">The grant stack in </w:t>
      </w:r>
      <w:r>
        <w:rPr>
          <w:b w:val="0"/>
          <w:i/>
          <w:sz w:val="21"/>
        </w:rPr>
        <w:t>Payer-Funded-Pivot-Review-Aug2026.md</w:t>
      </w:r>
      <w:r>
        <w:rPr>
          <w:b w:val="0"/>
          <w:i w:val="0"/>
          <w:sz w:val="21"/>
        </w:rPr>
        <w:t xml:space="preserve"> §5.7 was written without verification. Checked on September 7, 2026: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96"/>
        <w:gridCol w:w="4896"/>
      </w:tblGrid>
      <w:tr>
        <w:tc>
          <w:tcPr>
            <w:tcW w:type="dxa" w:w="2520"/>
            <w:shd w:val="clear" w:fill="1B2A4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Claim in §5.7</w:t>
            </w:r>
          </w:p>
        </w:tc>
        <w:tc>
          <w:tcPr>
            <w:tcW w:type="dxa" w:w="7200"/>
            <w:shd w:val="clear" w:fill="1B2A4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Verified reality</w:t>
            </w:r>
          </w:p>
        </w:tc>
      </w:tr>
      <w:tr>
        <w:tc>
          <w:tcPr>
            <w:tcW w:type="dxa" w:w="2520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CalOSBA</w:t>
            </w:r>
            <w:r>
              <w:rPr>
                <w:b w:val="0"/>
                <w:sz w:val="17"/>
              </w:rPr>
              <w:t xml:space="preserve"> as a funding source</w:t>
            </w:r>
          </w:p>
        </w:tc>
        <w:tc>
          <w:tcPr>
            <w:tcW w:type="dxa" w:w="7200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Wrong. CalOSBA's two grant programs — Technical Assistance (TAP) and Capital Infusion (CIP) — are not grants to small businesses. TAP funds designated technical-assistance centers; CIP funds only SBDC Lead Centers. Both require 1:1 match. The one program that did pay small businesses directly, the California Dream Fund ($10k microgrants), concluded its original $35M round in April 2026.</w:t>
            </w:r>
          </w:p>
        </w:tc>
      </w:tr>
      <w:tr>
        <w:tc>
          <w:tcPr>
            <w:tcW w:type="dxa" w:w="2520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WITH Foundation</w:t>
            </w:r>
          </w:p>
        </w:tc>
        <w:tc>
          <w:tcPr>
            <w:tcW w:type="dxa" w:w="7200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Poor fit twice over. WITH funds 501(c)(3) nonprofits only, and is scoped to healthcare for adults with I/DD. Waypoint is a for-profit serving families of children.</w:t>
            </w:r>
          </w:p>
        </w:tc>
      </w:tr>
      <w:tr>
        <w:tc>
          <w:tcPr>
            <w:tcW w:type="dxa" w:w="2520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Foundation grants</w:t>
            </w:r>
            <w:r>
              <w:rPr>
                <w:b w:val="0"/>
                <w:sz w:val="17"/>
              </w:rPr>
              <w:t xml:space="preserve"> (Lucile Packard, family foundations)</w:t>
            </w:r>
          </w:p>
        </w:tc>
        <w:tc>
          <w:tcPr>
            <w:tcW w:type="dxa" w:w="7200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Directionally right, structurally blocked. Private foundations overwhelmingly require 501(c)(3) status, and fiscal sponsorship is generally not available to LLCs and for-profit entities.</w:t>
            </w:r>
          </w:p>
        </w:tc>
      </w:tr>
      <w:tr>
        <w:tc>
          <w:tcPr>
            <w:tcW w:type="dxa" w:w="2520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NIH STTR</w:t>
            </w:r>
            <w:r>
              <w:rPr>
                <w:b w:val="0"/>
                <w:sz w:val="17"/>
              </w:rPr>
              <w:t xml:space="preserve"> ("Jan 2027 deadline")</w:t>
            </w:r>
          </w:p>
        </w:tc>
        <w:tc>
          <w:tcPr>
            <w:tcW w:type="dxa" w:w="7200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Deadline right, everything else stale. SBIR/STTR lapsed entirely on Sept 30, 2025; NIH terminated all open NOFOs effective Oct 1, 2025. Congress reauthorized via S.3971, signed April 13, 2026, through Sept 30, 2031. NIH reissued the parent NOFOs under NEW numbers — PA-27-100 (SBIR), PA-27-102 (STTR). An application drafted against the old numbers is void.</w:t>
            </w:r>
          </w:p>
        </w:tc>
      </w:tr>
    </w:tbl>
    <w:p>
      <w:pPr>
        <w:spacing w:after="40"/>
      </w:pPr>
    </w:p>
    <w:p>
      <w:pPr>
        <w:spacing w:after="140"/>
      </w:pPr>
      <w:r>
        <w:rPr>
          <w:b/>
          <w:i w:val="0"/>
          <w:sz w:val="21"/>
        </w:rPr>
        <w:t xml:space="preserve">The one source §5.7 got right, and undersold: </w:t>
      </w:r>
      <w:r>
        <w:rPr>
          <w:b w:val="0"/>
          <w:i w:val="0"/>
          <w:sz w:val="21"/>
        </w:rPr>
        <w:t xml:space="preserve">the DDS Service Access &amp; Equity program explicitly defines an eligible community-based organization as “a public or private nonprofit, </w:t>
      </w:r>
      <w:r>
        <w:rPr>
          <w:b/>
          <w:i w:val="0"/>
          <w:sz w:val="21"/>
        </w:rPr>
        <w:t>or private for-profit</w:t>
      </w:r>
      <w:r>
        <w:rPr>
          <w:b w:val="0"/>
          <w:i w:val="0"/>
          <w:sz w:val="21"/>
        </w:rPr>
        <w:t xml:space="preserve"> organization.” It is the best-fit money in this document and it is open to Waypoint as a for-profit, with no nonprofit arm required.</w:t>
      </w:r>
    </w:p>
    <w:p>
      <w:pPr>
        <w:pStyle w:val="Heading2"/>
      </w:pPr>
      <w:r>
        <w:t>2 · The structural fact that shapes the pipeline</w:t>
      </w:r>
    </w:p>
    <w:p>
      <w:pPr>
        <w:spacing w:after="140"/>
      </w:pPr>
      <w:r>
        <w:rPr>
          <w:b w:val="0"/>
          <w:i w:val="0"/>
          <w:sz w:val="21"/>
        </w:rPr>
        <w:t xml:space="preserve">Waypoint is a </w:t>
      </w:r>
      <w:r>
        <w:rPr>
          <w:b/>
          <w:i w:val="0"/>
          <w:sz w:val="21"/>
        </w:rPr>
        <w:t>for-profit</w:t>
      </w:r>
      <w:r>
        <w:rPr>
          <w:b w:val="0"/>
          <w:i w:val="0"/>
          <w:sz w:val="21"/>
        </w:rPr>
        <w:t xml:space="preserve"> company. That is not neutral for grant purposes — it splits the funding universe cleanly in two.</w:t>
      </w:r>
    </w:p>
    <w:p>
      <w:pPr>
        <w:pStyle w:val="ListBullet"/>
        <w:spacing w:after="60"/>
      </w:pPr>
      <w:r>
        <w:rPr>
          <w:b/>
          <w:i w:val="0"/>
          <w:sz w:val="21"/>
        </w:rPr>
        <w:t xml:space="preserve">Open to Waypoint as-is: </w:t>
      </w:r>
      <w:r>
        <w:rPr>
          <w:b w:val="0"/>
          <w:i w:val="0"/>
          <w:sz w:val="21"/>
        </w:rPr>
        <w:t>federal SBIR/STTR (statutorily restricted to for-profit small business concerns — a nonprofit is ineligible), DDS SAE, the CHCF Innovation Fund, and commercial small-business grants.</w:t>
      </w:r>
    </w:p>
    <w:p>
      <w:pPr>
        <w:pStyle w:val="ListBullet"/>
        <w:spacing w:after="60"/>
      </w:pPr>
      <w:r>
        <w:rPr>
          <w:b/>
          <w:i w:val="0"/>
          <w:sz w:val="21"/>
        </w:rPr>
        <w:t xml:space="preserve">Closed to Waypoint as-is: </w:t>
      </w:r>
      <w:r>
        <w:rPr>
          <w:b w:val="0"/>
          <w:i w:val="0"/>
          <w:sz w:val="21"/>
        </w:rPr>
        <w:t>essentially every private foundation — Lucile Packard, WITH, Blue Shield of California Foundation. These need 501(c)(3), and a for-profit generally cannot borrow one through fiscal sponsorship.</w:t>
      </w:r>
    </w:p>
    <w:p>
      <w:pPr>
        <w:spacing w:after="140"/>
      </w:pPr>
      <w:r>
        <w:rPr>
          <w:b/>
          <w:i w:val="0"/>
          <w:sz w:val="21"/>
        </w:rPr>
        <w:t xml:space="preserve">Implication: </w:t>
      </w:r>
      <w:r>
        <w:rPr>
          <w:b w:val="0"/>
          <w:i w:val="0"/>
          <w:sz w:val="21"/>
        </w:rPr>
        <w:t>do not budget staff time chasing foundation money in FY27. The realistic FY27 pipeline is federal SBIR + DDS SAE + CHCF + in-kind credits. Foundation money becomes reachable only if a separate 501(c)(3) affiliate is stood up — a real option, but a second entity with its own board, filings, and arm's-length discipline. That is an FY28 decision.</w:t>
      </w:r>
    </w:p>
    <w:p>
      <w:r>
        <w:br w:type="page"/>
      </w:r>
    </w:p>
    <w:p>
      <w:pPr>
        <w:pStyle w:val="Heading2"/>
      </w:pPr>
      <w:r>
        <w:t>3 · Tier 1 — best fit, for-profit eligible, actionable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48"/>
        <w:gridCol w:w="2448"/>
        <w:gridCol w:w="2448"/>
        <w:gridCol w:w="2448"/>
      </w:tblGrid>
      <w:tr>
        <w:tc>
          <w:tcPr>
            <w:tcW w:type="dxa" w:w="2088"/>
            <w:shd w:val="clear" w:fill="1B2A4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Program</w:t>
            </w:r>
          </w:p>
        </w:tc>
        <w:tc>
          <w:tcPr>
            <w:tcW w:type="dxa" w:w="2088"/>
            <w:shd w:val="clear" w:fill="1B2A4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Money</w:t>
            </w:r>
          </w:p>
        </w:tc>
        <w:tc>
          <w:tcPr>
            <w:tcW w:type="dxa" w:w="1728"/>
            <w:shd w:val="clear" w:fill="1B2A4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Next deadline</w:t>
            </w:r>
          </w:p>
        </w:tc>
        <w:tc>
          <w:tcPr>
            <w:tcW w:type="dxa" w:w="3816"/>
            <w:shd w:val="clear" w:fill="1B2A4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Why it fits</w:t>
            </w:r>
          </w:p>
        </w:tc>
      </w:tr>
      <w:tr>
        <w:tc>
          <w:tcPr>
            <w:tcW w:type="dxa" w:w="2088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NIH Parent SBIR</w:t>
            </w:r>
            <w:r>
              <w:rPr>
                <w:b w:val="0"/>
                <w:sz w:val="17"/>
              </w:rPr>
              <w:t xml:space="preserve"> (PA-27-100)</w:t>
            </w:r>
          </w:p>
        </w:tc>
        <w:tc>
          <w:tcPr>
            <w:tcW w:type="dxa" w:w="2088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Non-dilutive. Per-award caps reach $3M (Phase II); Phase I is the entry point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Jan 5, 2027 (Sept 5/8 2026 has passed)</w:t>
            </w:r>
          </w:p>
        </w:tc>
        <w:tc>
          <w:tcPr>
            <w:tcW w:type="dxa" w:w="3816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The E8 outcomes engine is already scoped as the grant aim. Fundable question: does AI-guided navigation measurably close the service-access gap for Spanish-speaking families in the Lanterman system? Requires &gt;50% US-individual ownership, ≤500 employees; PI &gt;50% employed by the company.</w:t>
            </w:r>
          </w:p>
        </w:tc>
      </w:tr>
      <w:tr>
        <w:tc>
          <w:tcPr>
            <w:tcW w:type="dxa" w:w="2088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NIH Parent STTR</w:t>
            </w:r>
            <w:r>
              <w:rPr>
                <w:b w:val="0"/>
                <w:sz w:val="17"/>
              </w:rPr>
              <w:t xml:space="preserve"> (PA-27-102)</w:t>
            </w:r>
          </w:p>
        </w:tc>
        <w:tc>
          <w:tcPr>
            <w:tcW w:type="dxa" w:w="2088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Same caps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Jan 5, 2027</w:t>
            </w:r>
          </w:p>
        </w:tc>
        <w:tc>
          <w:tcPr>
            <w:tcW w:type="dxa" w:w="3816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Requires a research-institution partner (≥30% of work there, ≥40% at the company), but the PI may sit at the university. Prefer this only if a UC/CSU partner is real by Nov 15 — the partner also answers the credibility gap in a solo-founder application.</w:t>
            </w:r>
          </w:p>
        </w:tc>
      </w:tr>
      <w:tr>
        <w:tc>
          <w:tcPr>
            <w:tcW w:type="dxa" w:w="2088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NIDILRR / ACL SBIR</w:t>
            </w:r>
            <w:r>
              <w:rPr>
                <w:b w:val="0"/>
                <w:sz w:val="17"/>
              </w:rPr>
              <w:t xml:space="preserve"> (93.433)</w:t>
            </w:r>
          </w:p>
        </w:tc>
        <w:tc>
          <w:tcPr>
            <w:tcW w:type="dxa" w:w="2088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Phase I; a recent round funded 10 grants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Watch grants.gov for the FY27 NOFO</w:t>
            </w:r>
          </w:p>
        </w:tc>
        <w:tc>
          <w:tcPr>
            <w:tcW w:type="dxa" w:w="3816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Strongest mission match in this document. Every funded project must address the needs of people with disabilities and promote health/function, community living, or employment. Small program, therefore winnable.</w:t>
            </w:r>
          </w:p>
        </w:tc>
      </w:tr>
      <w:tr>
        <w:tc>
          <w:tcPr>
            <w:tcW w:type="dxa" w:w="2088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ED / IES SBIR</w:t>
            </w:r>
          </w:p>
        </w:tc>
        <w:tc>
          <w:tcPr>
            <w:tcW w:type="dxa" w:w="2088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FY26 Phase IA: $250,000 / 9 months. Phase II: $1,000,000 / 2 years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FY27 solicitation expected spring 2027</w:t>
            </w:r>
          </w:p>
        </w:tc>
        <w:tc>
          <w:tcPr>
            <w:tcW w:type="dxa" w:w="3816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Aims at the other market: ~850–884k California students with IEPs, versus ~7,459 SDP enrollees. IES explicitly funds special-education technology.</w:t>
            </w:r>
          </w:p>
        </w:tc>
      </w:tr>
      <w:tr>
        <w:tc>
          <w:tcPr>
            <w:tcW w:type="dxa" w:w="2088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DDS Service Access &amp; Equity (SAE)</w:t>
            </w:r>
          </w:p>
        </w:tc>
        <w:tc>
          <w:tcPr>
            <w:tcW w:type="dxa" w:w="2088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$11M/year across many awards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FY2027-29 cycle expected ~fall 2027</w:t>
            </w:r>
          </w:p>
        </w:tc>
        <w:tc>
          <w:tcPr>
            <w:tcW w:type="dxa" w:w="3816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BEST FIT. For-profit CBOs are explicitly eligible; an EIN is required. DDS is under sustained public pressure over the Latino–White purchase-of-service spending gap. Waypoint's Spanish-first work — deferred to Phase 4 for lack of funding — is exactly what this program buys.</w:t>
            </w:r>
          </w:p>
        </w:tc>
      </w:tr>
      <w:tr>
        <w:tc>
          <w:tcPr>
            <w:tcW w:type="dxa" w:w="2088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CHCF Innovation Fund</w:t>
            </w:r>
          </w:p>
        </w:tc>
        <w:tc>
          <w:tcPr>
            <w:tcW w:type="dxa" w:w="2088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Up to $3M combined investment and grant per company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Rolling — unsolicited LOIs accepted</w:t>
            </w:r>
          </w:p>
        </w:tc>
        <w:tc>
          <w:tcPr>
            <w:tcW w:type="dxa" w:w="3816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PARTLY DILUTIVE — an impact investment fund that also grants. Targets access for low-income Californians in the Medi-Cal ecosystem: the credible door into the CalAIM channel. Only Tier-1 source with no deadline to wait for.</w:t>
            </w:r>
          </w:p>
        </w:tc>
      </w:tr>
    </w:tbl>
    <w:p>
      <w:pPr>
        <w:spacing w:after="40"/>
      </w:pPr>
    </w:p>
    <w:p>
      <w:pPr>
        <w:pStyle w:val="Heading2"/>
      </w:pPr>
      <w:r>
        <w:t>4 · Tier 2 — mission-perfect, but gated behind 501(c)(3)</w:t>
      </w:r>
    </w:p>
    <w:p>
      <w:pPr>
        <w:spacing w:after="140"/>
      </w:pPr>
      <w:r>
        <w:rPr>
          <w:b w:val="0"/>
          <w:i w:val="0"/>
          <w:sz w:val="21"/>
        </w:rPr>
        <w:t xml:space="preserve">Do </w:t>
      </w:r>
      <w:r>
        <w:rPr>
          <w:b/>
          <w:i w:val="0"/>
          <w:sz w:val="21"/>
        </w:rPr>
        <w:t>not</w:t>
      </w:r>
      <w:r>
        <w:rPr>
          <w:b w:val="0"/>
          <w:i w:val="0"/>
          <w:sz w:val="21"/>
        </w:rPr>
        <w:t xml:space="preserve"> spend FY27 cycles on these as a for-profit. Listed so the option is documented, and so a future nonprofit-affiliate decision has its target list ready.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64"/>
        <w:gridCol w:w="3264"/>
        <w:gridCol w:w="3264"/>
      </w:tblGrid>
      <w:tr>
        <w:tc>
          <w:tcPr>
            <w:tcW w:type="dxa" w:w="2232"/>
            <w:shd w:val="clear" w:fill="1B2A4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Program</w:t>
            </w:r>
          </w:p>
        </w:tc>
        <w:tc>
          <w:tcPr>
            <w:tcW w:type="dxa" w:w="3960"/>
            <w:shd w:val="clear" w:fill="1B2A4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Why it fits</w:t>
            </w:r>
          </w:p>
        </w:tc>
        <w:tc>
          <w:tcPr>
            <w:tcW w:type="dxa" w:w="3528"/>
            <w:shd w:val="clear" w:fill="1B2A4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Why it's blocked</w:t>
            </w:r>
          </w:p>
        </w:tc>
      </w:tr>
      <w:tr>
        <w:tc>
          <w:tcPr>
            <w:tcW w:type="dxa" w:w="2232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Lucile Packard Foundation</w:t>
            </w:r>
            <w:r>
              <w:rPr>
                <w:b w:val="0"/>
                <w:sz w:val="17"/>
              </w:rPr>
              <w:t xml:space="preserve"> — CYSHCN program</w:t>
            </w:r>
          </w:p>
        </w:tc>
        <w:tc>
          <w:tcPr>
            <w:tcW w:type="dxa" w:w="3960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Funds systems and policy change for children and youth with special health care needs; requires grantees to engage families meaningfully AND compensate them for their time and expertise.</w:t>
            </w:r>
          </w:p>
        </w:tc>
        <w:tc>
          <w:tcPr>
            <w:tcW w:type="dxa" w:w="3528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Foundation grantmaking; nonprofit-oriented.</w:t>
            </w:r>
          </w:p>
        </w:tc>
      </w:tr>
      <w:tr>
        <w:tc>
          <w:tcPr>
            <w:tcW w:type="dxa" w:w="2232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SCDD Program Development Grants</w:t>
            </w:r>
          </w:p>
        </w:tc>
        <w:tc>
          <w:tcPr>
            <w:tcW w:type="dxa" w:w="3960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California's DD Council; funds CA-based organizations serving people with I/DD. Recent cycle: $300,000 across topic areas.</w:t>
            </w:r>
          </w:p>
        </w:tc>
        <w:tc>
          <w:tcPr>
            <w:tcW w:type="dxa" w:w="3528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Requires 10% match (poverty areas) or 25% (non-poverty) — real cash exposure pre-revenue. None open.</w:t>
            </w:r>
          </w:p>
        </w:tc>
      </w:tr>
      <w:tr>
        <w:tc>
          <w:tcPr>
            <w:tcW w:type="dxa" w:w="2232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WITH Foundation</w:t>
            </w:r>
          </w:p>
        </w:tc>
        <w:tc>
          <w:tcPr>
            <w:tcW w:type="dxa" w:w="3960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Healthcare access for people with I/DD. Awards $150k–$250k.</w:t>
            </w:r>
          </w:p>
        </w:tc>
        <w:tc>
          <w:tcPr>
            <w:tcW w:type="dxa" w:w="3528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501(c)(3) only, and scoped to adults. Named in the Aug 2026 plan in error.</w:t>
            </w:r>
          </w:p>
        </w:tc>
      </w:tr>
      <w:tr>
        <w:tc>
          <w:tcPr>
            <w:tcW w:type="dxa" w:w="2232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Blue Shield of CA Foundation</w:t>
            </w:r>
          </w:p>
        </w:tc>
        <w:tc>
          <w:tcPr>
            <w:tcW w:type="dxa" w:w="3960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Health equity in California.</w:t>
            </w:r>
          </w:p>
        </w:tc>
        <w:tc>
          <w:tcPr>
            <w:tcW w:type="dxa" w:w="3528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Nonprofit / tax-exempt only. Explicitly ineligible.</w:t>
            </w:r>
          </w:p>
        </w:tc>
      </w:tr>
    </w:tbl>
    <w:p>
      <w:pPr>
        <w:spacing w:after="40"/>
      </w:pPr>
    </w:p>
    <w:p>
      <w:pPr>
        <w:pStyle w:val="Heading2"/>
      </w:pPr>
      <w:r>
        <w:t>5 · Tiers 3 &amp; 4 — small, fast, and in-kind</w:t>
      </w:r>
    </w:p>
    <w:p>
      <w:pPr>
        <w:pStyle w:val="Heading3"/>
      </w:pPr>
      <w:r>
        <w:t>Tier 3 — commercial small-business grants (LLC-eligible, no 501(c)(3))</w:t>
      </w:r>
    </w:p>
    <w:p>
      <w:pPr>
        <w:pStyle w:val="ListBullet"/>
        <w:spacing w:after="60"/>
      </w:pPr>
      <w:r>
        <w:rPr>
          <w:b/>
          <w:i w:val="0"/>
          <w:sz w:val="21"/>
        </w:rPr>
        <w:t>Hello Alice</w:t>
      </w:r>
      <w:r>
        <w:rPr>
          <w:b w:val="0"/>
          <w:i w:val="0"/>
          <w:sz w:val="21"/>
        </w:rPr>
        <w:t xml:space="preserve"> — rolling grant marketplace, $57M+ distributed via corporate partners. Low effort per application; treat as background noise, not a plan.</w:t>
      </w:r>
    </w:p>
    <w:p>
      <w:pPr>
        <w:pStyle w:val="ListBullet"/>
        <w:spacing w:after="60"/>
      </w:pPr>
      <w:r>
        <w:rPr>
          <w:b/>
          <w:i w:val="0"/>
          <w:sz w:val="21"/>
        </w:rPr>
        <w:t>Amber Grant</w:t>
      </w:r>
      <w:r>
        <w:rPr>
          <w:b w:val="0"/>
          <w:i w:val="0"/>
          <w:sz w:val="21"/>
        </w:rPr>
        <w:t xml:space="preserve"> — three $10,000 grants monthly, closing the last day of each month. </w:t>
      </w:r>
      <w:r>
        <w:rPr>
          <w:b/>
          <w:i w:val="0"/>
          <w:sz w:val="21"/>
        </w:rPr>
        <w:t>Conditional:</w:t>
      </w:r>
      <w:r>
        <w:rPr>
          <w:b w:val="0"/>
          <w:i w:val="0"/>
          <w:sz w:val="21"/>
        </w:rPr>
        <w:t xml:space="preserve"> requires a woman aged 18+ owning ≥50% of the business. Applies only if the cap table meets that test.</w:t>
      </w:r>
    </w:p>
    <w:p>
      <w:pPr>
        <w:pStyle w:val="ListBullet"/>
        <w:spacing w:after="60"/>
      </w:pPr>
      <w:r>
        <w:rPr>
          <w:b/>
          <w:i w:val="0"/>
          <w:sz w:val="21"/>
        </w:rPr>
        <w:t xml:space="preserve">Do not chase: </w:t>
      </w:r>
      <w:r>
        <w:rPr>
          <w:b w:val="0"/>
          <w:i w:val="0"/>
          <w:sz w:val="21"/>
        </w:rPr>
        <w:t>FedEx retired its small-business grant after 2024; Comcast RISE had no application site as of Aug 31, 2026.</w:t>
      </w:r>
    </w:p>
    <w:p>
      <w:pPr>
        <w:pStyle w:val="Heading3"/>
      </w:pPr>
      <w:r>
        <w:t>Tier 4 — in-kind credits (fastest payback in this document)</w:t>
      </w:r>
    </w:p>
    <w:p>
      <w:pPr>
        <w:spacing w:after="140"/>
      </w:pPr>
      <w:r>
        <w:rPr>
          <w:b w:val="0"/>
          <w:i w:val="0"/>
          <w:sz w:val="21"/>
        </w:rPr>
        <w:t xml:space="preserve">The roadmap flags free-tier AI inference as </w:t>
      </w:r>
      <w:r>
        <w:rPr>
          <w:b w:val="0"/>
          <w:i/>
          <w:sz w:val="21"/>
        </w:rPr>
        <w:t>“unfunded… a cost center defended only by conversion.”</w:t>
      </w:r>
      <w:r>
        <w:rPr>
          <w:b w:val="0"/>
          <w:i w:val="0"/>
          <w:sz w:val="21"/>
        </w:rPr>
        <w:t xml:space="preserve"> Credits are the direct answer, and they arrive in days rather than quarters.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64"/>
        <w:gridCol w:w="3264"/>
        <w:gridCol w:w="3264"/>
      </w:tblGrid>
      <w:tr>
        <w:tc>
          <w:tcPr>
            <w:tcW w:type="dxa" w:w="3024"/>
            <w:shd w:val="clear" w:fill="1B2A4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Program</w:t>
            </w:r>
          </w:p>
        </w:tc>
        <w:tc>
          <w:tcPr>
            <w:tcW w:type="dxa" w:w="3672"/>
            <w:shd w:val="clear" w:fill="1B2A4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Self-serve tier (no VC required)</w:t>
            </w:r>
          </w:p>
        </w:tc>
        <w:tc>
          <w:tcPr>
            <w:tcW w:type="dxa" w:w="3024"/>
            <w:shd w:val="clear" w:fill="1B2A4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Larger tier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Anthropic — Claude for Startups</w:t>
            </w:r>
          </w:p>
        </w:tc>
        <w:tc>
          <w:tcPr>
            <w:tcW w:type="dxa" w:w="367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Public application, no VC required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~$25k reported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AWS Activate</w:t>
            </w:r>
          </w:p>
        </w:tc>
        <w:tc>
          <w:tcPr>
            <w:tcW w:type="dxa" w:w="367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~$1,000 (up to $5,000 for select participants)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up to ~$300k (GenAI track) — typically needs VC or an accelerator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Microsoft for Startups Founders Hub</w:t>
            </w:r>
          </w:p>
        </w:tc>
        <w:tc>
          <w:tcPr>
            <w:tcW w:type="dxa" w:w="367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~$1,000 Azure instantly; ~$25k baseline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up to ~$150k</w:t>
            </w:r>
          </w:p>
        </w:tc>
      </w:tr>
      <w:tr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Google Cloud for Startups</w:t>
            </w:r>
          </w:p>
        </w:tc>
        <w:tc>
          <w:tcPr>
            <w:tcW w:type="dxa" w:w="367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3024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~$200k standard / up to ~$350k AI-first track</w:t>
            </w:r>
          </w:p>
        </w:tc>
      </w:tr>
    </w:tbl>
    <w:p>
      <w:pPr>
        <w:spacing w:after="40"/>
      </w:pPr>
    </w:p>
    <w:p>
      <w:pPr>
        <w:spacing w:after="140"/>
      </w:pPr>
      <w:r>
        <w:rPr>
          <w:b/>
          <w:i w:val="0"/>
          <w:sz w:val="21"/>
        </w:rPr>
        <w:t xml:space="preserve">Action: </w:t>
      </w:r>
      <w:r>
        <w:rPr>
          <w:b w:val="0"/>
          <w:i w:val="0"/>
          <w:sz w:val="21"/>
        </w:rPr>
        <w:t>apply for the self-serve tiers the week the entity and EIN exist. A few hours of work against a recurring cost line that currently has no funding at all. Amounts are secondary-source and move often — verify on each provider's page at application time.</w:t>
      </w:r>
    </w:p>
    <w:p>
      <w:r>
        <w:br w:type="page"/>
      </w:r>
    </w:p>
    <w:p>
      <w:pPr>
        <w:pStyle w:val="Heading2"/>
      </w:pPr>
      <w:r>
        <w:t>6 · The critical path — registrations gate everything federal</w:t>
      </w:r>
    </w:p>
    <w:p>
      <w:pPr>
        <w:spacing w:after="140"/>
      </w:pPr>
      <w:r>
        <w:rPr>
          <w:b w:val="0"/>
          <w:i w:val="0"/>
          <w:sz w:val="21"/>
        </w:rPr>
        <w:t xml:space="preserve">None of the federal money is reachable without a legal entity, an EIN, and a registration chain that must be done </w:t>
      </w:r>
      <w:r>
        <w:rPr>
          <w:b/>
          <w:i w:val="0"/>
          <w:sz w:val="21"/>
        </w:rPr>
        <w:t>in order</w:t>
      </w:r>
      <w:r>
        <w:rPr>
          <w:b w:val="0"/>
          <w:i w:val="0"/>
          <w:sz w:val="21"/>
        </w:rPr>
        <w:t xml:space="preserve">, because each system depends on the one before it. Total: </w:t>
      </w:r>
      <w:r>
        <w:rPr>
          <w:b/>
          <w:i w:val="0"/>
          <w:sz w:val="21"/>
        </w:rPr>
        <w:t>4–6+ weeks</w:t>
      </w:r>
      <w:r>
        <w:rPr>
          <w:b w:val="0"/>
          <w:i w:val="0"/>
          <w:sz w:val="21"/>
        </w:rPr>
        <w:t>, assuming nothing goes wrong.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64"/>
        <w:gridCol w:w="3264"/>
        <w:gridCol w:w="3264"/>
      </w:tblGrid>
      <w:tr>
        <w:tc>
          <w:tcPr>
            <w:tcW w:type="dxa" w:w="1944"/>
            <w:shd w:val="clear" w:fill="1B2A4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5616"/>
            <w:shd w:val="clear" w:fill="1B2A4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2160"/>
            <w:shd w:val="clear" w:fill="1B2A4A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Typical duration</w:t>
            </w:r>
          </w:p>
        </w:tc>
      </w:tr>
      <w:tr>
        <w:tc>
          <w:tcPr>
            <w:tcW w:type="dxa" w:w="1944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Week of Sept 7, 2026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Decide the entity path</w:t>
            </w:r>
            <w:r>
              <w:rPr>
                <w:b w:val="0"/>
                <w:sz w:val="17"/>
              </w:rPr>
              <w:t xml:space="preserve"> (Part II). Book attorney + CPA consults.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1944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Sept 2026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Email SAEgrantprogram@dds.ca.gov re: the next SAE cycle — bundle with the DDS Question-Zero letter (one relationship, two asks)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1944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By ~Oct 15, 2026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ENTITY FORMED + EIN ISSUED — the binding constraint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EIN same day</w:t>
            </w:r>
          </w:p>
        </w:tc>
      </w:tr>
      <w:tr>
        <w:tc>
          <w:tcPr>
            <w:tcW w:type="dxa" w:w="1944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Oct 2026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Apply for self-serve AI/cloud credits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Days</w:t>
            </w:r>
          </w:p>
        </w:tc>
      </w:tr>
      <w:tr>
        <w:tc>
          <w:tcPr>
            <w:tcW w:type="dxa" w:w="1944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Oct 15 – Nov 5, 2026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SAM.gov → issues the UEI (START FIRST)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3 wks typical / 6+ worst case</w:t>
            </w:r>
          </w:p>
        </w:tc>
      </w:tr>
      <w:tr>
        <w:tc>
          <w:tcPr>
            <w:tcW w:type="dxa" w:w="1944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Nov 2026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eRA Commons (organization, then PI account)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2+ weeks</w:t>
            </w:r>
          </w:p>
        </w:tc>
      </w:tr>
      <w:tr>
        <w:tc>
          <w:tcPr>
            <w:tcW w:type="dxa" w:w="1944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Nov 2026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SBA Company Registry → SBC Control ID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1–2 business days</w:t>
            </w:r>
          </w:p>
        </w:tc>
      </w:tr>
      <w:tr>
        <w:tc>
          <w:tcPr>
            <w:tcW w:type="dxa" w:w="1944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Nov 2026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Grants.gov registration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Days</w:t>
            </w:r>
          </w:p>
        </w:tc>
      </w:tr>
      <w:tr>
        <w:tc>
          <w:tcPr>
            <w:tcW w:type="dxa" w:w="1944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By Nov 15, 2026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Decide SBIR vs STTR</w:t>
            </w:r>
            <w:r>
              <w:rPr>
                <w:b w:val="0"/>
                <w:sz w:val="17"/>
              </w:rPr>
              <w:t xml:space="preserve"> — is a UC/CSU research partner real?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1944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Oct – Dec 2026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Draft specific aims, research plan, commercialization plan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80–120 hours</w:t>
            </w:r>
          </w:p>
        </w:tc>
      </w:tr>
      <w:tr>
        <w:tc>
          <w:tcPr>
            <w:tcW w:type="dxa" w:w="1944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Jan 5, 2027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b/>
                <w:sz w:val="17"/>
              </w:rPr>
              <w:t>NIH SBIR/STTR submission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1944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Apr 5, 2027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Fallback NIH cycle if January slips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1944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~Spring 2027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ED/IES SBIR FY27 solicitation expected to open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1944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~Fall 2027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DDS SAE FY2027-29 cycle (confirm with DDS)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t>7 · Honest expected value</w:t>
      </w:r>
    </w:p>
    <w:p>
      <w:pPr>
        <w:spacing w:after="140"/>
      </w:pPr>
      <w:r>
        <w:rPr>
          <w:b w:val="0"/>
          <w:i w:val="0"/>
          <w:sz w:val="21"/>
        </w:rPr>
        <w:t xml:space="preserve">Grants are </w:t>
      </w:r>
      <w:r>
        <w:rPr>
          <w:b/>
          <w:i w:val="0"/>
          <w:sz w:val="21"/>
        </w:rPr>
        <w:t>bridge funding, not a channel</w:t>
      </w:r>
      <w:r>
        <w:rPr>
          <w:b w:val="0"/>
          <w:i w:val="0"/>
          <w:sz w:val="21"/>
        </w:rPr>
        <w:t xml:space="preserve"> — the options stack-rank puts them #10 of 10 and says “pursue in parallel; never plan on it.” That ranking stands, with one amendment: the DDS SAE program is better-fit and more winnable than that row implies, because for-profits are eligible, the disparity data makes the case </w:t>
      </w:r>
      <w:r>
        <w:rPr>
          <w:b w:val="0"/>
          <w:i/>
          <w:sz w:val="21"/>
        </w:rPr>
        <w:t>for</w:t>
      </w:r>
      <w:r>
        <w:rPr>
          <w:b w:val="0"/>
          <w:i w:val="0"/>
          <w:sz w:val="21"/>
        </w:rPr>
        <w:t xml:space="preserve"> Waypoint rather than against it, and $11M/year is spread across many modest awards rather than a few large ones.</w:t>
      </w:r>
    </w:p>
    <w:p>
      <w:pPr>
        <w:pStyle w:val="ListBullet"/>
        <w:spacing w:after="60"/>
      </w:pPr>
      <w:r>
        <w:rPr>
          <w:b/>
          <w:i w:val="0"/>
          <w:sz w:val="21"/>
        </w:rPr>
        <w:t xml:space="preserve">Highest probability: </w:t>
      </w:r>
      <w:r>
        <w:rPr>
          <w:b w:val="0"/>
          <w:i w:val="0"/>
          <w:sz w:val="21"/>
        </w:rPr>
        <w:t>in-kind credits (near-certain, days); Hello Alice (low value, low effort).</w:t>
      </w:r>
    </w:p>
    <w:p>
      <w:pPr>
        <w:pStyle w:val="ListBullet"/>
        <w:spacing w:after="60"/>
      </w:pPr>
      <w:r>
        <w:rPr>
          <w:b/>
          <w:i w:val="0"/>
          <w:sz w:val="21"/>
        </w:rPr>
        <w:t xml:space="preserve">Best expected value: </w:t>
      </w:r>
      <w:r>
        <w:rPr>
          <w:b w:val="0"/>
          <w:i w:val="0"/>
          <w:sz w:val="21"/>
        </w:rPr>
        <w:t>DDS SAE — but the next window is about a year out, so the work now is relationship-building, not writing.</w:t>
      </w:r>
    </w:p>
    <w:p>
      <w:pPr>
        <w:pStyle w:val="ListBullet"/>
        <w:spacing w:after="60"/>
      </w:pPr>
      <w:r>
        <w:rPr>
          <w:b/>
          <w:i w:val="0"/>
          <w:sz w:val="21"/>
        </w:rPr>
        <w:t xml:space="preserve">Biggest prize, longest odds: </w:t>
      </w:r>
      <w:r>
        <w:rPr>
          <w:b w:val="0"/>
          <w:i w:val="0"/>
          <w:sz w:val="21"/>
        </w:rPr>
        <w:t>NIH SBIR/STTR. One application per cycle is the right cadence; two is a distraction from revenue.</w:t>
      </w:r>
    </w:p>
    <w:p>
      <w:pPr>
        <w:pStyle w:val="ListBullet"/>
        <w:spacing w:after="60"/>
      </w:pPr>
      <w:r>
        <w:rPr>
          <w:b/>
          <w:i w:val="0"/>
          <w:sz w:val="21"/>
        </w:rPr>
        <w:t xml:space="preserve">Most strategically valuable per dollar: </w:t>
      </w:r>
      <w:r>
        <w:rPr>
          <w:b w:val="0"/>
          <w:i w:val="0"/>
          <w:sz w:val="21"/>
        </w:rPr>
        <w:t>CHCF — the network into Medi-Cal managed care is worth more than the capital, and it has no deadline.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fill="EFF6FF"/>
          </w:tcPr>
          <w:p>
            <w:pPr>
              <w:spacing w:after="60"/>
            </w:pPr>
            <w:r/>
            <w:r>
              <w:rPr>
                <w:b/>
                <w:color w:val="2563EB"/>
                <w:sz w:val="21"/>
              </w:rPr>
              <w:t>The trade-off to hold onto</w:t>
            </w:r>
          </w:p>
          <w:p>
            <w:pPr>
              <w:spacing w:after="40"/>
            </w:pPr>
            <w:r>
              <w:rPr>
                <w:sz w:val="20"/>
              </w:rPr>
              <w:t>Do not let grant writing displace the W1b gate items — first family through the pipeline, first paid invoice. A paid invoice is worth more than a submitted application. A first NIH SBIR is realistically 80–120 hours, which is why most solo-founder SBIR plans are quietly never submitted.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Waypoint · Waypoint — Grant Pipeline · September 7, 2026 · Draft — decision required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pPr>
      <w:spacing w:after="140" w:line="271" w:lineRule="auto"/>
    </w:pPr>
    <w:rPr>
      <w:rFonts w:ascii="Calibri" w:hAnsi="Calibri" w:eastAsia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891B2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