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891B2"/>
          <w:sz w:val="18"/>
        </w:rPr>
        <w:t>WAYPOINT</w:t>
      </w:r>
    </w:p>
    <w:p>
      <w:pPr>
        <w:spacing w:after="40"/>
      </w:pPr>
      <w:r>
        <w:rPr>
          <w:b/>
          <w:color w:val="1B2A4A"/>
          <w:sz w:val="48"/>
        </w:rPr>
        <w:t>Waypoint — Entity Formation</w:t>
      </w:r>
    </w:p>
    <w:p>
      <w:pPr>
        <w:spacing w:after="200"/>
      </w:pPr>
      <w:r>
        <w:rPr>
          <w:i/>
          <w:color w:val="64748B"/>
          <w:sz w:val="26"/>
        </w:rPr>
        <w:t>Part II of II · Benefit-entity options and registration steps</w:t>
      </w:r>
    </w:p>
    <w:tbl>
      <w:tblPr>
        <w:tblW w:type="auto" w:w="0"/>
        <w:jc w:val="center"/>
        <w:tblLayout w:type="fixed"/>
        <w:tblLook w:firstColumn="1" w:firstRow="1" w:lastColumn="0" w:lastRow="0" w:noHBand="0" w:noVBand="1" w:val="04A0"/>
        <w:tblLayout w:type="fixed"/>
      </w:tblPr>
      <w:tblGrid>
        <w:gridCol w:w="4896"/>
        <w:gridCol w:w="4896"/>
      </w:tblGrid>
      <w:tr>
        <w:tc>
          <w:tcPr>
            <w:tcW w:type="dxa" w:w="2088"/>
          </w:tcPr>
          <w:p>
            <w:pPr>
              <w:spacing w:after="40" w:before="40"/>
            </w:pPr>
            <w:r/>
            <w:r>
              <w:rPr>
                <w:b/>
                <w:sz w:val="19"/>
              </w:rPr>
              <w:t>Date</w:t>
            </w:r>
          </w:p>
        </w:tc>
        <w:tc>
          <w:tcPr>
            <w:tcW w:type="dxa" w:w="7632"/>
          </w:tcPr>
          <w:p>
            <w:pPr>
              <w:spacing w:after="40" w:before="40"/>
            </w:pPr>
            <w:r/>
            <w:r>
              <w:rPr>
                <w:b w:val="0"/>
                <w:sz w:val="19"/>
              </w:rPr>
              <w:t>September 7, 2026</w:t>
            </w:r>
          </w:p>
        </w:tc>
      </w:tr>
      <w:tr>
        <w:tc>
          <w:tcPr>
            <w:tcW w:type="dxa" w:w="2088"/>
          </w:tcPr>
          <w:p>
            <w:pPr>
              <w:spacing w:after="40" w:before="40"/>
            </w:pPr>
            <w:r/>
            <w:r>
              <w:rPr>
                <w:b/>
                <w:sz w:val="19"/>
              </w:rPr>
              <w:t>Status</w:t>
            </w:r>
          </w:p>
        </w:tc>
        <w:tc>
          <w:tcPr>
            <w:tcW w:type="dxa" w:w="7632"/>
          </w:tcPr>
          <w:p>
            <w:pPr>
              <w:spacing w:after="40" w:before="40"/>
            </w:pPr>
            <w:r/>
            <w:r>
              <w:rPr>
                <w:b w:val="0"/>
                <w:sz w:val="19"/>
              </w:rPr>
              <w:t>Draft — decision required from owner before entity filing</w:t>
            </w:r>
          </w:p>
        </w:tc>
      </w:tr>
      <w:tr>
        <w:tc>
          <w:tcPr>
            <w:tcW w:type="dxa" w:w="2088"/>
          </w:tcPr>
          <w:p>
            <w:pPr>
              <w:spacing w:after="40" w:before="40"/>
            </w:pPr>
            <w:r/>
            <w:r>
              <w:rPr>
                <w:b/>
                <w:sz w:val="19"/>
              </w:rPr>
              <w:t>Prepared for</w:t>
            </w:r>
          </w:p>
        </w:tc>
        <w:tc>
          <w:tcPr>
            <w:tcW w:type="dxa" w:w="7632"/>
          </w:tcPr>
          <w:p>
            <w:pPr>
              <w:spacing w:after="40" w:before="40"/>
            </w:pPr>
            <w:r/>
            <w:r>
              <w:rPr>
                <w:b w:val="0"/>
                <w:sz w:val="19"/>
              </w:rPr>
              <w:t>Waypoint · waypointchild.com</w:t>
            </w:r>
          </w:p>
        </w:tc>
      </w:tr>
      <w:tr>
        <w:tc>
          <w:tcPr>
            <w:tcW w:type="dxa" w:w="2088"/>
          </w:tcPr>
          <w:p>
            <w:pPr>
              <w:spacing w:after="40" w:before="40"/>
            </w:pPr>
            <w:r/>
            <w:r>
              <w:rPr>
                <w:b/>
                <w:sz w:val="19"/>
              </w:rPr>
              <w:t>Source of record</w:t>
            </w:r>
          </w:p>
        </w:tc>
        <w:tc>
          <w:tcPr>
            <w:tcW w:type="dxa" w:w="7632"/>
          </w:tcPr>
          <w:p>
            <w:pPr>
              <w:spacing w:after="40" w:before="40"/>
            </w:pPr>
            <w:r/>
            <w:r>
              <w:rPr>
                <w:b w:val="0"/>
                <w:sz w:val="19"/>
              </w:rPr>
              <w:t>Operations/Grant-Pipeline-Sep2026.md · Operations/Entity-Formation-Plan-Sep2026.md</w:t>
            </w:r>
          </w:p>
        </w:tc>
      </w:tr>
      <w:tr>
        <w:tc>
          <w:tcPr>
            <w:tcW w:type="dxa" w:w="2088"/>
          </w:tcPr>
          <w:p>
            <w:pPr>
              <w:spacing w:after="40" w:before="40"/>
            </w:pPr>
            <w:r/>
            <w:r>
              <w:rPr>
                <w:b/>
                <w:sz w:val="19"/>
              </w:rPr>
              <w:t>Companion</w:t>
            </w:r>
          </w:p>
        </w:tc>
        <w:tc>
          <w:tcPr>
            <w:tcW w:type="dxa" w:w="7632"/>
          </w:tcPr>
          <w:p>
            <w:pPr>
              <w:spacing w:after="40" w:before="40"/>
            </w:pPr>
            <w:r/>
            <w:r>
              <w:rPr>
                <w:b w:val="0"/>
                <w:sz w:val="19"/>
              </w:rPr>
              <w:t>Operations/Waypoint-Grant-Pipeline-Sep2026.xlsx (21 programs, 3 sheets)</w:t>
            </w:r>
          </w:p>
        </w:tc>
      </w:tr>
    </w:tbl>
    <w:p>
      <w:pPr>
        <w:spacing w:after="80"/>
      </w:pPr>
    </w:p>
    <w:p>
      <w:r>
        <w:br w:type="page"/>
      </w:r>
    </w:p>
    <w:p>
      <w:pPr>
        <w:pStyle w:val="Heading1"/>
      </w:pPr>
      <w:r>
        <w:t>Part II · Entity formation — benefit-entity options and steps</w:t>
      </w:r>
    </w:p>
    <w:p>
      <w:pPr>
        <w:pStyle w:val="Heading2"/>
      </w:pPr>
      <w:r>
        <w:t>8 · The finding that changes the question</w:t>
      </w:r>
    </w:p>
    <w:p>
      <w:pPr>
        <w:spacing w:after="140"/>
      </w:pPr>
      <w:r>
        <w:rPr>
          <w:b/>
          <w:i w:val="0"/>
          <w:sz w:val="21"/>
        </w:rPr>
        <w:t>A “benefit corporation LLC” does not exist in California.</w:t>
      </w:r>
      <w:r>
        <w:rPr>
          <w:b w:val="0"/>
          <w:i w:val="0"/>
          <w:sz w:val="21"/>
        </w:rPr>
        <w:t xml:space="preserve"> This is not a technicality — it decides which of three different filings you make. California's benefit corporation statute, Corporations Code § 14600 et seq., defines a benefit corporation as </w:t>
      </w:r>
      <w:r>
        <w:rPr>
          <w:b w:val="0"/>
          <w:i/>
          <w:sz w:val="21"/>
        </w:rPr>
        <w:t>a corporation organized under the General Corporation Law</w:t>
      </w:r>
      <w:r>
        <w:rPr>
          <w:b w:val="0"/>
          <w:i w:val="0"/>
          <w:sz w:val="21"/>
        </w:rPr>
        <w:t xml:space="preserve"> that has elected benefit status. LLCs are governed by an entirely separate title, and there is no parallel benefit-LLC provision anywhere in it. An LLC in California cannot elect benefit status, full stop.</w:t>
      </w:r>
    </w:p>
    <w:p>
      <w:pPr>
        <w:spacing w:after="140"/>
      </w:pPr>
      <w:r>
        <w:rPr>
          <w:b w:val="0"/>
          <w:i w:val="0"/>
          <w:sz w:val="21"/>
        </w:rPr>
        <w:t xml:space="preserve">Some states </w:t>
      </w:r>
      <w:r>
        <w:rPr>
          <w:b w:val="0"/>
          <w:i/>
          <w:sz w:val="21"/>
        </w:rPr>
        <w:t>do</w:t>
      </w:r>
      <w:r>
        <w:rPr>
          <w:b w:val="0"/>
          <w:i w:val="0"/>
          <w:sz w:val="21"/>
        </w:rPr>
        <w:t xml:space="preserve"> have a statutory benefit LLC — Delaware's statutory public benefit limited liability company, 6 Del. C. § 18-1201–18-1208, added in 2018. California is not one of them. So the request resolves to one of three real filings, and they are not close substitutes.</w:t>
      </w:r>
    </w:p>
    <w:p>
      <w:pPr>
        <w:pStyle w:val="Heading2"/>
      </w:pPr>
      <w:r>
        <w:t>9 · The three real paths</w:t>
      </w:r>
    </w:p>
    <w:tbl>
      <w:tblPr>
        <w:tblStyle w:val="TableGrid"/>
        <w:tblW w:type="auto" w:w="0"/>
        <w:jc w:val="center"/>
        <w:tblLayout w:type="fixed"/>
        <w:tblLook w:firstColumn="1" w:firstRow="1" w:lastColumn="0" w:lastRow="0" w:noHBand="0" w:noVBand="1" w:val="04A0"/>
        <w:tblLayout w:type="fixed"/>
      </w:tblPr>
      <w:tblGrid>
        <w:gridCol w:w="2448"/>
        <w:gridCol w:w="2448"/>
        <w:gridCol w:w="2448"/>
        <w:gridCol w:w="2448"/>
      </w:tblGrid>
      <w:tr>
        <w:tc>
          <w:tcPr>
            <w:tcW w:type="dxa" w:w="1728"/>
            <w:shd w:val="clear" w:fill="1B2A4A"/>
          </w:tcPr>
          <w:p>
            <w:pPr>
              <w:spacing w:after="40" w:before="40"/>
            </w:pPr>
            <w:r/>
            <w:r>
              <w:rPr>
                <w:b/>
                <w:color w:val="FFFFFF"/>
                <w:sz w:val="17"/>
              </w:rPr>
            </w:r>
          </w:p>
        </w:tc>
        <w:tc>
          <w:tcPr>
            <w:tcW w:type="dxa" w:w="2736"/>
            <w:shd w:val="clear" w:fill="1B2A4A"/>
          </w:tcPr>
          <w:p>
            <w:pPr>
              <w:spacing w:after="40" w:before="40"/>
            </w:pPr>
            <w:r/>
            <w:r>
              <w:rPr>
                <w:b/>
                <w:color w:val="FFFFFF"/>
                <w:sz w:val="17"/>
              </w:rPr>
              <w:t>A · CA Benefit Corporation</w:t>
            </w:r>
          </w:p>
        </w:tc>
        <w:tc>
          <w:tcPr>
            <w:tcW w:type="dxa" w:w="2736"/>
            <w:shd w:val="clear" w:fill="1B2A4A"/>
          </w:tcPr>
          <w:p>
            <w:pPr>
              <w:spacing w:after="40" w:before="40"/>
            </w:pPr>
            <w:r/>
            <w:r>
              <w:rPr>
                <w:b/>
                <w:color w:val="FFFFFF"/>
                <w:sz w:val="17"/>
              </w:rPr>
              <w:t>B · CA LLC + B Corp cert.</w:t>
            </w:r>
          </w:p>
        </w:tc>
        <w:tc>
          <w:tcPr>
            <w:tcW w:type="dxa" w:w="2520"/>
            <w:shd w:val="clear" w:fill="1B2A4A"/>
          </w:tcPr>
          <w:p>
            <w:pPr>
              <w:spacing w:after="40" w:before="40"/>
            </w:pPr>
            <w:r/>
            <w:r>
              <w:rPr>
                <w:b/>
                <w:color w:val="FFFFFF"/>
                <w:sz w:val="17"/>
              </w:rPr>
              <w:t>C · DE Public Benefit LLC</w:t>
            </w:r>
          </w:p>
        </w:tc>
      </w:tr>
      <w:tr>
        <w:tc>
          <w:tcPr>
            <w:tcW w:type="dxa" w:w="1728"/>
          </w:tcPr>
          <w:p>
            <w:pPr>
              <w:spacing w:after="40" w:before="40"/>
            </w:pPr>
            <w:r/>
            <w:r>
              <w:rPr>
                <w:b/>
                <w:sz w:val="17"/>
              </w:rPr>
              <w:t>Benefit status is…</w:t>
            </w:r>
          </w:p>
        </w:tc>
        <w:tc>
          <w:tcPr>
            <w:tcW w:type="dxa" w:w="2736"/>
          </w:tcPr>
          <w:p>
            <w:pPr>
              <w:spacing w:after="40" w:before="40"/>
            </w:pPr>
            <w:r/>
            <w:r>
              <w:rPr>
                <w:b w:val="0"/>
                <w:sz w:val="17"/>
              </w:rPr>
              <w:t>Statutory — in the Articles and the Corporations Code</w:t>
            </w:r>
          </w:p>
        </w:tc>
        <w:tc>
          <w:tcPr>
            <w:tcW w:type="dxa" w:w="2736"/>
          </w:tcPr>
          <w:p>
            <w:pPr>
              <w:spacing w:after="40" w:before="40"/>
            </w:pPr>
            <w:r/>
            <w:r>
              <w:rPr>
                <w:b w:val="0"/>
                <w:sz w:val="17"/>
              </w:rPr>
              <w:t>Contractual + certified — operating agreement, verified by B Lab</w:t>
            </w:r>
          </w:p>
        </w:tc>
        <w:tc>
          <w:tcPr>
            <w:tcW w:type="dxa" w:w="2520"/>
          </w:tcPr>
          <w:p>
            <w:pPr>
              <w:spacing w:after="40" w:before="40"/>
            </w:pPr>
            <w:r/>
            <w:r>
              <w:rPr>
                <w:b w:val="0"/>
                <w:sz w:val="17"/>
              </w:rPr>
              <w:t>Statutory, but under Delaware law</w:t>
            </w:r>
          </w:p>
        </w:tc>
      </w:tr>
      <w:tr>
        <w:tc>
          <w:tcPr>
            <w:tcW w:type="dxa" w:w="1728"/>
          </w:tcPr>
          <w:p>
            <w:pPr>
              <w:spacing w:after="40" w:before="40"/>
            </w:pPr>
            <w:r/>
            <w:r>
              <w:rPr>
                <w:b/>
                <w:sz w:val="17"/>
              </w:rPr>
              <w:t>Formation filing</w:t>
            </w:r>
          </w:p>
        </w:tc>
        <w:tc>
          <w:tcPr>
            <w:tcW w:type="dxa" w:w="2736"/>
          </w:tcPr>
          <w:p>
            <w:pPr>
              <w:spacing w:after="40" w:before="40"/>
            </w:pPr>
            <w:r/>
            <w:r>
              <w:rPr>
                <w:b w:val="0"/>
                <w:sz w:val="17"/>
              </w:rPr>
              <w:t>Articles of Incorporation w/ benefit provision, CA SoS</w:t>
            </w:r>
          </w:p>
        </w:tc>
        <w:tc>
          <w:tcPr>
            <w:tcW w:type="dxa" w:w="2736"/>
          </w:tcPr>
          <w:p>
            <w:pPr>
              <w:spacing w:after="40" w:before="40"/>
            </w:pPr>
            <w:r/>
            <w:r>
              <w:rPr>
                <w:b w:val="0"/>
                <w:sz w:val="17"/>
              </w:rPr>
              <w:t>Form LLC-1, CA SoS</w:t>
            </w:r>
          </w:p>
        </w:tc>
        <w:tc>
          <w:tcPr>
            <w:tcW w:type="dxa" w:w="2520"/>
          </w:tcPr>
          <w:p>
            <w:pPr>
              <w:spacing w:after="40" w:before="40"/>
            </w:pPr>
            <w:r/>
            <w:r>
              <w:rPr>
                <w:b w:val="0"/>
                <w:sz w:val="17"/>
              </w:rPr>
              <w:t>DE Certificate of Formation + CA Form LLC-5</w:t>
            </w:r>
          </w:p>
        </w:tc>
      </w:tr>
      <w:tr>
        <w:tc>
          <w:tcPr>
            <w:tcW w:type="dxa" w:w="1728"/>
          </w:tcPr>
          <w:p>
            <w:pPr>
              <w:spacing w:after="40" w:before="40"/>
            </w:pPr>
            <w:r/>
            <w:r>
              <w:rPr>
                <w:b/>
                <w:sz w:val="17"/>
              </w:rPr>
              <w:t>Formation fee</w:t>
            </w:r>
          </w:p>
        </w:tc>
        <w:tc>
          <w:tcPr>
            <w:tcW w:type="dxa" w:w="2736"/>
          </w:tcPr>
          <w:p>
            <w:pPr>
              <w:spacing w:after="40" w:before="40"/>
            </w:pPr>
            <w:r/>
            <w:r>
              <w:rPr>
                <w:b w:val="0"/>
                <w:sz w:val="17"/>
              </w:rPr>
              <w:t>~$100</w:t>
            </w:r>
          </w:p>
        </w:tc>
        <w:tc>
          <w:tcPr>
            <w:tcW w:type="dxa" w:w="2736"/>
          </w:tcPr>
          <w:p>
            <w:pPr>
              <w:spacing w:after="40" w:before="40"/>
            </w:pPr>
            <w:r/>
            <w:r>
              <w:rPr>
                <w:b w:val="0"/>
                <w:sz w:val="17"/>
              </w:rPr>
              <w:t>$70</w:t>
            </w:r>
          </w:p>
        </w:tc>
        <w:tc>
          <w:tcPr>
            <w:tcW w:type="dxa" w:w="2520"/>
          </w:tcPr>
          <w:p>
            <w:pPr>
              <w:spacing w:after="40" w:before="40"/>
            </w:pPr>
            <w:r/>
            <w:r>
              <w:rPr>
                <w:b w:val="0"/>
                <w:sz w:val="17"/>
              </w:rPr>
              <w:t>DE fees + $70 + certificate of good standing</w:t>
            </w:r>
          </w:p>
        </w:tc>
      </w:tr>
      <w:tr>
        <w:tc>
          <w:tcPr>
            <w:tcW w:type="dxa" w:w="1728"/>
          </w:tcPr>
          <w:p>
            <w:pPr>
              <w:spacing w:after="40" w:before="40"/>
            </w:pPr>
            <w:r/>
            <w:r>
              <w:rPr>
                <w:b/>
                <w:sz w:val="17"/>
              </w:rPr>
              <w:t>Year-1 CA franchise tax</w:t>
            </w:r>
          </w:p>
        </w:tc>
        <w:tc>
          <w:tcPr>
            <w:tcW w:type="dxa" w:w="2736"/>
          </w:tcPr>
          <w:p>
            <w:pPr>
              <w:spacing w:after="40" w:before="40"/>
            </w:pPr>
            <w:r/>
            <w:r>
              <w:rPr>
                <w:b w:val="0"/>
                <w:sz w:val="17"/>
              </w:rPr>
              <w:t>$0 — corporations are exempt in their first taxable year (R&amp;TC § 23153(f))</w:t>
            </w:r>
          </w:p>
        </w:tc>
        <w:tc>
          <w:tcPr>
            <w:tcW w:type="dxa" w:w="2736"/>
          </w:tcPr>
          <w:p>
            <w:pPr>
              <w:spacing w:after="40" w:before="40"/>
            </w:pPr>
            <w:r/>
            <w:r>
              <w:rPr>
                <w:b w:val="0"/>
                <w:sz w:val="17"/>
              </w:rPr>
              <w:t>$800 — the LLC waiver expired for LLCs formed after Dec 31, 2023</w:t>
            </w:r>
          </w:p>
        </w:tc>
        <w:tc>
          <w:tcPr>
            <w:tcW w:type="dxa" w:w="2520"/>
          </w:tcPr>
          <w:p>
            <w:pPr>
              <w:spacing w:after="40" w:before="40"/>
            </w:pPr>
            <w:r/>
            <w:r>
              <w:rPr>
                <w:b w:val="0"/>
                <w:sz w:val="17"/>
              </w:rPr>
              <w:t>$800 CA + ~$300 DE</w:t>
            </w:r>
          </w:p>
        </w:tc>
      </w:tr>
      <w:tr>
        <w:tc>
          <w:tcPr>
            <w:tcW w:type="dxa" w:w="1728"/>
          </w:tcPr>
          <w:p>
            <w:pPr>
              <w:spacing w:after="40" w:before="40"/>
            </w:pPr>
            <w:r/>
            <w:r>
              <w:rPr>
                <w:b/>
                <w:sz w:val="17"/>
              </w:rPr>
              <w:t>Year-2+ recurring</w:t>
            </w:r>
          </w:p>
        </w:tc>
        <w:tc>
          <w:tcPr>
            <w:tcW w:type="dxa" w:w="2736"/>
          </w:tcPr>
          <w:p>
            <w:pPr>
              <w:spacing w:after="40" w:before="40"/>
            </w:pPr>
            <w:r/>
            <w:r>
              <w:rPr>
                <w:b w:val="0"/>
                <w:sz w:val="17"/>
              </w:rPr>
              <w:t>$800 CA + $25 Statement of Information (annual)</w:t>
            </w:r>
          </w:p>
        </w:tc>
        <w:tc>
          <w:tcPr>
            <w:tcW w:type="dxa" w:w="2736"/>
          </w:tcPr>
          <w:p>
            <w:pPr>
              <w:spacing w:after="40" w:before="40"/>
            </w:pPr>
            <w:r/>
            <w:r>
              <w:rPr>
                <w:b w:val="0"/>
                <w:sz w:val="17"/>
              </w:rPr>
              <w:t>$800 CA + $20 Statement of Information (biennial)</w:t>
            </w:r>
          </w:p>
        </w:tc>
        <w:tc>
          <w:tcPr>
            <w:tcW w:type="dxa" w:w="2520"/>
          </w:tcPr>
          <w:p>
            <w:pPr>
              <w:spacing w:after="40" w:before="40"/>
            </w:pPr>
            <w:r/>
            <w:r>
              <w:rPr>
                <w:b w:val="0"/>
                <w:sz w:val="17"/>
              </w:rPr>
              <w:t>$800 CA + ~$300 DE + two registered agents</w:t>
            </w:r>
          </w:p>
        </w:tc>
      </w:tr>
      <w:tr>
        <w:tc>
          <w:tcPr>
            <w:tcW w:type="dxa" w:w="1728"/>
          </w:tcPr>
          <w:p>
            <w:pPr>
              <w:spacing w:after="40" w:before="40"/>
            </w:pPr>
            <w:r/>
            <w:r>
              <w:rPr>
                <w:b/>
                <w:sz w:val="17"/>
              </w:rPr>
              <w:t>Ongoing benefit duty</w:t>
            </w:r>
          </w:p>
        </w:tc>
        <w:tc>
          <w:tcPr>
            <w:tcW w:type="dxa" w:w="2736"/>
          </w:tcPr>
          <w:p>
            <w:pPr>
              <w:spacing w:after="40" w:before="40"/>
            </w:pPr>
            <w:r/>
            <w:r>
              <w:rPr>
                <w:b w:val="0"/>
                <w:sz w:val="17"/>
              </w:rPr>
              <w:t>Annual benefit report (§ 14630) — self-certification against a third-party standard is permitted; no audit</w:t>
            </w:r>
          </w:p>
        </w:tc>
        <w:tc>
          <w:tcPr>
            <w:tcW w:type="dxa" w:w="2736"/>
          </w:tcPr>
          <w:p>
            <w:pPr>
              <w:spacing w:after="40" w:before="40"/>
            </w:pPr>
            <w:r/>
            <w:r>
              <w:rPr>
                <w:b w:val="0"/>
                <w:sz w:val="17"/>
              </w:rPr>
              <w:t>B Impact Assessment ≥ 80, third-party verification, annual fee, recertification — heavier</w:t>
            </w:r>
          </w:p>
        </w:tc>
        <w:tc>
          <w:tcPr>
            <w:tcW w:type="dxa" w:w="2520"/>
          </w:tcPr>
          <w:p>
            <w:pPr>
              <w:spacing w:after="40" w:before="40"/>
            </w:pPr>
            <w:r/>
            <w:r>
              <w:rPr>
                <w:b w:val="0"/>
                <w:sz w:val="17"/>
              </w:rPr>
              <w:t>Delaware statement to members, plus CA foreign-LLC obligations</w:t>
            </w:r>
          </w:p>
        </w:tc>
      </w:tr>
      <w:tr>
        <w:tc>
          <w:tcPr>
            <w:tcW w:type="dxa" w:w="1728"/>
          </w:tcPr>
          <w:p>
            <w:pPr>
              <w:spacing w:after="40" w:before="40"/>
            </w:pPr>
            <w:r/>
            <w:r>
              <w:rPr>
                <w:b/>
                <w:sz w:val="17"/>
              </w:rPr>
              <w:t>Licensed staff on payroll</w:t>
            </w:r>
          </w:p>
        </w:tc>
        <w:tc>
          <w:tcPr>
            <w:tcW w:type="dxa" w:w="2736"/>
          </w:tcPr>
          <w:p>
            <w:pPr>
              <w:spacing w:after="40" w:before="40"/>
            </w:pPr>
            <w:r/>
            <w:r>
              <w:rPr>
                <w:b w:val="0"/>
                <w:sz w:val="17"/>
              </w:rPr>
              <w:t>Fine</w:t>
            </w:r>
          </w:p>
        </w:tc>
        <w:tc>
          <w:tcPr>
            <w:tcW w:type="dxa" w:w="2736"/>
          </w:tcPr>
          <w:p>
            <w:pPr>
              <w:spacing w:after="40" w:before="40"/>
            </w:pPr>
            <w:r/>
            <w:r>
              <w:rPr>
                <w:b w:val="0"/>
                <w:sz w:val="17"/>
              </w:rPr>
              <w:t>RISK — Corp. Code § 17701.04(e) bars a CA LLC from rendering professional services (LCSW, OT, SLP, MFT…)</w:t>
            </w:r>
          </w:p>
        </w:tc>
        <w:tc>
          <w:tcPr>
            <w:tcW w:type="dxa" w:w="2520"/>
          </w:tcPr>
          <w:p>
            <w:pPr>
              <w:spacing w:after="40" w:before="40"/>
            </w:pPr>
            <w:r/>
            <w:r>
              <w:rPr>
                <w:b w:val="0"/>
                <w:sz w:val="17"/>
              </w:rPr>
              <w:t>Same bar — it applies to foreign LLCs in California too</w:t>
            </w:r>
          </w:p>
        </w:tc>
      </w:tr>
      <w:tr>
        <w:tc>
          <w:tcPr>
            <w:tcW w:type="dxa" w:w="1728"/>
          </w:tcPr>
          <w:p>
            <w:pPr>
              <w:spacing w:after="40" w:before="40"/>
            </w:pPr>
            <w:r/>
            <w:r>
              <w:rPr>
                <w:b/>
                <w:sz w:val="17"/>
              </w:rPr>
              <w:t>SBIR / STTR eligible</w:t>
            </w:r>
          </w:p>
        </w:tc>
        <w:tc>
          <w:tcPr>
            <w:tcW w:type="dxa" w:w="2736"/>
          </w:tcPr>
          <w:p>
            <w:pPr>
              <w:spacing w:after="40" w:before="40"/>
            </w:pPr>
            <w:r/>
            <w:r>
              <w:rPr>
                <w:b w:val="0"/>
                <w:sz w:val="17"/>
              </w:rPr>
              <w:t>Yes</w:t>
            </w:r>
          </w:p>
        </w:tc>
        <w:tc>
          <w:tcPr>
            <w:tcW w:type="dxa" w:w="2736"/>
          </w:tcPr>
          <w:p>
            <w:pPr>
              <w:spacing w:after="40" w:before="40"/>
            </w:pPr>
            <w:r/>
            <w:r>
              <w:rPr>
                <w:b w:val="0"/>
                <w:sz w:val="17"/>
              </w:rPr>
              <w:t>Yes — LLC is an acceptable legal form</w:t>
            </w:r>
          </w:p>
        </w:tc>
        <w:tc>
          <w:tcPr>
            <w:tcW w:type="dxa" w:w="2520"/>
          </w:tcPr>
          <w:p>
            <w:pPr>
              <w:spacing w:after="40" w:before="40"/>
            </w:pPr>
            <w:r/>
            <w:r>
              <w:rPr>
                <w:b w:val="0"/>
                <w:sz w:val="17"/>
              </w:rPr>
              <w:t>Yes</w:t>
            </w:r>
          </w:p>
        </w:tc>
      </w:tr>
      <w:tr>
        <w:tc>
          <w:tcPr>
            <w:tcW w:type="dxa" w:w="1728"/>
          </w:tcPr>
          <w:p>
            <w:pPr>
              <w:spacing w:after="40" w:before="40"/>
            </w:pPr>
            <w:r/>
            <w:r>
              <w:rPr>
                <w:b/>
                <w:sz w:val="17"/>
              </w:rPr>
              <w:t>DDS / Regional Center vendor</w:t>
            </w:r>
          </w:p>
        </w:tc>
        <w:tc>
          <w:tcPr>
            <w:tcW w:type="dxa" w:w="2736"/>
          </w:tcPr>
          <w:p>
            <w:pPr>
              <w:spacing w:after="40" w:before="40"/>
            </w:pPr>
            <w:r/>
            <w:r>
              <w:rPr>
                <w:b w:val="0"/>
                <w:sz w:val="17"/>
              </w:rPr>
              <w:t>Yes</w:t>
            </w:r>
          </w:p>
        </w:tc>
        <w:tc>
          <w:tcPr>
            <w:tcW w:type="dxa" w:w="2736"/>
          </w:tcPr>
          <w:p>
            <w:pPr>
              <w:spacing w:after="40" w:before="40"/>
            </w:pPr>
            <w:r/>
            <w:r>
              <w:rPr>
                <w:b w:val="0"/>
                <w:sz w:val="17"/>
              </w:rPr>
              <w:t>Yes — DS 1891 lists Limited Liability Company</w:t>
            </w:r>
          </w:p>
        </w:tc>
        <w:tc>
          <w:tcPr>
            <w:tcW w:type="dxa" w:w="2520"/>
          </w:tcPr>
          <w:p>
            <w:pPr>
              <w:spacing w:after="40" w:before="40"/>
            </w:pPr>
            <w:r/>
            <w:r>
              <w:rPr>
                <w:b w:val="0"/>
                <w:sz w:val="17"/>
              </w:rPr>
              <w:t>Yes, as a registered foreign LLC</w:t>
            </w:r>
          </w:p>
        </w:tc>
      </w:tr>
      <w:tr>
        <w:tc>
          <w:tcPr>
            <w:tcW w:type="dxa" w:w="1728"/>
          </w:tcPr>
          <w:p>
            <w:pPr>
              <w:spacing w:after="40" w:before="40"/>
            </w:pPr>
            <w:r/>
            <w:r>
              <w:rPr>
                <w:b/>
                <w:sz w:val="17"/>
              </w:rPr>
              <w:t>Outside investment</w:t>
            </w:r>
          </w:p>
        </w:tc>
        <w:tc>
          <w:tcPr>
            <w:tcW w:type="dxa" w:w="2736"/>
          </w:tcPr>
          <w:p>
            <w:pPr>
              <w:spacing w:after="40" w:before="40"/>
            </w:pPr>
            <w:r/>
            <w:r>
              <w:rPr>
                <w:b w:val="0"/>
                <w:sz w:val="17"/>
              </w:rPr>
              <w:t>Standard — stock, option pool, SAFEs</w:t>
            </w:r>
          </w:p>
        </w:tc>
        <w:tc>
          <w:tcPr>
            <w:tcW w:type="dxa" w:w="2736"/>
          </w:tcPr>
          <w:p>
            <w:pPr>
              <w:spacing w:after="40" w:before="40"/>
            </w:pPr>
            <w:r/>
            <w:r>
              <w:rPr>
                <w:b w:val="0"/>
                <w:sz w:val="17"/>
              </w:rPr>
              <w:t>Awkward — no stock, K-1s to every member</w:t>
            </w:r>
          </w:p>
        </w:tc>
        <w:tc>
          <w:tcPr>
            <w:tcW w:type="dxa" w:w="2520"/>
          </w:tcPr>
          <w:p>
            <w:pPr>
              <w:spacing w:after="40" w:before="40"/>
            </w:pPr>
            <w:r/>
            <w:r>
              <w:rPr>
                <w:b w:val="0"/>
                <w:sz w:val="17"/>
              </w:rPr>
              <w:t>Awkward</w:t>
            </w:r>
          </w:p>
        </w:tc>
      </w:tr>
      <w:tr>
        <w:tc>
          <w:tcPr>
            <w:tcW w:type="dxa" w:w="1728"/>
          </w:tcPr>
          <w:p>
            <w:pPr>
              <w:spacing w:after="40" w:before="40"/>
            </w:pPr>
            <w:r/>
            <w:r>
              <w:rPr>
                <w:b/>
                <w:sz w:val="17"/>
              </w:rPr>
              <w:t>Tax default</w:t>
            </w:r>
          </w:p>
        </w:tc>
        <w:tc>
          <w:tcPr>
            <w:tcW w:type="dxa" w:w="2736"/>
          </w:tcPr>
          <w:p>
            <w:pPr>
              <w:spacing w:after="40" w:before="40"/>
            </w:pPr>
            <w:r/>
            <w:r>
              <w:rPr>
                <w:b w:val="0"/>
                <w:sz w:val="17"/>
              </w:rPr>
              <w:t>C corp (or S election)</w:t>
            </w:r>
          </w:p>
        </w:tc>
        <w:tc>
          <w:tcPr>
            <w:tcW w:type="dxa" w:w="2736"/>
          </w:tcPr>
          <w:p>
            <w:pPr>
              <w:spacing w:after="40" w:before="40"/>
            </w:pPr>
            <w:r/>
            <w:r>
              <w:rPr>
                <w:b w:val="0"/>
                <w:sz w:val="17"/>
              </w:rPr>
              <w:t>Pass-through</w:t>
            </w:r>
          </w:p>
        </w:tc>
        <w:tc>
          <w:tcPr>
            <w:tcW w:type="dxa" w:w="2520"/>
          </w:tcPr>
          <w:p>
            <w:pPr>
              <w:spacing w:after="40" w:before="40"/>
            </w:pPr>
            <w:r/>
            <w:r>
              <w:rPr>
                <w:b w:val="0"/>
                <w:sz w:val="17"/>
              </w:rPr>
              <w:t>Pass-through</w:t>
            </w:r>
          </w:p>
        </w:tc>
      </w:tr>
    </w:tbl>
    <w:p>
      <w:pPr>
        <w:spacing w:after="40"/>
      </w:pPr>
    </w:p>
    <w:p>
      <w:pPr>
        <w:pStyle w:val="Heading3"/>
      </w:pPr>
      <w:r>
        <w:t>Path C is a trap — rule it out now</w:t>
      </w:r>
    </w:p>
    <w:p>
      <w:pPr>
        <w:spacing w:after="140"/>
      </w:pPr>
      <w:r>
        <w:rPr>
          <w:b w:val="0"/>
          <w:i w:val="0"/>
          <w:sz w:val="21"/>
        </w:rPr>
        <w:t xml:space="preserve">A Delaware public benefit LLC that operates in California must register as a foreign LLC in California anyway, which means California's $800 franchise tax applies regardless — plus Delaware's ~$300, plus two registered agents, plus two sets of filings. And it still carries the § 17701.04(e) professional-services bar. You buy a Delaware label for roughly $1,170+ per year in pure overhead and gain nothing California recognizes. The only reason to incorporate in Delaware is an institutional priced round — and that argues for a Delaware </w:t>
      </w:r>
      <w:r>
        <w:rPr>
          <w:b w:val="0"/>
          <w:i/>
          <w:sz w:val="21"/>
        </w:rPr>
        <w:t>corporation</w:t>
      </w:r>
      <w:r>
        <w:rPr>
          <w:b w:val="0"/>
          <w:i w:val="0"/>
          <w:sz w:val="21"/>
        </w:rPr>
        <w:t>, not an LLC.</w:t>
      </w:r>
    </w:p>
    <w:p>
      <w:r>
        <w:br w:type="page"/>
      </w:r>
    </w:p>
    <w:p>
      <w:pPr>
        <w:pStyle w:val="Heading2"/>
      </w:pPr>
      <w:r>
        <w:t>10 · Recommendation — Path A, California Benefit Corporation</w:t>
      </w:r>
    </w:p>
    <w:p>
      <w:pPr>
        <w:spacing w:after="140"/>
      </w:pPr>
      <w:r>
        <w:rPr>
          <w:b w:val="0"/>
          <w:i w:val="0"/>
          <w:sz w:val="21"/>
        </w:rPr>
        <w:t>Five reasons, in order of weight.</w:t>
      </w:r>
    </w:p>
    <w:p>
      <w:pPr>
        <w:pStyle w:val="ListBullet"/>
        <w:spacing w:after="60"/>
      </w:pPr>
      <w:r>
        <w:rPr>
          <w:b/>
          <w:i w:val="0"/>
          <w:sz w:val="21"/>
        </w:rPr>
        <w:t xml:space="preserve">1. It is what you actually asked for. </w:t>
      </w:r>
      <w:r>
        <w:rPr>
          <w:b w:val="0"/>
          <w:i w:val="0"/>
          <w:sz w:val="21"/>
        </w:rPr>
        <w:t>The intent behind “LLC benefit corporation” is a mission-locked entity. Path A is the only one where that lock is statutory in your own state rather than contractual or certified by a private body.</w:t>
      </w:r>
    </w:p>
    <w:p>
      <w:pPr>
        <w:pStyle w:val="ListBullet"/>
        <w:spacing w:after="60"/>
      </w:pPr>
      <w:r>
        <w:rPr>
          <w:b/>
          <w:i w:val="0"/>
          <w:sz w:val="21"/>
        </w:rPr>
        <w:t xml:space="preserve">2. It is what the plan of record already assumed. </w:t>
      </w:r>
      <w:r>
        <w:rPr>
          <w:b w:val="0"/>
          <w:i w:val="0"/>
          <w:sz w:val="21"/>
        </w:rPr>
        <w:t>Both the pivot review §8.2 and the 099 vendorization checklist already say “CA corporation w/ benefit election.” Path A is not a new decision — it is the existing one, now verified.</w:t>
      </w:r>
    </w:p>
    <w:p>
      <w:pPr>
        <w:pStyle w:val="ListBullet"/>
        <w:spacing w:after="60"/>
      </w:pPr>
      <w:r>
        <w:rPr>
          <w:b/>
          <w:i w:val="0"/>
          <w:sz w:val="21"/>
        </w:rPr>
        <w:t xml:space="preserve">3. The professional-services bar is a live risk, not a theoretical one. </w:t>
      </w:r>
      <w:r>
        <w:rPr>
          <w:b w:val="0"/>
          <w:i w:val="0"/>
          <w:sz w:val="21"/>
        </w:rPr>
        <w:t>Corp. Code § 17701.04(e) prohibits a California LLC from rendering professional services. The roadmap has Waypoint hiring W-2 coaches (Phase 3, code 108) and contemplates outcome instruments and clinical-adjacent progress notes. The moment one hire needs an LCSW, OT, SLP or MFT license, an LLC is the wrong container — and you are re-forming mid-flight, during vendorization, which is the worst possible time.</w:t>
      </w:r>
    </w:p>
    <w:p>
      <w:pPr>
        <w:pStyle w:val="ListBullet"/>
        <w:spacing w:after="60"/>
      </w:pPr>
      <w:r>
        <w:rPr>
          <w:b/>
          <w:i w:val="0"/>
          <w:sz w:val="21"/>
        </w:rPr>
        <w:t xml:space="preserve">4. Year one is cheaper, which is the opposite of most people's assumption. </w:t>
      </w:r>
      <w:r>
        <w:rPr>
          <w:b w:val="0"/>
          <w:i w:val="0"/>
          <w:sz w:val="21"/>
        </w:rPr>
        <w:t>A California corporation is exempt from the $800 minimum franchise tax in its first taxable year (R&amp;TC § 23153(f)). A California LLC is not. Forming a corporation now costs ~$100 in year one; forming an LLC now costs $70 + $800.</w:t>
      </w:r>
    </w:p>
    <w:p>
      <w:pPr>
        <w:pStyle w:val="ListBullet"/>
        <w:spacing w:after="60"/>
      </w:pPr>
      <w:r>
        <w:rPr>
          <w:b/>
          <w:i w:val="0"/>
          <w:sz w:val="21"/>
        </w:rPr>
        <w:t xml:space="preserve">5. It keeps the platform option open. </w:t>
      </w:r>
      <w:r>
        <w:rPr>
          <w:b w:val="0"/>
          <w:i w:val="0"/>
          <w:sz w:val="21"/>
        </w:rPr>
        <w:t>The pivot review's central argument is that the multi-tenant staff platform is “the only branch of this decision tree with venture-class valuation attached.” If that branch is ever taken, a corporation is already the right shape. Converting an LLC later is a taxable, lawyer-billable event you would pay for exactly when cash is tightest.</w:t>
      </w:r>
    </w:p>
    <w:tbl>
      <w:tblPr>
        <w:tblW w:type="auto" w:w="0"/>
        <w:jc w:val="center"/>
        <w:tblLook w:firstColumn="1" w:firstRow="1" w:lastColumn="0" w:lastRow="0" w:noHBand="0" w:noVBand="1" w:val="04A0"/>
      </w:tblPr>
      <w:tblGrid>
        <w:gridCol w:w="9792"/>
      </w:tblGrid>
      <w:tr>
        <w:tc>
          <w:tcPr>
            <w:tcW w:type="dxa" w:w="9792"/>
            <w:shd w:val="clear" w:fill="EFF6FF"/>
          </w:tcPr>
          <w:p>
            <w:pPr>
              <w:spacing w:after="60"/>
            </w:pPr>
            <w:r/>
            <w:r>
              <w:rPr>
                <w:b/>
                <w:color w:val="2563EB"/>
                <w:sz w:val="21"/>
              </w:rPr>
              <w:t>The honest cost of Path A</w:t>
            </w:r>
          </w:p>
          <w:p>
            <w:pPr>
              <w:spacing w:after="40"/>
            </w:pPr>
            <w:r>
              <w:rPr>
                <w:sz w:val="20"/>
              </w:rPr>
              <w:t>It is more formal than an LLC: a board (even a board of one), bylaws, minutes, and an annual benefit report. And a C corp pays entity-level tax, so early losses sit at the entity as NOLs rather than flowing to your personal return — for a pre-revenue company with a founder who has W-2 day-job income, that is a real, quantifiable give-up. Ask your CPA to price it before you file. If the personal-tax benefit of pass-through losses is large enough, an S election on the corporation preserves most of it without giving up the corporate form. That is the question to put to them — not “LLC or corporation.”</w:t>
            </w:r>
          </w:p>
        </w:tc>
      </w:tr>
    </w:tbl>
    <w:p>
      <w:pPr>
        <w:spacing w:after="40"/>
      </w:pPr>
    </w:p>
    <w:p>
      <w:pPr>
        <w:spacing w:after="140"/>
      </w:pPr>
      <w:r>
        <w:rPr>
          <w:b/>
          <w:i w:val="0"/>
          <w:sz w:val="21"/>
        </w:rPr>
        <w:t>If you overrule this and want the LLC anyway</w:t>
      </w:r>
      <w:r>
        <w:rPr>
          <w:b w:val="0"/>
          <w:i w:val="0"/>
          <w:sz w:val="21"/>
        </w:rPr>
        <w:t xml:space="preserve"> — entirely reasonable if you want pass-through simplicity, never intend to raise, and are confident you will never employ licensed professionals — then Path B is the honest LLC version, and §12 gives its steps. Do not use Path C.</w:t>
      </w:r>
    </w:p>
    <w:p>
      <w:pPr>
        <w:pStyle w:val="Heading2"/>
      </w:pPr>
      <w:r>
        <w:t>11 · Path A — step by step</w:t>
      </w:r>
    </w:p>
    <w:p>
      <w:pPr>
        <w:pStyle w:val="Heading3"/>
      </w:pPr>
      <w:r>
        <w:t>Phase 0 · Decide, before filing anything (week of Sept 7)</w:t>
      </w:r>
    </w:p>
    <w:p>
      <w:pPr>
        <w:spacing w:after="80"/>
        <w:ind w:left="403"/>
      </w:pPr>
      <w:r>
        <w:rPr>
          <w:sz w:val="22"/>
        </w:rPr>
        <w:t xml:space="preserve">☐  </w:t>
      </w:r>
      <w:r>
        <w:rPr>
          <w:b/>
          <w:sz w:val="21"/>
        </w:rPr>
        <w:t>Confirm the path</w:t>
      </w:r>
      <w:r>
        <w:rPr>
          <w:sz w:val="21"/>
        </w:rPr>
        <w:t xml:space="preserve"> (§10). Blocks everything below.</w:t>
      </w:r>
    </w:p>
    <w:p>
      <w:pPr>
        <w:spacing w:after="80"/>
        <w:ind w:left="403"/>
      </w:pPr>
      <w:r>
        <w:rPr>
          <w:sz w:val="22"/>
        </w:rPr>
        <w:t xml:space="preserve">☐  </w:t>
      </w:r>
      <w:r>
        <w:rPr>
          <w:b/>
          <w:sz w:val="21"/>
        </w:rPr>
        <w:t>Engage a California business attorney</w:t>
      </w:r>
      <w:r>
        <w:rPr>
          <w:sz w:val="21"/>
        </w:rPr>
        <w:t xml:space="preserve"> — a few hours, not a retainer. Ask specifically about: (a) benefit-corporation Articles language; (b) whether code-108 staffing will ever require licensed professionals; (c) HIPAA posture — the pivot review flags likely covered-entity or business-associate status; (d) the conflict-of-interest structure between Waypoint as facilitator and Waypoint as provider, which the pivot review calls structural, not cosmetic.</w:t>
      </w:r>
    </w:p>
    <w:p>
      <w:pPr>
        <w:spacing w:after="80"/>
        <w:ind w:left="403"/>
      </w:pPr>
      <w:r>
        <w:rPr>
          <w:sz w:val="22"/>
        </w:rPr>
        <w:t xml:space="preserve">☐  </w:t>
      </w:r>
      <w:r>
        <w:rPr>
          <w:b/>
          <w:sz w:val="21"/>
        </w:rPr>
        <w:t>Engage a CPA</w:t>
      </w:r>
      <w:r>
        <w:rPr>
          <w:sz w:val="21"/>
        </w:rPr>
        <w:t xml:space="preserve"> — C corp vs S election, reasonable-compensation rules, and how the day job interacts. Get this before filing; the S election has a deadline tied to formation.</w:t>
      </w:r>
    </w:p>
    <w:p>
      <w:pPr>
        <w:spacing w:after="80"/>
        <w:ind w:left="403"/>
      </w:pPr>
      <w:r>
        <w:rPr>
          <w:sz w:val="22"/>
        </w:rPr>
        <w:t xml:space="preserve">☐  </w:t>
      </w:r>
      <w:r>
        <w:rPr>
          <w:b/>
          <w:sz w:val="21"/>
        </w:rPr>
        <w:t>Choose the name.</w:t>
      </w:r>
      <w:r>
        <w:rPr>
          <w:sz w:val="21"/>
        </w:rPr>
        <w:t xml:space="preserve"> Check availability with the CA Secretary of State business search, and check USPTO TESS for conflicts. Confirm alignment with waypointchild.com.</w:t>
      </w:r>
    </w:p>
    <w:p>
      <w:pPr>
        <w:spacing w:after="80"/>
        <w:ind w:left="403"/>
      </w:pPr>
      <w:r>
        <w:rPr>
          <w:sz w:val="22"/>
        </w:rPr>
        <w:t xml:space="preserve">☐  </w:t>
      </w:r>
      <w:r>
        <w:rPr>
          <w:b/>
          <w:sz w:val="21"/>
        </w:rPr>
        <w:t>Write the specific public benefit purpose.</w:t>
      </w:r>
      <w:r>
        <w:rPr>
          <w:sz w:val="21"/>
        </w:rPr>
        <w:t xml:space="preserve"> § 14610 requires a general public benefit; you may also state a specific one, and the annual benefit report must then address it. Draft it narrow enough to mean something and broad enough to survive the pivot — e.g. “to improve access to publicly funded disability services for families of children with developmental disabilities, with particular attention to families underserved by reason of language, income, or geography.” This language is later quoted verbatim in grant narratives, the DDS SAE application, and the RCEB program design. Write it once, well.</w:t>
      </w:r>
    </w:p>
    <w:p>
      <w:pPr>
        <w:pStyle w:val="Heading3"/>
      </w:pPr>
      <w:r>
        <w:t>Phase 1 · Form the entity (complete by ~Oct 15, 2026)</w:t>
      </w:r>
    </w:p>
    <w:p>
      <w:pPr>
        <w:spacing w:after="140"/>
      </w:pPr>
      <w:r>
        <w:rPr>
          <w:b/>
          <w:i/>
          <w:sz w:val="21"/>
        </w:rPr>
        <w:t xml:space="preserve">Why that date: </w:t>
      </w:r>
      <w:r>
        <w:rPr>
          <w:b w:val="0"/>
          <w:i/>
          <w:sz w:val="21"/>
        </w:rPr>
        <w:t>the federal registration chain runs 4–6+ weeks and cannot start without an EIN. January 5, 2027 works backward to mid-October.</w:t>
      </w:r>
    </w:p>
    <w:p>
      <w:pPr>
        <w:spacing w:after="80"/>
        <w:ind w:left="403"/>
      </w:pPr>
      <w:r>
        <w:rPr>
          <w:sz w:val="22"/>
        </w:rPr>
        <w:t xml:space="preserve">☐  </w:t>
      </w:r>
      <w:r>
        <w:rPr>
          <w:b/>
          <w:sz w:val="21"/>
        </w:rPr>
        <w:t>1.1  File Articles of Incorporation with the benefit provision</w:t>
      </w:r>
      <w:r>
        <w:rPr>
          <w:sz w:val="21"/>
        </w:rPr>
        <w:t xml:space="preserve"> — California Secretary of State, ~$100. Must state the corporation is a benefit corporation and include the public benefit purpose from Phase 0. Do not use a generic online formation service's default template for this step: the benefit language is the whole point, and it belongs in the Articles, not a side agreement.</w:t>
      </w:r>
    </w:p>
    <w:p>
      <w:pPr>
        <w:spacing w:after="80"/>
        <w:ind w:left="403"/>
      </w:pPr>
      <w:r>
        <w:rPr>
          <w:sz w:val="22"/>
        </w:rPr>
        <w:t xml:space="preserve">☐  </w:t>
      </w:r>
      <w:r>
        <w:rPr>
          <w:b/>
          <w:sz w:val="21"/>
        </w:rPr>
        <w:t>1.2  Appoint a registered agent</w:t>
      </w:r>
      <w:r>
        <w:rPr>
          <w:sz w:val="21"/>
        </w:rPr>
        <w:t xml:space="preserve"> for service of process in California. You may serve, at your own address — which then becomes public record. A commercial agent is ~$50–150/yr and keeps your home address off the public file.</w:t>
      </w:r>
    </w:p>
    <w:p>
      <w:pPr>
        <w:spacing w:after="80"/>
        <w:ind w:left="403"/>
      </w:pPr>
      <w:r>
        <w:rPr>
          <w:sz w:val="22"/>
        </w:rPr>
        <w:t xml:space="preserve">☐  </w:t>
      </w:r>
      <w:r>
        <w:rPr>
          <w:b/>
          <w:sz w:val="21"/>
        </w:rPr>
        <w:t>1.3  Adopt bylaws,</w:t>
      </w:r>
      <w:r>
        <w:rPr>
          <w:sz w:val="21"/>
        </w:rPr>
        <w:t xml:space="preserve"> appoint the initial board, issue founder stock, hold the organizational meeting, and open the minute book. Include the § 14620 stakeholder-consideration duty so the board's standard of care is documented from day one.</w:t>
      </w:r>
    </w:p>
    <w:p>
      <w:pPr>
        <w:spacing w:after="80"/>
        <w:ind w:left="403"/>
      </w:pPr>
      <w:r>
        <w:rPr>
          <w:sz w:val="22"/>
        </w:rPr>
        <w:t xml:space="preserve">☐  </w:t>
      </w:r>
      <w:r>
        <w:rPr>
          <w:b/>
          <w:sz w:val="21"/>
        </w:rPr>
        <w:t>1.4  File the Statement of Information</w:t>
      </w:r>
      <w:r>
        <w:rPr>
          <w:sz w:val="21"/>
        </w:rPr>
        <w:t xml:space="preserve"> — within 90 days of incorporation, then annually. $25.</w:t>
      </w:r>
    </w:p>
    <w:p>
      <w:pPr>
        <w:spacing w:after="80"/>
        <w:ind w:left="403"/>
      </w:pPr>
      <w:r>
        <w:rPr>
          <w:sz w:val="22"/>
        </w:rPr>
        <w:t xml:space="preserve">☐  </w:t>
      </w:r>
      <w:r>
        <w:rPr>
          <w:b/>
          <w:sz w:val="21"/>
        </w:rPr>
        <w:t>1.5  Obtain the EIN</w:t>
      </w:r>
      <w:r>
        <w:rPr>
          <w:sz w:val="21"/>
        </w:rPr>
        <w:t xml:space="preserve"> from the IRS — free, online, same day. Do not pay a third party. This is the gate for everything in Phase 2.</w:t>
      </w:r>
    </w:p>
    <w:p>
      <w:pPr>
        <w:spacing w:after="80"/>
        <w:ind w:left="403"/>
      </w:pPr>
      <w:r>
        <w:rPr>
          <w:sz w:val="22"/>
        </w:rPr>
        <w:t xml:space="preserve">☐  </w:t>
      </w:r>
      <w:r>
        <w:rPr>
          <w:b/>
          <w:sz w:val="21"/>
        </w:rPr>
        <w:t>1.6  Make the S-election decision</w:t>
      </w:r>
      <w:r>
        <w:rPr>
          <w:sz w:val="21"/>
        </w:rPr>
        <w:t xml:space="preserve"> with your CPA (Form 2553) if that is the outcome of Phase 0 — it is deadline-bound relative to formation.</w:t>
      </w:r>
    </w:p>
    <w:p>
      <w:pPr>
        <w:spacing w:after="80"/>
        <w:ind w:left="403"/>
      </w:pPr>
      <w:r>
        <w:rPr>
          <w:sz w:val="22"/>
        </w:rPr>
        <w:t xml:space="preserve">☐  </w:t>
      </w:r>
      <w:r>
        <w:rPr>
          <w:b/>
          <w:sz w:val="21"/>
        </w:rPr>
        <w:t>1.7  Open a business bank account</w:t>
      </w:r>
      <w:r>
        <w:rPr>
          <w:sz w:val="21"/>
        </w:rPr>
        <w:t xml:space="preserve"> (EIN + Articles + bylaws). Never commingle. For a single-founder entity this is the #1 way the liability shield gets pierced, and the first thing a grant auditor looks at.</w:t>
      </w:r>
    </w:p>
    <w:p>
      <w:pPr>
        <w:spacing w:after="80"/>
        <w:ind w:left="403"/>
      </w:pPr>
      <w:r>
        <w:rPr>
          <w:sz w:val="22"/>
        </w:rPr>
        <w:t xml:space="preserve">☐  </w:t>
      </w:r>
      <w:r>
        <w:rPr>
          <w:b/>
          <w:sz w:val="21"/>
        </w:rPr>
        <w:t>1.8  City business license / tax certificate</w:t>
      </w:r>
      <w:r>
        <w:rPr>
          <w:sz w:val="21"/>
        </w:rPr>
        <w:t xml:space="preserve"> for your operating city, plus a fictitious business name (DBA) filing if you will trade under anything other than the exact legal name.</w:t>
      </w:r>
    </w:p>
    <w:p>
      <w:pPr>
        <w:pStyle w:val="Heading3"/>
      </w:pPr>
      <w:r>
        <w:t>Phase 2 · Federal &amp; grant registrations (Oct 15 – Nov 30, 2026)</w:t>
      </w:r>
    </w:p>
    <w:p>
      <w:pPr>
        <w:spacing w:after="140"/>
      </w:pPr>
      <w:r>
        <w:rPr>
          <w:b w:val="0"/>
          <w:i/>
          <w:sz w:val="21"/>
        </w:rPr>
        <w:t>Strictly ordered — each depends on the one before.</w:t>
      </w:r>
    </w:p>
    <w:p>
      <w:pPr>
        <w:spacing w:after="80"/>
        <w:ind w:left="403"/>
      </w:pPr>
      <w:r>
        <w:rPr>
          <w:sz w:val="22"/>
        </w:rPr>
        <w:t xml:space="preserve">☐  </w:t>
      </w:r>
      <w:r>
        <w:rPr>
          <w:b/>
          <w:sz w:val="21"/>
        </w:rPr>
        <w:t>2.1  SAM.gov</w:t>
      </w:r>
      <w:r>
        <w:rPr>
          <w:sz w:val="21"/>
        </w:rPr>
        <w:t xml:space="preserve"> → issues the UEI. Start first. 3 weeks typical, 6+ worst case.</w:t>
      </w:r>
    </w:p>
    <w:p>
      <w:pPr>
        <w:spacing w:after="80"/>
        <w:ind w:left="403"/>
      </w:pPr>
      <w:r>
        <w:rPr>
          <w:sz w:val="22"/>
        </w:rPr>
        <w:t xml:space="preserve">☐  </w:t>
      </w:r>
      <w:r>
        <w:rPr>
          <w:b/>
          <w:sz w:val="21"/>
        </w:rPr>
        <w:t>2.2  eRA Commons</w:t>
      </w:r>
      <w:r>
        <w:rPr>
          <w:sz w:val="21"/>
        </w:rPr>
        <w:t xml:space="preserve"> (NIH) — 2+ weeks. Register the organization, then the PI account.</w:t>
      </w:r>
    </w:p>
    <w:p>
      <w:pPr>
        <w:spacing w:after="80"/>
        <w:ind w:left="403"/>
      </w:pPr>
      <w:r>
        <w:rPr>
          <w:sz w:val="22"/>
        </w:rPr>
        <w:t xml:space="preserve">☐  </w:t>
      </w:r>
      <w:r>
        <w:rPr>
          <w:b/>
          <w:sz w:val="21"/>
        </w:rPr>
        <w:t>2.3  SBA Company Registry</w:t>
      </w:r>
      <w:r>
        <w:rPr>
          <w:sz w:val="21"/>
        </w:rPr>
        <w:t xml:space="preserve"> — 1–2 business days; issues the SBC Control ID the NIH application requires.</w:t>
      </w:r>
    </w:p>
    <w:p>
      <w:pPr>
        <w:spacing w:after="80"/>
        <w:ind w:left="403"/>
      </w:pPr>
      <w:r>
        <w:rPr>
          <w:sz w:val="22"/>
        </w:rPr>
        <w:t xml:space="preserve">☐  </w:t>
      </w:r>
      <w:r>
        <w:rPr>
          <w:b/>
          <w:sz w:val="21"/>
        </w:rPr>
        <w:t>2.4  Grants.gov</w:t>
      </w:r>
      <w:r>
        <w:rPr>
          <w:sz w:val="21"/>
        </w:rPr>
        <w:t xml:space="preserve"> — after SAM.gov is active.</w:t>
      </w:r>
    </w:p>
    <w:p>
      <w:pPr>
        <w:spacing w:after="80"/>
        <w:ind w:left="403"/>
      </w:pPr>
      <w:r>
        <w:rPr>
          <w:sz w:val="22"/>
        </w:rPr>
        <w:t xml:space="preserve">☐  </w:t>
      </w:r>
      <w:r>
        <w:rPr>
          <w:b/>
          <w:sz w:val="21"/>
        </w:rPr>
        <w:t>2.5  Set grants.gov saved-search alerts</w:t>
      </w:r>
      <w:r>
        <w:rPr>
          <w:sz w:val="21"/>
        </w:rPr>
        <w:t xml:space="preserve"> for “NIDILRR” and “93.433”.</w:t>
      </w:r>
    </w:p>
    <w:p>
      <w:pPr>
        <w:pStyle w:val="Heading3"/>
      </w:pPr>
      <w:r>
        <w:t>Phase 3 · Operating readiness (parallel with Phase 2)</w:t>
      </w:r>
    </w:p>
    <w:p>
      <w:pPr>
        <w:spacing w:after="80"/>
        <w:ind w:left="403"/>
      </w:pPr>
      <w:r>
        <w:rPr>
          <w:sz w:val="22"/>
        </w:rPr>
        <w:t xml:space="preserve">☐  </w:t>
      </w:r>
      <w:r>
        <w:rPr>
          <w:b/>
          <w:sz w:val="21"/>
        </w:rPr>
        <w:t>3.1  Liability insurance</w:t>
      </w:r>
      <w:r>
        <w:rPr>
          <w:sz w:val="21"/>
        </w:rPr>
        <w:t xml:space="preserve"> — general + professional/E&amp;O. Required for RCEB vendorization; confirm RCEB's limits at the intake call.</w:t>
      </w:r>
    </w:p>
    <w:p>
      <w:pPr>
        <w:spacing w:after="80"/>
        <w:ind w:left="403"/>
      </w:pPr>
      <w:r>
        <w:rPr>
          <w:sz w:val="22"/>
        </w:rPr>
        <w:t xml:space="preserve">☐  </w:t>
      </w:r>
      <w:r>
        <w:rPr>
          <w:b/>
          <w:sz w:val="21"/>
        </w:rPr>
        <w:t>3.2  Workers' compensation</w:t>
      </w:r>
      <w:r>
        <w:rPr>
          <w:sz w:val="21"/>
        </w:rPr>
        <w:t xml:space="preserve"> — legally required in California from the first W-2 employee. Post-AB5 the coaches are W-2, not 1099.</w:t>
      </w:r>
    </w:p>
    <w:p>
      <w:pPr>
        <w:spacing w:after="80"/>
        <w:ind w:left="403"/>
      </w:pPr>
      <w:r>
        <w:rPr>
          <w:sz w:val="22"/>
        </w:rPr>
        <w:t xml:space="preserve">☐  </w:t>
      </w:r>
      <w:r>
        <w:rPr>
          <w:b/>
          <w:sz w:val="21"/>
        </w:rPr>
        <w:t>3.3  BAAs</w:t>
      </w:r>
      <w:r>
        <w:rPr>
          <w:sz w:val="21"/>
        </w:rPr>
        <w:t xml:space="preserve"> — Supabase (paid tiers) and Anthropic, per the HIPAA posture item.</w:t>
      </w:r>
    </w:p>
    <w:p>
      <w:pPr>
        <w:spacing w:after="80"/>
        <w:ind w:left="403"/>
      </w:pPr>
      <w:r>
        <w:rPr>
          <w:sz w:val="22"/>
        </w:rPr>
        <w:t xml:space="preserve">☐  </w:t>
      </w:r>
      <w:r>
        <w:rPr>
          <w:b/>
          <w:sz w:val="21"/>
        </w:rPr>
        <w:t>3.4  Feed the entity into the 099 packet</w:t>
      </w:r>
      <w:r>
        <w:rPr>
          <w:sz w:val="21"/>
        </w:rPr>
        <w:t xml:space="preserve"> — the vendorization checklist's line 1 (“Legal entity formed + EIN”) closes here, unblocking DS 1890 / DS 1891 / W-9.</w:t>
      </w:r>
    </w:p>
    <w:p>
      <w:pPr>
        <w:spacing w:after="80"/>
        <w:ind w:left="403"/>
      </w:pPr>
      <w:r>
        <w:rPr>
          <w:sz w:val="22"/>
        </w:rPr>
        <w:t xml:space="preserve">☐  </w:t>
      </w:r>
      <w:r>
        <w:rPr>
          <w:b/>
          <w:sz w:val="21"/>
        </w:rPr>
        <w:t>3.5  Publish the benefit commitment</w:t>
      </w:r>
      <w:r>
        <w:rPr>
          <w:sz w:val="21"/>
        </w:rPr>
        <w:t xml:space="preserve"> on waypointchild.com — § 14630 requires the annual benefit report to be posted publicly, and it is a credibility asset in the DDS SAE narrative and with RC service coordinators.</w:t>
      </w:r>
    </w:p>
    <w:p>
      <w:pPr>
        <w:pStyle w:val="Heading3"/>
      </w:pPr>
      <w:r>
        <w:t>Phase 4 · Ongoing compliance — calendar these now</w:t>
      </w:r>
    </w:p>
    <w:tbl>
      <w:tblPr>
        <w:tblStyle w:val="TableGrid"/>
        <w:tblW w:type="auto" w:w="0"/>
        <w:jc w:val="center"/>
        <w:tblLayout w:type="fixed"/>
        <w:tblLook w:firstColumn="1" w:firstRow="1" w:lastColumn="0" w:lastRow="0" w:noHBand="0" w:noVBand="1" w:val="04A0"/>
        <w:tblLayout w:type="fixed"/>
      </w:tblPr>
      <w:tblGrid>
        <w:gridCol w:w="4896"/>
        <w:gridCol w:w="4896"/>
      </w:tblGrid>
      <w:tr>
        <w:tc>
          <w:tcPr>
            <w:tcW w:type="dxa" w:w="2592"/>
            <w:shd w:val="clear" w:fill="1B2A4A"/>
          </w:tcPr>
          <w:p>
            <w:pPr>
              <w:spacing w:after="40" w:before="40"/>
            </w:pPr>
            <w:r/>
            <w:r>
              <w:rPr>
                <w:b/>
                <w:color w:val="FFFFFF"/>
                <w:sz w:val="17"/>
              </w:rPr>
              <w:t>Cadence</w:t>
            </w:r>
          </w:p>
        </w:tc>
        <w:tc>
          <w:tcPr>
            <w:tcW w:type="dxa" w:w="7128"/>
            <w:shd w:val="clear" w:fill="1B2A4A"/>
          </w:tcPr>
          <w:p>
            <w:pPr>
              <w:spacing w:after="40" w:before="40"/>
            </w:pPr>
            <w:r/>
            <w:r>
              <w:rPr>
                <w:b/>
                <w:color w:val="FFFFFF"/>
                <w:sz w:val="17"/>
              </w:rPr>
              <w:t>Obligation</w:t>
            </w:r>
          </w:p>
        </w:tc>
      </w:tr>
      <w:tr>
        <w:tc>
          <w:tcPr>
            <w:tcW w:type="dxa" w:w="2592"/>
          </w:tcPr>
          <w:p>
            <w:pPr>
              <w:spacing w:after="40" w:before="40"/>
            </w:pPr>
            <w:r/>
            <w:r>
              <w:rPr>
                <w:b/>
                <w:sz w:val="17"/>
              </w:rPr>
              <w:t>Annually, within 120 days of FY end</w:t>
            </w:r>
          </w:p>
        </w:tc>
        <w:tc>
          <w:tcPr>
            <w:tcW w:type="dxa" w:w="7128"/>
          </w:tcPr>
          <w:p>
            <w:pPr>
              <w:spacing w:after="40" w:before="40"/>
            </w:pPr>
            <w:r/>
            <w:r>
              <w:rPr>
                <w:b w:val="0"/>
                <w:sz w:val="17"/>
              </w:rPr>
              <w:t>Annual benefit report (§ 14630) — narrative on general and specific public benefit against a third-party standard; delivered to shareholders and posted on the website. Self-certification against the standard is permitted; no audit required.</w:t>
            </w:r>
          </w:p>
        </w:tc>
      </w:tr>
      <w:tr>
        <w:tc>
          <w:tcPr>
            <w:tcW w:type="dxa" w:w="2592"/>
          </w:tcPr>
          <w:p>
            <w:pPr>
              <w:spacing w:after="40" w:before="40"/>
            </w:pPr>
            <w:r/>
            <w:r>
              <w:rPr>
                <w:b/>
                <w:sz w:val="17"/>
              </w:rPr>
              <w:t>Annually</w:t>
            </w:r>
          </w:p>
        </w:tc>
        <w:tc>
          <w:tcPr>
            <w:tcW w:type="dxa" w:w="7128"/>
          </w:tcPr>
          <w:p>
            <w:pPr>
              <w:spacing w:after="40" w:before="40"/>
            </w:pPr>
            <w:r/>
            <w:r>
              <w:rPr>
                <w:b w:val="0"/>
                <w:sz w:val="17"/>
              </w:rPr>
              <w:t>Statement of Information ($25); CA franchise tax ($800 minimum from year 2 — year 1 is exempt); federal and state returns.</w:t>
            </w:r>
          </w:p>
        </w:tc>
      </w:tr>
      <w:tr>
        <w:tc>
          <w:tcPr>
            <w:tcW w:type="dxa" w:w="2592"/>
          </w:tcPr>
          <w:p>
            <w:pPr>
              <w:spacing w:after="40" w:before="40"/>
            </w:pPr>
            <w:r/>
            <w:r>
              <w:rPr>
                <w:b/>
                <w:sz w:val="17"/>
              </w:rPr>
              <w:t>Annually</w:t>
            </w:r>
          </w:p>
        </w:tc>
        <w:tc>
          <w:tcPr>
            <w:tcW w:type="dxa" w:w="7128"/>
          </w:tcPr>
          <w:p>
            <w:pPr>
              <w:spacing w:after="40" w:before="40"/>
            </w:pPr>
            <w:r/>
            <w:r>
              <w:rPr>
                <w:b w:val="0"/>
                <w:sz w:val="17"/>
              </w:rPr>
              <w:t>Insurance renewal; RCEB vendor-file updates.</w:t>
            </w:r>
          </w:p>
        </w:tc>
      </w:tr>
      <w:tr>
        <w:tc>
          <w:tcPr>
            <w:tcW w:type="dxa" w:w="2592"/>
          </w:tcPr>
          <w:p>
            <w:pPr>
              <w:spacing w:after="40" w:before="40"/>
            </w:pPr>
            <w:r/>
            <w:r>
              <w:rPr>
                <w:b/>
                <w:sz w:val="17"/>
              </w:rPr>
              <w:t>Ongoing</w:t>
            </w:r>
          </w:p>
        </w:tc>
        <w:tc>
          <w:tcPr>
            <w:tcW w:type="dxa" w:w="7128"/>
          </w:tcPr>
          <w:p>
            <w:pPr>
              <w:spacing w:after="40" w:before="40"/>
            </w:pPr>
            <w:r/>
            <w:r>
              <w:rPr>
                <w:b w:val="0"/>
                <w:sz w:val="17"/>
              </w:rPr>
              <w:t>Board minutes; keep personal and corporate funds strictly separate.</w:t>
            </w:r>
          </w:p>
        </w:tc>
      </w:tr>
    </w:tbl>
    <w:p>
      <w:pPr>
        <w:spacing w:after="40"/>
      </w:pPr>
    </w:p>
    <w:p>
      <w:pPr>
        <w:pStyle w:val="Heading3"/>
      </w:pPr>
      <w:r>
        <w:t>Optional · B Corp certification — defer to FY28</w:t>
      </w:r>
    </w:p>
    <w:p>
      <w:pPr>
        <w:spacing w:after="140"/>
      </w:pPr>
      <w:r>
        <w:rPr>
          <w:b w:val="0"/>
          <w:i w:val="0"/>
          <w:sz w:val="21"/>
        </w:rPr>
        <w:t xml:space="preserve">B Lab certification is a </w:t>
      </w:r>
      <w:r>
        <w:rPr>
          <w:b/>
          <w:i w:val="0"/>
          <w:sz w:val="21"/>
        </w:rPr>
        <w:t>separate, private certification</w:t>
      </w:r>
      <w:r>
        <w:rPr>
          <w:b w:val="0"/>
          <w:i w:val="0"/>
          <w:sz w:val="21"/>
        </w:rPr>
        <w:t xml:space="preserve"> — not the same thing as being a benefit corporation, though the two are routinely confused. It requires a B Impact Assessment score of ≥ 80, third-party verification, an annual fee, and recertification. A California benefit corporation already satisfies B Lab's legal requirement by virtue of its Articles. Recommendation: skip for now. It is a marketing asset, not a funding unlock — no grant in Part I requires or rewards it.</w:t>
      </w:r>
    </w:p>
    <w:p>
      <w:r>
        <w:br w:type="page"/>
      </w:r>
    </w:p>
    <w:p>
      <w:pPr>
        <w:pStyle w:val="Heading2"/>
      </w:pPr>
      <w:r>
        <w:t>12 · Path B — California LLC + B Corp certification (only if you overrule §10)</w:t>
      </w:r>
    </w:p>
    <w:p>
      <w:pPr>
        <w:spacing w:after="140"/>
      </w:pPr>
      <w:r>
        <w:rPr>
          <w:b w:val="0"/>
          <w:i w:val="0"/>
          <w:sz w:val="21"/>
        </w:rPr>
        <w:t>The honest LLC version. Phase 0, Phase 2 and Phase 3 are identical to Path A. Phase 1 differs.</w:t>
      </w:r>
    </w:p>
    <w:p>
      <w:pPr>
        <w:spacing w:after="80"/>
        <w:ind w:left="403"/>
      </w:pPr>
      <w:r>
        <w:rPr>
          <w:sz w:val="22"/>
        </w:rPr>
        <w:t xml:space="preserve">☐  </w:t>
      </w:r>
      <w:r>
        <w:rPr>
          <w:b/>
          <w:sz w:val="21"/>
        </w:rPr>
        <w:t>1.1  File Form LLC-1</w:t>
      </w:r>
      <w:r>
        <w:rPr>
          <w:sz w:val="21"/>
        </w:rPr>
        <w:t xml:space="preserve"> (Articles of Organization) — CA Secretary of State, $70.</w:t>
      </w:r>
    </w:p>
    <w:p>
      <w:pPr>
        <w:spacing w:after="80"/>
        <w:ind w:left="403"/>
      </w:pPr>
      <w:r>
        <w:rPr>
          <w:sz w:val="22"/>
        </w:rPr>
        <w:t xml:space="preserve">☐  </w:t>
      </w:r>
      <w:r>
        <w:rPr>
          <w:b/>
          <w:sz w:val="21"/>
        </w:rPr>
        <w:t>1.2  Appoint a registered agent</w:t>
      </w:r>
      <w:r>
        <w:rPr>
          <w:sz w:val="21"/>
        </w:rPr>
        <w:t xml:space="preserve"> for service of process.</w:t>
      </w:r>
    </w:p>
    <w:p>
      <w:pPr>
        <w:spacing w:after="80"/>
        <w:ind w:left="403"/>
      </w:pPr>
      <w:r>
        <w:rPr>
          <w:sz w:val="22"/>
        </w:rPr>
        <w:t xml:space="preserve">☐  </w:t>
      </w:r>
      <w:r>
        <w:rPr>
          <w:b/>
          <w:sz w:val="21"/>
        </w:rPr>
        <w:t>1.3  Draft the operating agreement — this is where the benefit lock lives.</w:t>
      </w:r>
      <w:r>
        <w:rPr>
          <w:sz w:val="21"/>
        </w:rPr>
        <w:t xml:space="preserve"> California does not give you § 14600, so the mission commitment has to be written into the operating agreement as a contractual purpose and a manager duty to weigh stakeholder interests. Do not self-draft this. It is the entire difference between Path B and a plain LLC — and B Lab will later require language of this kind anyway (LLCs must amend their operating agreement within 90 days of certification to add a social-purpose clause and stakeholder-balancing provisions).</w:t>
      </w:r>
    </w:p>
    <w:p>
      <w:pPr>
        <w:spacing w:after="80"/>
        <w:ind w:left="403"/>
      </w:pPr>
      <w:r>
        <w:rPr>
          <w:sz w:val="22"/>
        </w:rPr>
        <w:t xml:space="preserve">☐  </w:t>
      </w:r>
      <w:r>
        <w:rPr>
          <w:b/>
          <w:sz w:val="21"/>
        </w:rPr>
        <w:t>1.4  File Form LLC-12</w:t>
      </w:r>
      <w:r>
        <w:rPr>
          <w:sz w:val="21"/>
        </w:rPr>
        <w:t xml:space="preserve"> (Statement of Information) within 90 days, then biennially. $20.</w:t>
      </w:r>
    </w:p>
    <w:p>
      <w:pPr>
        <w:spacing w:after="80"/>
        <w:ind w:left="403"/>
      </w:pPr>
      <w:r>
        <w:rPr>
          <w:sz w:val="22"/>
        </w:rPr>
        <w:t xml:space="preserve">☐  </w:t>
      </w:r>
      <w:r>
        <w:rPr>
          <w:b/>
          <w:sz w:val="21"/>
        </w:rPr>
        <w:t>1.5  EIN</w:t>
      </w:r>
      <w:r>
        <w:rPr>
          <w:sz w:val="21"/>
        </w:rPr>
        <w:t xml:space="preserve"> — free, same day.</w:t>
      </w:r>
    </w:p>
    <w:p>
      <w:pPr>
        <w:spacing w:after="80"/>
        <w:ind w:left="403"/>
      </w:pPr>
      <w:r>
        <w:rPr>
          <w:sz w:val="22"/>
        </w:rPr>
        <w:t xml:space="preserve">☐  </w:t>
      </w:r>
      <w:r>
        <w:rPr>
          <w:b/>
          <w:sz w:val="21"/>
        </w:rPr>
        <w:t>1.6  Budget the $800 CA franchise tax</w:t>
      </w:r>
      <w:r>
        <w:rPr>
          <w:sz w:val="21"/>
        </w:rPr>
        <w:t xml:space="preserve"> — due by the 15th day of the 4th month after formation. No first-year waiver for LLCs formed after Dec 31, 2023.</w:t>
      </w:r>
    </w:p>
    <w:p>
      <w:pPr>
        <w:spacing w:after="80"/>
        <w:ind w:left="403"/>
      </w:pPr>
      <w:r>
        <w:rPr>
          <w:sz w:val="22"/>
        </w:rPr>
        <w:t xml:space="preserve">☐  </w:t>
      </w:r>
      <w:r>
        <w:rPr>
          <w:b/>
          <w:sz w:val="21"/>
        </w:rPr>
        <w:t>1.7  Business bank account;</w:t>
      </w:r>
      <w:r>
        <w:rPr>
          <w:sz w:val="21"/>
        </w:rPr>
        <w:t xml:space="preserve"> never commingle.</w:t>
      </w:r>
    </w:p>
    <w:p>
      <w:pPr>
        <w:spacing w:after="80"/>
        <w:ind w:left="403"/>
      </w:pPr>
      <w:r>
        <w:rPr>
          <w:sz w:val="22"/>
        </w:rPr>
        <w:t xml:space="preserve">☐  </w:t>
      </w:r>
      <w:r>
        <w:rPr>
          <w:b/>
          <w:sz w:val="21"/>
        </w:rPr>
        <w:t>1.8  City business license / DBA.</w:t>
      </w:r>
    </w:p>
    <w:p>
      <w:pPr>
        <w:spacing w:after="80"/>
        <w:ind w:left="403"/>
      </w:pPr>
      <w:r>
        <w:rPr>
          <w:sz w:val="22"/>
        </w:rPr>
        <w:t xml:space="preserve">☐  </w:t>
      </w:r>
      <w:r>
        <w:rPr>
          <w:b/>
          <w:sz w:val="21"/>
        </w:rPr>
        <w:t>1.9  B Corp certification</w:t>
      </w:r>
      <w:r>
        <w:rPr>
          <w:sz w:val="21"/>
        </w:rPr>
        <w:t xml:space="preserve"> (optional, FY28) — B Impact Assessment ≥ 80, verification, operating-agreement amendment within 90 days of certification.</w:t>
      </w:r>
    </w:p>
    <w:tbl>
      <w:tblPr>
        <w:tblW w:type="auto" w:w="0"/>
        <w:jc w:val="center"/>
        <w:tblLook w:firstColumn="1" w:firstRow="1" w:lastColumn="0" w:lastRow="0" w:noHBand="0" w:noVBand="1" w:val="04A0"/>
      </w:tblPr>
      <w:tblGrid>
        <w:gridCol w:w="9792"/>
      </w:tblGrid>
      <w:tr>
        <w:tc>
          <w:tcPr>
            <w:tcW w:type="dxa" w:w="9792"/>
            <w:shd w:val="clear" w:fill="FDF3E3"/>
          </w:tcPr>
          <w:p>
            <w:pPr>
              <w:spacing w:after="60"/>
            </w:pPr>
            <w:r/>
            <w:r>
              <w:rPr>
                <w:b/>
                <w:color w:val="B45309"/>
                <w:sz w:val="21"/>
              </w:rPr>
              <w:t>Watch item if you take Path B — the SB 122 timing trap</w:t>
            </w:r>
          </w:p>
          <w:p>
            <w:pPr>
              <w:spacing w:after="40"/>
            </w:pPr>
            <w:r>
              <w:rPr>
                <w:sz w:val="20"/>
              </w:rPr>
              <w:t>The $800 franchise tax also applies in year one, and there is a genuine timing wrinkle. SB 122 (signed June 29, 2026) reduces the first-year minimum tax to $400 for LLCs, LPs and LLPs formed in tax years 2027–2029. Forming in January 2027 instead of October 2026 saves roughly $1,200 across 2026–27 — but it misses the January 5, 2027 NIH deadline entirely (the registration chain alone is 4–6 weeks) and pushes the federal lane to April 5, 2027. Recommendation: form now and pay the $800. $1,200 is not worth a lost grant cycle, and it is certainly not worth delaying the 099 vendorization packet, which is gated on the entity and is Phase-1 revenue, not speculative funding.</w:t>
            </w:r>
          </w:p>
        </w:tc>
      </w:tr>
    </w:tbl>
    <w:p>
      <w:pPr>
        <w:spacing w:after="40"/>
      </w:pPr>
    </w:p>
    <w:p>
      <w:pPr>
        <w:pStyle w:val="Heading2"/>
      </w:pPr>
      <w:r>
        <w:t>13 · What this does and does not buy you</w:t>
      </w:r>
    </w:p>
    <w:p>
      <w:pPr>
        <w:spacing w:after="140"/>
      </w:pPr>
      <w:r>
        <w:rPr>
          <w:b/>
          <w:i w:val="0"/>
          <w:sz w:val="21"/>
        </w:rPr>
        <w:t>Being a benefit corporation does not win grants.</w:t>
      </w:r>
      <w:r>
        <w:rPr>
          <w:b w:val="0"/>
          <w:i w:val="0"/>
          <w:sz w:val="21"/>
        </w:rPr>
        <w:t xml:space="preserve"> No program in Part I gives benefit corporations preference, a scoring bump, or separate eligibility. Federal SBIR/STTR cares only that you are a for-profit small business concern; DDS SAE cares that you are a CBO with an EIN; CHCF cares about the Medi-Cal thesis. Anyone telling you benefit status unlocks funding is selling something.</w:t>
      </w:r>
    </w:p>
    <w:p>
      <w:pPr>
        <w:spacing w:after="140"/>
      </w:pPr>
      <w:r>
        <w:rPr>
          <w:b/>
          <w:i w:val="0"/>
          <w:sz w:val="21"/>
        </w:rPr>
        <w:t>What it actually buys:</w:t>
      </w:r>
    </w:p>
    <w:p>
      <w:pPr>
        <w:pStyle w:val="ListBullet"/>
        <w:spacing w:after="60"/>
      </w:pPr>
      <w:r>
        <w:rPr>
          <w:b/>
          <w:i w:val="0"/>
          <w:sz w:val="21"/>
        </w:rPr>
        <w:t>A liability shield and a real counterparty</w:t>
      </w:r>
      <w:r>
        <w:rPr>
          <w:b w:val="0"/>
          <w:i w:val="0"/>
          <w:sz w:val="21"/>
        </w:rPr>
        <w:t xml:space="preserve"> — required before you can sign an RCEB vendor agreement, a BAA, an FMS invoice, or a grant award.</w:t>
      </w:r>
    </w:p>
    <w:p>
      <w:pPr>
        <w:pStyle w:val="ListBullet"/>
        <w:spacing w:after="60"/>
      </w:pPr>
      <w:r>
        <w:rPr>
          <w:b/>
          <w:i w:val="0"/>
          <w:sz w:val="21"/>
        </w:rPr>
        <w:t>An EIN</w:t>
      </w:r>
      <w:r>
        <w:rPr>
          <w:b w:val="0"/>
          <w:i w:val="0"/>
          <w:sz w:val="21"/>
        </w:rPr>
        <w:t>, a hard prerequisite for the DDS SAE grant and every federal registration.</w:t>
      </w:r>
    </w:p>
    <w:p>
      <w:pPr>
        <w:pStyle w:val="ListBullet"/>
        <w:spacing w:after="60"/>
      </w:pPr>
      <w:r>
        <w:rPr>
          <w:b/>
          <w:i w:val="0"/>
          <w:sz w:val="21"/>
        </w:rPr>
        <w:t>A mission lock with teeth</w:t>
      </w:r>
      <w:r>
        <w:rPr>
          <w:b w:val="0"/>
          <w:i w:val="0"/>
          <w:sz w:val="21"/>
        </w:rPr>
        <w:t>. § 14620 obliges directors to consider families, staff and community — not shareholders alone. For a company whose thesis is “free to the family, paid by whoever the system already pays,” that duty is a guardrail against the pressure that will eventually arrive to monetize the family side.</w:t>
      </w:r>
    </w:p>
    <w:p>
      <w:pPr>
        <w:pStyle w:val="ListBullet"/>
        <w:spacing w:after="60"/>
      </w:pPr>
      <w:r>
        <w:rPr>
          <w:b/>
          <w:i w:val="0"/>
          <w:sz w:val="21"/>
        </w:rPr>
        <w:t>Credibility with the counterparties that matter</w:t>
      </w:r>
      <w:r>
        <w:rPr>
          <w:b w:val="0"/>
          <w:i w:val="0"/>
          <w:sz w:val="21"/>
        </w:rPr>
        <w:t>. Regional Centers, DDS and family advocates are structurally skeptical of for-profits in this space. The public benefit purpose and the published annual report are a straightforward answer to a question you will be asked repeatedly.</w:t>
      </w:r>
    </w:p>
    <w:p>
      <w:pPr>
        <w:pStyle w:val="Heading2"/>
      </w:pPr>
      <w:r>
        <w:t>14 · Immediate next actions</w:t>
      </w:r>
    </w:p>
    <w:tbl>
      <w:tblPr>
        <w:tblStyle w:val="TableGrid"/>
        <w:tblW w:type="auto" w:w="0"/>
        <w:jc w:val="center"/>
        <w:tblLayout w:type="fixed"/>
        <w:tblLook w:firstColumn="1" w:firstRow="1" w:lastColumn="0" w:lastRow="0" w:noHBand="0" w:noVBand="1" w:val="04A0"/>
        <w:tblLayout w:type="fixed"/>
      </w:tblPr>
      <w:tblGrid>
        <w:gridCol w:w="2448"/>
        <w:gridCol w:w="2448"/>
        <w:gridCol w:w="2448"/>
        <w:gridCol w:w="2448"/>
      </w:tblGrid>
      <w:tr>
        <w:tc>
          <w:tcPr>
            <w:tcW w:type="dxa" w:w="504"/>
            <w:shd w:val="clear" w:fill="1B2A4A"/>
          </w:tcPr>
          <w:p>
            <w:pPr>
              <w:spacing w:after="40" w:before="40"/>
            </w:pPr>
            <w:r/>
            <w:r>
              <w:rPr>
                <w:b/>
                <w:color w:val="FFFFFF"/>
                <w:sz w:val="17"/>
              </w:rPr>
              <w:t>#</w:t>
            </w:r>
          </w:p>
        </w:tc>
        <w:tc>
          <w:tcPr>
            <w:tcW w:type="dxa" w:w="6048"/>
            <w:shd w:val="clear" w:fill="1B2A4A"/>
          </w:tcPr>
          <w:p>
            <w:pPr>
              <w:spacing w:after="40" w:before="40"/>
            </w:pPr>
            <w:r/>
            <w:r>
              <w:rPr>
                <w:b/>
                <w:color w:val="FFFFFF"/>
                <w:sz w:val="17"/>
              </w:rPr>
              <w:t>Action</w:t>
            </w:r>
          </w:p>
        </w:tc>
        <w:tc>
          <w:tcPr>
            <w:tcW w:type="dxa" w:w="1584"/>
            <w:shd w:val="clear" w:fill="1B2A4A"/>
          </w:tcPr>
          <w:p>
            <w:pPr>
              <w:spacing w:after="40" w:before="40"/>
            </w:pPr>
            <w:r/>
            <w:r>
              <w:rPr>
                <w:b/>
                <w:color w:val="FFFFFF"/>
                <w:sz w:val="17"/>
              </w:rPr>
              <w:t>Owner</w:t>
            </w:r>
          </w:p>
        </w:tc>
        <w:tc>
          <w:tcPr>
            <w:tcW w:type="dxa" w:w="1584"/>
            <w:shd w:val="clear" w:fill="1B2A4A"/>
          </w:tcPr>
          <w:p>
            <w:pPr>
              <w:spacing w:after="40" w:before="40"/>
            </w:pPr>
            <w:r/>
            <w:r>
              <w:rPr>
                <w:b/>
                <w:color w:val="FFFFFF"/>
                <w:sz w:val="17"/>
              </w:rPr>
              <w:t>By</w:t>
            </w:r>
          </w:p>
        </w:tc>
      </w:tr>
      <w:tr>
        <w:tc>
          <w:tcPr>
            <w:tcW w:type="dxa" w:w="504"/>
          </w:tcPr>
          <w:p>
            <w:pPr>
              <w:spacing w:after="40" w:before="40"/>
            </w:pPr>
            <w:r/>
            <w:r>
              <w:rPr>
                <w:b w:val="0"/>
                <w:sz w:val="17"/>
              </w:rPr>
              <w:t>1</w:t>
            </w:r>
          </w:p>
        </w:tc>
        <w:tc>
          <w:tcPr>
            <w:tcW w:type="dxa" w:w="6048"/>
          </w:tcPr>
          <w:p>
            <w:pPr>
              <w:spacing w:after="40" w:before="40"/>
            </w:pPr>
            <w:r/>
            <w:r>
              <w:rPr>
                <w:b/>
                <w:sz w:val="17"/>
              </w:rPr>
              <w:t>Decide Path A or Path B</w:t>
            </w:r>
          </w:p>
        </w:tc>
        <w:tc>
          <w:tcPr>
            <w:tcW w:type="dxa" w:w="1584"/>
          </w:tcPr>
          <w:p>
            <w:pPr>
              <w:spacing w:after="40" w:before="40"/>
            </w:pPr>
            <w:r/>
            <w:r>
              <w:rPr>
                <w:b w:val="0"/>
                <w:sz w:val="17"/>
              </w:rPr>
              <w:t>Owner</w:t>
            </w:r>
          </w:p>
        </w:tc>
        <w:tc>
          <w:tcPr>
            <w:tcW w:type="dxa" w:w="1584"/>
          </w:tcPr>
          <w:p>
            <w:pPr>
              <w:spacing w:after="40" w:before="40"/>
            </w:pPr>
            <w:r/>
            <w:r>
              <w:rPr>
                <w:b w:val="0"/>
                <w:sz w:val="17"/>
              </w:rPr>
              <w:t>This week</w:t>
            </w:r>
          </w:p>
        </w:tc>
      </w:tr>
      <w:tr>
        <w:tc>
          <w:tcPr>
            <w:tcW w:type="dxa" w:w="504"/>
          </w:tcPr>
          <w:p>
            <w:pPr>
              <w:spacing w:after="40" w:before="40"/>
            </w:pPr>
            <w:r/>
            <w:r>
              <w:rPr>
                <w:b w:val="0"/>
                <w:sz w:val="17"/>
              </w:rPr>
              <w:t>2</w:t>
            </w:r>
          </w:p>
        </w:tc>
        <w:tc>
          <w:tcPr>
            <w:tcW w:type="dxa" w:w="6048"/>
          </w:tcPr>
          <w:p>
            <w:pPr>
              <w:spacing w:after="40" w:before="40"/>
            </w:pPr>
            <w:r/>
            <w:r>
              <w:rPr>
                <w:b w:val="0"/>
                <w:sz w:val="17"/>
              </w:rPr>
              <w:t>Book a CA business attorney consult (§11 Phase 0 questions)</w:t>
            </w:r>
          </w:p>
        </w:tc>
        <w:tc>
          <w:tcPr>
            <w:tcW w:type="dxa" w:w="1584"/>
          </w:tcPr>
          <w:p>
            <w:pPr>
              <w:spacing w:after="40" w:before="40"/>
            </w:pPr>
            <w:r/>
            <w:r>
              <w:rPr>
                <w:b w:val="0"/>
                <w:sz w:val="17"/>
              </w:rPr>
              <w:t>Owner</w:t>
            </w:r>
          </w:p>
        </w:tc>
        <w:tc>
          <w:tcPr>
            <w:tcW w:type="dxa" w:w="1584"/>
          </w:tcPr>
          <w:p>
            <w:pPr>
              <w:spacing w:after="40" w:before="40"/>
            </w:pPr>
            <w:r/>
            <w:r>
              <w:rPr>
                <w:b w:val="0"/>
                <w:sz w:val="17"/>
              </w:rPr>
              <w:t>This week</w:t>
            </w:r>
          </w:p>
        </w:tc>
      </w:tr>
      <w:tr>
        <w:tc>
          <w:tcPr>
            <w:tcW w:type="dxa" w:w="504"/>
          </w:tcPr>
          <w:p>
            <w:pPr>
              <w:spacing w:after="40" w:before="40"/>
            </w:pPr>
            <w:r/>
            <w:r>
              <w:rPr>
                <w:b w:val="0"/>
                <w:sz w:val="17"/>
              </w:rPr>
              <w:t>3</w:t>
            </w:r>
          </w:p>
        </w:tc>
        <w:tc>
          <w:tcPr>
            <w:tcW w:type="dxa" w:w="6048"/>
          </w:tcPr>
          <w:p>
            <w:pPr>
              <w:spacing w:after="40" w:before="40"/>
            </w:pPr>
            <w:r/>
            <w:r>
              <w:rPr>
                <w:b w:val="0"/>
                <w:sz w:val="17"/>
              </w:rPr>
              <w:t>Book a CPA consult — C corp vs S election vs LLC pass-through</w:t>
            </w:r>
          </w:p>
        </w:tc>
        <w:tc>
          <w:tcPr>
            <w:tcW w:type="dxa" w:w="1584"/>
          </w:tcPr>
          <w:p>
            <w:pPr>
              <w:spacing w:after="40" w:before="40"/>
            </w:pPr>
            <w:r/>
            <w:r>
              <w:rPr>
                <w:b w:val="0"/>
                <w:sz w:val="17"/>
              </w:rPr>
              <w:t>Owner</w:t>
            </w:r>
          </w:p>
        </w:tc>
        <w:tc>
          <w:tcPr>
            <w:tcW w:type="dxa" w:w="1584"/>
          </w:tcPr>
          <w:p>
            <w:pPr>
              <w:spacing w:after="40" w:before="40"/>
            </w:pPr>
            <w:r/>
            <w:r>
              <w:rPr>
                <w:b w:val="0"/>
                <w:sz w:val="17"/>
              </w:rPr>
              <w:t>This week</w:t>
            </w:r>
          </w:p>
        </w:tc>
      </w:tr>
      <w:tr>
        <w:tc>
          <w:tcPr>
            <w:tcW w:type="dxa" w:w="504"/>
          </w:tcPr>
          <w:p>
            <w:pPr>
              <w:spacing w:after="40" w:before="40"/>
            </w:pPr>
            <w:r/>
            <w:r>
              <w:rPr>
                <w:b w:val="0"/>
                <w:sz w:val="17"/>
              </w:rPr>
              <w:t>4</w:t>
            </w:r>
          </w:p>
        </w:tc>
        <w:tc>
          <w:tcPr>
            <w:tcW w:type="dxa" w:w="6048"/>
          </w:tcPr>
          <w:p>
            <w:pPr>
              <w:spacing w:after="40" w:before="40"/>
            </w:pPr>
            <w:r/>
            <w:r>
              <w:rPr>
                <w:b w:val="0"/>
                <w:sz w:val="17"/>
              </w:rPr>
              <w:t>Name availability check (CA SoS + USPTO)</w:t>
            </w:r>
          </w:p>
        </w:tc>
        <w:tc>
          <w:tcPr>
            <w:tcW w:type="dxa" w:w="1584"/>
          </w:tcPr>
          <w:p>
            <w:pPr>
              <w:spacing w:after="40" w:before="40"/>
            </w:pPr>
            <w:r/>
            <w:r>
              <w:rPr>
                <w:b w:val="0"/>
                <w:sz w:val="17"/>
              </w:rPr>
              <w:t>Owner</w:t>
            </w:r>
          </w:p>
        </w:tc>
        <w:tc>
          <w:tcPr>
            <w:tcW w:type="dxa" w:w="1584"/>
          </w:tcPr>
          <w:p>
            <w:pPr>
              <w:spacing w:after="40" w:before="40"/>
            </w:pPr>
            <w:r/>
            <w:r>
              <w:rPr>
                <w:b w:val="0"/>
                <w:sz w:val="17"/>
              </w:rPr>
              <w:t>This week</w:t>
            </w:r>
          </w:p>
        </w:tc>
      </w:tr>
      <w:tr>
        <w:tc>
          <w:tcPr>
            <w:tcW w:type="dxa" w:w="504"/>
          </w:tcPr>
          <w:p>
            <w:pPr>
              <w:spacing w:after="40" w:before="40"/>
            </w:pPr>
            <w:r/>
            <w:r>
              <w:rPr>
                <w:b w:val="0"/>
                <w:sz w:val="17"/>
              </w:rPr>
              <w:t>5</w:t>
            </w:r>
          </w:p>
        </w:tc>
        <w:tc>
          <w:tcPr>
            <w:tcW w:type="dxa" w:w="6048"/>
          </w:tcPr>
          <w:p>
            <w:pPr>
              <w:spacing w:after="40" w:before="40"/>
            </w:pPr>
            <w:r/>
            <w:r>
              <w:rPr>
                <w:b w:val="0"/>
                <w:sz w:val="17"/>
              </w:rPr>
              <w:t>Draft the specific public benefit purpose</w:t>
            </w:r>
          </w:p>
        </w:tc>
        <w:tc>
          <w:tcPr>
            <w:tcW w:type="dxa" w:w="1584"/>
          </w:tcPr>
          <w:p>
            <w:pPr>
              <w:spacing w:after="40" w:before="40"/>
            </w:pPr>
            <w:r/>
            <w:r>
              <w:rPr>
                <w:b w:val="0"/>
                <w:sz w:val="17"/>
              </w:rPr>
              <w:t>Owner + Claude</w:t>
            </w:r>
          </w:p>
        </w:tc>
        <w:tc>
          <w:tcPr>
            <w:tcW w:type="dxa" w:w="1584"/>
          </w:tcPr>
          <w:p>
            <w:pPr>
              <w:spacing w:after="40" w:before="40"/>
            </w:pPr>
            <w:r/>
            <w:r>
              <w:rPr>
                <w:b w:val="0"/>
                <w:sz w:val="17"/>
              </w:rPr>
              <w:t>Next week</w:t>
            </w:r>
          </w:p>
        </w:tc>
      </w:tr>
      <w:tr>
        <w:tc>
          <w:tcPr>
            <w:tcW w:type="dxa" w:w="504"/>
          </w:tcPr>
          <w:p>
            <w:pPr>
              <w:spacing w:after="40" w:before="40"/>
            </w:pPr>
            <w:r/>
            <w:r>
              <w:rPr>
                <w:b w:val="0"/>
                <w:sz w:val="17"/>
              </w:rPr>
              <w:t>6</w:t>
            </w:r>
          </w:p>
        </w:tc>
        <w:tc>
          <w:tcPr>
            <w:tcW w:type="dxa" w:w="6048"/>
          </w:tcPr>
          <w:p>
            <w:pPr>
              <w:spacing w:after="40" w:before="40"/>
            </w:pPr>
            <w:r/>
            <w:r>
              <w:rPr>
                <w:b w:val="0"/>
                <w:sz w:val="17"/>
              </w:rPr>
              <w:t>File formation documents</w:t>
            </w:r>
          </w:p>
        </w:tc>
        <w:tc>
          <w:tcPr>
            <w:tcW w:type="dxa" w:w="1584"/>
          </w:tcPr>
          <w:p>
            <w:pPr>
              <w:spacing w:after="40" w:before="40"/>
            </w:pPr>
            <w:r/>
            <w:r>
              <w:rPr>
                <w:b w:val="0"/>
                <w:sz w:val="17"/>
              </w:rPr>
              <w:t>Attorney</w:t>
            </w:r>
          </w:p>
        </w:tc>
        <w:tc>
          <w:tcPr>
            <w:tcW w:type="dxa" w:w="1584"/>
          </w:tcPr>
          <w:p>
            <w:pPr>
              <w:spacing w:after="40" w:before="40"/>
            </w:pPr>
            <w:r/>
            <w:r>
              <w:rPr>
                <w:b w:val="0"/>
                <w:sz w:val="17"/>
              </w:rPr>
              <w:t>By ~Oct 15, 2026</w:t>
            </w:r>
          </w:p>
        </w:tc>
      </w:tr>
      <w:tr>
        <w:tc>
          <w:tcPr>
            <w:tcW w:type="dxa" w:w="504"/>
          </w:tcPr>
          <w:p>
            <w:pPr>
              <w:spacing w:after="40" w:before="40"/>
            </w:pPr>
            <w:r/>
            <w:r>
              <w:rPr>
                <w:b w:val="0"/>
                <w:sz w:val="17"/>
              </w:rPr>
              <w:t>7</w:t>
            </w:r>
          </w:p>
        </w:tc>
        <w:tc>
          <w:tcPr>
            <w:tcW w:type="dxa" w:w="6048"/>
          </w:tcPr>
          <w:p>
            <w:pPr>
              <w:spacing w:after="40" w:before="40"/>
            </w:pPr>
            <w:r/>
            <w:r>
              <w:rPr>
                <w:b w:val="0"/>
                <w:sz w:val="17"/>
              </w:rPr>
              <w:t>EIN same day; then start SAM.gov immediately</w:t>
            </w:r>
          </w:p>
        </w:tc>
        <w:tc>
          <w:tcPr>
            <w:tcW w:type="dxa" w:w="1584"/>
          </w:tcPr>
          <w:p>
            <w:pPr>
              <w:spacing w:after="40" w:before="40"/>
            </w:pPr>
            <w:r/>
            <w:r>
              <w:rPr>
                <w:b w:val="0"/>
                <w:sz w:val="17"/>
              </w:rPr>
              <w:t>Owner</w:t>
            </w:r>
          </w:p>
        </w:tc>
        <w:tc>
          <w:tcPr>
            <w:tcW w:type="dxa" w:w="1584"/>
          </w:tcPr>
          <w:p>
            <w:pPr>
              <w:spacing w:after="40" w:before="40"/>
            </w:pPr>
            <w:r/>
            <w:r>
              <w:rPr>
                <w:b w:val="0"/>
                <w:sz w:val="17"/>
              </w:rPr>
              <w:t>Day of filing</w:t>
            </w:r>
          </w:p>
        </w:tc>
      </w:tr>
      <w:tr>
        <w:tc>
          <w:tcPr>
            <w:tcW w:type="dxa" w:w="504"/>
          </w:tcPr>
          <w:p>
            <w:pPr>
              <w:spacing w:after="40" w:before="40"/>
            </w:pPr>
            <w:r/>
            <w:r>
              <w:rPr>
                <w:b w:val="0"/>
                <w:sz w:val="17"/>
              </w:rPr>
              <w:t>8</w:t>
            </w:r>
          </w:p>
        </w:tc>
        <w:tc>
          <w:tcPr>
            <w:tcW w:type="dxa" w:w="6048"/>
          </w:tcPr>
          <w:p>
            <w:pPr>
              <w:spacing w:after="40" w:before="40"/>
            </w:pPr>
            <w:r/>
            <w:r>
              <w:rPr>
                <w:b w:val="0"/>
                <w:sz w:val="17"/>
              </w:rPr>
              <w:t>Email SAEgrantprogram@dds.ca.gov re: next SAE cycle — bundle with the DDS Question-Zero letter</w:t>
            </w:r>
          </w:p>
        </w:tc>
        <w:tc>
          <w:tcPr>
            <w:tcW w:type="dxa" w:w="1584"/>
          </w:tcPr>
          <w:p>
            <w:pPr>
              <w:spacing w:after="40" w:before="40"/>
            </w:pPr>
            <w:r/>
            <w:r>
              <w:rPr>
                <w:b w:val="0"/>
                <w:sz w:val="17"/>
              </w:rPr>
              <w:t>Owner</w:t>
            </w:r>
          </w:p>
        </w:tc>
        <w:tc>
          <w:tcPr>
            <w:tcW w:type="dxa" w:w="1584"/>
          </w:tcPr>
          <w:p>
            <w:pPr>
              <w:spacing w:after="40" w:before="40"/>
            </w:pPr>
            <w:r/>
            <w:r>
              <w:rPr>
                <w:b w:val="0"/>
                <w:sz w:val="17"/>
              </w:rPr>
              <w:t>This month</w:t>
            </w:r>
          </w:p>
        </w:tc>
      </w:tr>
      <w:tr>
        <w:tc>
          <w:tcPr>
            <w:tcW w:type="dxa" w:w="504"/>
          </w:tcPr>
          <w:p>
            <w:pPr>
              <w:spacing w:after="40" w:before="40"/>
            </w:pPr>
            <w:r/>
            <w:r>
              <w:rPr>
                <w:b w:val="0"/>
                <w:sz w:val="17"/>
              </w:rPr>
              <w:t>9</w:t>
            </w:r>
          </w:p>
        </w:tc>
        <w:tc>
          <w:tcPr>
            <w:tcW w:type="dxa" w:w="6048"/>
          </w:tcPr>
          <w:p>
            <w:pPr>
              <w:spacing w:after="40" w:before="40"/>
            </w:pPr>
            <w:r/>
            <w:r>
              <w:rPr>
                <w:b w:val="0"/>
                <w:sz w:val="17"/>
              </w:rPr>
              <w:t>Apply for self-serve AI/cloud credits</w:t>
            </w:r>
          </w:p>
        </w:tc>
        <w:tc>
          <w:tcPr>
            <w:tcW w:type="dxa" w:w="1584"/>
          </w:tcPr>
          <w:p>
            <w:pPr>
              <w:spacing w:after="40" w:before="40"/>
            </w:pPr>
            <w:r/>
            <w:r>
              <w:rPr>
                <w:b w:val="0"/>
                <w:sz w:val="17"/>
              </w:rPr>
              <w:t>Owner</w:t>
            </w:r>
          </w:p>
        </w:tc>
        <w:tc>
          <w:tcPr>
            <w:tcW w:type="dxa" w:w="1584"/>
          </w:tcPr>
          <w:p>
            <w:pPr>
              <w:spacing w:after="40" w:before="40"/>
            </w:pPr>
            <w:r/>
            <w:r>
              <w:rPr>
                <w:b w:val="0"/>
                <w:sz w:val="17"/>
              </w:rPr>
              <w:t>Week after EIN</w:t>
            </w:r>
          </w:p>
        </w:tc>
      </w:tr>
    </w:tbl>
    <w:p>
      <w:pPr>
        <w:spacing w:after="40"/>
      </w:pPr>
    </w:p>
    <w:p>
      <w:pPr>
        <w:pStyle w:val="Heading2"/>
      </w:pPr>
      <w:r>
        <w:t>15 · Open questions</w:t>
      </w:r>
    </w:p>
    <w:tbl>
      <w:tblPr>
        <w:tblStyle w:val="TableGrid"/>
        <w:tblW w:type="auto" w:w="0"/>
        <w:jc w:val="center"/>
        <w:tblLayout w:type="fixed"/>
        <w:tblLook w:firstColumn="1" w:firstRow="1" w:lastColumn="0" w:lastRow="0" w:noHBand="0" w:noVBand="1" w:val="04A0"/>
        <w:tblLayout w:type="fixed"/>
      </w:tblPr>
      <w:tblGrid>
        <w:gridCol w:w="3264"/>
        <w:gridCol w:w="3264"/>
        <w:gridCol w:w="3264"/>
      </w:tblGrid>
      <w:tr>
        <w:tc>
          <w:tcPr>
            <w:tcW w:type="dxa" w:w="504"/>
            <w:shd w:val="clear" w:fill="1B2A4A"/>
          </w:tcPr>
          <w:p>
            <w:pPr>
              <w:spacing w:after="40" w:before="40"/>
            </w:pPr>
            <w:r/>
            <w:r>
              <w:rPr>
                <w:b/>
                <w:color w:val="FFFFFF"/>
                <w:sz w:val="17"/>
              </w:rPr>
              <w:t>#</w:t>
            </w:r>
          </w:p>
        </w:tc>
        <w:tc>
          <w:tcPr>
            <w:tcW w:type="dxa" w:w="4176"/>
            <w:shd w:val="clear" w:fill="1B2A4A"/>
          </w:tcPr>
          <w:p>
            <w:pPr>
              <w:spacing w:after="40" w:before="40"/>
            </w:pPr>
            <w:r/>
            <w:r>
              <w:rPr>
                <w:b/>
                <w:color w:val="FFFFFF"/>
                <w:sz w:val="17"/>
              </w:rPr>
              <w:t>Question</w:t>
            </w:r>
          </w:p>
        </w:tc>
        <w:tc>
          <w:tcPr>
            <w:tcW w:type="dxa" w:w="5040"/>
            <w:shd w:val="clear" w:fill="1B2A4A"/>
          </w:tcPr>
          <w:p>
            <w:pPr>
              <w:spacing w:after="40" w:before="40"/>
            </w:pPr>
            <w:r/>
            <w:r>
              <w:rPr>
                <w:b/>
                <w:color w:val="FFFFFF"/>
                <w:sz w:val="17"/>
              </w:rPr>
              <w:t>Why it matters</w:t>
            </w:r>
          </w:p>
        </w:tc>
      </w:tr>
      <w:tr>
        <w:tc>
          <w:tcPr>
            <w:tcW w:type="dxa" w:w="504"/>
          </w:tcPr>
          <w:p>
            <w:pPr>
              <w:spacing w:after="40" w:before="40"/>
            </w:pPr>
            <w:r/>
            <w:r>
              <w:rPr>
                <w:b w:val="0"/>
                <w:sz w:val="17"/>
              </w:rPr>
              <w:t>1</w:t>
            </w:r>
          </w:p>
        </w:tc>
        <w:tc>
          <w:tcPr>
            <w:tcW w:type="dxa" w:w="4176"/>
          </w:tcPr>
          <w:p>
            <w:pPr>
              <w:spacing w:after="40" w:before="40"/>
            </w:pPr>
            <w:r/>
            <w:r>
              <w:rPr>
                <w:b/>
                <w:sz w:val="17"/>
              </w:rPr>
              <w:t>Entity path</w:t>
            </w:r>
            <w:r>
              <w:rPr>
                <w:b w:val="0"/>
                <w:sz w:val="17"/>
              </w:rPr>
              <w:t xml:space="preserve"> — Path A or Path B?</w:t>
            </w:r>
          </w:p>
        </w:tc>
        <w:tc>
          <w:tcPr>
            <w:tcW w:type="dxa" w:w="5040"/>
          </w:tcPr>
          <w:p>
            <w:pPr>
              <w:spacing w:after="40" w:before="40"/>
            </w:pPr>
            <w:r/>
            <w:r>
              <w:rPr>
                <w:b w:val="0"/>
                <w:sz w:val="17"/>
              </w:rPr>
              <w:t>Blocks the entire federal lane and the 099 vendorization packet.</w:t>
            </w:r>
          </w:p>
        </w:tc>
      </w:tr>
      <w:tr>
        <w:tc>
          <w:tcPr>
            <w:tcW w:type="dxa" w:w="504"/>
          </w:tcPr>
          <w:p>
            <w:pPr>
              <w:spacing w:after="40" w:before="40"/>
            </w:pPr>
            <w:r/>
            <w:r>
              <w:rPr>
                <w:b w:val="0"/>
                <w:sz w:val="17"/>
              </w:rPr>
              <w:t>2</w:t>
            </w:r>
          </w:p>
        </w:tc>
        <w:tc>
          <w:tcPr>
            <w:tcW w:type="dxa" w:w="4176"/>
          </w:tcPr>
          <w:p>
            <w:pPr>
              <w:spacing w:after="40" w:before="40"/>
            </w:pPr>
            <w:r/>
            <w:r>
              <w:rPr>
                <w:b w:val="0"/>
                <w:sz w:val="17"/>
              </w:rPr>
              <w:t>Is there a UC or CSU research contact worth approaching before Nov 15, 2026?</w:t>
            </w:r>
          </w:p>
        </w:tc>
        <w:tc>
          <w:tcPr>
            <w:tcW w:type="dxa" w:w="5040"/>
          </w:tcPr>
          <w:p>
            <w:pPr>
              <w:spacing w:after="40" w:before="40"/>
            </w:pPr>
            <w:r/>
            <w:r>
              <w:rPr>
                <w:b w:val="0"/>
                <w:sz w:val="17"/>
              </w:rPr>
              <w:t>Decides SBIR (no partner) vs STTR (partner required). Also answers the credibility gap in a solo-founder application.</w:t>
            </w:r>
          </w:p>
        </w:tc>
      </w:tr>
      <w:tr>
        <w:tc>
          <w:tcPr>
            <w:tcW w:type="dxa" w:w="504"/>
          </w:tcPr>
          <w:p>
            <w:pPr>
              <w:spacing w:after="40" w:before="40"/>
            </w:pPr>
            <w:r/>
            <w:r>
              <w:rPr>
                <w:b w:val="0"/>
                <w:sz w:val="17"/>
              </w:rPr>
              <w:t>3</w:t>
            </w:r>
          </w:p>
        </w:tc>
        <w:tc>
          <w:tcPr>
            <w:tcW w:type="dxa" w:w="4176"/>
          </w:tcPr>
          <w:p>
            <w:pPr>
              <w:spacing w:after="40" w:before="40"/>
            </w:pPr>
            <w:r/>
            <w:r>
              <w:rPr>
                <w:b w:val="0"/>
                <w:sz w:val="17"/>
              </w:rPr>
              <w:t>Does the cap table satisfy ≥50% ownership by a woman aged 18+?</w:t>
            </w:r>
          </w:p>
        </w:tc>
        <w:tc>
          <w:tcPr>
            <w:tcW w:type="dxa" w:w="5040"/>
          </w:tcPr>
          <w:p>
            <w:pPr>
              <w:spacing w:after="40" w:before="40"/>
            </w:pPr>
            <w:r/>
            <w:r>
              <w:rPr>
                <w:b w:val="0"/>
                <w:sz w:val="17"/>
              </w:rPr>
              <w:t>Yes/no determines whether the Amber Grant is a real row or should be deleted.</w:t>
            </w:r>
          </w:p>
        </w:tc>
      </w:tr>
      <w:tr>
        <w:tc>
          <w:tcPr>
            <w:tcW w:type="dxa" w:w="504"/>
          </w:tcPr>
          <w:p>
            <w:pPr>
              <w:spacing w:after="40" w:before="40"/>
            </w:pPr>
            <w:r/>
            <w:r>
              <w:rPr>
                <w:b w:val="0"/>
                <w:sz w:val="17"/>
              </w:rPr>
              <w:t>4</w:t>
            </w:r>
          </w:p>
        </w:tc>
        <w:tc>
          <w:tcPr>
            <w:tcW w:type="dxa" w:w="4176"/>
          </w:tcPr>
          <w:p>
            <w:pPr>
              <w:spacing w:after="40" w:before="40"/>
            </w:pPr>
            <w:r/>
            <w:r>
              <w:rPr>
                <w:b w:val="0"/>
                <w:sz w:val="17"/>
              </w:rPr>
              <w:t>Nonprofit 501(c)(3) affiliate — park until FY28, or scope now?</w:t>
            </w:r>
          </w:p>
        </w:tc>
        <w:tc>
          <w:tcPr>
            <w:tcW w:type="dxa" w:w="5040"/>
          </w:tcPr>
          <w:p>
            <w:pPr>
              <w:spacing w:after="40" w:before="40"/>
            </w:pPr>
            <w:r/>
            <w:r>
              <w:rPr>
                <w:b w:val="0"/>
                <w:sz w:val="17"/>
              </w:rPr>
              <w:t>Unlocks all of Tier 2. Cost: a second entity, its own board and filings, and arm's-length discipline.</w:t>
            </w:r>
          </w:p>
        </w:tc>
      </w:tr>
      <w:tr>
        <w:tc>
          <w:tcPr>
            <w:tcW w:type="dxa" w:w="504"/>
          </w:tcPr>
          <w:p>
            <w:pPr>
              <w:spacing w:after="40" w:before="40"/>
            </w:pPr>
            <w:r/>
            <w:r>
              <w:rPr>
                <w:b w:val="0"/>
                <w:sz w:val="17"/>
              </w:rPr>
              <w:t>5</w:t>
            </w:r>
          </w:p>
        </w:tc>
        <w:tc>
          <w:tcPr>
            <w:tcW w:type="dxa" w:w="4176"/>
          </w:tcPr>
          <w:p>
            <w:pPr>
              <w:spacing w:after="40" w:before="40"/>
            </w:pPr>
            <w:r/>
            <w:r>
              <w:rPr>
                <w:b w:val="0"/>
                <w:sz w:val="17"/>
              </w:rPr>
              <w:t>Who writes the NIH application — founder, or a paid grant writer?</w:t>
            </w:r>
          </w:p>
        </w:tc>
        <w:tc>
          <w:tcPr>
            <w:tcW w:type="dxa" w:w="5040"/>
          </w:tcPr>
          <w:p>
            <w:pPr>
              <w:spacing w:after="40" w:before="40"/>
            </w:pPr>
            <w:r/>
            <w:r>
              <w:rPr>
                <w:b w:val="0"/>
                <w:sz w:val="17"/>
              </w:rPr>
              <w:t>80–120 hours for a first SBIR. A cash question, and the reason most solo-founder SBIR plans are never submitted.</w:t>
            </w:r>
          </w:p>
        </w:tc>
      </w:tr>
      <w:tr>
        <w:tc>
          <w:tcPr>
            <w:tcW w:type="dxa" w:w="504"/>
          </w:tcPr>
          <w:p>
            <w:pPr>
              <w:spacing w:after="40" w:before="40"/>
            </w:pPr>
            <w:r/>
            <w:r>
              <w:rPr>
                <w:b w:val="0"/>
                <w:sz w:val="17"/>
              </w:rPr>
              <w:t>6</w:t>
            </w:r>
          </w:p>
        </w:tc>
        <w:tc>
          <w:tcPr>
            <w:tcW w:type="dxa" w:w="4176"/>
          </w:tcPr>
          <w:p>
            <w:pPr>
              <w:spacing w:after="40" w:before="40"/>
            </w:pPr>
            <w:r/>
            <w:r>
              <w:rPr>
                <w:b w:val="0"/>
                <w:sz w:val="17"/>
              </w:rPr>
              <w:t>Which subfolder should these deliverables live in?</w:t>
            </w:r>
          </w:p>
        </w:tc>
        <w:tc>
          <w:tcPr>
            <w:tcW w:type="dxa" w:w="5040"/>
          </w:tcPr>
          <w:p>
            <w:pPr>
              <w:spacing w:after="40" w:before="40"/>
            </w:pPr>
            <w:r/>
            <w:r>
              <w:rPr>
                <w:b w:val="0"/>
                <w:sz w:val="17"/>
              </w:rPr>
              <w:t>Currently Operations/. Confirm or reassign before this becomes the reference copy.</w:t>
            </w:r>
          </w:p>
        </w:tc>
      </w:tr>
    </w:tbl>
    <w:p>
      <w:pPr>
        <w:spacing w:after="40"/>
      </w:pPr>
    </w:p>
    <w:p>
      <w:pPr>
        <w:pStyle w:val="Heading2"/>
      </w:pPr>
      <w:r>
        <w:t>16 · Sources</w:t>
      </w:r>
    </w:p>
    <w:p>
      <w:pPr>
        <w:spacing w:after="140"/>
      </w:pPr>
      <w:r>
        <w:rPr>
          <w:b w:val="0"/>
          <w:i/>
          <w:sz w:val="21"/>
        </w:rPr>
        <w:t>Every statute, fee, figure and deadline above was verified against a primary or named source on September 7, 2026.</w:t>
      </w:r>
    </w:p>
    <w:p>
      <w:pPr>
        <w:pStyle w:val="ListBullet"/>
        <w:spacing w:after="40"/>
      </w:pPr>
      <w:r>
        <w:rPr>
          <w:sz w:val="18"/>
        </w:rPr>
        <w:t xml:space="preserve">Cal. Corp. Code § 14600 — benefit corporations are corporations — </w:t>
      </w:r>
      <w:r>
        <w:rPr>
          <w:color w:val="0891B2"/>
          <w:sz w:val="17"/>
        </w:rPr>
        <w:t>https://law.justia.com/codes/california/code-corp/title-1/division-3/part-13/chapter-1/section-14600/</w:t>
      </w:r>
    </w:p>
    <w:p>
      <w:pPr>
        <w:pStyle w:val="ListBullet"/>
        <w:spacing w:after="40"/>
      </w:pPr>
      <w:r>
        <w:rPr>
          <w:sz w:val="18"/>
        </w:rPr>
        <w:t xml:space="preserve">Cal. Corp. Code § 14630 — annual benefit report — </w:t>
      </w:r>
      <w:r>
        <w:rPr>
          <w:color w:val="0891B2"/>
          <w:sz w:val="17"/>
        </w:rPr>
        <w:t>https://law.justia.com/codes/california/code-corp/title-1/division-3/part-13/chapter-4/section-14630/</w:t>
      </w:r>
    </w:p>
    <w:p>
      <w:pPr>
        <w:pStyle w:val="ListBullet"/>
        <w:spacing w:after="40"/>
      </w:pPr>
      <w:r>
        <w:rPr>
          <w:sz w:val="18"/>
        </w:rPr>
        <w:t xml:space="preserve">CLA guide &amp; template — California benefit corporation annual benefit report — </w:t>
      </w:r>
      <w:r>
        <w:rPr>
          <w:color w:val="0891B2"/>
          <w:sz w:val="17"/>
        </w:rPr>
        <w:t>https://calawyers.org/california-lawyers-association/cla-esg-committee-guide-template-a-california-benefit-corporations-annual-benefit-report/</w:t>
      </w:r>
    </w:p>
    <w:p>
      <w:pPr>
        <w:pStyle w:val="ListBullet"/>
        <w:spacing w:after="40"/>
      </w:pPr>
      <w:r>
        <w:rPr>
          <w:sz w:val="18"/>
        </w:rPr>
        <w:t xml:space="preserve">Cal. Corp. Code § 17701.04 — LLCs may not render professional services — </w:t>
      </w:r>
      <w:r>
        <w:rPr>
          <w:color w:val="0891B2"/>
          <w:sz w:val="17"/>
        </w:rPr>
        <w:t>https://codes.findlaw.com/ca/corporations-code/corp-sect-17701-04/</w:t>
      </w:r>
    </w:p>
    <w:p>
      <w:pPr>
        <w:pStyle w:val="ListBullet"/>
        <w:spacing w:after="40"/>
      </w:pPr>
      <w:r>
        <w:rPr>
          <w:sz w:val="18"/>
        </w:rPr>
        <w:t xml:space="preserve">Cal. R&amp;TC § 23153 — first-year minimum franchise tax exemption for corporations — </w:t>
      </w:r>
      <w:r>
        <w:rPr>
          <w:color w:val="0891B2"/>
          <w:sz w:val="17"/>
        </w:rPr>
        <w:t>https://codes.findlaw.com/ca/revenue-and-taxation-code/rtc-sect-23153/</w:t>
      </w:r>
    </w:p>
    <w:p>
      <w:pPr>
        <w:pStyle w:val="ListBullet"/>
        <w:spacing w:after="40"/>
      </w:pPr>
      <w:r>
        <w:rPr>
          <w:sz w:val="18"/>
        </w:rPr>
        <w:t xml:space="preserve">SB 122 (2026) — $400 first-year minimum tax for LLCs formed in TY 2027–2029 — </w:t>
      </w:r>
      <w:r>
        <w:rPr>
          <w:color w:val="0891B2"/>
          <w:sz w:val="17"/>
        </w:rPr>
        <w:t>https://leginfo.legislature.ca.gov/faces/billNavClient.xhtml?bill_id=202520260SB122</w:t>
      </w:r>
    </w:p>
    <w:p>
      <w:pPr>
        <w:pStyle w:val="ListBullet"/>
        <w:spacing w:after="40"/>
      </w:pPr>
      <w:r>
        <w:rPr>
          <w:sz w:val="18"/>
        </w:rPr>
        <w:t xml:space="preserve">6 Del. C. § 18-1201 — statutory public benefit LLC — </w:t>
      </w:r>
      <w:r>
        <w:rPr>
          <w:color w:val="0891B2"/>
          <w:sz w:val="17"/>
        </w:rPr>
        <w:t>https://law.justia.com/codes/delaware/title-6/chapter-18/subchapter-xii/section-18-1201/</w:t>
      </w:r>
    </w:p>
    <w:p>
      <w:pPr>
        <w:pStyle w:val="ListBullet"/>
        <w:spacing w:after="40"/>
      </w:pPr>
      <w:r>
        <w:rPr>
          <w:sz w:val="18"/>
        </w:rPr>
        <w:t xml:space="preserve">CA Form LLC-5 — Application to Register a Foreign LLC — </w:t>
      </w:r>
      <w:r>
        <w:rPr>
          <w:color w:val="0891B2"/>
          <w:sz w:val="17"/>
        </w:rPr>
        <w:t>https://bpd.cdn.sos.ca.gov/llc/forms/llc-5.pdf</w:t>
      </w:r>
    </w:p>
    <w:p>
      <w:pPr>
        <w:pStyle w:val="ListBullet"/>
        <w:spacing w:after="40"/>
      </w:pPr>
      <w:r>
        <w:rPr>
          <w:sz w:val="18"/>
        </w:rPr>
        <w:t xml:space="preserve">DDS Service Access &amp; Equity Grant Program — </w:t>
      </w:r>
      <w:r>
        <w:rPr>
          <w:color w:val="0891B2"/>
          <w:sz w:val="17"/>
        </w:rPr>
        <w:t>https://www.dds.ca.gov/rc/disparities/disparity-funds-program/</w:t>
      </w:r>
    </w:p>
    <w:p>
      <w:pPr>
        <w:pStyle w:val="ListBullet"/>
        <w:spacing w:after="40"/>
      </w:pPr>
      <w:r>
        <w:rPr>
          <w:sz w:val="18"/>
        </w:rPr>
        <w:t xml:space="preserve">DDS SAE FY2025-27 FAQs — the for-profit CBO definition — </w:t>
      </w:r>
      <w:r>
        <w:rPr>
          <w:color w:val="0891B2"/>
          <w:sz w:val="17"/>
        </w:rPr>
        <w:t>https://www.dds.ca.gov/wp-content/uploads/2025/09/SAEGRANT_FAQs_FY2025-27.pdf</w:t>
      </w:r>
    </w:p>
    <w:p>
      <w:pPr>
        <w:pStyle w:val="ListBullet"/>
        <w:spacing w:after="40"/>
      </w:pPr>
      <w:r>
        <w:rPr>
          <w:sz w:val="18"/>
        </w:rPr>
        <w:t xml:space="preserve">DDS DS 1891 — Applicant/Vendor Disclosure Statement (lists LLC as an entity type) — </w:t>
      </w:r>
      <w:r>
        <w:rPr>
          <w:color w:val="0891B2"/>
          <w:sz w:val="17"/>
        </w:rPr>
        <w:t>https://www.dds.ca.gov/wp-content/uploads/2024/05/DS_1891_2024.pdf</w:t>
      </w:r>
    </w:p>
    <w:p>
      <w:pPr>
        <w:pStyle w:val="ListBullet"/>
        <w:spacing w:after="40"/>
      </w:pPr>
      <w:r>
        <w:rPr>
          <w:sz w:val="18"/>
        </w:rPr>
        <w:t xml:space="preserve">NIH SBIR/STTR funding opportunities (PA-27-100 / PA-27-102) — </w:t>
      </w:r>
      <w:r>
        <w:rPr>
          <w:color w:val="0891B2"/>
          <w:sz w:val="17"/>
        </w:rPr>
        <w:t>https://seed.nih.gov/small-business-funding/find-funding/sbir-sttr-funding-opportunities</w:t>
      </w:r>
    </w:p>
    <w:p>
      <w:pPr>
        <w:pStyle w:val="ListBullet"/>
        <w:spacing w:after="40"/>
      </w:pPr>
      <w:r>
        <w:rPr>
          <w:sz w:val="18"/>
        </w:rPr>
        <w:t xml:space="preserve">NIH — organization registrations (SAM, eRA Commons, SBA Registry, Grants.gov) — </w:t>
      </w:r>
      <w:r>
        <w:rPr>
          <w:color w:val="0891B2"/>
          <w:sz w:val="17"/>
        </w:rPr>
        <w:t>https://grants.nih.gov/new-to-nih/organization-registration</w:t>
      </w:r>
    </w:p>
    <w:p>
      <w:pPr>
        <w:pStyle w:val="ListBullet"/>
        <w:spacing w:after="40"/>
      </w:pPr>
      <w:r>
        <w:rPr>
          <w:sz w:val="18"/>
        </w:rPr>
        <w:t xml:space="preserve">SBA — SBIR/STTR eligibility &amp; size compliance guide (LLCs are an acceptable form) — </w:t>
      </w:r>
      <w:r>
        <w:rPr>
          <w:color w:val="0891B2"/>
          <w:sz w:val="17"/>
        </w:rPr>
        <w:t>https://www.sbir.gov/sites/default/files/elig_size_compliance_guide.pdf</w:t>
      </w:r>
    </w:p>
    <w:p>
      <w:pPr>
        <w:pStyle w:val="ListBullet"/>
        <w:spacing w:after="40"/>
      </w:pPr>
      <w:r>
        <w:rPr>
          <w:sz w:val="18"/>
        </w:rPr>
        <w:t xml:space="preserve">Crowell &amp; Moring — SBIR/STTR reauthorized after a six-month lapse (signed Apr 13, 2026) — </w:t>
      </w:r>
      <w:r>
        <w:rPr>
          <w:color w:val="0891B2"/>
          <w:sz w:val="17"/>
        </w:rPr>
        <w:t>https://www.crowell.com/en/insights/client-alerts/sbirsttr-programs-reauthorized-after-six-month-lapse</w:t>
      </w:r>
    </w:p>
    <w:p>
      <w:pPr>
        <w:pStyle w:val="ListBullet"/>
        <w:spacing w:after="40"/>
      </w:pPr>
      <w:r>
        <w:rPr>
          <w:sz w:val="18"/>
        </w:rPr>
        <w:t xml:space="preserve">ACL / NIDILRR SBIR program — </w:t>
      </w:r>
      <w:r>
        <w:rPr>
          <w:color w:val="0891B2"/>
          <w:sz w:val="17"/>
        </w:rPr>
        <w:t>https://acl.gov/news-and-events/announcements/new-funding-opportunity-small-business-innovation-research-program-2</w:t>
      </w:r>
    </w:p>
    <w:p>
      <w:pPr>
        <w:pStyle w:val="ListBullet"/>
        <w:spacing w:after="40"/>
      </w:pPr>
      <w:r>
        <w:rPr>
          <w:sz w:val="18"/>
        </w:rPr>
        <w:t xml:space="preserve">ED / IES SBIR solicitation information — </w:t>
      </w:r>
      <w:r>
        <w:rPr>
          <w:color w:val="0891B2"/>
          <w:sz w:val="17"/>
        </w:rPr>
        <w:t>https://ies.ed.gov/funding/research/programs/small-business-innovation-research-sbir/solicitation-information</w:t>
      </w:r>
    </w:p>
    <w:p>
      <w:pPr>
        <w:pStyle w:val="ListBullet"/>
        <w:spacing w:after="40"/>
      </w:pPr>
      <w:r>
        <w:rPr>
          <w:sz w:val="18"/>
        </w:rPr>
        <w:t xml:space="preserve">CHCF Innovation Fund — </w:t>
      </w:r>
      <w:r>
        <w:rPr>
          <w:color w:val="0891B2"/>
          <w:sz w:val="17"/>
        </w:rPr>
        <w:t>https://www.chcf.org/network/chcf-innovation-fund/</w:t>
      </w:r>
    </w:p>
    <w:p>
      <w:pPr>
        <w:pStyle w:val="ListBullet"/>
        <w:spacing w:after="40"/>
      </w:pPr>
      <w:r>
        <w:rPr>
          <w:sz w:val="18"/>
        </w:rPr>
        <w:t xml:space="preserve">CalOSBA Technical Assistance Program — not a small-business grant — </w:t>
      </w:r>
      <w:r>
        <w:rPr>
          <w:color w:val="0891B2"/>
          <w:sz w:val="17"/>
        </w:rPr>
        <w:t>https://www.grants.ca.gov/grants/technical-assistance-program-tap-2025-2026/</w:t>
      </w:r>
    </w:p>
    <w:p>
      <w:pPr>
        <w:pStyle w:val="ListBullet"/>
        <w:spacing w:after="40"/>
      </w:pPr>
      <w:r>
        <w:rPr>
          <w:sz w:val="18"/>
        </w:rPr>
        <w:t xml:space="preserve">B Lab — the legal requirement for B Corp certification — </w:t>
      </w:r>
      <w:r>
        <w:rPr>
          <w:color w:val="0891B2"/>
          <w:sz w:val="17"/>
        </w:rPr>
        <w:t>https://www.bcorporation.net/en-us/about-b-corps/legal-requirements/</w:t>
      </w:r>
    </w:p>
    <w:tbl>
      <w:tblPr>
        <w:tblW w:type="auto" w:w="0"/>
        <w:jc w:val="center"/>
        <w:tblLook w:firstColumn="1" w:firstRow="1" w:lastColumn="0" w:lastRow="0" w:noHBand="0" w:noVBand="1" w:val="04A0"/>
      </w:tblPr>
      <w:tblGrid>
        <w:gridCol w:w="9792"/>
      </w:tblGrid>
      <w:tr>
        <w:tc>
          <w:tcPr>
            <w:tcW w:type="dxa" w:w="9792"/>
            <w:shd w:val="clear" w:fill="FEE2E2"/>
          </w:tcPr>
          <w:p>
            <w:pPr>
              <w:spacing w:after="60"/>
            </w:pPr>
            <w:r/>
            <w:r>
              <w:rPr>
                <w:b/>
                <w:color w:val="DC2626"/>
                <w:sz w:val="21"/>
              </w:rPr>
              <w:t>Not legal or tax advice</w:t>
            </w:r>
          </w:p>
          <w:p>
            <w:pPr>
              <w:spacing w:after="40"/>
            </w:pPr>
            <w:r>
              <w:rPr>
                <w:sz w:val="20"/>
              </w:rPr>
              <w:t>This is research to make you a well-prepared client; no attorney-client relationship exists. Do not file formation documents for an entity that will hold protected health information, employ W-2 staff in California, and contract with a state agency without a California business attorney and a CPA reviewing the structure first. The conflict-of-interest question between Waypoint-as-facilitator and Waypoint-as-provider is specifically a question for counsel, not for this document. Filing fees, grant terms and tax rules change without notice — re-verify at filing and application time.</w:t>
            </w:r>
          </w:p>
        </w:tc>
      </w:tr>
    </w:tbl>
    <w:p>
      <w:pPr>
        <w:spacing w:after="40"/>
      </w:pP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Waypoint · Waypoint — Entity Formation · September 7, 2026 · Draft — decision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140" w:line="271" w:lineRule="auto"/>
    </w:pPr>
    <w:rPr>
      <w:rFonts w:ascii="Calibri" w:hAnsi="Calibri" w:eastAsia="Calibri"/>
      <w:sz w:val="21"/>
    </w:rPr>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1B2A4A"/>
      <w:sz w:val="32"/>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0891B2"/>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326F90"/>
    <w:pPr>
      <w:numPr>
        <w:numId w:val="1"/>
      </w:numPr>
      <w:contextualSpacing/>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2" Type="http://schemas.openxmlformats.org/officeDocument/2006/relationships/numbering" Target="numbering.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