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Waypoint Lite — KB Articles Audit (Completeness &amp; Accuracy)</w:t>
      </w:r>
    </w:p>
    <w:p>
      <w:pPr>
        <w:jc w:val="center"/>
      </w:pPr>
      <w:r>
        <w:t>Prepared: February 23, 2026</w:t>
      </w:r>
    </w:p>
    <w:p/>
    <w:p>
      <w:r>
        <w:rPr>
          <w:i/>
        </w:rPr>
        <w:t>Scope: Review for (1) factual/legal accuracy, (2) completeness for a California-focused parent support AI, and (3) blog-readability.</w:t>
      </w:r>
    </w:p>
    <w:p/>
    <w:p>
      <w:r>
        <w:rPr>
          <w:i/>
        </w:rPr>
        <w:t>Note: This is informational content, not legal advice. Laws and program rules change; include a ‘last reviewed’ date and link to primary sources in production.</w:t>
      </w:r>
    </w:p>
    <w:p/>
    <w:p>
      <w:r>
        <w:rPr>
          <w:b/>
        </w:rPr>
        <w:t>Cross-cutting issues (applies to many/all articles)</w:t>
      </w:r>
    </w:p>
    <w:p>
      <w:pPr>
        <w:pStyle w:val="ListBullet"/>
      </w:pPr>
      <w:r>
        <w:t>Add ‘Last reviewed’ date + ‘Citations/References’ block (links to WIC/Ed Code/SSA/DHCS/DMHC/OAH/CDE/OCR pages) at the end of every article.</w:t>
      </w:r>
    </w:p>
    <w:p>
      <w:pPr>
        <w:pStyle w:val="ListBullet"/>
      </w:pPr>
      <w:r>
        <w:t>Standardize terminology and definitions: ‘Notice of Action’ (Regional Center), ‘Prior Written Notice’ (IEP), ‘Notice of Action’ (Medi-Cal), ‘Notice of Action/Notice of Change’ (IHSS).</w:t>
      </w:r>
    </w:p>
    <w:p>
      <w:pPr>
        <w:pStyle w:val="ListBullet"/>
      </w:pPr>
      <w:r>
        <w:t>Clarify calendar vs business vs school days in every timeline. Several timelines are correct in concept but need ‘calendar vs business’ precision.</w:t>
      </w:r>
    </w:p>
    <w:p>
      <w:pPr>
        <w:pStyle w:val="ListBullet"/>
      </w:pPr>
      <w:r>
        <w:t>Add equity/access section: language access, disability accommodations, interpreter rights, and accessible-format requests (IEP + Regional Center).</w:t>
      </w:r>
    </w:p>
    <w:p>
      <w:pPr>
        <w:pStyle w:val="ListBullet"/>
      </w:pPr>
      <w:r>
        <w:t>Add ‘What documents to keep’ + ‘Suggested email template’ callouts (these will be high-value for both AI Engine and blog readers).</w:t>
      </w:r>
    </w:p>
    <w:p>
      <w:pPr>
        <w:pStyle w:val="ListBullet"/>
      </w:pPr>
      <w:r>
        <w:t>Avoid hard-coded dollar limits/percentages unless you also state the year and ‘varies by year/plan/county’; update for 2026 where needed (e.g., ABLE age expansion).</w:t>
      </w:r>
    </w:p>
    <w:p/>
    <w:p>
      <w:r>
        <w:rPr>
          <w:b/>
        </w:rPr>
        <w:t>RC-001 Lanterman Act — key accuracy/clarity fixes</w:t>
      </w:r>
    </w:p>
    <w:p>
      <w:pPr>
        <w:pStyle w:val="ListBullet"/>
      </w:pPr>
      <w:r>
        <w:t>Keep the ‘entitlement’ framing, but add nuance: Regional Centers must provide services based on individual need, yet services must be ‘cost-effective’ and subject to generic resource rules; include ‘most cost-effective’ language where applicable.</w:t>
      </w:r>
    </w:p>
    <w:p>
      <w:pPr>
        <w:pStyle w:val="ListBullet"/>
      </w:pPr>
      <w:r>
        <w:t>‘Payer of last resort’ is correct, but tighten wording: RC may require use of generic resources and may coordinate with other payers; RC still must ensure services are provided.</w:t>
      </w:r>
    </w:p>
    <w:p>
      <w:pPr>
        <w:pStyle w:val="ListBullet"/>
      </w:pPr>
      <w:r>
        <w:t>Add: definition of ‘substantial disability’ in practice (3+ major life areas) and how eligibility differs under age 3 (Early Start).</w:t>
      </w:r>
    </w:p>
    <w:p>
      <w:pPr>
        <w:pStyle w:val="ListBullet"/>
      </w:pPr>
      <w:r>
        <w:t>Add: right to services in the ‘least restrictive / most integrated’ setting where appropriate.</w:t>
      </w:r>
    </w:p>
    <w:p/>
    <w:p>
      <w:r>
        <w:rPr>
          <w:b/>
        </w:rPr>
        <w:t>RC-002 Intake &amp; timeline — key accuracy/clarity fixes</w:t>
      </w:r>
    </w:p>
    <w:p>
      <w:pPr>
        <w:pStyle w:val="ListBullet"/>
      </w:pPr>
      <w:r>
        <w:t>Timeline: WIC §4642 is ‘initial intake’ within 15 working days, and WIC §4643’s 120-day clock is measured from initial intake (not always from first referral). Clarify this to avoid over-promising deadlines.</w:t>
      </w:r>
    </w:p>
    <w:p>
      <w:pPr>
        <w:pStyle w:val="ListBullet"/>
      </w:pPr>
      <w:r>
        <w:t>The 60-day IPP meeting after eligibility is common practice; add a citation/check because requirements can vary depending on circumstances and updates to DDS guidance.</w:t>
      </w:r>
    </w:p>
    <w:p>
      <w:pPr>
        <w:pStyle w:val="ListBullet"/>
      </w:pPr>
      <w:r>
        <w:t>Add: what happens if RC claims ‘assessment paused’ due to missing records; include a script for demanding written explanation and documenting delays.</w:t>
      </w:r>
    </w:p>
    <w:p>
      <w:pPr>
        <w:pStyle w:val="ListBullet"/>
      </w:pPr>
      <w:r>
        <w:t>Add: Early Start (under 3) eligibility pathway + ‘at risk’ category basics and how it differs from ‘developmental disability’ eligibility.</w:t>
      </w:r>
    </w:p>
    <w:p/>
    <w:p>
      <w:r>
        <w:rPr>
          <w:b/>
        </w:rPr>
        <w:t>RC-003 IPP rights — key accuracy/clarity fixes</w:t>
      </w:r>
    </w:p>
    <w:p>
      <w:pPr>
        <w:pStyle w:val="ListBullet"/>
      </w:pPr>
      <w:r>
        <w:t>Good: 30-day IPP review request and 7-day emergency review timing—add explicit legal citation (WIC §4646.5).</w:t>
      </w:r>
    </w:p>
    <w:p>
      <w:pPr>
        <w:pStyle w:val="ListBullet"/>
      </w:pPr>
      <w:r>
        <w:t>Clarify signature: families can sign acknowledging attendance/receipt while noting disagreement; not signing is OK, but districts/RC sometimes treat signature as ‘participation.’ Provide a model ‘partial agreement’ statement.</w:t>
      </w:r>
    </w:p>
    <w:p>
      <w:pPr>
        <w:pStyle w:val="ListBullet"/>
      </w:pPr>
      <w:r>
        <w:t>Add: ‘assessment and service authorization’ is separate from the IPP narrative; suggest always requesting written service authorizations (POS/authorizations) tied to IPP outcomes.</w:t>
      </w:r>
    </w:p>
    <w:p/>
    <w:p>
      <w:r>
        <w:rPr>
          <w:b/>
        </w:rPr>
        <w:t>RC-004 POS standards — key accuracy/clarity fixes</w:t>
      </w:r>
    </w:p>
    <w:p>
      <w:pPr>
        <w:pStyle w:val="ListBullet"/>
      </w:pPr>
      <w:r>
        <w:t>‘If it’s in the IPP, RC should fund it’ needs nuance: RC can require generic resources first and can choose cost-effective options; better phrasing: ‘RC must ensure the service is provided, and may fund/purchase it when no generic resource is available.’</w:t>
      </w:r>
    </w:p>
    <w:p>
      <w:pPr>
        <w:pStyle w:val="ListBullet"/>
      </w:pPr>
      <w:r>
        <w:t>POS disparities: keep the disparity point, but avoid ‘approximately twice’ as a blanket claim; suggest citing the most recent DDS POS disparity report by year and RC.</w:t>
      </w:r>
    </w:p>
    <w:p>
      <w:pPr>
        <w:pStyle w:val="ListBullet"/>
      </w:pPr>
      <w:r>
        <w:t>‘Voucher’ terminology varies by RC; suggest describing ‘consumer-directed’ arrangements (e.g., vendorization exceptions, purchase order/authorization, non-vendored provider).</w:t>
      </w:r>
    </w:p>
    <w:p/>
    <w:p>
      <w:r>
        <w:rPr>
          <w:b/>
        </w:rPr>
        <w:t>RC-005 Fair hearings — key accuracy/clarity fixes</w:t>
      </w:r>
    </w:p>
    <w:p>
      <w:pPr>
        <w:pStyle w:val="ListBullet"/>
      </w:pPr>
      <w:r>
        <w:t>Update for appeals process reforms (SB 188 and DDS updates effective 2022–2023): intake forms, timelines, and the sequence of informal meeting/mediation/hearing can be more standardized now; cite DDS ‘Summary of Changes to the Appeals Process.’</w:t>
      </w:r>
    </w:p>
    <w:p>
      <w:pPr>
        <w:pStyle w:val="ListBullet"/>
      </w:pPr>
      <w:r>
        <w:t>‘Aid Paid Pending’ concept is correct—ensure you specify it usually applies when services are being reduced/terminated, and that parents must request it.</w:t>
      </w:r>
    </w:p>
    <w:p>
      <w:pPr>
        <w:pStyle w:val="ListBullet"/>
      </w:pPr>
      <w:r>
        <w:t>Add: where to get the current ‘appeal request form’ and how to submit (email/fax/portal) per DDS/OAH guidance.</w:t>
      </w:r>
    </w:p>
    <w:p/>
    <w:p>
      <w:r>
        <w:rPr>
          <w:b/>
        </w:rPr>
        <w:t>IEP-001 IDEA/FAPE — key accuracy/clarity fixes</w:t>
      </w:r>
    </w:p>
    <w:p>
      <w:pPr>
        <w:pStyle w:val="ListBullet"/>
      </w:pPr>
      <w:r>
        <w:t>Endrew F. summary is accurate; add a short ‘what to do with this’—tie measurable goals + progress data to the Endrew standard.</w:t>
      </w:r>
    </w:p>
    <w:p>
      <w:pPr>
        <w:pStyle w:val="ListBullet"/>
      </w:pPr>
      <w:r>
        <w:t>Evaluation timelines in California: 15-day assessment plan deadline is state law; 60-day assessment clock has exceptions for long school breaks and end-of-year timing—add the common exceptions to prevent confusion.</w:t>
      </w:r>
    </w:p>
    <w:p/>
    <w:p>
      <w:r>
        <w:rPr>
          <w:b/>
        </w:rPr>
        <w:t>IEP-002 CA Ed Code &amp; SB 483 — key accuracy/clarity fixes</w:t>
      </w:r>
    </w:p>
    <w:p>
      <w:pPr>
        <w:pStyle w:val="ListBullet"/>
      </w:pPr>
      <w:r>
        <w:t>SB 483 summary is too general; replace with a dated, sourced list of what SB 483 actually changed (and what rules came from other bills/regulations).</w:t>
      </w:r>
    </w:p>
    <w:p>
      <w:pPr>
        <w:pStyle w:val="ListBullet"/>
      </w:pPr>
      <w:r>
        <w:t>Recording IEP meetings: correct, but add that either party recording requires notice, and districts may set reasonable procedures.</w:t>
      </w:r>
    </w:p>
    <w:p>
      <w:pPr>
        <w:pStyle w:val="ListBullet"/>
      </w:pPr>
      <w:r>
        <w:t>Add: student records access ‘within 5 business days’ rule (CA Ed Code §56504) and that records must be provided before IEP/resolution meetings when requested.</w:t>
      </w:r>
    </w:p>
    <w:p/>
    <w:p>
      <w:r>
        <w:rPr>
          <w:b/>
        </w:rPr>
        <w:t>IEP-003 IEP meeting process — key accuracy/clarity fixes</w:t>
      </w:r>
    </w:p>
    <w:p>
      <w:pPr>
        <w:pStyle w:val="ListBullet"/>
      </w:pPr>
      <w:r>
        <w:t>‘Request reports 5 days before’ is a good best practice, but not a legal requirement; label it as a best practice and cite record-access rights instead.</w:t>
      </w:r>
    </w:p>
    <w:p>
      <w:pPr>
        <w:pStyle w:val="ListBullet"/>
      </w:pPr>
      <w:r>
        <w:t>‘Never sign at the meeting’ is good advocacy advice, but add nuance: some districts ask for attendance signature or consent for initial services—clarify what parents can safely sign vs what to take home.</w:t>
      </w:r>
    </w:p>
    <w:p>
      <w:pPr>
        <w:pStyle w:val="ListBullet"/>
      </w:pPr>
      <w:r>
        <w:t>Add: guidance on ‘meeting notes’ vs IEP pages and how to attach parent concerns statement.</w:t>
      </w:r>
    </w:p>
    <w:p/>
    <w:p>
      <w:r>
        <w:rPr>
          <w:b/>
        </w:rPr>
        <w:t>IEP-004 Dispute resolution — key accuracy/clarity fixes</w:t>
      </w:r>
    </w:p>
    <w:p>
      <w:pPr>
        <w:pStyle w:val="ListBullet"/>
      </w:pPr>
      <w:r>
        <w:t>Due process timeline is oversimplified; add: 30-day resolution period (with resolution meeting within 15 days), and hearing timeline typically runs 45 days after the resolution period ends unless extended.</w:t>
      </w:r>
    </w:p>
    <w:p>
      <w:pPr>
        <w:pStyle w:val="ListBullet"/>
      </w:pPr>
      <w:r>
        <w:t>Mediation: clarify that OAH offers mediation, and that mediation can occur pre- or post-filing depending on route; SELPA processes vary.</w:t>
      </w:r>
    </w:p>
    <w:p>
      <w:pPr>
        <w:pStyle w:val="ListBullet"/>
      </w:pPr>
      <w:r>
        <w:t>CDE complaint: good; add that it’s generally for compliance/procedural issues and that compensatory education can be ordered.</w:t>
      </w:r>
    </w:p>
    <w:p/>
    <w:p>
      <w:r>
        <w:rPr>
          <w:b/>
        </w:rPr>
        <w:t>IEP-005 IEE — key accuracy/clarity fixes</w:t>
      </w:r>
    </w:p>
    <w:p>
      <w:pPr>
        <w:pStyle w:val="ListBullet"/>
      </w:pPr>
      <w:r>
        <w:t>Accurate overall. Add: the district must provide IEE criteria ‘without unnecessary delay’ after request; and the parent must share the IEE if they want the district to consider it.</w:t>
      </w:r>
    </w:p>
    <w:p>
      <w:pPr>
        <w:pStyle w:val="ListBullet"/>
      </w:pPr>
      <w:r>
        <w:t>Add: common practice about ‘cap’ amounts and how to challenge unreasonable caps; advise requesting list of qualified evaluators but keeping parent choice rights.</w:t>
      </w:r>
    </w:p>
    <w:p/>
    <w:p>
      <w:r>
        <w:rPr>
          <w:b/>
        </w:rPr>
        <w:t>BEN-001 SSI — key accuracy/clarity fixes</w:t>
      </w:r>
    </w:p>
    <w:p>
      <w:pPr>
        <w:pStyle w:val="ListBullet"/>
      </w:pPr>
      <w:r>
        <w:t>Dollar amount: ‘~$943’ was the 2024 federal SSI maximum for an individual; California adds an SSP supplement, but the combined amount varies by living arrangement. Recommend stating ‘up to’ and citing SSA + DHCS/SSP grant tables.</w:t>
      </w:r>
    </w:p>
    <w:p>
      <w:pPr>
        <w:pStyle w:val="ListBullet"/>
      </w:pPr>
      <w:r>
        <w:t>The ‘family of 4 income &lt; $45k–$55k’ is too rough; suggest removing numbers or clearly labeling as an illustrative estimate and encouraging use of SSA’s screening tool or benefits planner.</w:t>
      </w:r>
    </w:p>
    <w:p>
      <w:pPr>
        <w:pStyle w:val="ListBullet"/>
      </w:pPr>
      <w:r>
        <w:t>‘Institutional deeming’ statement is risky/misleading: institutional deeming commonly refers to Medi-Cal eligibility via the HCBS-DD waiver (not SSI). Separate SSI deeming rules from Medi-Cal institutional deeming.</w:t>
      </w:r>
    </w:p>
    <w:p/>
    <w:p>
      <w:r>
        <w:rPr>
          <w:b/>
        </w:rPr>
        <w:t>BEN-002 IHSS — key accuracy/clarity fixes</w:t>
      </w:r>
    </w:p>
    <w:p>
      <w:pPr>
        <w:pStyle w:val="ListBullet"/>
      </w:pPr>
      <w:r>
        <w:t>Parents can be providers, but there are additional rules in two-parent households and around ‘extraordinary care’ and availability of other providers—add a short ‘limitations’ paragraph and point to CDSS guidance.</w:t>
      </w:r>
    </w:p>
    <w:p>
      <w:pPr>
        <w:pStyle w:val="ListBullet"/>
      </w:pPr>
      <w:r>
        <w:t>Tax: IHSS pay can be excludable from federal income tax for live-in providers in many cases; don’t state it is always taxable. Recommend ‘may be taxable; consult a tax professional’ wording.</w:t>
      </w:r>
    </w:p>
    <w:p>
      <w:pPr>
        <w:pStyle w:val="ListBullet"/>
      </w:pPr>
      <w:r>
        <w:t>Add: protective supervision requirements (‘nonself-directing’ + need for 24-hour monitoring) and documentation examples.</w:t>
      </w:r>
    </w:p>
    <w:p/>
    <w:p>
      <w:r>
        <w:rPr>
          <w:b/>
        </w:rPr>
        <w:t>BEN-003 Funding waterfall — key accuracy/clarity fixes</w:t>
      </w:r>
    </w:p>
    <w:p>
      <w:pPr>
        <w:pStyle w:val="ListBullet"/>
      </w:pPr>
      <w:r>
        <w:t>Helpful concept. Add nuance: there isn’t always a single statewide ‘order’; responsibility depends on the service category (medical vs educational vs developmental) and specific statutes/contracts.</w:t>
      </w:r>
    </w:p>
    <w:p>
      <w:pPr>
        <w:pStyle w:val="ListBullet"/>
      </w:pPr>
      <w:r>
        <w:t>Add: CCS is now largely integrated into Medi-Cal managed care in many counties (program structure varies); caution parents to verify local process.</w:t>
      </w:r>
    </w:p>
    <w:p>
      <w:pPr>
        <w:pStyle w:val="ListBullet"/>
      </w:pPr>
      <w:r>
        <w:t>EPSDT paragraph is strong; add: request a written Notice of Action/denial from the Medi-Cal plan/county to preserve appeal rights.</w:t>
      </w:r>
    </w:p>
    <w:p/>
    <w:p>
      <w:r>
        <w:rPr>
          <w:b/>
        </w:rPr>
        <w:t>BEN-004 Medi-Cal waivers &amp; EPSDT — key accuracy/clarity fixes</w:t>
      </w:r>
    </w:p>
    <w:p>
      <w:pPr>
        <w:pStyle w:val="ListBullet"/>
      </w:pPr>
      <w:r>
        <w:t>HCBS waiver description is good. Add: institutional deeming is a Medi-Cal pathway often tied to the HCBS-DD waiver; include the name families will hear (‘HCBS-DD waiver’ / ‘institutional deeming waiver’).</w:t>
      </w:r>
    </w:p>
    <w:p>
      <w:pPr>
        <w:pStyle w:val="ListBullet"/>
      </w:pPr>
      <w:r>
        <w:t>Self-Determination Program is not a Medi-Cal waiver; it’s a Regional Center program authorized under state law with federal HCBS waiver/State Plan interactions. Reframe to avoid calling it a ‘Medi-Cal waiver program.’</w:t>
      </w:r>
    </w:p>
    <w:p/>
    <w:p>
      <w:r>
        <w:rPr>
          <w:b/>
        </w:rPr>
        <w:t>BEN-005 CalABLE — key accuracy/clarity fixes</w:t>
      </w:r>
    </w:p>
    <w:p>
      <w:pPr>
        <w:pStyle w:val="ListBullet"/>
      </w:pPr>
      <w:r>
        <w:t>Update for 2026: ABLE eligibility age of onset expands from 26 to 46 effective Jan 1, 2026—your draft still says 26.</w:t>
      </w:r>
    </w:p>
    <w:p>
      <w:pPr>
        <w:pStyle w:val="ListBullet"/>
      </w:pPr>
      <w:r>
        <w:t>Annual contribution limit changes each year (and can be higher with ‘ABLE to Work’); avoid locking to 2024’s $18,000. CalABLE materials show a $20,000 annual limit (current CalABLE guidance).</w:t>
      </w:r>
    </w:p>
    <w:p>
      <w:pPr>
        <w:pStyle w:val="ListBullet"/>
      </w:pPr>
      <w:r>
        <w:t>Add: Medi-Cal payback rules at death (state reimbursement) for ABLE programs and how families can plan around it.</w:t>
      </w:r>
    </w:p>
    <w:p/>
    <w:p>
      <w:r>
        <w:rPr>
          <w:b/>
        </w:rPr>
        <w:t>INS-001 Insurance appeals — key accuracy/clarity fixes</w:t>
      </w:r>
    </w:p>
    <w:p>
      <w:pPr>
        <w:pStyle w:val="ListBullet"/>
      </w:pPr>
      <w:r>
        <w:t>Overturn rate: avoid a single fixed ‘~60%’ unless tied to a specific DMHC report/year; use a range and cite DMHC IMR reporting pages.</w:t>
      </w:r>
    </w:p>
    <w:p>
      <w:pPr>
        <w:pStyle w:val="ListBullet"/>
      </w:pPr>
      <w:r>
        <w:t>External review: clarify DMHC vs CDI jurisdiction (DMHC = most HMOs + some PPOs; CDI = many fully-insured PPOs; self-funded employer plans are usually ERISA and not under DMHC/CDI).</w:t>
      </w:r>
    </w:p>
    <w:p>
      <w:pPr>
        <w:pStyle w:val="ListBullet"/>
      </w:pPr>
      <w:r>
        <w:t>Timely access: specialist standard is commonly 15 business days (not 15 for all ‘specialist appointments’ in all cases); cite DMHC ‘Timely Access’ chart and note different categories (primary care, specialist, mental health).</w:t>
      </w:r>
    </w:p>
    <w:p/>
    <w:p>
      <w:r>
        <w:rPr>
          <w:b/>
        </w:rPr>
        <w:t>INS-002 Medical necessity — key accuracy/clarity fixes</w:t>
      </w:r>
    </w:p>
    <w:p>
      <w:pPr>
        <w:pStyle w:val="ListBullet"/>
      </w:pPr>
      <w:r>
        <w:t>Good. Add: always request the plan’s clinical criteria used (e.g., InterQual/MCG/internal policy) and quote the exact denial rationale in the appeal.</w:t>
      </w:r>
    </w:p>
    <w:p>
      <w:pPr>
        <w:pStyle w:val="ListBullet"/>
      </w:pPr>
      <w:r>
        <w:t>Add: ‘urgent’ appeal definition and when to request expedited review (risk to health, loss of function).</w:t>
      </w:r>
    </w:p>
    <w:p/>
    <w:p>
      <w:r>
        <w:rPr>
          <w:b/>
        </w:rPr>
        <w:t>INS-003 Denials/EOB — key accuracy/clarity fixes</w:t>
      </w:r>
    </w:p>
    <w:p>
      <w:pPr>
        <w:pStyle w:val="ListBullet"/>
      </w:pPr>
      <w:r>
        <w:t>Solid. Add: distinction between EOB (insurer) vs bill (provider) and when to request a corrected claim vs appeal.</w:t>
      </w:r>
    </w:p>
    <w:p>
      <w:pPr>
        <w:pStyle w:val="ListBullet"/>
      </w:pPr>
      <w:r>
        <w:t>Add: advice on ‘balance billing’ protections depending on plan type and setting (e.g., emergency services).</w:t>
      </w:r>
    </w:p>
    <w:p/>
    <w:p>
      <w:r>
        <w:rPr>
          <w:b/>
        </w:rPr>
        <w:t>RGT-001 Fair hearings across systems — key accuracy/clarity fixes</w:t>
      </w:r>
    </w:p>
    <w:p>
      <w:pPr>
        <w:pStyle w:val="ListBullet"/>
      </w:pPr>
      <w:r>
        <w:t>Medi-Cal: clarify managed care grievance/exhaustion rules and when you can go straight to state hearing.</w:t>
      </w:r>
    </w:p>
    <w:p>
      <w:pPr>
        <w:pStyle w:val="ListBullet"/>
      </w:pPr>
      <w:r>
        <w:t>IHSS: confirm ‘90 days’ is correct for state hearings in CA, but include ‘Aid Paid Pending’ timing and that notices specify the deadline.</w:t>
      </w:r>
    </w:p>
    <w:p/>
    <w:p>
      <w:r>
        <w:rPr>
          <w:b/>
        </w:rPr>
        <w:t>RGT-002 Complaints (4731/CDE/OCR) — key accuracy/clarity fixes</w:t>
      </w:r>
    </w:p>
    <w:p>
      <w:pPr>
        <w:pStyle w:val="ListBullet"/>
      </w:pPr>
      <w:r>
        <w:t>Add: a short ‘what evidence to attach’ checklist for each complaint type, and where to file (links/forms).</w:t>
      </w:r>
    </w:p>
    <w:p>
      <w:pPr>
        <w:pStyle w:val="ListBullet"/>
      </w:pPr>
      <w:r>
        <w:t>Add: OCR is discrimination-focused; also mention 504/ADA grievance procedures within districts as an intermediate step.</w:t>
      </w:r>
    </w:p>
    <w:p/>
    <w:p>
      <w:r>
        <w:rPr>
          <w:b/>
        </w:rPr>
        <w:t>RGT-003 Timelines — key accuracy/clarity fixes</w:t>
      </w:r>
    </w:p>
    <w:p>
      <w:pPr>
        <w:pStyle w:val="ListBullet"/>
      </w:pPr>
      <w:r>
        <w:t>‘Mark day 1 as date the notice was mailed’ can be system-specific; safer to say ‘use the notice date/mailing date stated on the notice’ and file ASAP, because some agencies use receipt rules.</w:t>
      </w:r>
    </w:p>
    <w:p>
      <w:pPr>
        <w:pStyle w:val="ListBullet"/>
      </w:pPr>
      <w:r>
        <w:t>Add: due process resolution/hearing timeline detail (30-day resolution period, 45-day decision timeline post-resolution unless extended).</w:t>
      </w:r>
    </w:p>
    <w:p/>
    <w:p>
      <w:r>
        <w:rPr>
          <w:b/>
        </w:rPr>
        <w:t>NAV &amp; TRN articles — missing additions</w:t>
      </w:r>
    </w:p>
    <w:p>
      <w:pPr>
        <w:pStyle w:val="ListBullet"/>
      </w:pPr>
      <w:r>
        <w:t>Add: 504 Plans (when a child doesn’t qualify for IDEA but needs accommodations), and ADA protections in school and in public settings.</w:t>
      </w:r>
    </w:p>
    <w:p>
      <w:pPr>
        <w:pStyle w:val="ListBullet"/>
      </w:pPr>
      <w:r>
        <w:t>Add: Emergency resources (988 for behavioral health crisis, county mobile crisis, hospital social work) and safety planning for elopement/self-injury.</w:t>
      </w:r>
    </w:p>
    <w:p>
      <w:pPr>
        <w:pStyle w:val="ListBullet"/>
      </w:pPr>
      <w:r>
        <w:t>Transitions: add ‘Age 18 rights checklist’ (FERPA transfer, medical releases, supported decision-making agreements, ABLE/SNT, SSI adult re-determination).</w:t>
      </w:r>
    </w:p>
    <w:p>
      <w:pPr>
        <w:pStyle w:val="ListBullet"/>
      </w:pPr>
      <w:r>
        <w:t>Add: post-22 adult day services overview (RC day programs, supported employment, DOR coordination) + timeline for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