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50753" w14:textId="13A7C8B7" w:rsidR="00487462" w:rsidRPr="0003674E" w:rsidRDefault="00842CFE" w:rsidP="009558B0">
      <w:pPr>
        <w:outlineLvl w:val="0"/>
      </w:pPr>
      <w:r w:rsidRPr="0003674E">
        <w:t>Running h</w:t>
      </w:r>
      <w:r w:rsidR="006D2FFB" w:rsidRPr="0003674E">
        <w:t>ead: TV</w:t>
      </w:r>
      <w:r w:rsidRPr="0003674E">
        <w:t xml:space="preserve"> AND ATTENTION</w:t>
      </w:r>
    </w:p>
    <w:p w14:paraId="49D838F7" w14:textId="77777777" w:rsidR="00D06298" w:rsidRPr="0003674E" w:rsidRDefault="00D06298" w:rsidP="00D06298">
      <w:pPr>
        <w:spacing w:line="480" w:lineRule="auto"/>
        <w:jc w:val="center"/>
      </w:pPr>
    </w:p>
    <w:p w14:paraId="070E2C6F" w14:textId="77777777" w:rsidR="00D06298" w:rsidRPr="0003674E" w:rsidRDefault="00D06298" w:rsidP="00D06298">
      <w:pPr>
        <w:spacing w:line="480" w:lineRule="auto"/>
        <w:jc w:val="center"/>
      </w:pPr>
    </w:p>
    <w:p w14:paraId="40065F81" w14:textId="77777777" w:rsidR="00842CFE" w:rsidRPr="0003674E" w:rsidRDefault="00842CFE" w:rsidP="00D06298">
      <w:pPr>
        <w:spacing w:line="480" w:lineRule="auto"/>
        <w:jc w:val="center"/>
      </w:pPr>
    </w:p>
    <w:p w14:paraId="4F8A9CB9" w14:textId="77777777" w:rsidR="00842CFE" w:rsidRPr="0003674E" w:rsidRDefault="00842CFE" w:rsidP="00D06298">
      <w:pPr>
        <w:spacing w:line="480" w:lineRule="auto"/>
        <w:jc w:val="center"/>
      </w:pPr>
    </w:p>
    <w:p w14:paraId="45CB437D" w14:textId="77777777" w:rsidR="00D06298" w:rsidRPr="0003674E" w:rsidRDefault="00D06298" w:rsidP="00D06298">
      <w:pPr>
        <w:spacing w:line="480" w:lineRule="auto"/>
        <w:jc w:val="center"/>
      </w:pPr>
    </w:p>
    <w:p w14:paraId="4996B6DF" w14:textId="4C71D509" w:rsidR="00487462" w:rsidRPr="0003674E" w:rsidRDefault="00C80935" w:rsidP="00D06298">
      <w:pPr>
        <w:spacing w:line="480" w:lineRule="auto"/>
        <w:jc w:val="center"/>
      </w:pPr>
      <w:r>
        <w:t xml:space="preserve">Challenging the Link Between Early Childhood Television Exposure and Later Attention Problems: A Multiverse </w:t>
      </w:r>
      <w:r w:rsidR="00510034">
        <w:t xml:space="preserve">Approach </w:t>
      </w:r>
    </w:p>
    <w:p w14:paraId="00461EB8" w14:textId="77777777" w:rsidR="00D06298" w:rsidRPr="0003674E" w:rsidRDefault="00D06298" w:rsidP="00D06298">
      <w:pPr>
        <w:spacing w:line="480" w:lineRule="auto"/>
        <w:jc w:val="center"/>
      </w:pPr>
    </w:p>
    <w:p w14:paraId="1D1525E1" w14:textId="77777777" w:rsidR="00D06298" w:rsidRPr="0003674E" w:rsidRDefault="00D06298" w:rsidP="00D06298">
      <w:pPr>
        <w:spacing w:line="480" w:lineRule="auto"/>
        <w:jc w:val="center"/>
      </w:pPr>
    </w:p>
    <w:p w14:paraId="4F5AE295" w14:textId="41798D11" w:rsidR="00D06298" w:rsidRPr="0003674E" w:rsidRDefault="00D06298" w:rsidP="009558B0">
      <w:pPr>
        <w:spacing w:line="480" w:lineRule="auto"/>
        <w:jc w:val="center"/>
        <w:outlineLvl w:val="0"/>
      </w:pPr>
      <w:r w:rsidRPr="0003674E">
        <w:t>Matthew T. McBee</w:t>
      </w:r>
      <w:r w:rsidRPr="0003674E">
        <w:rPr>
          <w:vertAlign w:val="superscript"/>
        </w:rPr>
        <w:t>1</w:t>
      </w:r>
    </w:p>
    <w:p w14:paraId="7DF50817" w14:textId="3C4465DF" w:rsidR="00762DFD" w:rsidRPr="0003674E" w:rsidRDefault="00762DFD" w:rsidP="00762DFD">
      <w:pPr>
        <w:spacing w:line="480" w:lineRule="auto"/>
        <w:jc w:val="center"/>
      </w:pPr>
      <w:r w:rsidRPr="0003674E">
        <w:t xml:space="preserve">Rebecca </w:t>
      </w:r>
      <w:r>
        <w:t xml:space="preserve">J. </w:t>
      </w:r>
      <w:r w:rsidRPr="0003674E">
        <w:t>Brand</w:t>
      </w:r>
      <w:r w:rsidRPr="0003674E">
        <w:rPr>
          <w:vertAlign w:val="superscript"/>
        </w:rPr>
        <w:t>2</w:t>
      </w:r>
    </w:p>
    <w:p w14:paraId="38521EEF" w14:textId="11B6C99A" w:rsidR="00D06298" w:rsidRPr="0003674E" w:rsidRDefault="00D06298" w:rsidP="00D06298">
      <w:pPr>
        <w:spacing w:line="480" w:lineRule="auto"/>
        <w:jc w:val="center"/>
      </w:pPr>
      <w:r w:rsidRPr="0003674E">
        <w:t>Wallace Dixon</w:t>
      </w:r>
      <w:r w:rsidRPr="0003674E">
        <w:rPr>
          <w:vertAlign w:val="superscript"/>
        </w:rPr>
        <w:t>1</w:t>
      </w:r>
    </w:p>
    <w:p w14:paraId="2C60D544" w14:textId="77777777" w:rsidR="00D06298" w:rsidRPr="0003674E" w:rsidRDefault="00D06298" w:rsidP="00D06298">
      <w:pPr>
        <w:spacing w:line="480" w:lineRule="auto"/>
        <w:jc w:val="center"/>
      </w:pPr>
    </w:p>
    <w:p w14:paraId="13AB3C47" w14:textId="77777777" w:rsidR="00842CFE" w:rsidRPr="0003674E" w:rsidRDefault="00842CFE" w:rsidP="00D06298">
      <w:pPr>
        <w:spacing w:line="480" w:lineRule="auto"/>
        <w:jc w:val="center"/>
      </w:pPr>
    </w:p>
    <w:p w14:paraId="2B3425D1" w14:textId="77777777" w:rsidR="00842CFE" w:rsidRPr="0003674E" w:rsidRDefault="00842CFE" w:rsidP="00D06298">
      <w:pPr>
        <w:spacing w:line="480" w:lineRule="auto"/>
        <w:jc w:val="center"/>
      </w:pPr>
    </w:p>
    <w:p w14:paraId="19C998C6" w14:textId="74086D4C" w:rsidR="00D06298" w:rsidRPr="0003674E" w:rsidRDefault="00D06298" w:rsidP="006D2FFB">
      <w:pPr>
        <w:spacing w:line="480" w:lineRule="auto"/>
      </w:pPr>
      <w:r w:rsidRPr="0003674E">
        <w:rPr>
          <w:vertAlign w:val="superscript"/>
        </w:rPr>
        <w:t>1</w:t>
      </w:r>
      <w:r w:rsidR="003D45A2" w:rsidRPr="0003674E">
        <w:t>Department of Psychology,</w:t>
      </w:r>
      <w:r w:rsidRPr="0003674E">
        <w:t xml:space="preserve"> East Tennessee State University, Johnson City, T</w:t>
      </w:r>
      <w:r w:rsidR="003D45A2" w:rsidRPr="0003674E">
        <w:t>N.</w:t>
      </w:r>
    </w:p>
    <w:p w14:paraId="63C4607D" w14:textId="338C3A74" w:rsidR="003D45A2" w:rsidRPr="0003674E" w:rsidRDefault="006D2FFB" w:rsidP="009558B0">
      <w:pPr>
        <w:spacing w:line="480" w:lineRule="auto"/>
        <w:outlineLvl w:val="0"/>
      </w:pPr>
      <w:r w:rsidRPr="0003674E">
        <w:rPr>
          <w:vertAlign w:val="superscript"/>
        </w:rPr>
        <w:t>2</w:t>
      </w:r>
      <w:r w:rsidR="003D45A2" w:rsidRPr="0003674E">
        <w:t xml:space="preserve">Department of Psychology, Villanova University, </w:t>
      </w:r>
      <w:r w:rsidRPr="0003674E">
        <w:t>Villanova, PA 19085</w:t>
      </w:r>
    </w:p>
    <w:p w14:paraId="0A9B9B58" w14:textId="0EA33F56" w:rsidR="00842CFE" w:rsidRPr="0003674E" w:rsidRDefault="00842CFE">
      <w:r w:rsidRPr="0003674E">
        <w:br w:type="page"/>
      </w:r>
    </w:p>
    <w:p w14:paraId="44927793" w14:textId="4CFBB336" w:rsidR="00842CFE" w:rsidRDefault="00842CFE" w:rsidP="00DC3882">
      <w:pPr>
        <w:spacing w:line="480" w:lineRule="auto"/>
        <w:jc w:val="center"/>
        <w:outlineLvl w:val="0"/>
        <w:rPr>
          <w:b/>
        </w:rPr>
      </w:pPr>
      <w:r w:rsidRPr="0003674E">
        <w:rPr>
          <w:b/>
        </w:rPr>
        <w:lastRenderedPageBreak/>
        <w:t>Abstract</w:t>
      </w:r>
    </w:p>
    <w:p w14:paraId="2C7B0287" w14:textId="5222F2F5" w:rsidR="00E010BE" w:rsidRPr="008669FE" w:rsidRDefault="006C0B6C" w:rsidP="00DC3882">
      <w:pPr>
        <w:spacing w:line="480" w:lineRule="auto"/>
        <w:outlineLvl w:val="0"/>
      </w:pPr>
      <w:r>
        <w:t xml:space="preserve">In 2004, Christakis and colleagues published an influential paper claiming that </w:t>
      </w:r>
      <w:r w:rsidR="00DC3882">
        <w:t xml:space="preserve">early childhood television exposure causes </w:t>
      </w:r>
      <w:r w:rsidR="00AD212E">
        <w:t xml:space="preserve">later </w:t>
      </w:r>
      <w:r w:rsidR="00DC3882">
        <w:t>attention problems (</w:t>
      </w:r>
      <w:r w:rsidR="00DC3882" w:rsidRPr="008A6993">
        <w:t>Christakis, Zimmerman, DiGiuseppe, &amp; McCarty, 2004)</w:t>
      </w:r>
      <w:r>
        <w:t>, which continues to be frequently promoted</w:t>
      </w:r>
      <w:r w:rsidR="00DC3882">
        <w:t xml:space="preserve"> by the popular media.</w:t>
      </w:r>
      <w:r w:rsidR="00516A90">
        <w:t xml:space="preserve"> </w:t>
      </w:r>
      <w:r w:rsidR="00F74057">
        <w:t xml:space="preserve">Using </w:t>
      </w:r>
      <w:r w:rsidR="005918BA">
        <w:t>the same</w:t>
      </w:r>
      <w:r w:rsidR="00F74057">
        <w:t xml:space="preserve"> </w:t>
      </w:r>
      <w:r w:rsidR="009A4424">
        <w:t>NLSY</w:t>
      </w:r>
      <w:r w:rsidR="00F74057">
        <w:t xml:space="preserve">-79 </w:t>
      </w:r>
      <w:r w:rsidR="00984265">
        <w:t>dataset</w:t>
      </w:r>
      <w:r w:rsidR="00AE41CC">
        <w:t xml:space="preserve"> (</w:t>
      </w:r>
      <w:r w:rsidR="00AE41CC">
        <w:rPr>
          <w:i/>
          <w:iCs/>
        </w:rPr>
        <w:t>n</w:t>
      </w:r>
      <w:r w:rsidR="00AE41CC">
        <w:t xml:space="preserve"> = 2,1</w:t>
      </w:r>
      <w:r w:rsidR="00067C04">
        <w:t>08</w:t>
      </w:r>
      <w:r w:rsidR="00AE41CC">
        <w:t>)</w:t>
      </w:r>
      <w:r w:rsidR="00984265">
        <w:t xml:space="preserve">, </w:t>
      </w:r>
      <w:r w:rsidR="00F74057">
        <w:t>w</w:t>
      </w:r>
      <w:r w:rsidR="00DC3882">
        <w:t xml:space="preserve">e conducted </w:t>
      </w:r>
      <w:r w:rsidR="00BB61FA">
        <w:t>two</w:t>
      </w:r>
      <w:r w:rsidR="00DC3882">
        <w:t xml:space="preserve"> multiverse analys</w:t>
      </w:r>
      <w:r w:rsidR="00BB61FA">
        <w:t>e</w:t>
      </w:r>
      <w:r w:rsidR="00DC3882">
        <w:t xml:space="preserve">s to examine </w:t>
      </w:r>
      <w:r w:rsidR="00E3186F">
        <w:t>whether the</w:t>
      </w:r>
      <w:r w:rsidR="00DC3882">
        <w:t xml:space="preserve"> finding reported by Christakis et al. </w:t>
      </w:r>
      <w:r w:rsidR="00DC3644">
        <w:t xml:space="preserve">was </w:t>
      </w:r>
      <w:r w:rsidR="00AE41CC">
        <w:t xml:space="preserve">robust to </w:t>
      </w:r>
      <w:r w:rsidR="00580F6B">
        <w:t xml:space="preserve">different </w:t>
      </w:r>
      <w:r w:rsidR="00DC3882">
        <w:t>analytic</w:t>
      </w:r>
      <w:r w:rsidR="00AD212E">
        <w:t xml:space="preserve"> choices</w:t>
      </w:r>
      <w:r w:rsidR="00984265">
        <w:t xml:space="preserve">. We evaluated </w:t>
      </w:r>
      <w:r w:rsidR="00C94E1E">
        <w:t>848</w:t>
      </w:r>
      <w:r w:rsidR="00984265">
        <w:t xml:space="preserve"> models, including logistic regression</w:t>
      </w:r>
      <w:r w:rsidR="00712589">
        <w:t xml:space="preserve"> as </w:t>
      </w:r>
      <w:r>
        <w:t>per</w:t>
      </w:r>
      <w:r w:rsidR="00712589">
        <w:t xml:space="preserve"> the original paper</w:t>
      </w:r>
      <w:r w:rsidR="00984265">
        <w:t>,</w:t>
      </w:r>
      <w:r w:rsidR="00712589">
        <w:t xml:space="preserve"> plus</w:t>
      </w:r>
      <w:r w:rsidR="00984265">
        <w:t xml:space="preserve"> </w:t>
      </w:r>
      <w:r w:rsidR="00712589">
        <w:t xml:space="preserve">linear regression </w:t>
      </w:r>
      <w:r w:rsidR="00984265">
        <w:t xml:space="preserve">and two forms of propensity score analysis. </w:t>
      </w:r>
      <w:r w:rsidR="00E647F1" w:rsidRPr="00F71468">
        <w:t xml:space="preserve">Only </w:t>
      </w:r>
      <w:r w:rsidR="00D8274F" w:rsidRPr="00F71468">
        <w:t>1</w:t>
      </w:r>
      <w:r w:rsidR="00C94E1E">
        <w:t>66</w:t>
      </w:r>
      <w:r w:rsidR="00E647F1" w:rsidRPr="00F71468">
        <w:t xml:space="preserve"> models </w:t>
      </w:r>
      <w:r w:rsidR="00D8274F" w:rsidRPr="00F71468">
        <w:t>(1</w:t>
      </w:r>
      <w:r w:rsidR="00E3186F" w:rsidRPr="00F71468">
        <w:t>9.</w:t>
      </w:r>
      <w:r w:rsidR="00EC52CE">
        <w:t>6</w:t>
      </w:r>
      <w:r w:rsidR="00D8274F" w:rsidRPr="00F71468">
        <w:t>%)</w:t>
      </w:r>
      <w:r w:rsidR="00D8274F">
        <w:t xml:space="preserve"> </w:t>
      </w:r>
      <w:r w:rsidR="00E647F1">
        <w:t>yielded a statistically significant relationship between early TV exposure and later attention problems</w:t>
      </w:r>
      <w:r w:rsidR="00E3186F">
        <w:t xml:space="preserve">, with most of these employing </w:t>
      </w:r>
      <w:r>
        <w:t>problematic</w:t>
      </w:r>
      <w:r w:rsidR="00E3186F">
        <w:t xml:space="preserve"> analytic choices. </w:t>
      </w:r>
      <w:r w:rsidR="00E010BE">
        <w:t xml:space="preserve">We conclude that </w:t>
      </w:r>
      <w:r w:rsidR="00580F6B">
        <w:t xml:space="preserve">these data do not </w:t>
      </w:r>
      <w:r>
        <w:t xml:space="preserve">provide </w:t>
      </w:r>
      <w:r w:rsidR="00672832">
        <w:t>compelling</w:t>
      </w:r>
      <w:r>
        <w:t xml:space="preserve"> evidence of </w:t>
      </w:r>
      <w:r w:rsidR="00580F6B">
        <w:t>a harmful effect of TV on attention.</w:t>
      </w:r>
      <w:r w:rsidR="00E010BE">
        <w:t xml:space="preserve"> All </w:t>
      </w:r>
      <w:r>
        <w:t>material</w:t>
      </w:r>
      <w:r w:rsidR="00E010BE">
        <w:t xml:space="preserve"> necessary to reproduce our analysis is available online via </w:t>
      </w:r>
      <w:r w:rsidR="004E7193">
        <w:t>Github</w:t>
      </w:r>
      <w:r w:rsidR="00E010BE">
        <w:t xml:space="preserve"> </w:t>
      </w:r>
      <w:bookmarkStart w:id="0" w:name="_Hlk38443831"/>
      <w:r w:rsidR="00F34EA6">
        <w:t>(</w:t>
      </w:r>
      <w:hyperlink r:id="rId8" w:history="1">
        <w:r w:rsidR="00F34EA6" w:rsidRPr="00AD33C7">
          <w:rPr>
            <w:rStyle w:val="Hyperlink"/>
          </w:rPr>
          <w:t>https://github.com/mcbeem/TVAttention</w:t>
        </w:r>
      </w:hyperlink>
      <w:bookmarkEnd w:id="0"/>
      <w:r w:rsidR="00F34EA6">
        <w:t xml:space="preserve">) </w:t>
      </w:r>
      <w:r w:rsidR="00E010BE">
        <w:t xml:space="preserve">and as a Docker container </w:t>
      </w:r>
      <w:r w:rsidR="00F34EA6">
        <w:t>(</w:t>
      </w:r>
      <w:hyperlink r:id="rId9" w:history="1">
        <w:r w:rsidR="00E010BE" w:rsidRPr="00E010BE">
          <w:rPr>
            <w:rStyle w:val="Hyperlink"/>
          </w:rPr>
          <w:t>https://hub.docker.com/repository/docker/mmcbee/rstudio_tvattention</w:t>
        </w:r>
      </w:hyperlink>
      <w:r w:rsidR="00F34EA6">
        <w:t>)</w:t>
      </w:r>
      <w:r w:rsidR="00E010BE">
        <w:t>.</w:t>
      </w:r>
      <w:r w:rsidR="007D00C0">
        <w:t xml:space="preserve"> Preprint </w:t>
      </w:r>
      <w:r w:rsidR="006C5CE1">
        <w:t>[</w:t>
      </w:r>
      <w:hyperlink r:id="rId10" w:history="1">
        <w:r w:rsidR="004F24AA" w:rsidRPr="004F24AA">
          <w:rPr>
            <w:rStyle w:val="Hyperlink"/>
          </w:rPr>
          <w:t>https://psyarxiv.com/5hd4r/</w:t>
        </w:r>
      </w:hyperlink>
      <w:r w:rsidR="006C5CE1">
        <w:t>].</w:t>
      </w:r>
    </w:p>
    <w:p w14:paraId="72A7167F" w14:textId="77777777" w:rsidR="00A24485" w:rsidRPr="00AD33C7" w:rsidRDefault="00A24485" w:rsidP="00DC3882">
      <w:pPr>
        <w:spacing w:line="480" w:lineRule="auto"/>
        <w:outlineLvl w:val="0"/>
      </w:pPr>
    </w:p>
    <w:p w14:paraId="6CB35F0B" w14:textId="77777777" w:rsidR="00D06298" w:rsidRPr="0003674E" w:rsidRDefault="00D06298" w:rsidP="00D06298">
      <w:pPr>
        <w:spacing w:line="480" w:lineRule="auto"/>
        <w:jc w:val="center"/>
      </w:pPr>
    </w:p>
    <w:p w14:paraId="7F148AF0" w14:textId="725D1110" w:rsidR="00487462" w:rsidRPr="0003674E" w:rsidRDefault="007D00C0" w:rsidP="00D06298">
      <w:pPr>
        <w:spacing w:line="480" w:lineRule="auto"/>
        <w:rPr>
          <w:b/>
        </w:rPr>
      </w:pPr>
      <w:r w:rsidRPr="00AD33C7">
        <w:rPr>
          <w:b/>
        </w:rPr>
        <w:t>Keywords</w:t>
      </w:r>
      <w:r>
        <w:rPr>
          <w:bCs/>
        </w:rPr>
        <w:t>: media, TV, ADHD, attention development, multiverse analysis</w:t>
      </w:r>
      <w:r w:rsidR="00E3186F">
        <w:rPr>
          <w:bCs/>
        </w:rPr>
        <w:t xml:space="preserve">, </w:t>
      </w:r>
      <w:r>
        <w:rPr>
          <w:bCs/>
        </w:rPr>
        <w:t>computational reproducibility, garden of forking paths</w:t>
      </w:r>
      <w:r w:rsidR="00487462" w:rsidRPr="0003674E">
        <w:rPr>
          <w:b/>
        </w:rPr>
        <w:br w:type="page"/>
      </w:r>
    </w:p>
    <w:p w14:paraId="2FFE3E04" w14:textId="372F04F4" w:rsidR="00695771" w:rsidRPr="0076038C" w:rsidRDefault="0076038C" w:rsidP="0076038C">
      <w:pPr>
        <w:spacing w:line="480" w:lineRule="auto"/>
        <w:jc w:val="center"/>
      </w:pPr>
      <w:r>
        <w:lastRenderedPageBreak/>
        <w:t xml:space="preserve">Challenging the Link Between Early Childhood Television Exposure and Later Attention Problems: A Multiverse Analysis </w:t>
      </w:r>
    </w:p>
    <w:p w14:paraId="155B9916" w14:textId="77648AB2" w:rsidR="00B67C3F" w:rsidRPr="001E446A" w:rsidRDefault="00B67C3F" w:rsidP="00B67C3F">
      <w:pPr>
        <w:spacing w:line="480" w:lineRule="auto"/>
        <w:ind w:firstLine="720"/>
        <w:contextualSpacing/>
      </w:pPr>
      <w:r>
        <w:t xml:space="preserve">Psychological science </w:t>
      </w:r>
      <w:r w:rsidR="001009C7">
        <w:t>can have</w:t>
      </w:r>
      <w:r>
        <w:t xml:space="preserve"> a broad and deep impact on human lives. In developmental psychology in particular, there is a sense of relevance, indeed urgency, to many of its questions: </w:t>
      </w:r>
      <w:r w:rsidR="00985B4D">
        <w:t>What are the</w:t>
      </w:r>
      <w:r w:rsidR="001009C7" w:rsidRPr="001E446A">
        <w:t xml:space="preserve"> cause</w:t>
      </w:r>
      <w:r w:rsidR="00985B4D">
        <w:t>s of</w:t>
      </w:r>
      <w:r w:rsidR="001009C7" w:rsidRPr="001E446A">
        <w:t xml:space="preserve"> autism?</w:t>
      </w:r>
      <w:r w:rsidR="001009C7">
        <w:t xml:space="preserve"> </w:t>
      </w:r>
      <w:r>
        <w:t xml:space="preserve">Is </w:t>
      </w:r>
      <w:r w:rsidRPr="001E446A">
        <w:t xml:space="preserve">it helpful or harmful to </w:t>
      </w:r>
      <w:r>
        <w:t>grow up multilingual</w:t>
      </w:r>
      <w:r w:rsidRPr="001E446A">
        <w:t>?</w:t>
      </w:r>
      <w:r>
        <w:t xml:space="preserve"> Does screen time cause attention deficits? The stakes are high; it is crucial that scientists get </w:t>
      </w:r>
      <w:r w:rsidR="0013313E">
        <w:t>the answers</w:t>
      </w:r>
      <w:r>
        <w:t xml:space="preserve"> right.</w:t>
      </w:r>
      <w:r w:rsidR="00985B4D">
        <w:t xml:space="preserve"> Unfortunately, the replication crisis in psychology and other fields has shown that many claims in the </w:t>
      </w:r>
      <w:r w:rsidR="00B77D89">
        <w:t xml:space="preserve">social and behavioral sciences </w:t>
      </w:r>
      <w:r w:rsidR="00985B4D">
        <w:t>literature do not hold up to re-examination (</w:t>
      </w:r>
      <w:r w:rsidR="00985B4D" w:rsidRPr="00511E1E">
        <w:t>Open Science Collaboration, 2015; Camerer et al., 2018</w:t>
      </w:r>
      <w:r w:rsidR="00985B4D">
        <w:t>).</w:t>
      </w:r>
    </w:p>
    <w:p w14:paraId="760CA5D9" w14:textId="13F4722D" w:rsidR="00B67C3F" w:rsidRPr="001E446A" w:rsidRDefault="00B67C3F" w:rsidP="00B67C3F">
      <w:pPr>
        <w:spacing w:line="480" w:lineRule="auto"/>
        <w:ind w:firstLine="720"/>
        <w:contextualSpacing/>
      </w:pPr>
      <w:r w:rsidRPr="001E446A">
        <w:t xml:space="preserve">Once </w:t>
      </w:r>
      <w:r>
        <w:t xml:space="preserve">an erroneous finding has been disseminated, it seems nearly impossible to correct public misconceptions. One salient example involves Andrew Wakefield’s fraudulent claim </w:t>
      </w:r>
      <w:r w:rsidR="005509CC">
        <w:t xml:space="preserve">(1998, retracted) </w:t>
      </w:r>
      <w:r>
        <w:t xml:space="preserve">of a link between autism and the MMR vaccine (Committee to Review Adverse Effects of Vaccines, 2012; </w:t>
      </w:r>
      <w:r w:rsidRPr="00AB5E3E">
        <w:t xml:space="preserve">Oliver &amp; Wood, </w:t>
      </w:r>
      <w:r>
        <w:t>2014</w:t>
      </w:r>
      <w:r w:rsidRPr="00AB5E3E">
        <w:t>).</w:t>
      </w:r>
      <w:r>
        <w:t xml:space="preserve"> Whether </w:t>
      </w:r>
      <w:r w:rsidR="00482482">
        <w:t xml:space="preserve">due to fraud, mismanagement, or merely chance, non-replicable findings derail scientific </w:t>
      </w:r>
      <w:r w:rsidR="004F2492">
        <w:t>progress</w:t>
      </w:r>
      <w:r w:rsidR="004F2492">
        <w:rPr>
          <w:rStyle w:val="CommentReference"/>
          <w:rFonts w:asciiTheme="minorHAnsi" w:eastAsiaTheme="minorHAnsi" w:hAnsiTheme="minorHAnsi" w:cstheme="minorBidi"/>
        </w:rPr>
        <w:t>.</w:t>
      </w:r>
      <w:r w:rsidR="004F2492">
        <w:t xml:space="preserve"> Engaging</w:t>
      </w:r>
      <w:r>
        <w:t xml:space="preserve"> in replication attempts and re-analyzing the robustness of reported findings are among the important strategies available for combatting this replicability crisis</w:t>
      </w:r>
      <w:r w:rsidR="00B77D89">
        <w:t xml:space="preserve"> by determining which claims hold up to increased scrutiny and reexamination</w:t>
      </w:r>
      <w:r>
        <w:t xml:space="preserve"> (Nature, 2016)</w:t>
      </w:r>
      <w:r w:rsidR="00B77D89">
        <w:t>.</w:t>
      </w:r>
      <w:r>
        <w:t xml:space="preserve"> </w:t>
      </w:r>
    </w:p>
    <w:p w14:paraId="2AD887C6" w14:textId="63B83E8E" w:rsidR="003F6ACB" w:rsidRDefault="00B67C3F" w:rsidP="003F6ACB">
      <w:pPr>
        <w:spacing w:line="480" w:lineRule="auto"/>
        <w:ind w:firstLine="720"/>
        <w:contextualSpacing/>
      </w:pPr>
      <w:r>
        <w:t xml:space="preserve">In this paper, we re-examine </w:t>
      </w:r>
      <w:r w:rsidRPr="008A6993">
        <w:t>Christakis, Zi</w:t>
      </w:r>
      <w:r>
        <w:t>mmerman, DiGiuseppe, and McCarty (2004</w:t>
      </w:r>
      <w:r w:rsidRPr="008A6993">
        <w:t>)</w:t>
      </w:r>
      <w:r>
        <w:t>,</w:t>
      </w:r>
      <w:r w:rsidRPr="001E446A">
        <w:t xml:space="preserve"> </w:t>
      </w:r>
      <w:r>
        <w:t xml:space="preserve">which claimed a </w:t>
      </w:r>
      <w:r w:rsidR="006F3489">
        <w:t>positive association</w:t>
      </w:r>
      <w:r w:rsidRPr="001E446A">
        <w:t xml:space="preserve"> between television exposure in toddlerhood and attention problems at school age.</w:t>
      </w:r>
      <w:r>
        <w:t xml:space="preserve"> </w:t>
      </w:r>
      <w:r w:rsidR="003F6ACB" w:rsidRPr="001E446A">
        <w:t xml:space="preserve">Although longitudinal in nature and including a variety of control variables, </w:t>
      </w:r>
      <w:r w:rsidR="003F6ACB">
        <w:t xml:space="preserve">the lack of randomized manipulation of TV use made it </w:t>
      </w:r>
      <w:r w:rsidR="00E3186F">
        <w:t xml:space="preserve">difficult </w:t>
      </w:r>
      <w:r w:rsidR="003F6ACB">
        <w:t>to draw strong causal conclusions from these data</w:t>
      </w:r>
      <w:r w:rsidR="003F6ACB" w:rsidRPr="001E446A">
        <w:t>.</w:t>
      </w:r>
      <w:r w:rsidR="000B5C29">
        <w:t xml:space="preserve"> In our view, the provisional nature of this claim was carefully described in the paper itself.</w:t>
      </w:r>
      <w:r w:rsidR="003F6ACB">
        <w:t xml:space="preserve"> </w:t>
      </w:r>
      <w:r w:rsidR="000B5C29">
        <w:t xml:space="preserve">However, less qualification was used in the lead author’s </w:t>
      </w:r>
      <w:r w:rsidR="000B5C29">
        <w:lastRenderedPageBreak/>
        <w:t xml:space="preserve">subsequent public statements. For example, in a TEDx talk, the finding from this paper was cited as evidence supporting </w:t>
      </w:r>
      <w:r w:rsidR="00AE7F6C">
        <w:t>the</w:t>
      </w:r>
      <w:r w:rsidR="00916BA8">
        <w:t xml:space="preserve"> </w:t>
      </w:r>
      <w:r w:rsidR="002B787E">
        <w:t>“overstimulation hypothesis,” according to which “prolonged exposure to this rapid image change [from television] during this critical window of brain development … precondition</w:t>
      </w:r>
      <w:r w:rsidR="00AE7F6C">
        <w:t>[</w:t>
      </w:r>
      <w:r w:rsidR="002B787E">
        <w:t>s</w:t>
      </w:r>
      <w:r w:rsidR="00AE7F6C">
        <w:t>]</w:t>
      </w:r>
      <w:r w:rsidR="002B787E">
        <w:t xml:space="preserve"> the mind to expect high levels of input and … lead</w:t>
      </w:r>
      <w:r w:rsidR="00AE7F6C">
        <w:t>[</w:t>
      </w:r>
      <w:r w:rsidR="002B787E">
        <w:t>s</w:t>
      </w:r>
      <w:r w:rsidR="00AE7F6C">
        <w:t>]</w:t>
      </w:r>
      <w:r w:rsidR="002B787E">
        <w:t xml:space="preserve"> to inattention later in life” (</w:t>
      </w:r>
      <w:r w:rsidR="000B5C29">
        <w:t xml:space="preserve">Christakis, 2011, </w:t>
      </w:r>
      <w:r w:rsidR="002B787E">
        <w:t>6:36 – 6:53).</w:t>
      </w:r>
      <w:r w:rsidR="00916BA8">
        <w:t xml:space="preserve"> </w:t>
      </w:r>
      <w:r w:rsidR="00AE7F6C">
        <w:t xml:space="preserve">He </w:t>
      </w:r>
      <w:r w:rsidR="00E3186F">
        <w:t>went</w:t>
      </w:r>
      <w:r w:rsidR="00AE7F6C">
        <w:t xml:space="preserve"> on to say:</w:t>
      </w:r>
    </w:p>
    <w:p w14:paraId="4FDD8514" w14:textId="21D09FC6" w:rsidR="003F6ACB" w:rsidRDefault="003F6ACB" w:rsidP="003F6ACB">
      <w:pPr>
        <w:spacing w:line="480" w:lineRule="auto"/>
        <w:ind w:left="720"/>
        <w:contextualSpacing/>
      </w:pPr>
      <w:r>
        <w:t>And we</w:t>
      </w:r>
      <w:r w:rsidR="002A13F3">
        <w:t xml:space="preserve"> </w:t>
      </w:r>
      <w:r>
        <w:t>tested this some years ago, and what we found was that for the more television children watched before age three, the more likely they were to actually have attentional problems at school age. Specifically, for each hour that they watched before the age of three, their chances of having attentional problems was increased by about ten percent. So a child who watched two hours of TV a day before age three would be twenty percent more likely to have attention problems compared to a child who watched none (</w:t>
      </w:r>
      <w:r w:rsidR="000B5C29">
        <w:t xml:space="preserve">Christakis, 2011, </w:t>
      </w:r>
      <w:r w:rsidR="00C54D43">
        <w:t>7:19</w:t>
      </w:r>
      <w:r>
        <w:t xml:space="preserve"> to 7:46).</w:t>
      </w:r>
    </w:p>
    <w:p w14:paraId="35FA3059" w14:textId="0097699F" w:rsidR="00A378EE" w:rsidRDefault="002A13F3">
      <w:pPr>
        <w:spacing w:line="480" w:lineRule="auto"/>
        <w:ind w:firstLine="720"/>
        <w:contextualSpacing/>
      </w:pPr>
      <w:r>
        <w:t>T</w:t>
      </w:r>
      <w:r w:rsidR="000B5C29">
        <w:t>hree</w:t>
      </w:r>
      <w:r>
        <w:t xml:space="preserve"> things are notable (and potentially falsifiable) about this claim: first,</w:t>
      </w:r>
      <w:r w:rsidR="000B5C29">
        <w:t xml:space="preserve"> that the association actually exists; second, that it </w:t>
      </w:r>
      <w:r>
        <w:t>is causal</w:t>
      </w:r>
      <w:r w:rsidR="003E76C9">
        <w:t xml:space="preserve"> -- </w:t>
      </w:r>
      <w:r>
        <w:t xml:space="preserve">that TV exposure </w:t>
      </w:r>
      <w:r w:rsidR="002B787E">
        <w:rPr>
          <w:i/>
          <w:iCs/>
        </w:rPr>
        <w:t>leads to</w:t>
      </w:r>
      <w:r>
        <w:t xml:space="preserve"> later attention problems</w:t>
      </w:r>
      <w:r w:rsidR="000B5C29">
        <w:t>;</w:t>
      </w:r>
      <w:r>
        <w:t xml:space="preserve"> and</w:t>
      </w:r>
      <w:r w:rsidR="000B5C29">
        <w:t xml:space="preserve"> third</w:t>
      </w:r>
      <w:r>
        <w:t>, that the association is linear</w:t>
      </w:r>
      <w:r w:rsidR="003E76C9">
        <w:t xml:space="preserve"> -- </w:t>
      </w:r>
      <w:r w:rsidR="00A378EE">
        <w:t>for each unit of television exposure</w:t>
      </w:r>
      <w:r w:rsidR="000B5C29">
        <w:t xml:space="preserve"> </w:t>
      </w:r>
      <w:r w:rsidR="00A378EE">
        <w:t>one can predict a specific</w:t>
      </w:r>
      <w:r w:rsidR="000B5C29">
        <w:t xml:space="preserve"> and constant</w:t>
      </w:r>
      <w:r w:rsidR="00A378EE">
        <w:t xml:space="preserve"> increase in</w:t>
      </w:r>
      <w:r w:rsidR="000B5C29">
        <w:t xml:space="preserve"> the probability of</w:t>
      </w:r>
      <w:r w:rsidR="00A378EE">
        <w:t xml:space="preserve"> attention problems</w:t>
      </w:r>
      <w:r w:rsidR="00DC412B">
        <w:t xml:space="preserve">. </w:t>
      </w:r>
      <w:r>
        <w:t xml:space="preserve">However, if we are going to base policy and parenting </w:t>
      </w:r>
      <w:r w:rsidR="00DC412B">
        <w:t xml:space="preserve">guidance </w:t>
      </w:r>
      <w:r>
        <w:t xml:space="preserve">on </w:t>
      </w:r>
      <w:r w:rsidR="009C11A6">
        <w:t>the claim,</w:t>
      </w:r>
      <w:r>
        <w:t xml:space="preserve"> we think it is important to confirm: Is it really true?</w:t>
      </w:r>
      <w:r w:rsidR="003E76C9">
        <w:t xml:space="preserve"> </w:t>
      </w:r>
    </w:p>
    <w:p w14:paraId="5CA9ADE0" w14:textId="67DE2445" w:rsidR="00B67C3F" w:rsidRDefault="00E3186F" w:rsidP="00B67C3F">
      <w:pPr>
        <w:spacing w:line="480" w:lineRule="auto"/>
        <w:ind w:firstLine="720"/>
        <w:contextualSpacing/>
      </w:pPr>
      <w:r>
        <w:t>S</w:t>
      </w:r>
      <w:r w:rsidR="00F40F99">
        <w:t>ubsequent</w:t>
      </w:r>
      <w:r w:rsidR="00B67C3F" w:rsidRPr="00FE6BDE">
        <w:t xml:space="preserve"> research </w:t>
      </w:r>
      <w:r w:rsidR="003E76C9">
        <w:t>justifies</w:t>
      </w:r>
      <w:r w:rsidR="00B67C3F">
        <w:t xml:space="preserve"> skepticism</w:t>
      </w:r>
      <w:r w:rsidR="00DC412B">
        <w:t>.</w:t>
      </w:r>
      <w:r w:rsidR="00B67C3F">
        <w:t xml:space="preserve">. A re-analysis of the data set used by Christakis et al. (2004) indicated that the finding was not robust </w:t>
      </w:r>
      <w:r>
        <w:t>to</w:t>
      </w:r>
      <w:r w:rsidR="00B67C3F">
        <w:t xml:space="preserve"> certain small changes in model specification (Foster &amp; Watkins, 2010). </w:t>
      </w:r>
      <w:r w:rsidR="00B67C3F" w:rsidRPr="001E446A">
        <w:t xml:space="preserve">A </w:t>
      </w:r>
      <w:r w:rsidR="00D835CE">
        <w:t xml:space="preserve">recent </w:t>
      </w:r>
      <w:r w:rsidR="00B67C3F" w:rsidRPr="001E446A">
        <w:t>m</w:t>
      </w:r>
      <w:r w:rsidR="00B67C3F">
        <w:t xml:space="preserve">eta-analysis on screen media use and attention problems indicated </w:t>
      </w:r>
      <w:r w:rsidR="00517D9F">
        <w:t xml:space="preserve">not only </w:t>
      </w:r>
      <w:r w:rsidR="00B67C3F">
        <w:t xml:space="preserve">that the relationship between them was, at best, a small to </w:t>
      </w:r>
      <w:r w:rsidR="00B67C3F">
        <w:lastRenderedPageBreak/>
        <w:t xml:space="preserve">moderate one, </w:t>
      </w:r>
      <w:r w:rsidR="00517D9F">
        <w:t>but that</w:t>
      </w:r>
      <w:r w:rsidR="00B67C3F">
        <w:t xml:space="preserve"> </w:t>
      </w:r>
      <w:r>
        <w:t xml:space="preserve">even </w:t>
      </w:r>
      <w:r w:rsidR="00B67C3F">
        <w:t>the direction of effect was unclear (</w:t>
      </w:r>
      <w:r w:rsidR="00B67C3F" w:rsidRPr="001E446A">
        <w:t>Nikkelen, Valkenberg, Huizinga, &amp; Bushman, 2014</w:t>
      </w:r>
      <w:r w:rsidR="00B67C3F">
        <w:t xml:space="preserve">; see also Kostyrka-Allchorne, Cooper, &amp; Simpson, 2017). </w:t>
      </w:r>
    </w:p>
    <w:p w14:paraId="748050B9" w14:textId="5C03A3F5" w:rsidR="00B67C3F" w:rsidRDefault="00B67C3F" w:rsidP="00B67C3F">
      <w:pPr>
        <w:spacing w:line="480" w:lineRule="auto"/>
        <w:ind w:firstLine="720"/>
        <w:contextualSpacing/>
      </w:pPr>
      <w:r>
        <w:t>Given these more nuanced and updated findings, one might question whether a 1</w:t>
      </w:r>
      <w:r w:rsidR="009C11A6">
        <w:t>6</w:t>
      </w:r>
      <w:r>
        <w:t>-year-old claim is worth further examination. However, it is undeniable that the meme</w:t>
      </w:r>
      <w:r w:rsidR="003E76C9">
        <w:t xml:space="preserve"> regarding the harmfulness of screen time in general, and TV watching in particular,</w:t>
      </w:r>
      <w:r>
        <w:t xml:space="preserve"> is still deeply embedded in popular understanding. Using Google search in </w:t>
      </w:r>
      <w:r w:rsidR="003E76C9">
        <w:t xml:space="preserve">April </w:t>
      </w:r>
      <w:r>
        <w:t>20</w:t>
      </w:r>
      <w:r w:rsidR="00E3186F">
        <w:t>20</w:t>
      </w:r>
      <w:r w:rsidRPr="001E446A">
        <w:t xml:space="preserve"> for “Does TV cause attention problems</w:t>
      </w:r>
      <w:r>
        <w:t>,</w:t>
      </w:r>
      <w:r w:rsidRPr="001E446A">
        <w:t xml:space="preserve">” </w:t>
      </w:r>
      <w:r>
        <w:t>most of the top hits, including some from reputable sites such as WebMD and whyy.org, claim a link between TV and attention problems. WebMD uses blatantly causal language in its headline (</w:t>
      </w:r>
      <w:r w:rsidRPr="001E446A">
        <w:t>“Toddler TV Ti</w:t>
      </w:r>
      <w:r>
        <w:t>me Can Cause Attention Problems</w:t>
      </w:r>
      <w:r w:rsidRPr="001E446A">
        <w:t>”</w:t>
      </w:r>
      <w:r>
        <w:t>) and another site</w:t>
      </w:r>
      <w:r w:rsidR="00074B96">
        <w:t xml:space="preserve"> </w:t>
      </w:r>
      <w:r w:rsidR="00D835CE">
        <w:t xml:space="preserve">quotes </w:t>
      </w:r>
      <w:r>
        <w:t xml:space="preserve">Christakis </w:t>
      </w:r>
      <w:r w:rsidR="00074B96">
        <w:t>as saying</w:t>
      </w:r>
      <w:r w:rsidR="00D835CE">
        <w:t xml:space="preserve">: </w:t>
      </w:r>
      <w:r>
        <w:t xml:space="preserve">“TV ‘rewires’ an infant’s brain,” and </w:t>
      </w:r>
      <w:r w:rsidR="00074B96">
        <w:t xml:space="preserve">that </w:t>
      </w:r>
      <w:r>
        <w:t xml:space="preserve">his study shows “TV watching is a cause [of ADHD]” (Lotus, 2018). Also telling, while the original paper suggesting a link was cited 118 times in </w:t>
      </w:r>
      <w:r w:rsidR="009C11A6">
        <w:t>a recent two-year period (</w:t>
      </w:r>
      <w:r w:rsidR="009029AA">
        <w:t xml:space="preserve">January </w:t>
      </w:r>
      <w:r>
        <w:t>2017</w:t>
      </w:r>
      <w:r w:rsidR="009029AA">
        <w:t xml:space="preserve"> to December </w:t>
      </w:r>
      <w:r>
        <w:t>2018,</w:t>
      </w:r>
      <w:r w:rsidR="009C11A6">
        <w:t>)</w:t>
      </w:r>
      <w:r>
        <w:t xml:space="preserve"> during the same time frame the more methodologically sound critique (Foster &amp; Watkins, 2010) had 18 citations and the meta-analysis (Nikkelen et al., 2014) had only 38.</w:t>
      </w:r>
    </w:p>
    <w:p w14:paraId="64FB9384" w14:textId="670FE2ED" w:rsidR="00D00E4C" w:rsidRDefault="00B67C3F" w:rsidP="00D00E4C">
      <w:pPr>
        <w:spacing w:line="480" w:lineRule="auto"/>
        <w:ind w:firstLine="720"/>
      </w:pPr>
      <w:r>
        <w:t xml:space="preserve">The goal of the current paper was to examine the robustness of the original </w:t>
      </w:r>
      <w:r w:rsidR="007634BC">
        <w:t xml:space="preserve">claim </w:t>
      </w:r>
      <w:r>
        <w:t>through use of a “multiverse analysis” (</w:t>
      </w:r>
      <w:r w:rsidRPr="002A1EF8">
        <w:t>Silberzahn</w:t>
      </w:r>
      <w:r>
        <w:t xml:space="preserve"> et al. 2017; Steegen, Tuerlinckx, Gelman, &amp; Vanpaemel, 2016; see also </w:t>
      </w:r>
      <w:r w:rsidRPr="00E3186F">
        <w:t>Orben, Dienlin, &amp; Przybylski, 2019</w:t>
      </w:r>
      <w:r>
        <w:t>). In any research endeavor, a series of analytic decisions must be made, some of them arbitrary or nearly so</w:t>
      </w:r>
      <w:r w:rsidRPr="00D01936">
        <w:t xml:space="preserve"> </w:t>
      </w:r>
      <w:r>
        <w:t xml:space="preserve">(King &amp; Zeng, 2007). This series of decisions has been called the “garden of forking paths” (Gelman &amp; Loken, 2013). </w:t>
      </w:r>
      <w:r w:rsidR="00D835CE">
        <w:t xml:space="preserve">If different paths through the garden lead to </w:t>
      </w:r>
      <w:r w:rsidR="00E3186F">
        <w:t xml:space="preserve">substantively </w:t>
      </w:r>
      <w:r w:rsidR="00D835CE">
        <w:t xml:space="preserve">different conclusions, a finding cannot be considered robust. </w:t>
      </w:r>
      <w:r w:rsidR="00E3186F">
        <w:t xml:space="preserve">A significant finding presented in isolation can be misleading if it is not representative of larger set of possible results that could have been obtained under alternative but equally principled analytic approaches. </w:t>
      </w:r>
      <w:r>
        <w:t xml:space="preserve">One way to evaluate </w:t>
      </w:r>
      <w:r w:rsidR="00E3186F">
        <w:t>the dependence of</w:t>
      </w:r>
      <w:r>
        <w:t xml:space="preserve"> a claim </w:t>
      </w:r>
      <w:r w:rsidR="00E2448A">
        <w:t xml:space="preserve">on </w:t>
      </w:r>
      <w:r w:rsidR="00E3186F">
        <w:t xml:space="preserve">a </w:t>
      </w:r>
      <w:r w:rsidR="00E3186F">
        <w:lastRenderedPageBreak/>
        <w:t>specific</w:t>
      </w:r>
      <w:r w:rsidR="00E2448A">
        <w:t xml:space="preserve"> model is</w:t>
      </w:r>
      <w:r>
        <w:t xml:space="preserve"> to subject the data to a wide variety of defensible analyses, systematically</w:t>
      </w:r>
      <w:r w:rsidR="00E3186F">
        <w:t xml:space="preserve"> exploring</w:t>
      </w:r>
      <w:r>
        <w:t xml:space="preserve"> how sensitive the outcome is to different model specifications.</w:t>
      </w:r>
      <w:r w:rsidR="00C77016">
        <w:t xml:space="preserve"> </w:t>
      </w:r>
      <w:r w:rsidR="00802F81">
        <w:t xml:space="preserve">In this paper, we present </w:t>
      </w:r>
      <w:r w:rsidR="00BD3A0D">
        <w:t>two</w:t>
      </w:r>
      <w:r w:rsidR="00802F81">
        <w:t xml:space="preserve"> multiverse analys</w:t>
      </w:r>
      <w:r w:rsidR="00BD3A0D">
        <w:t>es o</w:t>
      </w:r>
      <w:r w:rsidR="00802F81">
        <w:t xml:space="preserve">f Christakis et al.’s (2004) original claim, using the same dataset. </w:t>
      </w:r>
      <w:r w:rsidR="00BD3A0D">
        <w:t xml:space="preserve">The first multiverse analysis employed logistic regression in conformance with the original study. The second multiverse analysis expanded the range of approaches to include linear regression and propensity score analysis techniques. </w:t>
      </w:r>
      <w:r w:rsidR="00802F81">
        <w:t xml:space="preserve">See Table 1 for a conceptual map of these analyses. </w:t>
      </w:r>
    </w:p>
    <w:p w14:paraId="7DA5F181" w14:textId="68884745" w:rsidR="00821F9C" w:rsidRDefault="00D00E4C" w:rsidP="00F71468">
      <w:pPr>
        <w:spacing w:line="480" w:lineRule="auto"/>
        <w:jc w:val="center"/>
      </w:pPr>
      <w:r>
        <w:t xml:space="preserve">--- </w:t>
      </w:r>
      <w:r w:rsidR="00821F9C">
        <w:t>Insert Table 1 about here</w:t>
      </w:r>
      <w:r>
        <w:t xml:space="preserve"> ---</w:t>
      </w:r>
    </w:p>
    <w:p w14:paraId="3B1D8F44" w14:textId="4F2FF924" w:rsidR="007A7F93" w:rsidRDefault="002C5D8F" w:rsidP="00BD0F27">
      <w:pPr>
        <w:spacing w:line="480" w:lineRule="auto"/>
        <w:ind w:firstLine="720"/>
      </w:pPr>
      <w:r>
        <w:t>The first</w:t>
      </w:r>
      <w:r w:rsidR="00E3186F">
        <w:t xml:space="preserve"> multiverse analysis closely corresponded with the original analysis</w:t>
      </w:r>
      <w:r w:rsidR="00802F81">
        <w:t>, using logistic regression</w:t>
      </w:r>
      <w:r w:rsidR="00D40A32">
        <w:t xml:space="preserve"> to predict attention problems</w:t>
      </w:r>
      <w:r w:rsidR="0013313E">
        <w:t xml:space="preserve"> at age 7 from TV use at age ~1.5 and ~3 years.</w:t>
      </w:r>
      <w:r w:rsidR="00916BA8">
        <w:t xml:space="preserve"> </w:t>
      </w:r>
      <w:r w:rsidR="00C77016">
        <w:t xml:space="preserve">We question the wisdom of using </w:t>
      </w:r>
      <w:r w:rsidR="005316DF">
        <w:t>this technique</w:t>
      </w:r>
      <w:r w:rsidR="00C77016">
        <w:t xml:space="preserve">, as it requires dichotomizing </w:t>
      </w:r>
      <w:r w:rsidR="00B724FE">
        <w:t>the</w:t>
      </w:r>
      <w:r w:rsidR="00C77016">
        <w:t xml:space="preserve"> continuous </w:t>
      </w:r>
      <w:r w:rsidR="007A7F93">
        <w:t xml:space="preserve">outcome </w:t>
      </w:r>
      <w:r w:rsidR="00C77016">
        <w:t xml:space="preserve">variable with </w:t>
      </w:r>
      <w:r w:rsidR="00B724FE">
        <w:t>little</w:t>
      </w:r>
      <w:r w:rsidR="00C77016">
        <w:t xml:space="preserve"> justification.</w:t>
      </w:r>
      <w:r w:rsidR="00916BA8">
        <w:t xml:space="preserve"> </w:t>
      </w:r>
      <w:r w:rsidR="00C77016">
        <w:t xml:space="preserve">However, we conducted </w:t>
      </w:r>
      <w:r w:rsidR="00BD3A0D">
        <w:t>these analyses</w:t>
      </w:r>
      <w:r w:rsidR="00C77016">
        <w:t xml:space="preserve"> </w:t>
      </w:r>
      <w:r w:rsidR="00671046">
        <w:t>to explore whether we could replicate the original finding</w:t>
      </w:r>
      <w:r w:rsidR="00BD3A0D">
        <w:t>, and to examine the impact of modelling and data-preparation decisions within this framework</w:t>
      </w:r>
      <w:r w:rsidR="00C77016">
        <w:t>.</w:t>
      </w:r>
      <w:r w:rsidR="00916BA8">
        <w:t xml:space="preserve"> </w:t>
      </w:r>
      <w:r w:rsidR="007A7F93">
        <w:t xml:space="preserve">Following </w:t>
      </w:r>
      <w:r w:rsidR="00500FAD">
        <w:t>Christakis et al. (2004)</w:t>
      </w:r>
      <w:r w:rsidR="0013313E">
        <w:t xml:space="preserve">, attention problems </w:t>
      </w:r>
      <w:r w:rsidR="00C77016">
        <w:t>were</w:t>
      </w:r>
      <w:r w:rsidR="0013313E">
        <w:t xml:space="preserve"> </w:t>
      </w:r>
      <w:r w:rsidR="007634BC">
        <w:t xml:space="preserve">operationalized using </w:t>
      </w:r>
      <w:r w:rsidR="00D40A32">
        <w:t xml:space="preserve">the </w:t>
      </w:r>
      <w:r w:rsidR="00E3186F">
        <w:t xml:space="preserve">within-sex </w:t>
      </w:r>
      <w:r w:rsidR="00D66EB8">
        <w:t xml:space="preserve">age-normed </w:t>
      </w:r>
      <w:r w:rsidR="00E3186F">
        <w:t xml:space="preserve">standardized </w:t>
      </w:r>
      <w:r w:rsidR="00D40A32">
        <w:t>hyperactivity</w:t>
      </w:r>
      <w:r w:rsidR="00E3186F">
        <w:t xml:space="preserve"> score, which is based on a</w:t>
      </w:r>
      <w:r w:rsidR="00D40A32">
        <w:t xml:space="preserve"> subscale </w:t>
      </w:r>
      <w:r w:rsidR="00C77016">
        <w:t>of</w:t>
      </w:r>
      <w:r w:rsidR="00D40A32">
        <w:t xml:space="preserve"> the Behavior Problems Index (BPI</w:t>
      </w:r>
      <w:r w:rsidR="00D66EB8">
        <w:t xml:space="preserve">). These scores are nationally normed, included imputation for missing item responses, </w:t>
      </w:r>
      <w:r w:rsidR="00E3186F">
        <w:t xml:space="preserve">and </w:t>
      </w:r>
      <w:r w:rsidR="00D66EB8">
        <w:t xml:space="preserve">are </w:t>
      </w:r>
      <w:r w:rsidR="00E3186F">
        <w:t>presented on an IQ-like metric.</w:t>
      </w:r>
      <w:r w:rsidR="00D66EB8">
        <w:t xml:space="preserve"> </w:t>
      </w:r>
      <w:r w:rsidR="00E3186F">
        <w:t xml:space="preserve">We also computed unstandardized </w:t>
      </w:r>
      <w:r w:rsidR="00D66EB8">
        <w:t xml:space="preserve">(“raw”) </w:t>
      </w:r>
      <w:r w:rsidR="00E3186F">
        <w:t>attention composite scores by taking the mean of the five relevant item responses, which were scored on a 1</w:t>
      </w:r>
      <w:r w:rsidR="00171364">
        <w:t>-</w:t>
      </w:r>
      <w:r w:rsidR="00E3186F">
        <w:t>3</w:t>
      </w:r>
      <w:r w:rsidR="00171364">
        <w:t xml:space="preserve"> </w:t>
      </w:r>
      <w:r w:rsidR="00E3186F">
        <w:t>scale</w:t>
      </w:r>
      <w:r w:rsidR="007634BC">
        <w:t xml:space="preserve">. </w:t>
      </w:r>
      <w:r w:rsidR="00A20EE6">
        <w:t xml:space="preserve">The first </w:t>
      </w:r>
      <w:r w:rsidR="00E3186F">
        <w:t>multiverse analysis uses both the within-sex standardized and raw scores as outcome variables</w:t>
      </w:r>
      <w:r w:rsidR="00BD3A0D">
        <w:t>, as there is no apparent reason to prefer the standardized scores in models that control for child sex</w:t>
      </w:r>
      <w:r w:rsidR="00D66EB8">
        <w:t xml:space="preserve"> and age</w:t>
      </w:r>
      <w:r w:rsidR="00E3186F">
        <w:t>.</w:t>
      </w:r>
    </w:p>
    <w:p w14:paraId="5BF5B288" w14:textId="52F49D7D" w:rsidR="00802F81" w:rsidRDefault="00783CF4" w:rsidP="00C77016">
      <w:pPr>
        <w:spacing w:line="480" w:lineRule="auto"/>
        <w:ind w:firstLine="720"/>
      </w:pPr>
      <w:r>
        <w:t xml:space="preserve">In addition to </w:t>
      </w:r>
      <w:r w:rsidRPr="008669FE">
        <w:rPr>
          <w:i/>
          <w:iCs/>
        </w:rPr>
        <w:t>whether</w:t>
      </w:r>
      <w:r>
        <w:t xml:space="preserve"> to dichotomize the outcome variable, we found the question of </w:t>
      </w:r>
      <w:r>
        <w:rPr>
          <w:i/>
          <w:iCs/>
        </w:rPr>
        <w:t>how</w:t>
      </w:r>
      <w:r>
        <w:t xml:space="preserve"> to do so </w:t>
      </w:r>
      <w:r w:rsidR="00D66EB8">
        <w:t>to be ambiguous</w:t>
      </w:r>
      <w:r>
        <w:t xml:space="preserve">. </w:t>
      </w:r>
      <w:r w:rsidR="00E3186F">
        <w:t>O</w:t>
      </w:r>
      <w:r>
        <w:t>n</w:t>
      </w:r>
      <w:r w:rsidR="00500FAD">
        <w:t xml:space="preserve"> </w:t>
      </w:r>
      <w:r w:rsidR="00966106">
        <w:t xml:space="preserve">a </w:t>
      </w:r>
      <w:r w:rsidR="00500FAD">
        <w:t>continuous measure of attention problems</w:t>
      </w:r>
      <w:r>
        <w:t xml:space="preserve">, where is the </w:t>
      </w:r>
      <w:r w:rsidR="00966106">
        <w:t xml:space="preserve">line </w:t>
      </w:r>
      <w:r w:rsidR="00966106">
        <w:lastRenderedPageBreak/>
        <w:t>between</w:t>
      </w:r>
      <w:r w:rsidR="00500FAD">
        <w:t xml:space="preserve"> </w:t>
      </w:r>
      <w:r w:rsidR="00966106">
        <w:t>non-problematic and</w:t>
      </w:r>
      <w:r w:rsidR="005131FC">
        <w:t xml:space="preserve"> problematic levels</w:t>
      </w:r>
      <w:r>
        <w:t>?</w:t>
      </w:r>
      <w:r w:rsidR="00916BA8">
        <w:t xml:space="preserve"> </w:t>
      </w:r>
      <w:r w:rsidR="005131FC">
        <w:t xml:space="preserve">With no </w:t>
      </w:r>
      <w:r w:rsidR="005131FC">
        <w:rPr>
          <w:i/>
          <w:iCs/>
        </w:rPr>
        <w:t>a priori</w:t>
      </w:r>
      <w:r w:rsidR="005131FC">
        <w:t xml:space="preserve"> method in the literature for determining the appropriate cutpoint, Christakis et al. (2004) chose a </w:t>
      </w:r>
      <w:r w:rsidR="00166320">
        <w:t xml:space="preserve">score </w:t>
      </w:r>
      <w:r w:rsidR="005131FC">
        <w:t xml:space="preserve">of </w:t>
      </w:r>
      <w:r w:rsidR="00081AE4">
        <w:t>120</w:t>
      </w:r>
      <w:r w:rsidR="00081AE4">
        <w:rPr>
          <w:rStyle w:val="FootnoteReference"/>
        </w:rPr>
        <w:footnoteReference w:id="1"/>
      </w:r>
      <w:r w:rsidR="005131FC">
        <w:t xml:space="preserve">, arguing that this yielded a rate of problematic attention </w:t>
      </w:r>
      <w:r w:rsidR="00B724FE">
        <w:t>resembling</w:t>
      </w:r>
      <w:r w:rsidR="005131FC">
        <w:t xml:space="preserve"> </w:t>
      </w:r>
      <w:r w:rsidR="00E67223">
        <w:t>the</w:t>
      </w:r>
      <w:r w:rsidR="005131FC">
        <w:t xml:space="preserve"> </w:t>
      </w:r>
      <w:r w:rsidR="00CF6C5E">
        <w:t>prevalence</w:t>
      </w:r>
      <w:r w:rsidR="005131FC">
        <w:t xml:space="preserve"> </w:t>
      </w:r>
      <w:r w:rsidR="00E67223">
        <w:t xml:space="preserve">of ADHD </w:t>
      </w:r>
      <w:r w:rsidR="005131FC">
        <w:t>in the population.</w:t>
      </w:r>
      <w:r w:rsidR="00916BA8">
        <w:t xml:space="preserve"> </w:t>
      </w:r>
      <w:r w:rsidR="00166320">
        <w:t xml:space="preserve">In order </w:t>
      </w:r>
      <w:r w:rsidR="00802F81">
        <w:t xml:space="preserve">to examine </w:t>
      </w:r>
      <w:r w:rsidR="00B724FE">
        <w:t xml:space="preserve">the sensitivity of the findings to </w:t>
      </w:r>
      <w:r w:rsidR="00802F81">
        <w:t>this choice, we systematically varied the cutpoint from</w:t>
      </w:r>
      <w:r w:rsidR="00166320">
        <w:t xml:space="preserve"> </w:t>
      </w:r>
      <w:r w:rsidR="00567A3D">
        <w:t xml:space="preserve">110 </w:t>
      </w:r>
      <w:r w:rsidR="00802F81">
        <w:t>to 130</w:t>
      </w:r>
      <w:r w:rsidR="00E3186F">
        <w:t xml:space="preserve"> on the standardized outcome and used percentile-equivalent cutpoints on the raw outcome. </w:t>
      </w:r>
    </w:p>
    <w:p w14:paraId="4BBAD4A1" w14:textId="032BF0A4" w:rsidR="00E3186F" w:rsidRDefault="00E3186F" w:rsidP="00C77016">
      <w:pPr>
        <w:spacing w:line="480" w:lineRule="auto"/>
        <w:ind w:firstLine="720"/>
      </w:pPr>
      <w:r>
        <w:t>The original analysis treated missing data with listwise deletion, a common but problematic technique that results in bias when the missing data mechanism is not completely random (e.g., MCAR; Little and Rubin, 2019). We explored the consequences of using listwise deletion or multiple imputation for missing data</w:t>
      </w:r>
      <w:r w:rsidR="00081AE4">
        <w:t>, as multiple imputation can recover unbiased estimates under a much wider set of missing data mechanisms while properly representing the uncertainty caused by the missing</w:t>
      </w:r>
      <w:r w:rsidR="00B724FE">
        <w:t>ness</w:t>
      </w:r>
      <w:r>
        <w:t>. The original analysis also applied sample weights to the analysis. The NLSY documentation recommends using sample weights for estimating descriptive statistics</w:t>
      </w:r>
      <w:r w:rsidR="00081AE4">
        <w:t xml:space="preserve"> </w:t>
      </w:r>
      <w:r>
        <w:t>but cautions against applying sample weights to regression or related models</w:t>
      </w:r>
      <w:r w:rsidR="004E393D">
        <w:t>.</w:t>
      </w:r>
      <w:r w:rsidR="00081AE4">
        <w:rPr>
          <w:rStyle w:val="FootnoteReference"/>
        </w:rPr>
        <w:footnoteReference w:id="2"/>
      </w:r>
      <w:r w:rsidR="004E393D">
        <w:t xml:space="preserve"> In our view, the analytic models should employ multiple imputation but should not use sample weights. </w:t>
      </w:r>
    </w:p>
    <w:p w14:paraId="2FDE9438" w14:textId="5ECF2AD0" w:rsidR="003E65B5" w:rsidRDefault="00BF6C60" w:rsidP="00802F81">
      <w:pPr>
        <w:spacing w:line="480" w:lineRule="auto"/>
        <w:ind w:firstLine="720"/>
      </w:pPr>
      <w:r>
        <w:t>The second multiverse analysis employed</w:t>
      </w:r>
      <w:r w:rsidR="00802F81">
        <w:t xml:space="preserve"> linear regression and </w:t>
      </w:r>
      <w:r>
        <w:t xml:space="preserve">two forms of </w:t>
      </w:r>
      <w:r w:rsidR="00802F81">
        <w:t xml:space="preserve">propensity score analysis (PSA). </w:t>
      </w:r>
      <w:r w:rsidR="00284330">
        <w:t xml:space="preserve">Unlike logistic regression, linear regression models do not require the </w:t>
      </w:r>
      <w:r w:rsidR="008E2B4F">
        <w:t>attention</w:t>
      </w:r>
      <w:r w:rsidR="00284330">
        <w:t xml:space="preserve"> variable to be dichotomized</w:t>
      </w:r>
      <w:r w:rsidR="008E2B4F">
        <w:t xml:space="preserve"> and thus eliminate the need to choose a cutpoint. This allows us to test directly the claim that for each unit change in TV use we would see a change in </w:t>
      </w:r>
      <w:r w:rsidR="008E2B4F">
        <w:lastRenderedPageBreak/>
        <w:t>attention problems.</w:t>
      </w:r>
      <w:r w:rsidR="00916BA8">
        <w:t xml:space="preserve"> </w:t>
      </w:r>
      <w:r w:rsidR="006505FB">
        <w:t>Linear regression models are also a</w:t>
      </w:r>
      <w:r w:rsidR="00B724FE">
        <w:t xml:space="preserve"> reasonable</w:t>
      </w:r>
      <w:r w:rsidR="006505FB">
        <w:t xml:space="preserve"> choice because they are relatively high in statistical power and efficiency. </w:t>
      </w:r>
      <w:r>
        <w:t>However, they require that the model be complete and correctly specified (</w:t>
      </w:r>
      <w:r w:rsidR="00287228">
        <w:t xml:space="preserve">Fox, </w:t>
      </w:r>
      <w:r w:rsidR="00C10BA8">
        <w:t>2016</w:t>
      </w:r>
      <w:r>
        <w:t>) for their estimates to be unbiased. This requires that the model include the necessary covariates, but also that</w:t>
      </w:r>
      <w:r w:rsidR="00287228">
        <w:t xml:space="preserve"> the form</w:t>
      </w:r>
      <w:r w:rsidR="00567A3D">
        <w:t xml:space="preserve"> of the </w:t>
      </w:r>
      <w:r>
        <w:t xml:space="preserve">mathematical relationship of each variable with the outcome is properly described by </w:t>
      </w:r>
      <w:r w:rsidR="00C10BA8">
        <w:t xml:space="preserve">the </w:t>
      </w:r>
      <w:r>
        <w:t>model and that any interactions between variables are included.</w:t>
      </w:r>
      <w:r w:rsidR="00C10BA8">
        <w:t xml:space="preserve"> Specification errors involving one variable can bias the estimates for other variables. </w:t>
      </w:r>
      <w:r w:rsidR="00B724FE">
        <w:t>Thus, linear regression is an efficient but somewhat fragile method whose performance is based on assumptions that can be difficult to justify and harder to evaluate.</w:t>
      </w:r>
    </w:p>
    <w:p w14:paraId="77374198" w14:textId="5E061654" w:rsidR="00190DF7" w:rsidRDefault="00802F81" w:rsidP="00802F81">
      <w:pPr>
        <w:spacing w:line="480" w:lineRule="auto"/>
        <w:ind w:firstLine="720"/>
      </w:pPr>
      <w:r>
        <w:t xml:space="preserve"> </w:t>
      </w:r>
      <w:r w:rsidR="003E65B5">
        <w:t xml:space="preserve">With the current dataset, we believed that </w:t>
      </w:r>
      <w:r w:rsidR="00C10BA8">
        <w:t>propensity score analysis</w:t>
      </w:r>
      <w:r w:rsidR="003E65B5">
        <w:t xml:space="preserve"> was the most defensible choice for estimating </w:t>
      </w:r>
      <w:r w:rsidR="004757C4">
        <w:t>a</w:t>
      </w:r>
      <w:r w:rsidR="003E65B5">
        <w:t xml:space="preserve"> causal effect. </w:t>
      </w:r>
      <w:r w:rsidR="008E2B4F">
        <w:t xml:space="preserve">Relative </w:t>
      </w:r>
      <w:r w:rsidR="006505FB">
        <w:t>to</w:t>
      </w:r>
      <w:r w:rsidR="008E2B4F">
        <w:t xml:space="preserve"> linear regression</w:t>
      </w:r>
      <w:r w:rsidR="006505FB">
        <w:t>, PSA is more robust and carries a lower risk of exposure to systematic bias due to violating assumptions of the model.</w:t>
      </w:r>
      <w:r w:rsidR="00916BA8">
        <w:t xml:space="preserve"> </w:t>
      </w:r>
      <w:r w:rsidR="00B724FE">
        <w:t>Propensity scores are each case’s predicted probability</w:t>
      </w:r>
      <w:r>
        <w:t xml:space="preserve"> of being in the treatment group (in this case, the group being shown a large amount of TV), conditional on a variety of baseline characteristics (such as mother’s education and household income; </w:t>
      </w:r>
      <w:r w:rsidRPr="00B2059A">
        <w:t>cf</w:t>
      </w:r>
      <w:r>
        <w:t xml:space="preserve">. Austin, 2011). </w:t>
      </w:r>
      <w:r w:rsidR="0081787C">
        <w:t xml:space="preserve">Once the propensity scores have been estimated, they can be applied via a non-parametric technique such as matching, weighting, or stratification in order to produce </w:t>
      </w:r>
      <w:r w:rsidR="00AD6B2C">
        <w:t>virtual comparison groups</w:t>
      </w:r>
      <w:r w:rsidR="0081787C">
        <w:t xml:space="preserve"> that </w:t>
      </w:r>
      <w:r w:rsidR="00AD6B2C">
        <w:t>are</w:t>
      </w:r>
      <w:r w:rsidR="0081787C">
        <w:t xml:space="preserve"> balanced on all the covariates that were included in the propensity score model. </w:t>
      </w:r>
      <w:r w:rsidR="00E372C4">
        <w:t>PSA</w:t>
      </w:r>
      <w:r w:rsidR="00085F9A">
        <w:t xml:space="preserve"> approximates</w:t>
      </w:r>
      <w:r>
        <w:t xml:space="preserve"> random assignment </w:t>
      </w:r>
      <w:r w:rsidR="00085F9A">
        <w:t xml:space="preserve">of subjects </w:t>
      </w:r>
      <w:r>
        <w:t>to two groups</w:t>
      </w:r>
      <w:r w:rsidR="00085F9A">
        <w:t xml:space="preserve"> (as would be seen in a true experiment</w:t>
      </w:r>
      <w:r w:rsidR="00190DF7">
        <w:t>;</w:t>
      </w:r>
      <w:r w:rsidR="00190DF7" w:rsidRPr="00190DF7">
        <w:t xml:space="preserve"> </w:t>
      </w:r>
      <w:r w:rsidR="00190DF7">
        <w:t>Rosenbaum &amp; Rubin, 1983</w:t>
      </w:r>
      <w:r w:rsidR="00085F9A">
        <w:t>)</w:t>
      </w:r>
      <w:r>
        <w:t>, helping to isolate TV as the potential causal variable</w:t>
      </w:r>
      <w:r w:rsidR="00190DF7">
        <w:t>.</w:t>
      </w:r>
      <w:r w:rsidR="00C10BA8">
        <w:t xml:space="preserve"> </w:t>
      </w:r>
      <w:r w:rsidR="00B724FE">
        <w:t xml:space="preserve">Further, numerous graphical and numeric diagnostic techniques are available for identifying </w:t>
      </w:r>
      <w:r w:rsidR="005D3861">
        <w:t xml:space="preserve">situations that could jeopardize the results. </w:t>
      </w:r>
      <w:r w:rsidR="00C10BA8">
        <w:t xml:space="preserve">However, it is crucial to note that propensity score </w:t>
      </w:r>
      <w:r w:rsidR="00C10BA8">
        <w:lastRenderedPageBreak/>
        <w:t>methods cannot balance the treatment and control on unobserved or unmeasured background variables as true randomization does.</w:t>
      </w:r>
    </w:p>
    <w:p w14:paraId="0D37D218" w14:textId="06CAA9A1" w:rsidR="0081787C" w:rsidRDefault="0081787C" w:rsidP="0081787C">
      <w:pPr>
        <w:spacing w:line="480" w:lineRule="auto"/>
        <w:ind w:firstLine="720"/>
      </w:pPr>
      <w:r>
        <w:t>Within the propensity score family of analyses, there are still many potential routes through the garden of forking paths</w:t>
      </w:r>
      <w:r w:rsidRPr="00314131">
        <w:t xml:space="preserve">. </w:t>
      </w:r>
      <w:r>
        <w:t>We explored these branching routes (see Table 1).</w:t>
      </w:r>
      <w:r w:rsidR="00916BA8">
        <w:t xml:space="preserve"> </w:t>
      </w:r>
      <w:r>
        <w:t xml:space="preserve">As </w:t>
      </w:r>
      <w:r w:rsidR="00D30AD2">
        <w:t xml:space="preserve">in </w:t>
      </w:r>
      <w:r>
        <w:t>Christakis et al. (2004), we included the amount of TV watched measured at two ages (~1.5 and ~3 years).</w:t>
      </w:r>
      <w:r w:rsidR="00916BA8">
        <w:t xml:space="preserve"> </w:t>
      </w:r>
      <w:r>
        <w:t xml:space="preserve">We used standardized </w:t>
      </w:r>
      <w:r w:rsidR="002542AC">
        <w:t xml:space="preserve">attention </w:t>
      </w:r>
      <w:r>
        <w:t xml:space="preserve">scores as in the original paper, as well as raw scores. </w:t>
      </w:r>
      <w:r w:rsidRPr="00314131">
        <w:t xml:space="preserve">Because an effect of TV watching might be different for those who watch a lot versus the average child, </w:t>
      </w:r>
      <w:r>
        <w:t>we calculated estimates for both t</w:t>
      </w:r>
      <w:r w:rsidRPr="00314131">
        <w:t xml:space="preserve">he average treatment effect (ATE) and the average treatment effect for the treated (ATT). </w:t>
      </w:r>
    </w:p>
    <w:p w14:paraId="4043C883" w14:textId="4A3F2BE7" w:rsidR="00195609" w:rsidRDefault="00813239" w:rsidP="00195609">
      <w:pPr>
        <w:spacing w:line="480" w:lineRule="auto"/>
        <w:ind w:firstLine="720"/>
      </w:pPr>
      <w:r>
        <w:t xml:space="preserve">As a technique for </w:t>
      </w:r>
      <w:r w:rsidR="00936B42">
        <w:t>virtual experimentation</w:t>
      </w:r>
      <w:r>
        <w:t xml:space="preserve">, </w:t>
      </w:r>
      <w:r w:rsidR="00195609">
        <w:t xml:space="preserve">PSA requires dichotomizing </w:t>
      </w:r>
      <w:r w:rsidR="0063640F">
        <w:t xml:space="preserve">exposure to </w:t>
      </w:r>
      <w:r w:rsidR="00195609">
        <w:t xml:space="preserve">the treatment variable </w:t>
      </w:r>
      <w:r w:rsidR="00936B42">
        <w:t>into something like a treatment group and a control group</w:t>
      </w:r>
      <w:r w:rsidR="00195609">
        <w:t xml:space="preserve">. </w:t>
      </w:r>
      <w:r w:rsidR="00104957">
        <w:t xml:space="preserve">Dichotomization of continuous variables </w:t>
      </w:r>
      <w:r w:rsidR="009D24E9">
        <w:t xml:space="preserve">is generally not recommended because it wastes information </w:t>
      </w:r>
      <w:r w:rsidR="00104957">
        <w:t>(MacCallum, Zhang, Preacher, &amp; Rucker, 2002).</w:t>
      </w:r>
      <w:r w:rsidR="009D24E9">
        <w:t xml:space="preserve"> In this case, we viewed this loss of information as an acceptable tradeoff for the advantages of propensity score analysis</w:t>
      </w:r>
      <w:r w:rsidR="00E61446">
        <w:rPr>
          <w:rStyle w:val="FootnoteReference"/>
        </w:rPr>
        <w:footnoteReference w:id="3"/>
      </w:r>
      <w:r w:rsidR="00E61446">
        <w:t xml:space="preserve">. </w:t>
      </w:r>
      <w:r w:rsidR="00195609">
        <w:t>For TV</w:t>
      </w:r>
      <w:r w:rsidR="00936B42">
        <w:t xml:space="preserve"> watching</w:t>
      </w:r>
      <w:r w:rsidR="00195609">
        <w:t xml:space="preserve">, one might argue that an effect would be </w:t>
      </w:r>
      <w:r w:rsidR="006954F6">
        <w:t>most</w:t>
      </w:r>
      <w:r w:rsidR="00195609">
        <w:t xml:space="preserve"> pronounced for the tails of the distribution (those who watch many hours a day vs. those who watch none).</w:t>
      </w:r>
      <w:r w:rsidR="00916BA8">
        <w:t xml:space="preserve"> </w:t>
      </w:r>
      <w:r w:rsidR="00195609">
        <w:t xml:space="preserve">Choosing cutpoints at the extremes </w:t>
      </w:r>
      <w:r w:rsidR="00195609" w:rsidRPr="00314131">
        <w:t>(</w:t>
      </w:r>
      <w:r w:rsidR="00195609">
        <w:t xml:space="preserve">&gt; </w:t>
      </w:r>
      <w:r w:rsidR="00195609" w:rsidRPr="00314131">
        <w:t>80</w:t>
      </w:r>
      <w:r w:rsidR="00195609" w:rsidRPr="00314131">
        <w:rPr>
          <w:vertAlign w:val="superscript"/>
        </w:rPr>
        <w:t>th</w:t>
      </w:r>
      <w:r w:rsidR="00195609" w:rsidRPr="00314131">
        <w:t xml:space="preserve"> percentile and </w:t>
      </w:r>
      <w:r w:rsidR="00195609">
        <w:t>&lt;</w:t>
      </w:r>
      <w:r w:rsidR="00195609" w:rsidRPr="00314131">
        <w:t xml:space="preserve"> 20</w:t>
      </w:r>
      <w:r w:rsidR="00195609" w:rsidRPr="00314131">
        <w:rPr>
          <w:vertAlign w:val="superscript"/>
        </w:rPr>
        <w:t>th</w:t>
      </w:r>
      <w:r w:rsidR="00195609" w:rsidRPr="00314131">
        <w:t xml:space="preserve"> percentile)</w:t>
      </w:r>
      <w:r w:rsidR="00195609">
        <w:t xml:space="preserve"> tests this possibility</w:t>
      </w:r>
      <w:r w:rsidR="00C10BA8">
        <w:t xml:space="preserve">, which should increase the magnitude of the difference between groups but reduces precision and power by discarding the middle 60% of the data. </w:t>
      </w:r>
      <w:r w:rsidR="00195609">
        <w:t>On the other hand, a</w:t>
      </w:r>
      <w:r w:rsidR="002055B7">
        <w:t xml:space="preserve"> contiguous division, such as a</w:t>
      </w:r>
      <w:r w:rsidR="00195609">
        <w:t xml:space="preserve"> </w:t>
      </w:r>
      <w:r w:rsidR="00813C98">
        <w:t>median split</w:t>
      </w:r>
      <w:r w:rsidR="002055B7">
        <w:t>,</w:t>
      </w:r>
      <w:r w:rsidR="00813C98">
        <w:t xml:space="preserve"> preserves all the data but </w:t>
      </w:r>
      <w:r w:rsidR="005D3861">
        <w:t xml:space="preserve">would be expected to </w:t>
      </w:r>
      <w:r w:rsidR="00813C98">
        <w:t>reduce the effect size</w:t>
      </w:r>
      <w:r w:rsidR="00195609">
        <w:t>.</w:t>
      </w:r>
      <w:r w:rsidR="00916BA8">
        <w:t xml:space="preserve"> </w:t>
      </w:r>
      <w:r w:rsidR="00990395">
        <w:t xml:space="preserve">To explore the </w:t>
      </w:r>
      <w:r w:rsidR="003D6E37">
        <w:t>impact</w:t>
      </w:r>
      <w:r w:rsidR="00990395">
        <w:t xml:space="preserve"> of how TV watching is categorized, we </w:t>
      </w:r>
      <w:r w:rsidR="00760A1C">
        <w:t>r</w:t>
      </w:r>
      <w:r w:rsidR="00990395">
        <w:t>an analyses using six different cutpoints</w:t>
      </w:r>
      <w:r w:rsidR="003D07AC">
        <w:t xml:space="preserve"> (see Table 1)</w:t>
      </w:r>
      <w:r w:rsidR="00990395">
        <w:t>.</w:t>
      </w:r>
      <w:r w:rsidR="00916BA8">
        <w:t xml:space="preserve"> </w:t>
      </w:r>
      <w:r w:rsidR="00E031E3">
        <w:t xml:space="preserve">If the </w:t>
      </w:r>
      <w:r w:rsidR="00D03E0B">
        <w:t xml:space="preserve">effect of TV on </w:t>
      </w:r>
      <w:r w:rsidR="00D03E0B">
        <w:lastRenderedPageBreak/>
        <w:t>attention is linear</w:t>
      </w:r>
      <w:r w:rsidR="00760A1C">
        <w:t xml:space="preserve"> across the </w:t>
      </w:r>
      <w:r w:rsidR="009518B2">
        <w:t>range</w:t>
      </w:r>
      <w:r w:rsidR="00D03E0B">
        <w:t xml:space="preserve">, then the effect </w:t>
      </w:r>
      <w:r w:rsidR="00C81D0C">
        <w:t>should be proportional to the difference in median TV-watching between the groups</w:t>
      </w:r>
      <w:r w:rsidR="0052572B">
        <w:t xml:space="preserve"> regardless of </w:t>
      </w:r>
      <w:r w:rsidR="00E16D8C">
        <w:t xml:space="preserve">where the cutpoint </w:t>
      </w:r>
      <w:r w:rsidR="00112B44">
        <w:t>is situated.</w:t>
      </w:r>
    </w:p>
    <w:p w14:paraId="1A74CBAB" w14:textId="4CAA6885" w:rsidR="007F7817" w:rsidRDefault="007F7817" w:rsidP="007F7817">
      <w:pPr>
        <w:spacing w:line="480" w:lineRule="auto"/>
        <w:ind w:firstLine="720"/>
      </w:pPr>
      <w:r>
        <w:t>The</w:t>
      </w:r>
      <w:r w:rsidR="00DC18D3">
        <w:t xml:space="preserve">re are also different </w:t>
      </w:r>
      <w:r w:rsidR="006C4567">
        <w:t>methods for</w:t>
      </w:r>
      <w:r w:rsidR="00DC18D3">
        <w:t xml:space="preserve"> implementing PSA</w:t>
      </w:r>
      <w:r>
        <w:t>.</w:t>
      </w:r>
      <w:r w:rsidR="00916BA8">
        <w:t xml:space="preserve"> </w:t>
      </w:r>
      <w:r w:rsidR="0031281F">
        <w:t xml:space="preserve">We selected two techniques: inverse </w:t>
      </w:r>
      <w:r w:rsidR="004D1D9F">
        <w:t xml:space="preserve">probability </w:t>
      </w:r>
      <w:r w:rsidR="0031281F">
        <w:t>of treatment weights (IPTW) and stratification.</w:t>
      </w:r>
      <w:r w:rsidR="00916BA8">
        <w:t xml:space="preserve"> </w:t>
      </w:r>
      <w:r w:rsidR="00A016C5">
        <w:t>Despite</w:t>
      </w:r>
      <w:r w:rsidR="00244516">
        <w:t xml:space="preserve"> its popularity, w</w:t>
      </w:r>
      <w:r w:rsidR="00975455">
        <w:t xml:space="preserve">e did not use propensity score matching </w:t>
      </w:r>
      <w:r w:rsidR="006940B0">
        <w:t>because the</w:t>
      </w:r>
      <w:r w:rsidR="00975455">
        <w:t xml:space="preserve"> </w:t>
      </w:r>
      <w:r w:rsidR="00B31018">
        <w:t>huge multiplicity of matching algorithms</w:t>
      </w:r>
      <w:r w:rsidR="00EE1A36">
        <w:t xml:space="preserve"> and approaches</w:t>
      </w:r>
      <w:r w:rsidR="00B31018">
        <w:t xml:space="preserve"> would have been </w:t>
      </w:r>
      <w:r w:rsidR="00E13D3C">
        <w:t xml:space="preserve">difficult to efficiently explore and appraise; furthermore, </w:t>
      </w:r>
      <w:r w:rsidR="00E8399C">
        <w:t>matching can be regarded as a</w:t>
      </w:r>
      <w:r w:rsidR="00FF2B7C">
        <w:t xml:space="preserve"> subset of weighting</w:t>
      </w:r>
      <w:r w:rsidR="00F1184D">
        <w:t xml:space="preserve"> (</w:t>
      </w:r>
      <w:r w:rsidR="00E41A29">
        <w:t xml:space="preserve">Imbens </w:t>
      </w:r>
      <w:r w:rsidR="002A178C">
        <w:t xml:space="preserve">&amp; </w:t>
      </w:r>
      <w:r w:rsidR="00E41A29">
        <w:t>Woolridge</w:t>
      </w:r>
      <w:r w:rsidR="002A178C">
        <w:t>,</w:t>
      </w:r>
      <w:r w:rsidR="00E41A29">
        <w:t xml:space="preserve"> </w:t>
      </w:r>
      <w:r w:rsidR="00244516">
        <w:t>2009).</w:t>
      </w:r>
      <w:r w:rsidR="00B31018">
        <w:t xml:space="preserve"> </w:t>
      </w:r>
      <w:r w:rsidR="0031281F">
        <w:t>In IPTW, the propensity scores are used to construct weights</w:t>
      </w:r>
      <w:r w:rsidR="00933D17">
        <w:t xml:space="preserve"> that</w:t>
      </w:r>
      <w:r w:rsidR="0031281F">
        <w:t xml:space="preserve"> equalize the distribution of propensity scores between the treatment and control groups – and by implication, also equalize the distribution of all of the covariates that were included in the propensity score model (Guo &amp; Fraser, 2015). Using this method, we could estimate </w:t>
      </w:r>
      <w:r w:rsidR="0031281F" w:rsidRPr="00314131">
        <w:t xml:space="preserve">both the average treatment effect (ATE) and the average treatment effect for the treated (ATT). </w:t>
      </w:r>
      <w:r w:rsidR="00351CB9">
        <w:t>To explore the impact of</w:t>
      </w:r>
      <w:r w:rsidR="005E0858">
        <w:t xml:space="preserve"> using sampling weights, w</w:t>
      </w:r>
      <w:r w:rsidR="00A026ED">
        <w:t>e r</w:t>
      </w:r>
      <w:r w:rsidR="0031281F">
        <w:t xml:space="preserve">an analyses </w:t>
      </w:r>
      <w:r w:rsidR="005E0858">
        <w:t>with and without them</w:t>
      </w:r>
      <w:r w:rsidR="0031281F">
        <w:t>.</w:t>
      </w:r>
      <w:r w:rsidR="00916BA8">
        <w:t xml:space="preserve"> </w:t>
      </w:r>
      <w:r w:rsidR="003E03E1">
        <w:t>Finally,</w:t>
      </w:r>
      <w:r w:rsidR="0031281F">
        <w:t xml:space="preserve"> </w:t>
      </w:r>
      <w:r w:rsidR="00813C98">
        <w:t xml:space="preserve">in each model, </w:t>
      </w:r>
      <w:r w:rsidR="0031281F">
        <w:t>we</w:t>
      </w:r>
      <w:r w:rsidR="0031281F" w:rsidRPr="00314131">
        <w:t xml:space="preserve"> identified </w:t>
      </w:r>
      <w:r w:rsidR="0031281F">
        <w:t>the four</w:t>
      </w:r>
      <w:r w:rsidR="0031281F" w:rsidRPr="00314131">
        <w:t xml:space="preserve"> covariates with </w:t>
      </w:r>
      <w:r w:rsidR="0031281F">
        <w:t xml:space="preserve">the </w:t>
      </w:r>
      <w:r w:rsidR="0031281F" w:rsidRPr="00314131">
        <w:t>largest residual imbalance statistics and gave those covariates an additional regression adjustment</w:t>
      </w:r>
      <w:r w:rsidR="00D442DC">
        <w:t>.</w:t>
      </w:r>
      <w:r w:rsidR="00813C98">
        <w:rPr>
          <w:rStyle w:val="FootnoteReference"/>
        </w:rPr>
        <w:footnoteReference w:id="4"/>
      </w:r>
      <w:r w:rsidR="00916BA8">
        <w:t xml:space="preserve"> </w:t>
      </w:r>
      <w:r w:rsidR="000759CF">
        <w:t>This is referred to as a “doubly-robust” strategy</w:t>
      </w:r>
      <w:r w:rsidR="00813C98">
        <w:t xml:space="preserve"> which o</w:t>
      </w:r>
      <w:r w:rsidR="000759CF">
        <w:t>ffer</w:t>
      </w:r>
      <w:r w:rsidR="00813C98">
        <w:t>s</w:t>
      </w:r>
      <w:r w:rsidR="000759CF">
        <w:t xml:space="preserve"> protection against</w:t>
      </w:r>
      <w:r w:rsidR="00813C98">
        <w:t xml:space="preserve"> any remaining</w:t>
      </w:r>
      <w:r w:rsidR="000759CF">
        <w:t xml:space="preserve"> </w:t>
      </w:r>
      <w:r w:rsidR="00813C98">
        <w:t>bias due to residual imbalance on the covariates after applying the</w:t>
      </w:r>
      <w:r w:rsidR="00916BA8">
        <w:t xml:space="preserve"> </w:t>
      </w:r>
      <w:r w:rsidR="00813C98">
        <w:t>propensity scores</w:t>
      </w:r>
      <w:r w:rsidR="000759CF">
        <w:t xml:space="preserve"> (</w:t>
      </w:r>
      <w:r w:rsidR="000759CF" w:rsidRPr="00314131">
        <w:t>Guo &amp; Fraser, 2015</w:t>
      </w:r>
      <w:r w:rsidR="000759CF">
        <w:t>).</w:t>
      </w:r>
      <w:r w:rsidR="00916BA8">
        <w:t xml:space="preserve"> </w:t>
      </w:r>
      <w:r w:rsidR="0031281F" w:rsidRPr="00314131">
        <w:t xml:space="preserve">We ran analyses both with and without this </w:t>
      </w:r>
      <w:r w:rsidR="0031281F" w:rsidRPr="00D2098F">
        <w:t>doubly-robust</w:t>
      </w:r>
      <w:r w:rsidR="0031281F" w:rsidRPr="00314131">
        <w:t xml:space="preserve"> strategy.</w:t>
      </w:r>
    </w:p>
    <w:p w14:paraId="73AF80B4" w14:textId="5E08DE3E" w:rsidR="003E03E1" w:rsidRDefault="003E03E1" w:rsidP="007F7817">
      <w:pPr>
        <w:spacing w:line="480" w:lineRule="auto"/>
        <w:ind w:firstLine="720"/>
      </w:pPr>
      <w:r>
        <w:t xml:space="preserve">An alternative inferential strategy using propensity scores is to stratify </w:t>
      </w:r>
      <w:r w:rsidR="005D3861">
        <w:t xml:space="preserve">(or subclassify) </w:t>
      </w:r>
      <w:r>
        <w:t>on them, calculate a treatment effect specific to each stratum, then combine those stratum-specific estimates to produce the average treatment effect (ATE, Guo &amp; Fraser, 2015).</w:t>
      </w:r>
      <w:r w:rsidR="00D442DC">
        <w:t xml:space="preserve"> Stratification allows the heterogeneity in the treatment effect to be examined across strata and provides </w:t>
      </w:r>
      <w:r w:rsidR="00D442DC">
        <w:lastRenderedPageBreak/>
        <w:t>stratum-specific information on the success (or failure) of covariate balancing.</w:t>
      </w:r>
      <w:r w:rsidR="00916BA8">
        <w:t xml:space="preserve"> </w:t>
      </w:r>
      <w:r w:rsidR="00D442DC">
        <w:t xml:space="preserve">Rosenbaum and Rubin (1983) showed that five strata are </w:t>
      </w:r>
      <w:r w:rsidR="006940B0">
        <w:t xml:space="preserve">generally </w:t>
      </w:r>
      <w:r w:rsidR="00D442DC">
        <w:t xml:space="preserve">sufficient for removing 90% of the confounding bias. Generally, </w:t>
      </w:r>
      <w:r w:rsidR="00636BDC">
        <w:t xml:space="preserve">adding </w:t>
      </w:r>
      <w:r w:rsidR="00D442DC">
        <w:t xml:space="preserve">more strata </w:t>
      </w:r>
      <w:r w:rsidR="00636BDC">
        <w:t xml:space="preserve">results in </w:t>
      </w:r>
      <w:r w:rsidR="00D442DC">
        <w:t>better control of confounding bias at the cost of less precision and statistical power because the sample size within strata goes down as the number of strata to populate is increased.</w:t>
      </w:r>
      <w:r w:rsidR="001D4A3F">
        <w:t xml:space="preserve"> We varied the number of strata </w:t>
      </w:r>
      <w:r w:rsidR="00F70247">
        <w:t xml:space="preserve">from four to eight </w:t>
      </w:r>
      <w:r w:rsidR="001D4A3F">
        <w:t>as one of several factors to be examined.</w:t>
      </w:r>
      <w:r w:rsidR="00D442DC">
        <w:t xml:space="preserve"> </w:t>
      </w:r>
    </w:p>
    <w:p w14:paraId="73CB7B96" w14:textId="70AA5EB9" w:rsidR="001D4A3F" w:rsidRDefault="003E03E1" w:rsidP="001D4A3F">
      <w:pPr>
        <w:spacing w:line="480" w:lineRule="auto"/>
        <w:ind w:firstLine="720"/>
      </w:pPr>
      <w:r>
        <w:t>The strength of PSA is that it approximates an experiment with random assignment; however, u</w:t>
      </w:r>
      <w:r w:rsidR="00C429F5">
        <w:t xml:space="preserve">nlike </w:t>
      </w:r>
      <w:r w:rsidR="00221E18">
        <w:t xml:space="preserve">with true random assignment, </w:t>
      </w:r>
      <w:r w:rsidR="0060548E">
        <w:t xml:space="preserve">it </w:t>
      </w:r>
      <w:r>
        <w:t xml:space="preserve">does </w:t>
      </w:r>
      <w:r w:rsidR="00C429F5">
        <w:t>not balance on unobserved or omitted covariates</w:t>
      </w:r>
      <w:r>
        <w:t xml:space="preserve">, making the </w:t>
      </w:r>
      <w:r w:rsidR="00C429F5">
        <w:t>choice of covariates especially important</w:t>
      </w:r>
      <w:r>
        <w:t xml:space="preserve">. </w:t>
      </w:r>
      <w:r w:rsidR="00C429F5">
        <w:t xml:space="preserve">To explore the impact of </w:t>
      </w:r>
      <w:r>
        <w:t>covariate set on outcome</w:t>
      </w:r>
      <w:r w:rsidR="00C429F5">
        <w:t>, we conducted analyses with</w:t>
      </w:r>
      <w:r w:rsidR="0073502D">
        <w:t xml:space="preserve"> two sets of covariates: the first</w:t>
      </w:r>
      <w:r w:rsidR="00C429F5">
        <w:t xml:space="preserve"> exactly as in the original</w:t>
      </w:r>
      <w:r w:rsidR="0073502D">
        <w:t xml:space="preserve">, and the second </w:t>
      </w:r>
      <w:r w:rsidR="00C429F5">
        <w:t>with a</w:t>
      </w:r>
      <w:r w:rsidR="00F70247">
        <w:t xml:space="preserve"> superordinate </w:t>
      </w:r>
      <w:r w:rsidR="00C429F5">
        <w:t xml:space="preserve">set of </w:t>
      </w:r>
      <w:r>
        <w:t>theoretically</w:t>
      </w:r>
      <w:r w:rsidR="00A00E8F">
        <w:t xml:space="preserve"> </w:t>
      </w:r>
      <w:r>
        <w:t xml:space="preserve">motivated </w:t>
      </w:r>
      <w:r w:rsidR="00C429F5">
        <w:t>covariates</w:t>
      </w:r>
      <w:r w:rsidR="00E0179B">
        <w:t xml:space="preserve"> (as detailed in the next section)</w:t>
      </w:r>
      <w:r w:rsidR="00C429F5">
        <w:t xml:space="preserve">. </w:t>
      </w:r>
    </w:p>
    <w:p w14:paraId="08899853" w14:textId="47412C6B" w:rsidR="00067050" w:rsidRDefault="001D4A3F" w:rsidP="001D4A3F">
      <w:pPr>
        <w:spacing w:line="480" w:lineRule="auto"/>
        <w:ind w:firstLine="720"/>
      </w:pPr>
      <w:r>
        <w:t>In summary,</w:t>
      </w:r>
      <w:r w:rsidR="003E040E">
        <w:t xml:space="preserve"> we evaluate the claim that </w:t>
      </w:r>
      <w:r w:rsidR="00FE181A">
        <w:t>early childhood TV exposure is associated with</w:t>
      </w:r>
      <w:r w:rsidR="00D0571A">
        <w:t xml:space="preserve"> increase</w:t>
      </w:r>
      <w:r w:rsidR="00FE181A">
        <w:t>d</w:t>
      </w:r>
      <w:r w:rsidR="00D0571A">
        <w:t xml:space="preserve"> </w:t>
      </w:r>
      <w:r w:rsidR="00FE181A">
        <w:t>mid-childhood</w:t>
      </w:r>
      <w:r w:rsidR="00D0571A">
        <w:t xml:space="preserve"> attention problems</w:t>
      </w:r>
      <w:r w:rsidR="003E040E">
        <w:t>.</w:t>
      </w:r>
      <w:r w:rsidR="00916BA8">
        <w:t xml:space="preserve"> </w:t>
      </w:r>
      <w:r w:rsidR="003E040E">
        <w:t xml:space="preserve">To do so, we present </w:t>
      </w:r>
      <w:r w:rsidR="006D0BF2">
        <w:t xml:space="preserve">two </w:t>
      </w:r>
      <w:r w:rsidR="003E040E">
        <w:t>multiverse analys</w:t>
      </w:r>
      <w:r w:rsidR="006D0BF2">
        <w:t>es</w:t>
      </w:r>
      <w:r w:rsidR="00D0571A">
        <w:t xml:space="preserve">, </w:t>
      </w:r>
      <w:r w:rsidR="00DE5095">
        <w:t>using the same NLSY79 dataset, prepared in the same manner as in the 2004 paper</w:t>
      </w:r>
      <w:r w:rsidR="003E040E">
        <w:t>, and</w:t>
      </w:r>
      <w:r w:rsidR="00B8170D">
        <w:t xml:space="preserve"> employing </w:t>
      </w:r>
      <w:r w:rsidR="006D0BF2">
        <w:t xml:space="preserve">variations of </w:t>
      </w:r>
      <w:r w:rsidR="00B8170D">
        <w:t>logistic regression</w:t>
      </w:r>
      <w:r w:rsidR="006D0BF2">
        <w:t xml:space="preserve"> as per the original study</w:t>
      </w:r>
      <w:r w:rsidR="00B8170D">
        <w:t xml:space="preserve">, </w:t>
      </w:r>
      <w:r w:rsidR="00ED58B0">
        <w:t xml:space="preserve">and </w:t>
      </w:r>
      <w:r w:rsidR="00642782">
        <w:t xml:space="preserve">adding </w:t>
      </w:r>
      <w:r w:rsidR="00B8170D">
        <w:t xml:space="preserve">linear regression and propensity score </w:t>
      </w:r>
      <w:r w:rsidR="00642782">
        <w:t>models in the second multiverse analysis</w:t>
      </w:r>
      <w:r w:rsidR="003E040E">
        <w:t>.</w:t>
      </w:r>
      <w:r w:rsidR="00916BA8">
        <w:t xml:space="preserve"> </w:t>
      </w:r>
      <w:r w:rsidR="003E040E">
        <w:t xml:space="preserve">In all, we </w:t>
      </w:r>
      <w:r w:rsidR="00F92F9A">
        <w:t>examine the relation</w:t>
      </w:r>
      <w:r w:rsidR="00B8170D">
        <w:t xml:space="preserve"> in </w:t>
      </w:r>
      <w:r w:rsidR="00C94E1E">
        <w:t>848</w:t>
      </w:r>
      <w:r w:rsidR="00D0571A">
        <w:t xml:space="preserve"> </w:t>
      </w:r>
      <w:r w:rsidR="00B8170D">
        <w:t>distinct ways</w:t>
      </w:r>
      <w:r w:rsidR="00D0571A">
        <w:t>.</w:t>
      </w:r>
      <w:r w:rsidR="00916BA8">
        <w:t xml:space="preserve"> </w:t>
      </w:r>
      <w:r w:rsidR="0060548E">
        <w:t xml:space="preserve">If </w:t>
      </w:r>
      <w:r w:rsidR="00D0571A">
        <w:t>the claim is true</w:t>
      </w:r>
      <w:r w:rsidR="0060548E">
        <w:t xml:space="preserve">, we would </w:t>
      </w:r>
      <w:r w:rsidR="0060548E" w:rsidRPr="001D4A3F">
        <w:t>expect</w:t>
      </w:r>
      <w:r w:rsidR="0060548E">
        <w:t xml:space="preserve"> </w:t>
      </w:r>
      <w:r>
        <w:t>most of the</w:t>
      </w:r>
      <w:r w:rsidR="00EC46B9">
        <w:t xml:space="preserve"> justifiable analyses </w:t>
      </w:r>
      <w:r w:rsidR="0060548E">
        <w:t xml:space="preserve">to </w:t>
      </w:r>
      <w:r>
        <w:t>produc</w:t>
      </w:r>
      <w:r w:rsidR="00B5625C">
        <w:t>e</w:t>
      </w:r>
      <w:r w:rsidR="0060548E">
        <w:t xml:space="preserve"> significant</w:t>
      </w:r>
      <w:r>
        <w:t xml:space="preserve"> results</w:t>
      </w:r>
      <w:r w:rsidR="0060548E">
        <w:t xml:space="preserve"> (and in the predicted directi</w:t>
      </w:r>
      <w:r w:rsidR="00DE5095">
        <w:t>on)</w:t>
      </w:r>
      <w:r>
        <w:t>, and we would expect that the more rigorous, robust models (such as those treating missing data in a defensible way)</w:t>
      </w:r>
      <w:r w:rsidR="00512ABD">
        <w:t xml:space="preserve"> </w:t>
      </w:r>
      <w:r>
        <w:t xml:space="preserve">would be more likely to exhibit positive results. </w:t>
      </w:r>
      <w:r w:rsidR="000E521D">
        <w:t xml:space="preserve">Evaluating the outcomes across hundreds of models allows us to </w:t>
      </w:r>
      <w:r w:rsidR="00F92F9A">
        <w:t>assess</w:t>
      </w:r>
      <w:r w:rsidR="00A85464">
        <w:t xml:space="preserve"> the robustness of the original claim </w:t>
      </w:r>
      <w:r w:rsidR="000E521D">
        <w:t>and better understand</w:t>
      </w:r>
      <w:r w:rsidR="00A85464">
        <w:t xml:space="preserve"> how </w:t>
      </w:r>
      <w:r w:rsidR="00AC6A9F">
        <w:t>outcomes may be impacted by</w:t>
      </w:r>
      <w:r w:rsidR="00A85464">
        <w:t xml:space="preserve"> specific analytic choices. </w:t>
      </w:r>
      <w:r>
        <w:t xml:space="preserve">The multiverse analyses illustrate the extent to which Christakis et al.’s </w:t>
      </w:r>
      <w:r>
        <w:lastRenderedPageBreak/>
        <w:t>claim is either representative or unrepresentative of a larger set of results that could potentially have been reported.</w:t>
      </w:r>
    </w:p>
    <w:p w14:paraId="278EB2CB" w14:textId="77777777" w:rsidR="008827A7" w:rsidRPr="003D64BA" w:rsidRDefault="008827A7" w:rsidP="008827A7">
      <w:pPr>
        <w:spacing w:line="480" w:lineRule="auto"/>
        <w:jc w:val="center"/>
        <w:rPr>
          <w:b/>
        </w:rPr>
      </w:pPr>
      <w:r w:rsidRPr="003D64BA">
        <w:rPr>
          <w:b/>
        </w:rPr>
        <w:t>Method</w:t>
      </w:r>
    </w:p>
    <w:p w14:paraId="286DEAF1" w14:textId="77777777" w:rsidR="008827A7" w:rsidRPr="0003674E" w:rsidRDefault="008827A7" w:rsidP="008827A7">
      <w:pPr>
        <w:outlineLvl w:val="0"/>
        <w:rPr>
          <w:b/>
        </w:rPr>
      </w:pPr>
      <w:r w:rsidRPr="0003674E">
        <w:rPr>
          <w:b/>
        </w:rPr>
        <w:t>Data</w:t>
      </w:r>
    </w:p>
    <w:p w14:paraId="1BDAE72F" w14:textId="77777777" w:rsidR="008827A7" w:rsidRPr="0003674E" w:rsidRDefault="008827A7" w:rsidP="008827A7"/>
    <w:p w14:paraId="42AD2499" w14:textId="04B5463A" w:rsidR="00F94387" w:rsidRDefault="008827A7" w:rsidP="00131DEA">
      <w:pPr>
        <w:spacing w:line="480" w:lineRule="auto"/>
        <w:ind w:firstLine="720"/>
        <w:rPr>
          <w:color w:val="000000" w:themeColor="text1"/>
        </w:rPr>
      </w:pPr>
      <w:r>
        <w:t>As in Christakis et al. (2004), d</w:t>
      </w:r>
      <w:r w:rsidRPr="0003674E">
        <w:t xml:space="preserve">ata </w:t>
      </w:r>
      <w:r>
        <w:t xml:space="preserve">for the present investigation </w:t>
      </w:r>
      <w:r w:rsidRPr="0003674E">
        <w:t>were obtained from the National Longitudinal Survey of Youth 1979 (</w:t>
      </w:r>
      <w:r>
        <w:t>NLSY</w:t>
      </w:r>
      <w:r w:rsidRPr="0003674E">
        <w:t>-79</w:t>
      </w:r>
      <w:r>
        <w:t>)</w:t>
      </w:r>
      <w:r w:rsidRPr="0003674E">
        <w:t>, available via the NLS Investigator web interface</w:t>
      </w:r>
      <w:r>
        <w:t xml:space="preserve"> (20</w:t>
      </w:r>
      <w:r w:rsidR="009E549D">
        <w:t>20</w:t>
      </w:r>
      <w:r>
        <w:t>)</w:t>
      </w:r>
      <w:r w:rsidRPr="0003674E">
        <w:rPr>
          <w:color w:val="000000" w:themeColor="text1"/>
        </w:rPr>
        <w:t xml:space="preserve">. Child data came from the </w:t>
      </w:r>
      <w:r>
        <w:rPr>
          <w:color w:val="000000" w:themeColor="text1"/>
        </w:rPr>
        <w:t>NLSY</w:t>
      </w:r>
      <w:r w:rsidRPr="0003674E">
        <w:rPr>
          <w:color w:val="000000" w:themeColor="text1"/>
        </w:rPr>
        <w:t>79 Child and Young Adult dataset</w:t>
      </w:r>
      <w:r>
        <w:rPr>
          <w:color w:val="000000" w:themeColor="text1"/>
        </w:rPr>
        <w:t>.</w:t>
      </w:r>
      <w:r w:rsidRPr="0003674E">
        <w:rPr>
          <w:color w:val="000000" w:themeColor="text1"/>
        </w:rPr>
        <w:t xml:space="preserve"> </w:t>
      </w:r>
      <w:r>
        <w:rPr>
          <w:color w:val="000000" w:themeColor="text1"/>
        </w:rPr>
        <w:t>I</w:t>
      </w:r>
      <w:r w:rsidRPr="0003674E">
        <w:rPr>
          <w:color w:val="000000" w:themeColor="text1"/>
        </w:rPr>
        <w:t xml:space="preserve">nformation on the mothers of these children came from the original </w:t>
      </w:r>
      <w:r>
        <w:rPr>
          <w:color w:val="000000" w:themeColor="text1"/>
        </w:rPr>
        <w:t>NLSY</w:t>
      </w:r>
      <w:r w:rsidRPr="0003674E">
        <w:rPr>
          <w:color w:val="000000" w:themeColor="text1"/>
        </w:rPr>
        <w:t>79 dataset. These datasets were merged via a common ID code variable allowing mother and child data to be linked. We downloaded 3</w:t>
      </w:r>
      <w:r w:rsidR="00077D30">
        <w:rPr>
          <w:color w:val="000000" w:themeColor="text1"/>
        </w:rPr>
        <w:t>40</w:t>
      </w:r>
      <w:r w:rsidRPr="0003674E">
        <w:rPr>
          <w:color w:val="000000" w:themeColor="text1"/>
        </w:rPr>
        <w:t xml:space="preserve"> variables from the Child and Young Adult dataset and </w:t>
      </w:r>
      <w:r>
        <w:rPr>
          <w:color w:val="000000" w:themeColor="text1"/>
        </w:rPr>
        <w:t>4</w:t>
      </w:r>
      <w:r w:rsidR="00077D30">
        <w:rPr>
          <w:color w:val="000000" w:themeColor="text1"/>
        </w:rPr>
        <w:t>0</w:t>
      </w:r>
      <w:r>
        <w:rPr>
          <w:color w:val="000000" w:themeColor="text1"/>
        </w:rPr>
        <w:t xml:space="preserve"> </w:t>
      </w:r>
      <w:r w:rsidRPr="0003674E">
        <w:rPr>
          <w:color w:val="000000" w:themeColor="text1"/>
        </w:rPr>
        <w:t xml:space="preserve">variables from the </w:t>
      </w:r>
      <w:r>
        <w:rPr>
          <w:color w:val="000000" w:themeColor="text1"/>
        </w:rPr>
        <w:t>NLSY</w:t>
      </w:r>
      <w:r w:rsidRPr="0003674E">
        <w:rPr>
          <w:color w:val="000000" w:themeColor="text1"/>
        </w:rPr>
        <w:t>79 dataset</w:t>
      </w:r>
      <w:r>
        <w:rPr>
          <w:color w:val="000000" w:themeColor="text1"/>
          <w:vertAlign w:val="superscript"/>
        </w:rPr>
        <w:t xml:space="preserve"> </w:t>
      </w:r>
      <w:r>
        <w:rPr>
          <w:color w:val="000000" w:themeColor="text1"/>
        </w:rPr>
        <w:t xml:space="preserve">(NLSY, 2018). </w:t>
      </w:r>
    </w:p>
    <w:p w14:paraId="37E3C26D" w14:textId="15D9ACC2" w:rsidR="008827A7" w:rsidRPr="00425BB7" w:rsidRDefault="00D26686" w:rsidP="00131DEA">
      <w:pPr>
        <w:spacing w:line="480" w:lineRule="auto"/>
        <w:ind w:firstLine="720"/>
        <w:rPr>
          <w:color w:val="000000" w:themeColor="text1"/>
        </w:rPr>
      </w:pPr>
      <w:r>
        <w:t>We used R version 3.6.3 (R Core Team, 2020) for data manipulation, analysis,</w:t>
      </w:r>
      <w:r w:rsidR="00BD4920">
        <w:t xml:space="preserve"> figure generation, reporting,</w:t>
      </w:r>
      <w:r>
        <w:t xml:space="preserve"> and automation.</w:t>
      </w:r>
      <w:r w:rsidR="00BD4920">
        <w:t xml:space="preserve"> </w:t>
      </w:r>
      <w:r w:rsidR="00ED0990">
        <w:rPr>
          <w:color w:val="000000" w:themeColor="text1"/>
        </w:rPr>
        <w:t xml:space="preserve">The </w:t>
      </w:r>
      <w:r w:rsidR="00ED0990">
        <w:rPr>
          <w:i/>
          <w:iCs/>
          <w:color w:val="000000" w:themeColor="text1"/>
        </w:rPr>
        <w:t>documentation</w:t>
      </w:r>
      <w:r w:rsidR="00ED0990">
        <w:rPr>
          <w:color w:val="000000" w:themeColor="text1"/>
        </w:rPr>
        <w:t xml:space="preserve"> component of o</w:t>
      </w:r>
      <w:r w:rsidR="008827A7">
        <w:rPr>
          <w:color w:val="000000" w:themeColor="text1"/>
        </w:rPr>
        <w:t xml:space="preserve">ur project’s </w:t>
      </w:r>
      <w:r w:rsidR="00077D30">
        <w:rPr>
          <w:color w:val="000000" w:themeColor="text1"/>
        </w:rPr>
        <w:t>Github page</w:t>
      </w:r>
      <w:r w:rsidR="0031674F">
        <w:rPr>
          <w:rStyle w:val="FootnoteReference"/>
          <w:color w:val="000000" w:themeColor="text1"/>
        </w:rPr>
        <w:footnoteReference w:id="5"/>
      </w:r>
      <w:r w:rsidR="008827A7">
        <w:rPr>
          <w:color w:val="000000" w:themeColor="text1"/>
        </w:rPr>
        <w:t xml:space="preserve"> presents a spreadsheet mapping our analysis variables to the variable codes and labels from the NLSY dataset</w:t>
      </w:r>
      <w:r w:rsidR="00077D30">
        <w:rPr>
          <w:color w:val="000000" w:themeColor="text1"/>
        </w:rPr>
        <w:t xml:space="preserve">. </w:t>
      </w:r>
      <w:r w:rsidR="008827A7">
        <w:rPr>
          <w:color w:val="000000" w:themeColor="text1"/>
        </w:rPr>
        <w:t xml:space="preserve">Our </w:t>
      </w:r>
      <w:r w:rsidR="00077D30">
        <w:rPr>
          <w:color w:val="000000" w:themeColor="text1"/>
        </w:rPr>
        <w:t xml:space="preserve">raw </w:t>
      </w:r>
      <w:r w:rsidR="008827A7">
        <w:rPr>
          <w:color w:val="000000" w:themeColor="text1"/>
        </w:rPr>
        <w:t xml:space="preserve">and processed </w:t>
      </w:r>
      <w:r w:rsidR="00077D30">
        <w:rPr>
          <w:color w:val="000000" w:themeColor="text1"/>
        </w:rPr>
        <w:t xml:space="preserve">analysis </w:t>
      </w:r>
      <w:r w:rsidR="008827A7">
        <w:rPr>
          <w:color w:val="000000" w:themeColor="text1"/>
        </w:rPr>
        <w:t>data</w:t>
      </w:r>
      <w:r w:rsidR="00077D30">
        <w:rPr>
          <w:color w:val="000000" w:themeColor="text1"/>
        </w:rPr>
        <w:t>sets</w:t>
      </w:r>
      <w:r w:rsidR="008827A7">
        <w:rPr>
          <w:color w:val="000000" w:themeColor="text1"/>
        </w:rPr>
        <w:t xml:space="preserve"> as well as our analysis code are disclosed on this site, allowing interested readers to replicate or extend our analysis. </w:t>
      </w:r>
      <w:r w:rsidR="00ED0990">
        <w:rPr>
          <w:color w:val="000000" w:themeColor="text1"/>
        </w:rPr>
        <w:t xml:space="preserve">We recommend downloading (“cloning”) the repository and viewing the files locally, as html tables will not render in the browser when examining the results online. </w:t>
      </w:r>
      <w:r w:rsidR="001D7050">
        <w:rPr>
          <w:color w:val="000000" w:themeColor="text1"/>
        </w:rPr>
        <w:t xml:space="preserve">Our </w:t>
      </w:r>
      <w:r w:rsidR="00681CB2">
        <w:rPr>
          <w:color w:val="000000" w:themeColor="text1"/>
        </w:rPr>
        <w:t>code and computational environment is also preserved as a Docker compute container</w:t>
      </w:r>
      <w:r w:rsidR="0031674F">
        <w:rPr>
          <w:rStyle w:val="FootnoteReference"/>
          <w:color w:val="000000" w:themeColor="text1"/>
        </w:rPr>
        <w:footnoteReference w:id="6"/>
      </w:r>
      <w:r w:rsidR="00C229D1">
        <w:rPr>
          <w:color w:val="000000" w:themeColor="text1"/>
        </w:rPr>
        <w:t xml:space="preserve">, which </w:t>
      </w:r>
      <w:r w:rsidR="004A1E83">
        <w:rPr>
          <w:color w:val="000000" w:themeColor="text1"/>
        </w:rPr>
        <w:t>archives</w:t>
      </w:r>
      <w:r w:rsidR="00C229D1">
        <w:rPr>
          <w:color w:val="000000" w:themeColor="text1"/>
        </w:rPr>
        <w:t xml:space="preserve"> the entire software toolchain (operating system + R</w:t>
      </w:r>
      <w:r w:rsidR="00661F44">
        <w:rPr>
          <w:color w:val="000000" w:themeColor="text1"/>
        </w:rPr>
        <w:t xml:space="preserve"> + packages + analysis script)</w:t>
      </w:r>
      <w:r w:rsidR="0053794D">
        <w:rPr>
          <w:color w:val="000000" w:themeColor="text1"/>
        </w:rPr>
        <w:t xml:space="preserve"> in a virtual machine</w:t>
      </w:r>
      <w:r w:rsidR="00661F44">
        <w:rPr>
          <w:color w:val="000000" w:themeColor="text1"/>
        </w:rPr>
        <w:t xml:space="preserve">, hedging against the </w:t>
      </w:r>
      <w:r w:rsidR="00C56FA4">
        <w:rPr>
          <w:color w:val="000000" w:themeColor="text1"/>
        </w:rPr>
        <w:t xml:space="preserve">possibility </w:t>
      </w:r>
      <w:r w:rsidR="00182C05">
        <w:rPr>
          <w:color w:val="000000" w:themeColor="text1"/>
        </w:rPr>
        <w:t xml:space="preserve">that future updates to any of the software </w:t>
      </w:r>
      <w:r w:rsidR="00C56FA4">
        <w:rPr>
          <w:color w:val="000000" w:themeColor="text1"/>
        </w:rPr>
        <w:t xml:space="preserve">components </w:t>
      </w:r>
      <w:r w:rsidR="00182C05">
        <w:rPr>
          <w:color w:val="000000" w:themeColor="text1"/>
        </w:rPr>
        <w:t xml:space="preserve">could break </w:t>
      </w:r>
      <w:r w:rsidR="00182C05">
        <w:rPr>
          <w:color w:val="000000" w:themeColor="text1"/>
        </w:rPr>
        <w:lastRenderedPageBreak/>
        <w:t>the computational reproducibility of our analysis</w:t>
      </w:r>
      <w:r w:rsidR="00C56FA4">
        <w:rPr>
          <w:color w:val="000000" w:themeColor="text1"/>
        </w:rPr>
        <w:t xml:space="preserve">. </w:t>
      </w:r>
      <w:r w:rsidR="00ED0990">
        <w:rPr>
          <w:color w:val="000000" w:themeColor="text1"/>
        </w:rPr>
        <w:t xml:space="preserve">See the Appendix for directions on reproducing our analysis in Docker. </w:t>
      </w:r>
    </w:p>
    <w:p w14:paraId="37A6ACF6" w14:textId="11180254" w:rsidR="008827A7" w:rsidRDefault="008827A7" w:rsidP="008827A7">
      <w:pPr>
        <w:spacing w:line="480" w:lineRule="auto"/>
        <w:ind w:firstLine="720"/>
      </w:pPr>
      <w:r w:rsidRPr="0003674E">
        <w:t>Our variable selection process was based on the one reported in</w:t>
      </w:r>
      <w:r>
        <w:t xml:space="preserve"> the original paper</w:t>
      </w:r>
      <w:r w:rsidRPr="0003674E">
        <w:t xml:space="preserve">. As per </w:t>
      </w:r>
      <w:r>
        <w:t>Christakis et al. (2004)</w:t>
      </w:r>
      <w:r w:rsidRPr="0003674E">
        <w:t xml:space="preserve">, we selected three cohorts of children who were approximately 7 years old during the three “index years” of 1996, 1998, and 2000. Our baseline variable selections </w:t>
      </w:r>
      <w:r w:rsidR="005D3861">
        <w:t xml:space="preserve">conformed to </w:t>
      </w:r>
      <w:r w:rsidR="005C6D26">
        <w:t xml:space="preserve">the </w:t>
      </w:r>
      <w:r w:rsidRPr="0003674E">
        <w:t>original</w:t>
      </w:r>
      <w:r>
        <w:t xml:space="preserve"> study</w:t>
      </w:r>
      <w:r w:rsidRPr="0003674E">
        <w:t xml:space="preserve"> </w:t>
      </w:r>
      <w:r w:rsidR="005D3861">
        <w:t>as closely as</w:t>
      </w:r>
      <w:r w:rsidRPr="0003674E">
        <w:t xml:space="preserve"> possible given the </w:t>
      </w:r>
      <w:r w:rsidR="005D3861">
        <w:t>text of</w:t>
      </w:r>
      <w:r w:rsidRPr="0003674E">
        <w:t xml:space="preserve"> the original paper, which did not report ID codes for the selected variables. In most cases, we could unambiguously identify variables by searching the </w:t>
      </w:r>
      <w:r>
        <w:t>NLSY</w:t>
      </w:r>
      <w:r w:rsidRPr="0003674E">
        <w:t xml:space="preserve"> data by question text or question title. </w:t>
      </w:r>
    </w:p>
    <w:p w14:paraId="6C44B6AC" w14:textId="6356777A" w:rsidR="008827A7" w:rsidRPr="0003674E" w:rsidRDefault="008827A7" w:rsidP="008669FE">
      <w:pPr>
        <w:spacing w:line="480" w:lineRule="auto"/>
        <w:ind w:firstLine="720"/>
      </w:pPr>
      <w:r w:rsidRPr="0003674E">
        <w:rPr>
          <w:b/>
        </w:rPr>
        <w:t>Selection of cases.</w:t>
      </w:r>
      <w:r w:rsidRPr="0003674E">
        <w:t xml:space="preserve"> We followed the original paper’s criteria for sample selection</w:t>
      </w:r>
      <w:r w:rsidR="00641612">
        <w:t xml:space="preserve"> and subject exclusion</w:t>
      </w:r>
      <w:r w:rsidRPr="0003674E">
        <w:t xml:space="preserve">. For each index year (1996, 1998, and 2000), </w:t>
      </w:r>
      <w:r w:rsidR="00641612">
        <w:t xml:space="preserve">we </w:t>
      </w:r>
      <w:r w:rsidRPr="0003674E">
        <w:t>includ</w:t>
      </w:r>
      <w:r w:rsidR="00641612">
        <w:t>ed</w:t>
      </w:r>
      <w:r w:rsidRPr="0003674E">
        <w:t xml:space="preserve"> those children whose ages at index were between 6 years 9 months and 8 years 9 </w:t>
      </w:r>
      <w:r w:rsidRPr="00C20DD6">
        <w:t>months.</w:t>
      </w:r>
      <w:r w:rsidRPr="000E0AB8">
        <w:rPr>
          <w:rStyle w:val="CommentReference"/>
          <w:rFonts w:eastAsiaTheme="minorHAnsi"/>
          <w:sz w:val="24"/>
          <w:szCs w:val="24"/>
          <w:vertAlign w:val="subscript"/>
        </w:rPr>
        <w:softHyphen/>
      </w:r>
      <w:r w:rsidRPr="000E0AB8">
        <w:rPr>
          <w:rStyle w:val="CommentReference"/>
          <w:rFonts w:eastAsiaTheme="minorHAnsi"/>
          <w:sz w:val="24"/>
          <w:szCs w:val="24"/>
        </w:rPr>
        <w:t xml:space="preserve"> </w:t>
      </w:r>
      <w:r w:rsidR="005D3861">
        <w:rPr>
          <w:rStyle w:val="CommentReference"/>
          <w:rFonts w:eastAsiaTheme="minorHAnsi"/>
          <w:sz w:val="24"/>
          <w:szCs w:val="24"/>
        </w:rPr>
        <w:t>In compliance with the original paper, c</w:t>
      </w:r>
      <w:r w:rsidR="00077D30">
        <w:t>hildren with severe vision or hearing impairment, as well as those with severe emotional disturbances or orthopedic disabilities were excluded.</w:t>
      </w:r>
      <w:r w:rsidR="00641612">
        <w:t xml:space="preserve"> A </w:t>
      </w:r>
      <w:r w:rsidRPr="000E0AB8">
        <w:rPr>
          <w:rStyle w:val="CommentReference"/>
          <w:rFonts w:eastAsiaTheme="minorHAnsi"/>
          <w:sz w:val="24"/>
          <w:szCs w:val="24"/>
        </w:rPr>
        <w:t>total of 2,</w:t>
      </w:r>
      <w:r>
        <w:rPr>
          <w:rStyle w:val="CommentReference"/>
          <w:rFonts w:eastAsiaTheme="minorHAnsi"/>
          <w:sz w:val="24"/>
          <w:szCs w:val="24"/>
        </w:rPr>
        <w:t>1</w:t>
      </w:r>
      <w:r w:rsidR="00077D30">
        <w:rPr>
          <w:rStyle w:val="CommentReference"/>
          <w:rFonts w:eastAsiaTheme="minorHAnsi"/>
          <w:sz w:val="24"/>
          <w:szCs w:val="24"/>
        </w:rPr>
        <w:t>08</w:t>
      </w:r>
      <w:r w:rsidRPr="000E0AB8">
        <w:rPr>
          <w:rStyle w:val="CommentReference"/>
          <w:rFonts w:eastAsiaTheme="minorHAnsi"/>
          <w:sz w:val="24"/>
          <w:szCs w:val="24"/>
        </w:rPr>
        <w:t xml:space="preserve"> cases were extracted</w:t>
      </w:r>
      <w:r w:rsidR="00077D30">
        <w:rPr>
          <w:rStyle w:val="CommentReference"/>
          <w:rFonts w:eastAsiaTheme="minorHAnsi"/>
          <w:sz w:val="24"/>
          <w:szCs w:val="24"/>
        </w:rPr>
        <w:t xml:space="preserve"> that met these conditions.</w:t>
      </w:r>
    </w:p>
    <w:p w14:paraId="2BFE3A2B" w14:textId="2BBEBF0B" w:rsidR="008827A7" w:rsidRDefault="008827A7" w:rsidP="008827A7">
      <w:pPr>
        <w:spacing w:line="480" w:lineRule="auto"/>
        <w:ind w:firstLine="720"/>
      </w:pPr>
      <w:r>
        <w:rPr>
          <w:b/>
        </w:rPr>
        <w:t>Variables.</w:t>
      </w:r>
      <w:r w:rsidRPr="0003674E">
        <w:rPr>
          <w:b/>
        </w:rPr>
        <w:t xml:space="preserve"> </w:t>
      </w:r>
      <w:r>
        <w:t>As in the original study, o</w:t>
      </w:r>
      <w:r w:rsidRPr="0003674E">
        <w:t xml:space="preserve">ur measure of </w:t>
      </w:r>
      <w:r>
        <w:t>attention</w:t>
      </w:r>
      <w:r w:rsidRPr="0003674E">
        <w:t xml:space="preserve"> was the standardized score on the hyperactivity subscale of the five-item Behavior Problems Index (BPI), which was standardized to an IQ-like metric </w:t>
      </w:r>
      <w:r>
        <w:t>(M = 100, SD =</w:t>
      </w:r>
      <w:r w:rsidRPr="0003674E">
        <w:t xml:space="preserve"> 15) within sex</w:t>
      </w:r>
      <w:r>
        <w:t>,</w:t>
      </w:r>
      <w:r w:rsidRPr="0003674E">
        <w:t xml:space="preserve"> </w:t>
      </w:r>
      <w:r>
        <w:t>as per the original study</w:t>
      </w:r>
      <w:r w:rsidR="005D3861">
        <w:t>, which we will hereafter refer to as “within-sex standardized attention scores”</w:t>
      </w:r>
      <w:r>
        <w:t xml:space="preserve">. However, we also retained the raw attention scores which were unadjusted for sex. </w:t>
      </w:r>
      <w:r w:rsidRPr="0003674E">
        <w:t xml:space="preserve">The five items </w:t>
      </w:r>
      <w:r>
        <w:t>addressed</w:t>
      </w:r>
      <w:r w:rsidRPr="0003674E">
        <w:t xml:space="preserve"> child</w:t>
      </w:r>
      <w:r>
        <w:t>ren</w:t>
      </w:r>
      <w:r w:rsidRPr="0003674E">
        <w:t xml:space="preserve">’s ability to concentrate and pay attention, </w:t>
      </w:r>
      <w:r>
        <w:t xml:space="preserve">as well as their </w:t>
      </w:r>
      <w:r w:rsidRPr="0003674E">
        <w:t>confusion, impulsivity, obsessions, and restlessness or inability to sit still.</w:t>
      </w:r>
      <w:r>
        <w:t xml:space="preserve"> </w:t>
      </w:r>
    </w:p>
    <w:p w14:paraId="530A4555" w14:textId="6629F95A" w:rsidR="008827A7" w:rsidRDefault="008827A7" w:rsidP="008827A7">
      <w:pPr>
        <w:spacing w:line="480" w:lineRule="auto"/>
        <w:ind w:firstLine="720"/>
      </w:pPr>
      <w:r>
        <w:t>T</w:t>
      </w:r>
      <w:r w:rsidRPr="0003674E">
        <w:t xml:space="preserve">elevision use was calculated </w:t>
      </w:r>
      <w:r>
        <w:t>as in the original study. Items</w:t>
      </w:r>
      <w:r w:rsidRPr="0003674E">
        <w:t xml:space="preserve"> measuring hours per day of televisio</w:t>
      </w:r>
      <w:r>
        <w:t>n watched by the child on</w:t>
      </w:r>
      <w:r w:rsidRPr="0003674E">
        <w:t xml:space="preserve"> both weekdays and weekend</w:t>
      </w:r>
      <w:r>
        <w:t xml:space="preserve"> days were</w:t>
      </w:r>
      <w:r w:rsidRPr="0003674E">
        <w:t xml:space="preserve"> converted to average </w:t>
      </w:r>
      <w:r w:rsidRPr="0003674E">
        <w:lastRenderedPageBreak/>
        <w:t xml:space="preserve">hours of TV by multiplying weekday hours per day by five, adding to this weekend hours per day multiplied by two, and dividing by seven. </w:t>
      </w:r>
      <w:r w:rsidRPr="00D2098F">
        <w:t>We took this measurement from three and t</w:t>
      </w:r>
      <w:r>
        <w:t xml:space="preserve">wo waves prior to the index year, such that TV was measured at approximately age 1.5 and age 3, though the exact age of each child during these waves could vary to some extent. </w:t>
      </w:r>
    </w:p>
    <w:p w14:paraId="4C12B32E" w14:textId="012E0959" w:rsidR="008827A7" w:rsidRDefault="008827A7" w:rsidP="008827A7">
      <w:pPr>
        <w:spacing w:line="480" w:lineRule="auto"/>
        <w:ind w:firstLine="720"/>
      </w:pPr>
      <w:r w:rsidRPr="00D2098F">
        <w:t>It was necessary to correct some out-of-range values prior to analysis.</w:t>
      </w:r>
      <w:r w:rsidR="00641612">
        <w:t xml:space="preserve"> We followed the procedure described by the original article, truncating any out-of-range values of the following </w:t>
      </w:r>
      <w:r w:rsidRPr="00D2098F">
        <w:t>variables to the top of their ranges: TV use in average hours per day exceeding</w:t>
      </w:r>
      <w:r w:rsidR="00641612">
        <w:t xml:space="preserve"> 16 </w:t>
      </w:r>
      <w:r w:rsidR="0020504B">
        <w:t xml:space="preserve">to 16, </w:t>
      </w:r>
      <w:r w:rsidR="00641612">
        <w:t xml:space="preserve">and </w:t>
      </w:r>
      <w:r w:rsidRPr="00D2098F">
        <w:t>highest grade completed exceeding 24</w:t>
      </w:r>
      <w:r w:rsidR="0020504B">
        <w:t xml:space="preserve"> to 24</w:t>
      </w:r>
      <w:r w:rsidRPr="00D2098F">
        <w:t xml:space="preserve"> (as this would imply more than eight years of post-graduate education</w:t>
      </w:r>
      <w:r w:rsidR="00641612">
        <w:t>). One high value for</w:t>
      </w:r>
      <w:r w:rsidRPr="00D2098F">
        <w:t xml:space="preserve"> annual income </w:t>
      </w:r>
      <w:r w:rsidR="00641612">
        <w:t>(</w:t>
      </w:r>
      <w:r w:rsidRPr="00D2098F">
        <w:t>$839,078</w:t>
      </w:r>
      <w:r w:rsidR="00641612">
        <w:t xml:space="preserve">) was set to missing, as a comment in the NLSY </w:t>
      </w:r>
      <w:r w:rsidR="00F95D84">
        <w:t xml:space="preserve">codebook </w:t>
      </w:r>
      <w:r w:rsidR="00641612">
        <w:t>indicates that this value is unreliable</w:t>
      </w:r>
      <w:r w:rsidRPr="00D2098F">
        <w:t>.</w:t>
      </w:r>
      <w:r>
        <w:t xml:space="preserve"> </w:t>
      </w:r>
    </w:p>
    <w:p w14:paraId="0D524629" w14:textId="734FD439" w:rsidR="008827A7" w:rsidRDefault="008827A7" w:rsidP="008669FE">
      <w:pPr>
        <w:spacing w:line="480" w:lineRule="auto"/>
        <w:ind w:firstLine="720"/>
        <w:rPr>
          <w:b/>
          <w:bCs/>
        </w:rPr>
      </w:pPr>
      <w:r>
        <w:t xml:space="preserve">The file “variable name propagation spreadsheet.xlsx” on the </w:t>
      </w:r>
      <w:r w:rsidR="00077D30">
        <w:t xml:space="preserve">project </w:t>
      </w:r>
      <w:r w:rsidR="004E7193">
        <w:t>Github</w:t>
      </w:r>
      <w:r>
        <w:t xml:space="preserve"> page (under “Documentation”) provides a crosswalk from our substantive, conceptual variable names to NLSY alphanumeric variable names. The analysis code is the canonical description of how the variables were constructed and should resolve any vagueness or ambiguity in the preceding description. </w:t>
      </w:r>
    </w:p>
    <w:p w14:paraId="7C17BCA1" w14:textId="4D0502BB" w:rsidR="00077D30" w:rsidRPr="0003674E" w:rsidRDefault="005471F1" w:rsidP="00077D30">
      <w:pPr>
        <w:spacing w:line="480" w:lineRule="auto"/>
        <w:ind w:firstLine="720"/>
      </w:pPr>
      <w:r>
        <w:rPr>
          <w:b/>
          <w:bCs/>
        </w:rPr>
        <w:t>Selection of covariates.</w:t>
      </w:r>
      <w:r>
        <w:t xml:space="preserve"> </w:t>
      </w:r>
      <w:r w:rsidR="00E56FB6">
        <w:t xml:space="preserve">The goal of each of our models was to estimate the causal effect of early TV on mid-childhood attention as accurately as possible. Since </w:t>
      </w:r>
      <w:r w:rsidR="00A17231">
        <w:t>these</w:t>
      </w:r>
      <w:r w:rsidR="00E56FB6">
        <w:t xml:space="preserve"> data </w:t>
      </w:r>
      <w:r w:rsidR="00A17231">
        <w:t>were</w:t>
      </w:r>
      <w:r w:rsidR="00E56FB6">
        <w:t xml:space="preserve"> collected via an observational longitudinal design, confounding is </w:t>
      </w:r>
      <w:r w:rsidR="00820D62">
        <w:t>a</w:t>
      </w:r>
      <w:r w:rsidR="00B54B64">
        <w:t xml:space="preserve"> serious concern</w:t>
      </w:r>
      <w:r w:rsidR="00E56FB6">
        <w:t xml:space="preserve">. Causal inference </w:t>
      </w:r>
      <w:r w:rsidR="00514ADC">
        <w:t>from observational data</w:t>
      </w:r>
      <w:r w:rsidR="00E56FB6">
        <w:t xml:space="preserve">, in theory, </w:t>
      </w:r>
      <w:r w:rsidR="006C2DB9">
        <w:t xml:space="preserve">is </w:t>
      </w:r>
      <w:r w:rsidR="00E56FB6">
        <w:t>possible if the proper set of covariates are incorporated into the analysis such that all confounding paths are blocked (Rohrer, 2018).</w:t>
      </w:r>
      <w:r w:rsidR="00916BA8">
        <w:t xml:space="preserve"> </w:t>
      </w:r>
      <w:r w:rsidR="00E56FB6">
        <w:t>To this end, o</w:t>
      </w:r>
      <w:r>
        <w:t>ur models employed two different sets of covariates</w:t>
      </w:r>
      <w:r w:rsidR="00077D30">
        <w:t xml:space="preserve">. </w:t>
      </w:r>
    </w:p>
    <w:p w14:paraId="498C9834" w14:textId="1306D272" w:rsidR="00AD33C7" w:rsidRPr="003C63C7" w:rsidRDefault="00147F8C" w:rsidP="00AD33C7">
      <w:pPr>
        <w:spacing w:line="480" w:lineRule="auto"/>
        <w:ind w:firstLine="720"/>
      </w:pPr>
      <w:r w:rsidRPr="00AB26AB">
        <w:rPr>
          <w:b/>
          <w:bCs/>
          <w:i/>
          <w:iCs/>
        </w:rPr>
        <w:t>Original covariates</w:t>
      </w:r>
      <w:r>
        <w:rPr>
          <w:i/>
          <w:iCs/>
        </w:rPr>
        <w:t xml:space="preserve">. </w:t>
      </w:r>
      <w:r w:rsidR="005471F1">
        <w:t xml:space="preserve">The first set </w:t>
      </w:r>
      <w:r>
        <w:t>of covariates was identical to those</w:t>
      </w:r>
      <w:r w:rsidR="005471F1">
        <w:t xml:space="preserve"> employed in the original study. They included the following: </w:t>
      </w:r>
      <w:r w:rsidR="00514ADC">
        <w:t xml:space="preserve">cohort (year in which the child’s attention was </w:t>
      </w:r>
      <w:r w:rsidR="00514ADC">
        <w:lastRenderedPageBreak/>
        <w:t xml:space="preserve">assessed: 1996, 1998, or 2000), the child’s age when attention was assessed (typically </w:t>
      </w:r>
      <w:r w:rsidR="00AD33C7">
        <w:t>93 months</w:t>
      </w:r>
      <w:r w:rsidR="00514ADC">
        <w:t xml:space="preserve">, but varied between </w:t>
      </w:r>
      <w:r w:rsidR="00AD33C7">
        <w:t>81</w:t>
      </w:r>
      <w:r w:rsidR="00514ADC">
        <w:t xml:space="preserve"> and </w:t>
      </w:r>
      <w:r w:rsidR="00AD33C7">
        <w:t>105 months</w:t>
      </w:r>
      <w:r w:rsidR="00514ADC">
        <w:t xml:space="preserve">), </w:t>
      </w:r>
      <w:r w:rsidR="005471F1">
        <w:t xml:space="preserve">child’s race, child’s </w:t>
      </w:r>
      <w:r>
        <w:t>sex</w:t>
      </w:r>
      <w:r w:rsidR="005471F1">
        <w:t xml:space="preserve">, the number of children of the mother living in the household, mother’s highest grade completed, </w:t>
      </w:r>
      <w:r w:rsidR="00514ADC">
        <w:t>the cognitive s</w:t>
      </w:r>
      <w:r w:rsidR="00567057">
        <w:t>t</w:t>
      </w:r>
      <w:r w:rsidR="00514ADC">
        <w:t>imulation and emotional support of the home</w:t>
      </w:r>
      <w:r w:rsidR="00AD33C7">
        <w:t xml:space="preserve"> (measured between ages 1 and 3)</w:t>
      </w:r>
      <w:r w:rsidR="00514ADC">
        <w:t xml:space="preserve">, </w:t>
      </w:r>
      <w:r w:rsidR="005471F1">
        <w:t>binary indicator</w:t>
      </w:r>
      <w:r w:rsidR="00514ADC">
        <w:t>s</w:t>
      </w:r>
      <w:r w:rsidR="005471F1">
        <w:t xml:space="preserve"> of maternal alcohol use and cigarette smoking during pregnancy, a binary indicator of whether the child’s father lived in the household, maternal self-esteem as assessed by the Rosenberg Self-Esteem Scale in 1987, maternal depression as measured by the CES-D in 1992, child’s gestational age at birth (centered at term), and</w:t>
      </w:r>
      <w:r w:rsidR="00820D62">
        <w:t xml:space="preserve"> an urbanicity indicator variable in the form of the four levels of the Statistical Metropolitan Sampling Area classification</w:t>
      </w:r>
      <w:r w:rsidR="005471F1">
        <w:t>.</w:t>
      </w:r>
      <w:r w:rsidR="00AD33C7">
        <w:t xml:space="preserve"> Where applicable, all of these were extracted from the first wave of data availability to avoid conditioning on post-treatment variables, since they could have potentially biased our estimates if they were mediators or colliders (</w:t>
      </w:r>
      <w:r w:rsidR="00AD33C7" w:rsidRPr="00D24973">
        <w:t>Montgomery, Nyhan,</w:t>
      </w:r>
      <w:r w:rsidR="00AD33C7">
        <w:t xml:space="preserve"> &amp; Torres, 2018; Rohrer, 2018).</w:t>
      </w:r>
    </w:p>
    <w:p w14:paraId="572E2B44" w14:textId="0F66993F" w:rsidR="005471F1" w:rsidRDefault="00147F8C" w:rsidP="005471F1">
      <w:pPr>
        <w:spacing w:line="480" w:lineRule="auto"/>
        <w:ind w:firstLine="720"/>
      </w:pPr>
      <w:r w:rsidRPr="00AB26AB">
        <w:rPr>
          <w:b/>
          <w:bCs/>
          <w:i/>
          <w:iCs/>
        </w:rPr>
        <w:t>Expanded covariates</w:t>
      </w:r>
      <w:r>
        <w:t xml:space="preserve">. The expanded </w:t>
      </w:r>
      <w:r w:rsidR="00AD33C7">
        <w:t xml:space="preserve">covariate list included </w:t>
      </w:r>
      <w:r w:rsidR="00820D62">
        <w:t xml:space="preserve">all the </w:t>
      </w:r>
      <w:r w:rsidR="00AD33C7">
        <w:t>original covariate</w:t>
      </w:r>
      <w:r w:rsidR="00642782">
        <w:t>s</w:t>
      </w:r>
      <w:r w:rsidR="00AD33C7">
        <w:t xml:space="preserve"> with the following </w:t>
      </w:r>
      <w:r w:rsidR="00820D62">
        <w:t xml:space="preserve">additions, which we suspected to </w:t>
      </w:r>
      <w:r w:rsidR="00BC7FDC">
        <w:t>be</w:t>
      </w:r>
      <w:r w:rsidR="00820D62">
        <w:t xml:space="preserve"> confounders for TV use and childhood attention. We added family income, the partner or spouse’s highest level of educational attainment, an indicator variable for low birth weight (less than 2500 grams or 5 lbs 8 oz), </w:t>
      </w:r>
      <w:r w:rsidR="0091302B">
        <w:t xml:space="preserve">child temperament, </w:t>
      </w:r>
      <w:r w:rsidR="00820D62">
        <w:t>and an indicator that the child suffer</w:t>
      </w:r>
      <w:r w:rsidR="0091302B">
        <w:t>ed</w:t>
      </w:r>
      <w:r w:rsidR="00820D62">
        <w:t xml:space="preserve"> from a health condition that limited school and play activities</w:t>
      </w:r>
      <w:r w:rsidR="00820D62">
        <w:rPr>
          <w:rStyle w:val="FootnoteReference"/>
        </w:rPr>
        <w:footnoteReference w:id="7"/>
      </w:r>
      <w:r w:rsidR="00820D62">
        <w:t xml:space="preserve">. </w:t>
      </w:r>
      <w:r w:rsidR="005471F1">
        <w:t>Rather than a continuous gestational age at birth variable, we created a binary indicator of pre-term delivery (child born before 37 weeks of gestation)</w:t>
      </w:r>
      <w:r w:rsidR="00AD33C7">
        <w:t>, as we suspected this would better capture the relevant information in this variable</w:t>
      </w:r>
      <w:r w:rsidR="005471F1">
        <w:t xml:space="preserve">. </w:t>
      </w:r>
    </w:p>
    <w:p w14:paraId="6A45B12C" w14:textId="60C6AAC3" w:rsidR="00F537EB" w:rsidRDefault="00F537EB" w:rsidP="00F537EB">
      <w:pPr>
        <w:spacing w:line="480" w:lineRule="auto"/>
        <w:ind w:firstLine="720"/>
      </w:pPr>
      <w:r>
        <w:lastRenderedPageBreak/>
        <w:t xml:space="preserve">Most variables </w:t>
      </w:r>
      <w:r w:rsidR="003A391A">
        <w:t>were</w:t>
      </w:r>
      <w:r>
        <w:t xml:space="preserve"> based on survey questions that were repeatedly administered on a biennial basis and were selected from survey administrations contemporaneous with the TV exposure observation.</w:t>
      </w:r>
      <w:r w:rsidR="00916BA8">
        <w:t xml:space="preserve"> </w:t>
      </w:r>
      <w:r w:rsidR="003750F9">
        <w:t>However, t</w:t>
      </w:r>
      <w:r>
        <w:t xml:space="preserve">wo exceptions were maternal self-esteem, which was asked only in 1987, and maternal depression (CES-D), which was assessed only in 1992. Depending on the cohort, depression could have been assessed up to four years before birth or the same year the child was born; and self-esteem from one to five years before birth. </w:t>
      </w:r>
      <w:r w:rsidR="00F846D0">
        <w:t>Despite</w:t>
      </w:r>
      <w:r>
        <w:t xml:space="preserve"> this problem of timing, we included these two variables because the original paper did.</w:t>
      </w:r>
      <w:r w:rsidR="00916BA8">
        <w:t xml:space="preserve"> </w:t>
      </w:r>
      <w:r w:rsidR="006A31F2">
        <w:t>But we also</w:t>
      </w:r>
      <w:r>
        <w:t xml:space="preserve"> expected a moderate degree of stability over time in these constructs (Lovibond, 1998; Trzesniewski, Donnellan, &amp; Robins, 2003), which may ameliorate some concern about the timing of their measurement. We hope that including these covariates reduced</w:t>
      </w:r>
      <w:r w:rsidR="001400D6">
        <w:t xml:space="preserve"> the</w:t>
      </w:r>
      <w:r>
        <w:t xml:space="preserve"> confounding bias that would otherwise render the estimates uninterpretable, though </w:t>
      </w:r>
      <w:r w:rsidR="0055368C">
        <w:t>it is unlikely</w:t>
      </w:r>
      <w:r>
        <w:t xml:space="preserve"> that we </w:t>
      </w:r>
      <w:r w:rsidR="006709EA">
        <w:t>eliminated</w:t>
      </w:r>
      <w:r>
        <w:t xml:space="preserve"> it </w:t>
      </w:r>
      <w:r w:rsidR="0055368C">
        <w:t xml:space="preserve">entirely </w:t>
      </w:r>
      <w:r>
        <w:t>(</w:t>
      </w:r>
      <w:r w:rsidRPr="00F71468">
        <w:t>Westfall &amp; Yarkoni, 2016</w:t>
      </w:r>
      <w:r>
        <w:t>).</w:t>
      </w:r>
    </w:p>
    <w:p w14:paraId="637F47C8" w14:textId="30824408" w:rsidR="0060548E" w:rsidRDefault="0060548E" w:rsidP="0060548E">
      <w:pPr>
        <w:spacing w:line="480" w:lineRule="auto"/>
        <w:ind w:firstLine="720"/>
      </w:pPr>
      <w:r>
        <w:t>One of our added covariates was child’s temperament.</w:t>
      </w:r>
      <w:r w:rsidR="00916BA8">
        <w:t xml:space="preserve"> </w:t>
      </w:r>
      <w:r>
        <w:t xml:space="preserve">Temperament includes the ability to regulate one’s own attention (Posner &amp; Rothbart, 2018; Smith et al., 1997), and as one might predict, certain temperament dimensions predict </w:t>
      </w:r>
      <w:r w:rsidRPr="001E446A">
        <w:t>children’s later attention</w:t>
      </w:r>
      <w:r>
        <w:t xml:space="preserve"> problems</w:t>
      </w:r>
      <w:r w:rsidRPr="001E446A">
        <w:t xml:space="preserve"> (Auerbach et al., 2008; </w:t>
      </w:r>
      <w:r>
        <w:rPr>
          <w:color w:val="222222"/>
          <w:shd w:val="clear" w:color="auto" w:fill="FFFFFF"/>
        </w:rPr>
        <w:t xml:space="preserve">Sullivan et al. 2015). In addition, </w:t>
      </w:r>
      <w:r>
        <w:t>parents’ perception of infants’ energy level (Nabi &amp; Krcmar, 2016), poor self-regulation (Radesky et al., 2014), and fussiness (Thompson et al., 2013) all predict TV use, suggesting that parents may be showing TV to infants as a way to manage their difficult temperaments. In short, we suspected that relations between early television and later attention problems, to the extent that they exist, might be driven by their shared connection to early attention problems (as reflected in temperament).</w:t>
      </w:r>
      <w:r w:rsidR="00916BA8">
        <w:t xml:space="preserve"> </w:t>
      </w:r>
    </w:p>
    <w:p w14:paraId="7E7EEE32" w14:textId="4091DCD9" w:rsidR="005471F1" w:rsidRDefault="000218AC" w:rsidP="0091466C">
      <w:pPr>
        <w:spacing w:line="480" w:lineRule="auto"/>
        <w:ind w:firstLine="720"/>
      </w:pPr>
      <w:r>
        <w:t>Our temperament scale was based on the temperament items included in the NLSY dataset</w:t>
      </w:r>
      <w:r w:rsidR="008900C8">
        <w:t xml:space="preserve"> (NLSY Temperament, </w:t>
      </w:r>
      <w:r w:rsidR="004548D9">
        <w:t>2020</w:t>
      </w:r>
      <w:r w:rsidR="008900C8">
        <w:t>)</w:t>
      </w:r>
      <w:r>
        <w:t>.</w:t>
      </w:r>
      <w:r w:rsidR="00916BA8">
        <w:t xml:space="preserve"> </w:t>
      </w:r>
      <w:r w:rsidR="005471F1">
        <w:t xml:space="preserve">We </w:t>
      </w:r>
      <w:r w:rsidR="0091466C">
        <w:t>summed</w:t>
      </w:r>
      <w:r w:rsidR="005471F1">
        <w:t xml:space="preserve"> the six available items that represented </w:t>
      </w:r>
      <w:r w:rsidR="005471F1">
        <w:lastRenderedPageBreak/>
        <w:t xml:space="preserve">aspects of difficult temperament, as defined by Rothbart and Bates (2006), which included irritability, high-intensity affect, and negative mood. These items included assessments of how often the child cries when seeing a stranger, how often she is afraid of dogs or cats, how often she cries with doctors or nurses, how often the caregiver has trouble calming the child, and how often the child cries compared to others. Our temperament variable was the mean of these items, each of which was represented on a 5-point scale. </w:t>
      </w:r>
    </w:p>
    <w:p w14:paraId="65E52964" w14:textId="2D5130EC" w:rsidR="00AD33C7" w:rsidRDefault="00AB3B56" w:rsidP="005471F1">
      <w:pPr>
        <w:spacing w:line="480" w:lineRule="auto"/>
        <w:ind w:firstLine="720"/>
      </w:pPr>
      <w:r>
        <w:t>Because reviewers</w:t>
      </w:r>
      <w:r w:rsidR="00AD33C7">
        <w:t xml:space="preserve"> expressed concern that our temperament </w:t>
      </w:r>
      <w:r w:rsidR="00983547">
        <w:t>items</w:t>
      </w:r>
      <w:r w:rsidR="00AD33C7">
        <w:t xml:space="preserve"> might simply </w:t>
      </w:r>
      <w:r w:rsidR="00A5661F">
        <w:t>reflect</w:t>
      </w:r>
      <w:r w:rsidR="00AD33C7">
        <w:t xml:space="preserve"> attention deficits</w:t>
      </w:r>
      <w:r w:rsidR="00B54B64">
        <w:t xml:space="preserve"> assessed earlier in life</w:t>
      </w:r>
      <w:r w:rsidR="00AD33C7">
        <w:t>, we performed an exploratory factor analysis</w:t>
      </w:r>
      <w:r w:rsidR="001400D6">
        <w:t xml:space="preserve"> of the temperament and attention items</w:t>
      </w:r>
      <w:r w:rsidR="00AD33C7">
        <w:t>.</w:t>
      </w:r>
      <w:r w:rsidR="00934573">
        <w:t xml:space="preserve"> A two-factor model with varimax rotation exhibited clean simple structure separating attention from temperament, and in which the largest absolute standardized cross-loading was 0.13</w:t>
      </w:r>
      <w:r w:rsidR="00945C09">
        <w:t>3</w:t>
      </w:r>
      <w:r w:rsidR="00934573">
        <w:t xml:space="preserve">. The correlation between factors was </w:t>
      </w:r>
      <w:r w:rsidR="00934573">
        <w:rPr>
          <w:i/>
          <w:iCs/>
        </w:rPr>
        <w:t>r</w:t>
      </w:r>
      <w:r w:rsidR="00934573">
        <w:t xml:space="preserve"> = -0.11</w:t>
      </w:r>
      <w:r w:rsidR="00945C09">
        <w:t>4</w:t>
      </w:r>
      <w:r w:rsidR="00934573">
        <w:t xml:space="preserve">. We therefore concluded that attention and temperament were </w:t>
      </w:r>
      <w:r w:rsidR="00B54B64">
        <w:t>sufficiently</w:t>
      </w:r>
      <w:r w:rsidR="00934573">
        <w:t xml:space="preserve"> distinct variables. </w:t>
      </w:r>
    </w:p>
    <w:p w14:paraId="0F6E02A8" w14:textId="03136F8F" w:rsidR="008827A7" w:rsidRDefault="008827A7" w:rsidP="005471F1">
      <w:pPr>
        <w:spacing w:line="480" w:lineRule="auto"/>
        <w:ind w:firstLine="720"/>
      </w:pPr>
      <w:r>
        <w:rPr>
          <w:b/>
          <w:bCs/>
        </w:rPr>
        <w:t xml:space="preserve">Analytic approaches. </w:t>
      </w:r>
      <w:r w:rsidR="00B5295B">
        <w:t xml:space="preserve">For each of the following analytic approaches, we modeled </w:t>
      </w:r>
      <w:r>
        <w:t>two different outcomes (raw attention vs</w:t>
      </w:r>
      <w:r w:rsidR="00624707">
        <w:t>.</w:t>
      </w:r>
      <w:r>
        <w:t xml:space="preserve"> the within-sex standardized attention scores used in the original analysis), measured TV use at approximately </w:t>
      </w:r>
      <w:r w:rsidR="00077D30">
        <w:t>1.5</w:t>
      </w:r>
      <w:r>
        <w:t xml:space="preserve"> and three years of </w:t>
      </w:r>
      <w:r w:rsidR="00821F9C">
        <w:t>age</w:t>
      </w:r>
      <w:r w:rsidR="00233961">
        <w:t>,</w:t>
      </w:r>
      <w:r w:rsidR="00821F9C">
        <w:t xml:space="preserve"> and</w:t>
      </w:r>
      <w:r w:rsidR="00077D30">
        <w:t xml:space="preserve"> incorporated the two different sets of covariates designated above. Additional features specific to each model are described in the </w:t>
      </w:r>
      <w:r w:rsidR="00811581" w:rsidRPr="00F71468">
        <w:t>corresponding</w:t>
      </w:r>
      <w:r w:rsidR="00077D30" w:rsidRPr="00F71468">
        <w:t xml:space="preserve"> section</w:t>
      </w:r>
      <w:r w:rsidR="00811581" w:rsidRPr="00F71468">
        <w:t>s</w:t>
      </w:r>
      <w:r w:rsidR="001400D6" w:rsidRPr="00F71468">
        <w:t xml:space="preserve"> and in </w:t>
      </w:r>
      <w:r w:rsidR="00F537EB" w:rsidRPr="00F71468">
        <w:t>Table 1).</w:t>
      </w:r>
    </w:p>
    <w:p w14:paraId="6B4CB4E8" w14:textId="0DBCEE26" w:rsidR="0074418B" w:rsidRDefault="00AE4856" w:rsidP="00F537EB">
      <w:pPr>
        <w:spacing w:line="480" w:lineRule="auto"/>
        <w:ind w:firstLine="720"/>
      </w:pPr>
      <w:r>
        <w:rPr>
          <w:b/>
        </w:rPr>
        <w:t>Multiverse I (</w:t>
      </w:r>
      <w:r w:rsidR="00F537EB">
        <w:rPr>
          <w:b/>
        </w:rPr>
        <w:t>Logistic Regression</w:t>
      </w:r>
      <w:r>
        <w:rPr>
          <w:b/>
        </w:rPr>
        <w:t>)</w:t>
      </w:r>
      <w:r w:rsidR="00F537EB">
        <w:rPr>
          <w:b/>
        </w:rPr>
        <w:t xml:space="preserve">. </w:t>
      </w:r>
      <w:r w:rsidR="00F537EB">
        <w:t>First, to replicate the analysis used in the original study, we analyzed the data set using logistic regression</w:t>
      </w:r>
      <w:r w:rsidR="007A18EE">
        <w:t xml:space="preserve">. As </w:t>
      </w:r>
      <w:r w:rsidR="000402D1">
        <w:t>already noted</w:t>
      </w:r>
      <w:r w:rsidR="007A18EE">
        <w:t>,</w:t>
      </w:r>
      <w:r w:rsidR="00F537EB">
        <w:t xml:space="preserve"> Christakis et al. (2004) divided the continuous attention/behavior problems scale into typical and problematic levels of attention based on </w:t>
      </w:r>
      <w:r w:rsidR="001400D6">
        <w:t>standardized attention</w:t>
      </w:r>
      <w:r w:rsidR="00F537EB">
        <w:t xml:space="preserve"> </w:t>
      </w:r>
      <w:r w:rsidR="00B5625C">
        <w:t>cutpoint</w:t>
      </w:r>
      <w:r w:rsidR="00F537EB">
        <w:t xml:space="preserve"> </w:t>
      </w:r>
      <w:r w:rsidR="001400D6">
        <w:t>of 120</w:t>
      </w:r>
      <w:r w:rsidR="00F537EB">
        <w:t xml:space="preserve">. </w:t>
      </w:r>
      <w:r w:rsidR="007A18EE">
        <w:t xml:space="preserve">To determine how sensitive </w:t>
      </w:r>
      <w:r w:rsidR="00D5514A">
        <w:t>the original findings</w:t>
      </w:r>
      <w:r w:rsidR="007A18EE">
        <w:t xml:space="preserve"> were to this </w:t>
      </w:r>
      <w:r w:rsidR="00D5514A">
        <w:t>particular</w:t>
      </w:r>
      <w:r w:rsidR="007A18EE">
        <w:t xml:space="preserve"> cutpoint, w</w:t>
      </w:r>
      <w:r w:rsidR="00F537EB">
        <w:t xml:space="preserve">e defined multiple dichotomous outcome variables by varying the standardized attention cutpoint from </w:t>
      </w:r>
      <w:r w:rsidR="00140AD1">
        <w:t xml:space="preserve">110 </w:t>
      </w:r>
      <w:r w:rsidR="00F537EB" w:rsidRPr="001400D6">
        <w:t>to 130</w:t>
      </w:r>
      <w:r w:rsidR="00F537EB">
        <w:t xml:space="preserve">. </w:t>
      </w:r>
      <w:r w:rsidR="0074418B">
        <w:t xml:space="preserve">For comparison </w:t>
      </w:r>
      <w:r w:rsidR="0074418B">
        <w:lastRenderedPageBreak/>
        <w:t xml:space="preserve">between </w:t>
      </w:r>
      <w:r w:rsidR="00641188">
        <w:t xml:space="preserve">analyses using the </w:t>
      </w:r>
      <w:r w:rsidR="0074418B">
        <w:t xml:space="preserve">raw </w:t>
      </w:r>
      <w:r w:rsidR="00641188">
        <w:t>versus</w:t>
      </w:r>
      <w:r w:rsidR="0074418B">
        <w:t xml:space="preserve"> </w:t>
      </w:r>
      <w:r w:rsidR="00641188">
        <w:t xml:space="preserve">the </w:t>
      </w:r>
      <w:r w:rsidR="0074418B">
        <w:t>standardized attention</w:t>
      </w:r>
      <w:r w:rsidR="00641188">
        <w:t xml:space="preserve"> measure</w:t>
      </w:r>
      <w:r w:rsidR="0074418B">
        <w:t>, w</w:t>
      </w:r>
      <w:r w:rsidR="00F537EB">
        <w:t xml:space="preserve">e </w:t>
      </w:r>
      <w:r w:rsidR="00C5010A">
        <w:t>used</w:t>
      </w:r>
      <w:r w:rsidR="00F537EB">
        <w:t xml:space="preserve"> cutpoints on the raw attention </w:t>
      </w:r>
      <w:r w:rsidR="001D2A04">
        <w:t>measure</w:t>
      </w:r>
      <w:r w:rsidR="00C5010A">
        <w:t xml:space="preserve"> that were the</w:t>
      </w:r>
      <w:r w:rsidR="00C5010A" w:rsidRPr="00C5010A">
        <w:t xml:space="preserve"> </w:t>
      </w:r>
      <w:r w:rsidR="00C5010A">
        <w:t xml:space="preserve">percentile-equivalents of those on the standardized attention </w:t>
      </w:r>
      <w:r w:rsidR="001D2A04">
        <w:t>measure</w:t>
      </w:r>
      <w:r w:rsidR="00F537EB">
        <w:t xml:space="preserve">. </w:t>
      </w:r>
    </w:p>
    <w:p w14:paraId="4E89AA1D" w14:textId="3D487DB1" w:rsidR="00F537EB" w:rsidRDefault="00187F9E" w:rsidP="005471F1">
      <w:pPr>
        <w:spacing w:line="480" w:lineRule="auto"/>
        <w:ind w:firstLine="720"/>
      </w:pPr>
      <w:r>
        <w:t xml:space="preserve">We fit models both with and without sample weights, using the </w:t>
      </w:r>
      <w:r>
        <w:rPr>
          <w:i/>
          <w:iCs/>
        </w:rPr>
        <w:t>survey</w:t>
      </w:r>
      <w:r>
        <w:t xml:space="preserve"> package</w:t>
      </w:r>
      <w:r w:rsidR="00E37BB4">
        <w:t xml:space="preserve"> v. 4.0</w:t>
      </w:r>
      <w:r>
        <w:t xml:space="preserve"> </w:t>
      </w:r>
      <w:r w:rsidR="009051FA">
        <w:t xml:space="preserve">(Lumley, 2019) </w:t>
      </w:r>
      <w:r>
        <w:t xml:space="preserve">to perform the weighted analysis. We also fit models </w:t>
      </w:r>
      <w:r w:rsidR="005D7503">
        <w:t xml:space="preserve">both </w:t>
      </w:r>
      <w:r w:rsidR="00F537EB">
        <w:t>with and without multiple imputation of missing data</w:t>
      </w:r>
      <w:r>
        <w:t xml:space="preserve">, using the </w:t>
      </w:r>
      <w:r>
        <w:rPr>
          <w:i/>
          <w:iCs/>
        </w:rPr>
        <w:t>mice</w:t>
      </w:r>
      <w:r>
        <w:t xml:space="preserve"> package</w:t>
      </w:r>
      <w:r w:rsidR="00E37BB4">
        <w:t>, v. 3.8.0</w:t>
      </w:r>
      <w:r w:rsidR="00D640A9">
        <w:t xml:space="preserve"> (</w:t>
      </w:r>
      <w:r w:rsidR="00D640A9" w:rsidRPr="0003674E">
        <w:t>van Buuren &amp; Groothuis-Oudshoorn</w:t>
      </w:r>
      <w:r w:rsidR="00FE6587">
        <w:t xml:space="preserve">, 2011) </w:t>
      </w:r>
      <w:r w:rsidR="003E68CE">
        <w:t>However</w:t>
      </w:r>
      <w:r w:rsidR="003469CA">
        <w:t>,</w:t>
      </w:r>
      <w:r w:rsidR="003E68CE">
        <w:t xml:space="preserve"> it was not possible to fit models using both</w:t>
      </w:r>
      <w:r w:rsidR="001400D6">
        <w:t xml:space="preserve"> sample weights and multiple imputation simultaneously. </w:t>
      </w:r>
      <w:r w:rsidR="000264A7" w:rsidRPr="00AE4856">
        <w:t>L</w:t>
      </w:r>
      <w:r w:rsidR="00F537EB" w:rsidRPr="00AE4856">
        <w:t>istwise deletion</w:t>
      </w:r>
      <w:r w:rsidR="003E68CE" w:rsidRPr="00AE4856">
        <w:t xml:space="preserve"> </w:t>
      </w:r>
      <w:r w:rsidR="00F537EB" w:rsidRPr="00AE4856">
        <w:t xml:space="preserve">yielded </w:t>
      </w:r>
      <w:r w:rsidR="000264A7" w:rsidRPr="00F71468">
        <w:t>336 models [</w:t>
      </w:r>
      <w:r w:rsidR="00F537EB" w:rsidRPr="00F71468">
        <w:t>21 (attention cutpoints</w:t>
      </w:r>
      <w:r w:rsidR="00F537EB" w:rsidRPr="00AE4856">
        <w:t>) x 2 (outcomes) x 2 (TV ages) x 2 (covariate sets) x 2 (sample weights)</w:t>
      </w:r>
      <w:r w:rsidR="000264A7" w:rsidRPr="00AE4856">
        <w:t>] and m</w:t>
      </w:r>
      <w:r w:rsidR="00F537EB" w:rsidRPr="00AE4856">
        <w:t>ultiple imputation</w:t>
      </w:r>
      <w:r w:rsidR="000264A7" w:rsidRPr="00AE4856">
        <w:t xml:space="preserve"> yielded</w:t>
      </w:r>
      <w:r w:rsidR="00F537EB" w:rsidRPr="00F71468">
        <w:t xml:space="preserve"> </w:t>
      </w:r>
      <w:r w:rsidR="000264A7" w:rsidRPr="00F71468">
        <w:t>168 models [</w:t>
      </w:r>
      <w:r w:rsidR="00F537EB" w:rsidRPr="00F71468">
        <w:t>21 (attention cutpoints) x 2 (outcomes) x 2 (TV ages) x 2 (covariate sets)</w:t>
      </w:r>
      <w:r w:rsidR="000264A7" w:rsidRPr="00F71468">
        <w:t>],</w:t>
      </w:r>
      <w:r w:rsidR="00F537EB" w:rsidRPr="00F71468">
        <w:t xml:space="preserve"> for a </w:t>
      </w:r>
      <w:r w:rsidR="002448F7" w:rsidRPr="00F71468">
        <w:t xml:space="preserve">combined </w:t>
      </w:r>
      <w:r w:rsidR="00F537EB" w:rsidRPr="00F71468">
        <w:t>total of 504 logistic regression</w:t>
      </w:r>
      <w:r w:rsidR="00F537EB" w:rsidRPr="00AE4856">
        <w:t xml:space="preserve"> models</w:t>
      </w:r>
      <w:r w:rsidR="00F537EB">
        <w:t xml:space="preserve">. However, because of sparseness on the attention outcome (particularly the raw version), frequently the imposition of two adjacent cutoffs (e.g, 121 and 122) would produce identical categorizations of the outcome and therefore redundant results. After purging these redundancies, we were left with </w:t>
      </w:r>
      <w:r w:rsidR="00C94E1E">
        <w:t>200</w:t>
      </w:r>
      <w:r w:rsidR="00F537EB">
        <w:t xml:space="preserve"> unique logistic regression models.</w:t>
      </w:r>
    </w:p>
    <w:p w14:paraId="4DD198FF" w14:textId="1559575D" w:rsidR="00AE4856" w:rsidRPr="00F71468" w:rsidRDefault="00AE4856" w:rsidP="005471F1">
      <w:pPr>
        <w:spacing w:line="480" w:lineRule="auto"/>
        <w:ind w:firstLine="720"/>
        <w:rPr>
          <w:b/>
          <w:bCs/>
        </w:rPr>
      </w:pPr>
      <w:r w:rsidRPr="00F71468">
        <w:rPr>
          <w:b/>
          <w:bCs/>
        </w:rPr>
        <w:t>Multiverse II: Linear Regression and Propensity Score Analysis</w:t>
      </w:r>
    </w:p>
    <w:p w14:paraId="4EC87381" w14:textId="438C3DF8" w:rsidR="006B4158" w:rsidRPr="000668C4" w:rsidRDefault="006B4158" w:rsidP="006B4158">
      <w:pPr>
        <w:spacing w:line="480" w:lineRule="auto"/>
        <w:ind w:firstLine="720"/>
      </w:pPr>
      <w:bookmarkStart w:id="2" w:name="_Hlk28963891"/>
      <w:r w:rsidRPr="00F71468">
        <w:rPr>
          <w:b/>
          <w:i/>
          <w:iCs/>
        </w:rPr>
        <w:t>Linear Regression</w:t>
      </w:r>
      <w:r>
        <w:rPr>
          <w:b/>
        </w:rPr>
        <w:t>.</w:t>
      </w:r>
      <w:r>
        <w:t xml:space="preserve"> </w:t>
      </w:r>
      <w:r w:rsidR="00642782">
        <w:t xml:space="preserve">These models estimated the linear relationship between TV use, measured at approximate ages 1.5 and 3, and the mid-childhood standardized and raw attention outcomes. They were the only models that treated both TV and attention as continuous variables. </w:t>
      </w:r>
      <w:r w:rsidR="000C0514">
        <w:t>As with the logistic regressions, w</w:t>
      </w:r>
      <w:r>
        <w:t xml:space="preserve">e fit models both with and without sample weights, </w:t>
      </w:r>
      <w:r w:rsidR="000C0514">
        <w:t>and with and without</w:t>
      </w:r>
      <w:r>
        <w:t xml:space="preserve"> multiple imputation (</w:t>
      </w:r>
      <w:r w:rsidR="000C0514">
        <w:t xml:space="preserve">using </w:t>
      </w:r>
      <w:r w:rsidR="000C3386">
        <w:t xml:space="preserve">the </w:t>
      </w:r>
      <w:r w:rsidR="000C0514" w:rsidRPr="000C0514">
        <w:rPr>
          <w:i/>
          <w:iCs/>
        </w:rPr>
        <w:t>survey</w:t>
      </w:r>
      <w:r w:rsidR="000C0514">
        <w:t xml:space="preserve"> and </w:t>
      </w:r>
      <w:r w:rsidR="000C0514" w:rsidRPr="008669FE">
        <w:rPr>
          <w:i/>
          <w:iCs/>
        </w:rPr>
        <w:t>mice</w:t>
      </w:r>
      <w:r w:rsidR="000C3386">
        <w:t xml:space="preserve"> packages</w:t>
      </w:r>
      <w:r w:rsidR="000C0514">
        <w:t>, respectively).</w:t>
      </w:r>
      <w:r w:rsidR="00916BA8">
        <w:t xml:space="preserve"> </w:t>
      </w:r>
      <w:r w:rsidR="000C0514">
        <w:t>Again</w:t>
      </w:r>
      <w:r>
        <w:t xml:space="preserve">, sample weights could not be combined with multiple imputation, so these conditions were not fully crossed. Using listwise deletion, we fit </w:t>
      </w:r>
      <w:r w:rsidR="00642782" w:rsidRPr="00F71468">
        <w:t>16</w:t>
      </w:r>
      <w:r w:rsidR="000C0514">
        <w:t xml:space="preserve"> models [</w:t>
      </w:r>
      <w:r>
        <w:t xml:space="preserve">2 (outcomes) x 2 (TV ages) x 2 </w:t>
      </w:r>
      <w:r>
        <w:lastRenderedPageBreak/>
        <w:t>(covariate sets) x 2 (sample weights)</w:t>
      </w:r>
      <w:r w:rsidR="000C0514">
        <w:t xml:space="preserve">], </w:t>
      </w:r>
      <w:r w:rsidR="001D64DC">
        <w:t xml:space="preserve">whereas </w:t>
      </w:r>
      <w:r w:rsidR="000C0514">
        <w:t>u</w:t>
      </w:r>
      <w:r>
        <w:t xml:space="preserve">sing multiple imputation we fit </w:t>
      </w:r>
      <w:r w:rsidR="00642782">
        <w:t>8</w:t>
      </w:r>
      <w:r w:rsidR="000C0514">
        <w:t xml:space="preserve"> models [</w:t>
      </w:r>
      <w:r>
        <w:t>2 (outcomes) x 2 (TV ages) x 2 (covariate sets)</w:t>
      </w:r>
      <w:r w:rsidR="000C0514">
        <w:t>], for</w:t>
      </w:r>
      <w:r>
        <w:t xml:space="preserve"> </w:t>
      </w:r>
      <w:r w:rsidR="000C0514">
        <w:t>a</w:t>
      </w:r>
      <w:r>
        <w:t xml:space="preserve"> total of </w:t>
      </w:r>
      <w:r w:rsidR="00642782">
        <w:t>24</w:t>
      </w:r>
      <w:r>
        <w:t xml:space="preserve"> linear regression models.</w:t>
      </w:r>
      <w:r w:rsidR="00B54B64">
        <w:t xml:space="preserve"> </w:t>
      </w:r>
    </w:p>
    <w:bookmarkEnd w:id="2"/>
    <w:p w14:paraId="6A2D7063" w14:textId="1306F7C0" w:rsidR="00945C09" w:rsidRDefault="005471F1" w:rsidP="00C65C27">
      <w:pPr>
        <w:spacing w:line="480" w:lineRule="auto"/>
        <w:ind w:firstLine="720"/>
      </w:pPr>
      <w:r>
        <w:t xml:space="preserve"> </w:t>
      </w:r>
      <w:r w:rsidR="00E75429" w:rsidRPr="00F71468">
        <w:rPr>
          <w:b/>
          <w:i/>
          <w:iCs/>
        </w:rPr>
        <w:t>Propensity Score Analyses.</w:t>
      </w:r>
      <w:r w:rsidR="00916BA8">
        <w:t xml:space="preserve"> </w:t>
      </w:r>
      <w:r w:rsidR="003B0F1B">
        <w:t>Finally, w</w:t>
      </w:r>
      <w:r w:rsidR="005758A0">
        <w:t>e conducted propensity score analyses using two techniques of incorporating the propensity scores (IPTW vs. stratification).</w:t>
      </w:r>
      <w:r w:rsidR="00916BA8">
        <w:t xml:space="preserve"> </w:t>
      </w:r>
      <w:r w:rsidR="005758A0">
        <w:t xml:space="preserve">We ran analyses using both the raw and within-sex standardized versions of the </w:t>
      </w:r>
      <w:r w:rsidR="00642782">
        <w:t>outcome</w:t>
      </w:r>
      <w:r w:rsidR="009169BA">
        <w:t xml:space="preserve"> at age ~</w:t>
      </w:r>
      <w:r w:rsidR="005758A0">
        <w:t xml:space="preserve"> 1.5 years and </w:t>
      </w:r>
      <w:r w:rsidR="009169BA">
        <w:t>age ~</w:t>
      </w:r>
      <w:r w:rsidR="005758A0">
        <w:t>3.</w:t>
      </w:r>
      <w:r w:rsidR="00916BA8">
        <w:t xml:space="preserve"> </w:t>
      </w:r>
      <w:r w:rsidR="005758A0">
        <w:t xml:space="preserve">To explore the impact of how hours of TV are dichotomized into “high” and “low” groups </w:t>
      </w:r>
      <w:r w:rsidR="00077D30" w:rsidRPr="00314131">
        <w:t xml:space="preserve">we ran analyses </w:t>
      </w:r>
      <w:r w:rsidR="00D26CEA">
        <w:t xml:space="preserve">using six </w:t>
      </w:r>
      <w:r w:rsidR="00077D30" w:rsidRPr="00314131">
        <w:t>different</w:t>
      </w:r>
      <w:r w:rsidR="00077D30">
        <w:t xml:space="preserve"> percentile</w:t>
      </w:r>
      <w:r w:rsidR="00077D30" w:rsidRPr="00314131">
        <w:t xml:space="preserve"> </w:t>
      </w:r>
      <w:r w:rsidR="00B5625C">
        <w:t>cutpoint</w:t>
      </w:r>
      <w:r w:rsidR="00077D30" w:rsidRPr="00D2098F">
        <w:t xml:space="preserve">s </w:t>
      </w:r>
      <w:r w:rsidR="00077D30">
        <w:t>to define</w:t>
      </w:r>
      <w:r w:rsidR="00077D30" w:rsidRPr="00D2098F">
        <w:t xml:space="preserve"> the high and low</w:t>
      </w:r>
      <w:r w:rsidR="00077D30" w:rsidRPr="00314131">
        <w:t xml:space="preserve"> TV groups</w:t>
      </w:r>
      <w:r w:rsidR="00D26CEA">
        <w:t xml:space="preserve"> as follows:</w:t>
      </w:r>
    </w:p>
    <w:p w14:paraId="7C676424" w14:textId="6E86CA9E"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20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80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(20/80)</w:t>
      </w:r>
    </w:p>
    <w:p w14:paraId="6AFF7342" w14:textId="0FC8C042"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30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(30/70)</w:t>
      </w:r>
    </w:p>
    <w:p w14:paraId="7228DDE3" w14:textId="0F5B02DB"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40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(40/60)</w:t>
      </w:r>
    </w:p>
    <w:p w14:paraId="6ABF9799" w14:textId="13DFCB18"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50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(50)</w:t>
      </w:r>
    </w:p>
    <w:p w14:paraId="08E3B937" w14:textId="6FC3582D" w:rsidR="00D26CEA" w:rsidRPr="008669FE"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60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(60)</w:t>
      </w:r>
    </w:p>
    <w:p w14:paraId="031D8C27" w14:textId="3B5365F5" w:rsidR="00D26CEA" w:rsidRDefault="00D26CEA" w:rsidP="00D26CEA">
      <w:pPr>
        <w:pStyle w:val="ListParagraph"/>
        <w:numPr>
          <w:ilvl w:val="0"/>
          <w:numId w:val="10"/>
        </w:numPr>
        <w:spacing w:line="480" w:lineRule="auto"/>
        <w:rPr>
          <w:rFonts w:ascii="Times New Roman" w:hAnsi="Times New Roman" w:cs="Times New Roman"/>
          <w:sz w:val="24"/>
          <w:szCs w:val="24"/>
        </w:rPr>
      </w:pPr>
      <w:r w:rsidRPr="008669FE">
        <w:rPr>
          <w:rFonts w:ascii="Times New Roman" w:hAnsi="Times New Roman" w:cs="Times New Roman"/>
          <w:sz w:val="24"/>
          <w:szCs w:val="24"/>
        </w:rPr>
        <w:t>Below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 / Above 70</w:t>
      </w:r>
      <w:r w:rsidRPr="008669FE">
        <w:rPr>
          <w:rFonts w:ascii="Times New Roman" w:hAnsi="Times New Roman" w:cs="Times New Roman"/>
          <w:sz w:val="24"/>
          <w:szCs w:val="24"/>
          <w:vertAlign w:val="superscript"/>
        </w:rPr>
        <w:t>th</w:t>
      </w:r>
      <w:r w:rsidRPr="008669FE">
        <w:rPr>
          <w:rFonts w:ascii="Times New Roman" w:hAnsi="Times New Roman" w:cs="Times New Roman"/>
          <w:sz w:val="24"/>
          <w:szCs w:val="24"/>
        </w:rPr>
        <w:t xml:space="preserve"> percentile</w:t>
      </w:r>
      <w:r w:rsidR="00642782">
        <w:rPr>
          <w:rFonts w:ascii="Times New Roman" w:hAnsi="Times New Roman" w:cs="Times New Roman"/>
          <w:sz w:val="24"/>
          <w:szCs w:val="24"/>
        </w:rPr>
        <w:t xml:space="preserve"> (70)</w:t>
      </w:r>
    </w:p>
    <w:p w14:paraId="519C640A" w14:textId="72E67E94" w:rsidR="00F55A73" w:rsidRPr="00F55A73" w:rsidRDefault="005758A0" w:rsidP="008669FE">
      <w:pPr>
        <w:spacing w:line="480" w:lineRule="auto"/>
        <w:ind w:firstLine="720"/>
      </w:pPr>
      <w:r>
        <w:t>Where possible, we ran analyses with and without a doubly-robust strategy, with and without sampling weights, and for both the ATT and the ATE.</w:t>
      </w:r>
      <w:r w:rsidR="00916BA8">
        <w:t xml:space="preserve"> </w:t>
      </w:r>
      <w:r w:rsidR="00F55A73">
        <w:t xml:space="preserve">In all the propensity score analyses, we used boosted classification trees (as implemented in the </w:t>
      </w:r>
      <w:r w:rsidR="00F55A73" w:rsidRPr="00F55A73">
        <w:rPr>
          <w:i/>
          <w:iCs/>
        </w:rPr>
        <w:t>twang</w:t>
      </w:r>
      <w:r w:rsidR="00F55A73">
        <w:t xml:space="preserve"> package</w:t>
      </w:r>
      <w:r w:rsidR="007B26B6">
        <w:t>,</w:t>
      </w:r>
      <w:r w:rsidR="00F55A73">
        <w:t xml:space="preserve"> v. 1.</w:t>
      </w:r>
      <w:r w:rsidR="00995668">
        <w:t>6</w:t>
      </w:r>
      <w:r w:rsidR="00F55A73">
        <w:t xml:space="preserve">, Ridgeway, McCaffrey, Morral, Griffin, </w:t>
      </w:r>
      <w:r w:rsidR="00987D61">
        <w:t>&amp;</w:t>
      </w:r>
      <w:r w:rsidR="00F55A73">
        <w:t xml:space="preserve"> Burgette, 2017) to estimate the propensity scores, using bagging and cross-validation to prevent overfitting. Missing data on covariates is handled automatically by the classification tree approach</w:t>
      </w:r>
      <w:r w:rsidR="007F340F">
        <w:t>, in that the missingness is treated as informative and propensity scores can be estimated for cases with missing covariate values.</w:t>
      </w:r>
    </w:p>
    <w:p w14:paraId="1C0E81AC" w14:textId="4C73D00E" w:rsidR="00C65C27" w:rsidRPr="007F340F" w:rsidRDefault="00945C09" w:rsidP="00D26CEA">
      <w:pPr>
        <w:spacing w:line="480" w:lineRule="auto"/>
        <w:ind w:firstLine="720"/>
      </w:pPr>
      <w:r w:rsidRPr="00F71468">
        <w:rPr>
          <w:b/>
          <w:bCs/>
          <w:i/>
          <w:iCs/>
        </w:rPr>
        <w:t>Inverse probability of treatment weighting</w:t>
      </w:r>
      <w:r>
        <w:t xml:space="preserve">. </w:t>
      </w:r>
      <w:r w:rsidR="0031281F">
        <w:t xml:space="preserve">Using IPTW, we </w:t>
      </w:r>
      <w:r w:rsidR="005758A0">
        <w:t>were able to fully cross</w:t>
      </w:r>
      <w:r w:rsidR="0031281F">
        <w:t xml:space="preserve"> all conditions, yielding </w:t>
      </w:r>
      <w:r w:rsidR="003F7504">
        <w:t>384 IPTW propensity score models</w:t>
      </w:r>
      <w:r w:rsidR="003F7504" w:rsidDel="0031281F">
        <w:t xml:space="preserve"> </w:t>
      </w:r>
      <w:r w:rsidR="003F7504">
        <w:t>[</w:t>
      </w:r>
      <w:r w:rsidR="00D26CEA">
        <w:t>6 (TV cutpoints) x 2 (outcomes</w:t>
      </w:r>
      <w:r w:rsidR="0031281F">
        <w:t xml:space="preserve">: raw vs. </w:t>
      </w:r>
      <w:r w:rsidR="0031281F">
        <w:lastRenderedPageBreak/>
        <w:t>standardized</w:t>
      </w:r>
      <w:r w:rsidR="00D26CEA">
        <w:t>) x 2 (TV ages</w:t>
      </w:r>
      <w:r w:rsidR="0031281F">
        <w:t>: 1.5 vs. 3</w:t>
      </w:r>
      <w:r w:rsidR="00D26CEA">
        <w:t>) x 2 (covariate sets) x 2 (</w:t>
      </w:r>
      <w:r w:rsidR="00977BE9">
        <w:t>treatment effects</w:t>
      </w:r>
      <w:r w:rsidR="0031281F">
        <w:t>: ATT vs. ATE</w:t>
      </w:r>
      <w:r w:rsidR="00D26CEA">
        <w:t>) x 2 (sample weights) x 2 (doubly-robust</w:t>
      </w:r>
      <w:r w:rsidR="0031281F">
        <w:t xml:space="preserve"> vs. not</w:t>
      </w:r>
      <w:r w:rsidR="00D26CEA">
        <w:t>)</w:t>
      </w:r>
      <w:r w:rsidR="003F7504">
        <w:t>]</w:t>
      </w:r>
      <w:r w:rsidR="00D26CEA">
        <w:t>.</w:t>
      </w:r>
      <w:r w:rsidR="007F340F">
        <w:t xml:space="preserve"> The </w:t>
      </w:r>
      <w:r w:rsidR="007F340F">
        <w:rPr>
          <w:i/>
          <w:iCs/>
        </w:rPr>
        <w:t>survey</w:t>
      </w:r>
      <w:r w:rsidR="007F340F">
        <w:t xml:space="preserve"> package </w:t>
      </w:r>
      <w:r w:rsidR="00D05E82">
        <w:t>(</w:t>
      </w:r>
      <w:r w:rsidR="000668C4" w:rsidRPr="00F71468">
        <w:t>Lumley, 2019</w:t>
      </w:r>
      <w:r w:rsidR="000668C4">
        <w:t>) was used to estimate the treatment effect after applying IPTW weights.</w:t>
      </w:r>
      <w:r w:rsidR="00B54B64">
        <w:t xml:space="preserve"> </w:t>
      </w:r>
    </w:p>
    <w:p w14:paraId="5D044DCE" w14:textId="52672FEB" w:rsidR="00D26CEA" w:rsidRPr="000668C4" w:rsidRDefault="00D26CEA" w:rsidP="00D26CEA">
      <w:pPr>
        <w:spacing w:line="480" w:lineRule="auto"/>
        <w:ind w:firstLine="720"/>
      </w:pPr>
      <w:r w:rsidRPr="00B54B64">
        <w:rPr>
          <w:b/>
          <w:bCs/>
          <w:i/>
          <w:iCs/>
        </w:rPr>
        <w:t>Stratification</w:t>
      </w:r>
      <w:r w:rsidRPr="00B54B64">
        <w:rPr>
          <w:b/>
          <w:bCs/>
        </w:rPr>
        <w:t>.</w:t>
      </w:r>
      <w:r>
        <w:t xml:space="preserve"> </w:t>
      </w:r>
      <w:r w:rsidR="0041493D">
        <w:t>Two hundred and forty stratification propensity score m</w:t>
      </w:r>
      <w:r w:rsidR="00276A7E">
        <w:t xml:space="preserve">odels </w:t>
      </w:r>
      <w:r w:rsidR="00977BE9">
        <w:t xml:space="preserve">were computed </w:t>
      </w:r>
      <w:r w:rsidR="003F788B">
        <w:t>[</w:t>
      </w:r>
      <w:r w:rsidR="00977BE9">
        <w:t>five different numbers of strata (4, 5, 6, 7, or 8), which were fully crossed with 6 (TV cutpoints) x 2 (outcomes) x 2 (TV ages) x 2 (covariate sets)</w:t>
      </w:r>
      <w:r w:rsidR="003F788B">
        <w:t>]</w:t>
      </w:r>
      <w:r w:rsidR="00977BE9">
        <w:t xml:space="preserve">. Neither sample weights nor the doubly-robust approach could be implemented in the stratification models, nor could </w:t>
      </w:r>
      <w:r w:rsidR="007A35F6">
        <w:t>these models estimate the average treatment effect for the treated</w:t>
      </w:r>
      <w:r w:rsidR="00CF0E5E">
        <w:t xml:space="preserve"> (ATT)</w:t>
      </w:r>
      <w:r w:rsidR="007A35F6">
        <w:t xml:space="preserve">. </w:t>
      </w:r>
      <w:r w:rsidR="000668C4">
        <w:t xml:space="preserve">We used the </w:t>
      </w:r>
      <w:r w:rsidR="000668C4">
        <w:rPr>
          <w:i/>
          <w:iCs/>
        </w:rPr>
        <w:t>PSAgraphics</w:t>
      </w:r>
      <w:r w:rsidR="000668C4">
        <w:t xml:space="preserve"> package (v 2.1.1; Helmreich &amp; Pruzek, 2009) to perform the stratified analysis</w:t>
      </w:r>
      <w:r w:rsidR="00CF0E5E">
        <w:t>,</w:t>
      </w:r>
      <w:r w:rsidR="000668C4">
        <w:t xml:space="preserve"> and calculate</w:t>
      </w:r>
      <w:r w:rsidR="00CF0E5E">
        <w:t>d</w:t>
      </w:r>
      <w:r w:rsidR="000668C4">
        <w:t xml:space="preserve"> </w:t>
      </w:r>
      <w:r w:rsidR="000668C4" w:rsidRPr="008669FE">
        <w:rPr>
          <w:i/>
          <w:iCs/>
        </w:rPr>
        <w:t>p</w:t>
      </w:r>
      <w:r w:rsidR="000668C4">
        <w:t>-values for the treatment effect estimates using the normal approximation.</w:t>
      </w:r>
      <w:r w:rsidR="004070E9">
        <w:t xml:space="preserve"> </w:t>
      </w:r>
    </w:p>
    <w:p w14:paraId="24F0B7C3" w14:textId="379C4730" w:rsidR="00562010" w:rsidRDefault="00057C0F" w:rsidP="00D00E4C">
      <w:pPr>
        <w:spacing w:line="480" w:lineRule="auto"/>
        <w:ind w:firstLine="720"/>
      </w:pPr>
      <w:r w:rsidRPr="00BD0F27">
        <w:t xml:space="preserve">In total, we fit </w:t>
      </w:r>
      <w:r w:rsidR="00C94E1E">
        <w:t>848</w:t>
      </w:r>
      <w:r w:rsidRPr="00BD0F27">
        <w:t xml:space="preserve"> non-redundant models to the data, including</w:t>
      </w:r>
      <w:r w:rsidR="00140AD1">
        <w:t xml:space="preserve"> </w:t>
      </w:r>
      <w:r w:rsidR="00C94E1E">
        <w:t>200</w:t>
      </w:r>
      <w:r w:rsidR="003819BB" w:rsidRPr="00BD0F27">
        <w:t xml:space="preserve"> logistic regression </w:t>
      </w:r>
      <w:r w:rsidR="003819BB" w:rsidRPr="00F71468">
        <w:t>models</w:t>
      </w:r>
      <w:r w:rsidR="003819BB" w:rsidRPr="00BD0F27">
        <w:t xml:space="preserve">, </w:t>
      </w:r>
      <w:r w:rsidR="00642782" w:rsidRPr="00F71468">
        <w:t>24</w:t>
      </w:r>
      <w:r w:rsidR="003819BB" w:rsidRPr="00BD0F27">
        <w:t xml:space="preserve"> linear regression</w:t>
      </w:r>
      <w:r w:rsidR="006D23B1" w:rsidRPr="00BD0F27">
        <w:t xml:space="preserve"> models</w:t>
      </w:r>
      <w:r w:rsidR="003819BB" w:rsidRPr="00BD0F27">
        <w:t xml:space="preserve">, </w:t>
      </w:r>
      <w:r w:rsidR="006D23B1" w:rsidRPr="00BD0F27">
        <w:t xml:space="preserve">and </w:t>
      </w:r>
      <w:r w:rsidR="00642782" w:rsidRPr="00F71468">
        <w:t>624</w:t>
      </w:r>
      <w:r w:rsidR="006D23B1" w:rsidRPr="00BD0F27">
        <w:t xml:space="preserve"> propensity score models.</w:t>
      </w:r>
      <w:r w:rsidR="006D23B1">
        <w:t xml:space="preserve"> </w:t>
      </w:r>
    </w:p>
    <w:p w14:paraId="08CD451C" w14:textId="33C3D872" w:rsidR="004C75BC" w:rsidRDefault="004C75BC" w:rsidP="004C75BC">
      <w:pPr>
        <w:spacing w:line="480" w:lineRule="auto"/>
        <w:jc w:val="center"/>
        <w:rPr>
          <w:b/>
        </w:rPr>
      </w:pPr>
      <w:r>
        <w:rPr>
          <w:b/>
        </w:rPr>
        <w:t>Results</w:t>
      </w:r>
    </w:p>
    <w:p w14:paraId="2DCD95E6" w14:textId="588D8970" w:rsidR="007A35F6" w:rsidRPr="00057C0F" w:rsidRDefault="005B70E5" w:rsidP="007A35F6">
      <w:pPr>
        <w:spacing w:line="480" w:lineRule="auto"/>
        <w:ind w:firstLine="720"/>
      </w:pPr>
      <w:r>
        <w:t>Obviously, s</w:t>
      </w:r>
      <w:r w:rsidR="007A35F6">
        <w:t xml:space="preserve">pace limitations prevent us from displaying </w:t>
      </w:r>
      <w:r w:rsidR="00387FDF">
        <w:t>detailed</w:t>
      </w:r>
      <w:r w:rsidR="007A35F6">
        <w:t xml:space="preserve"> results from </w:t>
      </w:r>
      <w:r w:rsidR="0007027D">
        <w:t xml:space="preserve">all </w:t>
      </w:r>
      <w:r w:rsidR="007A35F6">
        <w:t>model</w:t>
      </w:r>
      <w:r w:rsidR="0007027D">
        <w:t>s</w:t>
      </w:r>
      <w:r w:rsidR="007A35F6">
        <w:t xml:space="preserve"> in this paper. However, the </w:t>
      </w:r>
      <w:r w:rsidR="004E7193">
        <w:t>Github</w:t>
      </w:r>
      <w:r w:rsidR="007A35F6">
        <w:t xml:space="preserve"> repository “Results” directory contains a </w:t>
      </w:r>
      <w:r w:rsidR="00224632">
        <w:t xml:space="preserve">subfolder </w:t>
      </w:r>
      <w:r w:rsidR="007A35F6">
        <w:t>for every analysis conducted, which includes descriptive statistics, diagnostic tables and plots, and formatted model results</w:t>
      </w:r>
      <w:r w:rsidR="00057C0F">
        <w:t xml:space="preserve">, which were produced using the </w:t>
      </w:r>
      <w:r w:rsidR="00057C0F">
        <w:rPr>
          <w:i/>
          <w:iCs/>
        </w:rPr>
        <w:t>stargazer</w:t>
      </w:r>
      <w:r w:rsidR="00057C0F">
        <w:t xml:space="preserve"> package (v. 5.2.</w:t>
      </w:r>
      <w:r w:rsidR="003C0E86">
        <w:t>2</w:t>
      </w:r>
      <w:r w:rsidR="00057C0F">
        <w:t>; Hlavac, 2015).</w:t>
      </w:r>
      <w:r w:rsidR="003C0E86">
        <w:t xml:space="preserve"> </w:t>
      </w:r>
    </w:p>
    <w:p w14:paraId="45E0F333" w14:textId="77777777" w:rsidR="004C75BC" w:rsidRDefault="004C75BC" w:rsidP="004C75BC">
      <w:pPr>
        <w:spacing w:line="480" w:lineRule="auto"/>
        <w:rPr>
          <w:b/>
        </w:rPr>
      </w:pPr>
      <w:r>
        <w:rPr>
          <w:b/>
        </w:rPr>
        <w:t>Descriptive statistics</w:t>
      </w:r>
    </w:p>
    <w:p w14:paraId="05B47271" w14:textId="48DE7BE8" w:rsidR="00325D2E" w:rsidRDefault="004C75BC" w:rsidP="00BD0F27">
      <w:pPr>
        <w:spacing w:line="480" w:lineRule="auto"/>
        <w:ind w:firstLine="720"/>
      </w:pPr>
      <w:r>
        <w:t xml:space="preserve">Tables </w:t>
      </w:r>
      <w:r w:rsidR="001D3845">
        <w:t>2</w:t>
      </w:r>
      <w:r>
        <w:t xml:space="preserve"> and </w:t>
      </w:r>
      <w:r w:rsidR="001D3845">
        <w:t>3</w:t>
      </w:r>
      <w:r>
        <w:t xml:space="preserve"> provide descriptive statistics for the continuous and categorical variables</w:t>
      </w:r>
      <w:r w:rsidR="00063051">
        <w:t>, respectively</w:t>
      </w:r>
      <w:r>
        <w:t xml:space="preserve">. </w:t>
      </w:r>
      <w:r w:rsidR="00AB26AB">
        <w:t xml:space="preserve">The </w:t>
      </w:r>
      <w:r w:rsidR="004E7193">
        <w:t>Github</w:t>
      </w:r>
      <w:r w:rsidR="00AB26AB">
        <w:t xml:space="preserve"> site contains descriptive statistics specific to each of the </w:t>
      </w:r>
      <w:r w:rsidR="00BD70A5">
        <w:t xml:space="preserve">analysis models (for example, by low- and high-TV groups created to enable certain types of analysis). </w:t>
      </w:r>
      <w:r w:rsidR="00642782">
        <w:t>The sc</w:t>
      </w:r>
      <w:r w:rsidR="0032003D">
        <w:t xml:space="preserve">atterplots </w:t>
      </w:r>
      <w:r w:rsidR="00642782">
        <w:t xml:space="preserve">presented </w:t>
      </w:r>
      <w:r w:rsidR="0032003D">
        <w:t>in F</w:t>
      </w:r>
      <w:r w:rsidR="002A3118">
        <w:t xml:space="preserve">igure </w:t>
      </w:r>
      <w:r w:rsidR="00493850">
        <w:t>1</w:t>
      </w:r>
      <w:r>
        <w:t xml:space="preserve"> </w:t>
      </w:r>
      <w:r w:rsidR="0032003D">
        <w:t>illustrate</w:t>
      </w:r>
      <w:r>
        <w:t xml:space="preserve"> the relationship between </w:t>
      </w:r>
      <w:r w:rsidR="005C5F79">
        <w:t xml:space="preserve">early </w:t>
      </w:r>
      <w:r>
        <w:t xml:space="preserve">TV consumption </w:t>
      </w:r>
      <w:r w:rsidR="00351FEB">
        <w:lastRenderedPageBreak/>
        <w:t xml:space="preserve">(at both ~1.5 and ~3 years) </w:t>
      </w:r>
      <w:r>
        <w:t xml:space="preserve">and </w:t>
      </w:r>
      <w:r w:rsidR="005C5F79">
        <w:t>later</w:t>
      </w:r>
      <w:r>
        <w:t xml:space="preserve"> attention measured at age </w:t>
      </w:r>
      <w:r w:rsidR="00351FEB">
        <w:t>~</w:t>
      </w:r>
      <w:r>
        <w:t>7</w:t>
      </w:r>
      <w:r w:rsidR="005C5F79">
        <w:t xml:space="preserve"> </w:t>
      </w:r>
      <w:r w:rsidR="007F3CF5">
        <w:t xml:space="preserve">years </w:t>
      </w:r>
      <w:r w:rsidR="005C5F79">
        <w:t>(standardized within sex)</w:t>
      </w:r>
      <w:r w:rsidR="00351FEB">
        <w:t>.</w:t>
      </w:r>
      <w:r w:rsidR="00916BA8">
        <w:t xml:space="preserve"> </w:t>
      </w:r>
      <w:r w:rsidR="00351FEB">
        <w:t>The top row represents the relation without</w:t>
      </w:r>
      <w:r w:rsidR="00493850">
        <w:t xml:space="preserve"> </w:t>
      </w:r>
      <w:r w:rsidR="00D12886">
        <w:t>covariates</w:t>
      </w:r>
      <w:r w:rsidR="00493850">
        <w:t xml:space="preserve"> </w:t>
      </w:r>
      <w:r w:rsidR="00351FEB">
        <w:t xml:space="preserve">and the bottom row </w:t>
      </w:r>
      <w:r w:rsidR="00642782">
        <w:t>after removing the influence of</w:t>
      </w:r>
      <w:r w:rsidR="00351FEB">
        <w:t xml:space="preserve"> covariates. </w:t>
      </w:r>
      <w:r w:rsidR="00FC7592">
        <w:t>Because m</w:t>
      </w:r>
      <w:r w:rsidR="00493850">
        <w:t xml:space="preserve">issing data on </w:t>
      </w:r>
      <w:r w:rsidR="00D45143">
        <w:t xml:space="preserve">the </w:t>
      </w:r>
      <w:r w:rsidR="00493850">
        <w:t xml:space="preserve">covariates dramatically reduced the sample size for </w:t>
      </w:r>
      <w:r w:rsidR="00D45143">
        <w:t>the available analyses,</w:t>
      </w:r>
      <w:r w:rsidR="00493850">
        <w:t xml:space="preserve"> the </w:t>
      </w:r>
      <w:r w:rsidR="00D45143">
        <w:t>bottom row</w:t>
      </w:r>
      <w:r w:rsidR="00493850">
        <w:t xml:space="preserve"> displays imputed data taken from the first (of 10) </w:t>
      </w:r>
      <w:r w:rsidR="00CC4DA2">
        <w:t>multiple</w:t>
      </w:r>
      <w:r w:rsidR="00493850">
        <w:t xml:space="preserve"> imputations</w:t>
      </w:r>
      <w:r w:rsidR="00642782">
        <w:t xml:space="preserve"> with red </w:t>
      </w:r>
      <w:r w:rsidR="0015504C">
        <w:t>“</w:t>
      </w:r>
      <w:r w:rsidR="00642782">
        <w:t>x</w:t>
      </w:r>
      <w:r w:rsidR="0015504C">
        <w:t>”</w:t>
      </w:r>
      <w:r w:rsidR="00642782">
        <w:t xml:space="preserve"> symbols</w:t>
      </w:r>
      <w:r w:rsidR="00493850">
        <w:t xml:space="preserve">. </w:t>
      </w:r>
      <w:r w:rsidR="008004B4">
        <w:t>Figure 1 also</w:t>
      </w:r>
      <w:r w:rsidR="00493850">
        <w:t xml:space="preserve"> contains </w:t>
      </w:r>
      <w:r w:rsidR="000555EB">
        <w:t xml:space="preserve">non-parametric smoothed </w:t>
      </w:r>
      <w:r w:rsidR="00FC7592">
        <w:t>regression lines to help visualize the relation</w:t>
      </w:r>
      <w:r w:rsidR="00642782">
        <w:t>ship between TV and attention</w:t>
      </w:r>
      <w:r w:rsidR="00FC7592">
        <w:t xml:space="preserve">. </w:t>
      </w:r>
      <w:r w:rsidR="00325D2E">
        <w:t>T</w:t>
      </w:r>
      <w:r w:rsidR="00493850">
        <w:t>he solid bl</w:t>
      </w:r>
      <w:r w:rsidR="00642782">
        <w:t>u</w:t>
      </w:r>
      <w:r w:rsidR="00493850">
        <w:t xml:space="preserve">e line fits to complete </w:t>
      </w:r>
      <w:r w:rsidR="00325D2E">
        <w:t xml:space="preserve">(non-imputed) </w:t>
      </w:r>
      <w:r w:rsidR="00493850">
        <w:t xml:space="preserve">data only, while the dashed red line fits to all the data, including the imputed portion. </w:t>
      </w:r>
    </w:p>
    <w:p w14:paraId="318D891D" w14:textId="2330F0F8" w:rsidR="002434FE" w:rsidRDefault="002C1139" w:rsidP="00984265">
      <w:pPr>
        <w:spacing w:line="480" w:lineRule="auto"/>
        <w:ind w:firstLine="720"/>
      </w:pPr>
      <w:r>
        <w:t>Visual consideration of t</w:t>
      </w:r>
      <w:r w:rsidR="00325D2E">
        <w:t>hese scatterplots</w:t>
      </w:r>
      <w:r w:rsidR="00493850">
        <w:t xml:space="preserve"> </w:t>
      </w:r>
      <w:r>
        <w:t>indicates</w:t>
      </w:r>
      <w:r w:rsidR="00493850">
        <w:t xml:space="preserve"> a</w:t>
      </w:r>
      <w:r w:rsidR="003E6867">
        <w:t>n apparent</w:t>
      </w:r>
      <w:r w:rsidR="00493850">
        <w:t xml:space="preserve"> lack of </w:t>
      </w:r>
      <w:r w:rsidR="00325D2E">
        <w:t>linear</w:t>
      </w:r>
      <w:r w:rsidR="00493850">
        <w:t xml:space="preserve"> relationship between TV and attention</w:t>
      </w:r>
      <w:r w:rsidR="000D1870">
        <w:t>.</w:t>
      </w:r>
      <w:r w:rsidR="00916BA8">
        <w:t xml:space="preserve"> </w:t>
      </w:r>
      <w:r w:rsidR="000D1870">
        <w:t xml:space="preserve">The only relation evident from the smoothed trajectory is a slight </w:t>
      </w:r>
      <w:r w:rsidR="00493850">
        <w:t>non-linear “wiggle”</w:t>
      </w:r>
      <w:r w:rsidR="00642782">
        <w:t xml:space="preserve"> in the 2-6 </w:t>
      </w:r>
      <w:r w:rsidR="007A7AF5">
        <w:t>hours per day r</w:t>
      </w:r>
      <w:r w:rsidR="00642782">
        <w:t>ange of TV use.</w:t>
      </w:r>
      <w:r w:rsidR="00493850">
        <w:t xml:space="preserve"> This non-</w:t>
      </w:r>
      <w:r w:rsidR="002B6574">
        <w:t>linearity</w:t>
      </w:r>
      <w:r w:rsidR="00493850">
        <w:t xml:space="preserve"> is diminished but not eliminated by controlling for </w:t>
      </w:r>
      <w:r w:rsidR="00616233">
        <w:t>covariates but</w:t>
      </w:r>
      <w:r w:rsidR="00642782">
        <w:t xml:space="preserve"> is almost completely absent under the </w:t>
      </w:r>
      <w:r w:rsidR="002B6574">
        <w:t>imputation</w:t>
      </w:r>
      <w:r w:rsidR="00642782">
        <w:t xml:space="preserve"> of missing data</w:t>
      </w:r>
      <w:r w:rsidR="002B6574">
        <w:t xml:space="preserve">. </w:t>
      </w:r>
      <w:r w:rsidR="00642782">
        <w:t>This suggests that any association between TV use and attention could represent a combination of confounding and missing data bias.</w:t>
      </w:r>
    </w:p>
    <w:p w14:paraId="79B5E71D" w14:textId="770485F0" w:rsidR="00CC4DA2" w:rsidRDefault="00D00E4C" w:rsidP="00F71468">
      <w:pPr>
        <w:spacing w:line="480" w:lineRule="auto"/>
        <w:jc w:val="center"/>
      </w:pPr>
      <w:r>
        <w:t xml:space="preserve">--- Insert </w:t>
      </w:r>
      <w:r w:rsidR="00CC4DA2">
        <w:t xml:space="preserve">Tables </w:t>
      </w:r>
      <w:r w:rsidR="001D3845">
        <w:t>2</w:t>
      </w:r>
      <w:r w:rsidR="00CC4DA2">
        <w:t xml:space="preserve"> &amp; </w:t>
      </w:r>
      <w:r w:rsidR="001D3845">
        <w:t>3</w:t>
      </w:r>
      <w:r w:rsidR="00CC4DA2">
        <w:t xml:space="preserve"> and Figure 1 about here</w:t>
      </w:r>
      <w:r>
        <w:t xml:space="preserve"> ---</w:t>
      </w:r>
    </w:p>
    <w:p w14:paraId="0368976D" w14:textId="7C2F2F6F" w:rsidR="00CC7AD6" w:rsidRDefault="00642782" w:rsidP="00B255EE">
      <w:pPr>
        <w:spacing w:line="480" w:lineRule="auto"/>
        <w:ind w:firstLine="720"/>
      </w:pPr>
      <w:r>
        <w:rPr>
          <w:b/>
          <w:bCs/>
        </w:rPr>
        <w:t xml:space="preserve">Multiverse I </w:t>
      </w:r>
      <w:r w:rsidR="005320AD">
        <w:rPr>
          <w:b/>
          <w:bCs/>
        </w:rPr>
        <w:t>R</w:t>
      </w:r>
      <w:r>
        <w:rPr>
          <w:b/>
          <w:bCs/>
        </w:rPr>
        <w:t>esults (logistic models)</w:t>
      </w:r>
      <w:r w:rsidR="00A204E8">
        <w:t xml:space="preserve">. </w:t>
      </w:r>
      <w:r w:rsidR="00CC7AD6">
        <w:t>For each analysis, we report the odds ratio</w:t>
      </w:r>
      <w:r w:rsidR="008A3E94">
        <w:t xml:space="preserve"> (OR)</w:t>
      </w:r>
      <w:r w:rsidR="00091170">
        <w:t xml:space="preserve"> </w:t>
      </w:r>
      <w:r w:rsidR="00CC7AD6">
        <w:t>of the relationship between TV consumption at ages ~1.5 and ~3 and the probability of being in the “problematic” category of attention</w:t>
      </w:r>
      <w:r w:rsidR="00A97621">
        <w:t>,</w:t>
      </w:r>
      <w:r w:rsidR="003B242D">
        <w:t xml:space="preserve"> after controlling for</w:t>
      </w:r>
      <w:r w:rsidR="00E15E7E">
        <w:t xml:space="preserve"> </w:t>
      </w:r>
      <w:r w:rsidR="003B242D">
        <w:t>covariate</w:t>
      </w:r>
      <w:r w:rsidR="00E15E7E">
        <w:t>s</w:t>
      </w:r>
      <w:r w:rsidR="003B242D">
        <w:t>.</w:t>
      </w:r>
      <w:r w:rsidR="00916BA8">
        <w:t xml:space="preserve"> </w:t>
      </w:r>
      <w:r w:rsidR="008A3E94" w:rsidRPr="00F71468">
        <w:t>O</w:t>
      </w:r>
      <w:r w:rsidR="009A0B9C" w:rsidRPr="00F71468">
        <w:t>dds ratios</w:t>
      </w:r>
      <w:r w:rsidR="008A3E94" w:rsidRPr="00F71468">
        <w:t xml:space="preserve"> greater than one indicate a higher risk of being classified into the “problematic attention” category</w:t>
      </w:r>
      <w:r w:rsidR="008A3E94" w:rsidRPr="000B0EDE">
        <w:t>.</w:t>
      </w:r>
      <w:r w:rsidR="00916BA8">
        <w:t xml:space="preserve"> </w:t>
      </w:r>
      <w:r w:rsidR="003B242D" w:rsidRPr="000B0EDE">
        <w:t>We vary the threshold for “problematic”</w:t>
      </w:r>
      <w:r w:rsidR="00CC7AD6" w:rsidRPr="000B0EDE">
        <w:t xml:space="preserve"> </w:t>
      </w:r>
      <w:r w:rsidR="00A97621" w:rsidRPr="000B0EDE">
        <w:t xml:space="preserve">attention </w:t>
      </w:r>
      <w:r w:rsidR="00CC7AD6" w:rsidRPr="000B0EDE">
        <w:t>from</w:t>
      </w:r>
      <w:r w:rsidR="003B242D" w:rsidRPr="000B0EDE">
        <w:t xml:space="preserve"> </w:t>
      </w:r>
      <w:r w:rsidR="00671046" w:rsidRPr="00F71468">
        <w:t>1</w:t>
      </w:r>
      <w:r w:rsidR="00567A3D">
        <w:t>10</w:t>
      </w:r>
      <w:r w:rsidR="00CC7AD6" w:rsidRPr="00F71468">
        <w:t xml:space="preserve"> to 130</w:t>
      </w:r>
      <w:r w:rsidR="00CC7AD6" w:rsidRPr="000B0EDE">
        <w:t xml:space="preserve">. Results are summarized in Figure </w:t>
      </w:r>
      <w:r w:rsidR="001D3845" w:rsidRPr="00F71468">
        <w:t>2</w:t>
      </w:r>
      <w:r w:rsidR="00CC7AD6" w:rsidRPr="00F71468">
        <w:t>.</w:t>
      </w:r>
      <w:r w:rsidR="001D3845" w:rsidRPr="00F71468">
        <w:t xml:space="preserve"> </w:t>
      </w:r>
      <w:r w:rsidR="005E1724" w:rsidRPr="00F71468">
        <w:t xml:space="preserve">Effect size point estimates and confidence bounds are given in odds ratio (OR) units. </w:t>
      </w:r>
    </w:p>
    <w:p w14:paraId="6C471284" w14:textId="1D3B65FB" w:rsidR="00D00E4C" w:rsidRDefault="00A204E8" w:rsidP="00B255EE">
      <w:pPr>
        <w:spacing w:line="480" w:lineRule="auto"/>
        <w:ind w:firstLine="720"/>
      </w:pPr>
      <w:r>
        <w:lastRenderedPageBreak/>
        <w:t>The median OR was 1.03</w:t>
      </w:r>
      <w:r w:rsidR="003A2649">
        <w:t>6</w:t>
      </w:r>
      <w:r w:rsidR="00024C2F">
        <w:t xml:space="preserve">, with </w:t>
      </w:r>
      <w:r w:rsidR="00946A86">
        <w:t>1</w:t>
      </w:r>
      <w:r w:rsidR="00946A86" w:rsidRPr="00946A86">
        <w:rPr>
          <w:vertAlign w:val="superscript"/>
        </w:rPr>
        <w:t>st</w:t>
      </w:r>
      <w:r w:rsidR="00946A86">
        <w:t xml:space="preserve"> and 3</w:t>
      </w:r>
      <w:r w:rsidR="00946A86" w:rsidRPr="00946A86">
        <w:rPr>
          <w:vertAlign w:val="superscript"/>
        </w:rPr>
        <w:t>rd</w:t>
      </w:r>
      <w:r w:rsidR="00946A86">
        <w:t xml:space="preserve"> quartiles of [1.011, 1.0</w:t>
      </w:r>
      <w:r w:rsidR="003A2649">
        <w:t>72</w:t>
      </w:r>
      <w:r w:rsidR="000C132A">
        <w:t>]</w:t>
      </w:r>
      <w:r w:rsidR="00792717">
        <w:t xml:space="preserve"> and a median </w:t>
      </w:r>
      <w:r w:rsidR="00792717">
        <w:rPr>
          <w:i/>
          <w:iCs/>
        </w:rPr>
        <w:t>p</w:t>
      </w:r>
      <w:r w:rsidR="00792717">
        <w:t xml:space="preserve">-value across all models of </w:t>
      </w:r>
      <w:r w:rsidR="006644FD">
        <w:t>0.2</w:t>
      </w:r>
      <w:r w:rsidR="003A2649">
        <w:t>13</w:t>
      </w:r>
      <w:r>
        <w:t xml:space="preserve">. </w:t>
      </w:r>
      <w:r w:rsidR="00EA61CF">
        <w:t>Overall</w:t>
      </w:r>
      <w:r w:rsidR="008E1253">
        <w:t>,</w:t>
      </w:r>
      <w:r w:rsidR="00EA61CF">
        <w:t xml:space="preserve"> </w:t>
      </w:r>
      <w:r w:rsidR="00140AD1">
        <w:t>6</w:t>
      </w:r>
      <w:r w:rsidR="003A2649">
        <w:t>1</w:t>
      </w:r>
      <w:r w:rsidR="00B2765E">
        <w:t>/</w:t>
      </w:r>
      <w:r w:rsidR="00C94E1E">
        <w:t>200</w:t>
      </w:r>
      <w:r w:rsidR="00EA61CF">
        <w:t xml:space="preserve"> model</w:t>
      </w:r>
      <w:r w:rsidR="00D560C2">
        <w:t>s</w:t>
      </w:r>
      <w:r w:rsidR="009C6723">
        <w:t xml:space="preserve"> (</w:t>
      </w:r>
      <w:r w:rsidR="003A2649">
        <w:t>30</w:t>
      </w:r>
      <w:r w:rsidR="00140AD1">
        <w:t>.5</w:t>
      </w:r>
      <w:r w:rsidR="009C6723">
        <w:t>%) produced significant estimates in the predicted direction</w:t>
      </w:r>
      <w:r w:rsidR="00413D91">
        <w:t xml:space="preserve">, </w:t>
      </w:r>
      <w:r w:rsidR="009C6723">
        <w:t xml:space="preserve">and </w:t>
      </w:r>
      <w:r w:rsidR="0039709D">
        <w:t>none in the opposite direction.</w:t>
      </w:r>
      <w:r w:rsidR="00BD0F27" w:rsidDel="00BD0F27">
        <w:t xml:space="preserve"> </w:t>
      </w:r>
    </w:p>
    <w:p w14:paraId="585E83E4" w14:textId="50660BBF" w:rsidR="00D00E4C" w:rsidRDefault="00A204E8" w:rsidP="00B255EE">
      <w:pPr>
        <w:spacing w:line="480" w:lineRule="auto"/>
        <w:jc w:val="center"/>
      </w:pPr>
      <w:r>
        <w:t xml:space="preserve">--- </w:t>
      </w:r>
      <w:r w:rsidR="0039709D">
        <w:t>I</w:t>
      </w:r>
      <w:r>
        <w:t xml:space="preserve">nsert </w:t>
      </w:r>
      <w:r w:rsidR="0039709D">
        <w:t>F</w:t>
      </w:r>
      <w:r>
        <w:t xml:space="preserve">igure </w:t>
      </w:r>
      <w:r w:rsidR="009C68A9" w:rsidRPr="00F71468">
        <w:t>2</w:t>
      </w:r>
      <w:r>
        <w:t xml:space="preserve"> about here</w:t>
      </w:r>
      <w:r w:rsidR="00D00E4C">
        <w:t xml:space="preserve"> --</w:t>
      </w:r>
      <w:r>
        <w:t>-</w:t>
      </w:r>
    </w:p>
    <w:p w14:paraId="57305304" w14:textId="37F131EA" w:rsidR="00B73AE3" w:rsidRDefault="00A204E8" w:rsidP="00B255EE">
      <w:pPr>
        <w:spacing w:line="480" w:lineRule="auto"/>
        <w:ind w:firstLine="720"/>
      </w:pPr>
      <w:r w:rsidRPr="00EA029C">
        <w:t>As shown in the figure, t</w:t>
      </w:r>
      <w:r>
        <w:t xml:space="preserve">he results of the logistic regression analysis are highly sensitive to the choice of </w:t>
      </w:r>
      <w:r w:rsidR="00DE78A1">
        <w:t xml:space="preserve">attention </w:t>
      </w:r>
      <w:r>
        <w:t>cutpoint</w:t>
      </w:r>
      <w:r w:rsidR="003514C1">
        <w:t xml:space="preserve"> and other features of the analysis</w:t>
      </w:r>
      <w:r>
        <w:t>. Statistically significant estimates of the relation between TV</w:t>
      </w:r>
      <w:r w:rsidR="00BC2023">
        <w:t xml:space="preserve"> measured </w:t>
      </w:r>
      <w:r>
        <w:t xml:space="preserve">at age ~3 and </w:t>
      </w:r>
      <w:r w:rsidR="00BC2023">
        <w:t xml:space="preserve">the probability of </w:t>
      </w:r>
      <w:r w:rsidR="00810BE2">
        <w:t>attention problems</w:t>
      </w:r>
      <w:r>
        <w:t xml:space="preserve"> </w:t>
      </w:r>
      <w:r w:rsidR="00B73AE3">
        <w:t>begin to be observed</w:t>
      </w:r>
      <w:r>
        <w:t xml:space="preserve"> for </w:t>
      </w:r>
      <w:r w:rsidR="00810BE2">
        <w:t xml:space="preserve">standardized attention </w:t>
      </w:r>
      <w:r>
        <w:t xml:space="preserve">cutpoints of </w:t>
      </w:r>
      <w:r w:rsidRPr="00EE469C">
        <w:t>11</w:t>
      </w:r>
      <w:r w:rsidR="001E39BB" w:rsidRPr="00EE469C">
        <w:t>5</w:t>
      </w:r>
      <w:r w:rsidRPr="00EE469C">
        <w:t xml:space="preserve"> or above, and for TV </w:t>
      </w:r>
      <w:r w:rsidR="00BC2023" w:rsidRPr="00EE469C">
        <w:t>measured a</w:t>
      </w:r>
      <w:r w:rsidRPr="00EE469C">
        <w:t>t age ~1.5</w:t>
      </w:r>
      <w:r w:rsidR="00BC2023" w:rsidRPr="00EE469C" w:rsidDel="00BC2023">
        <w:t xml:space="preserve"> </w:t>
      </w:r>
      <w:r w:rsidRPr="00EE469C">
        <w:t>at 12</w:t>
      </w:r>
      <w:r w:rsidR="00561697" w:rsidRPr="00EE469C">
        <w:t>0</w:t>
      </w:r>
      <w:r w:rsidRPr="00EE469C">
        <w:t xml:space="preserve"> and above.</w:t>
      </w:r>
      <w:r>
        <w:t xml:space="preserve"> </w:t>
      </w:r>
    </w:p>
    <w:p w14:paraId="3FFB3A0F" w14:textId="7FAC05A7" w:rsidR="00F15594" w:rsidRPr="00897F88" w:rsidRDefault="00904ACC" w:rsidP="00B255EE">
      <w:pPr>
        <w:spacing w:line="480" w:lineRule="auto"/>
        <w:ind w:firstLine="720"/>
      </w:pPr>
      <w:r>
        <w:t>Statistical s</w:t>
      </w:r>
      <w:r w:rsidR="00CA42FB">
        <w:t>ignificance occur</w:t>
      </w:r>
      <w:r>
        <w:t>red</w:t>
      </w:r>
      <w:r w:rsidR="00CA42FB">
        <w:t xml:space="preserve"> at a higher rate </w:t>
      </w:r>
      <w:r w:rsidR="00B708DA">
        <w:t>when sample weights were applied (31/64</w:t>
      </w:r>
      <w:r w:rsidR="00F03654">
        <w:t xml:space="preserve">, </w:t>
      </w:r>
      <w:r w:rsidR="00B708DA">
        <w:t>48.4%) than when they were not (</w:t>
      </w:r>
      <w:r w:rsidR="00140AD1">
        <w:t>3</w:t>
      </w:r>
      <w:r w:rsidR="003A2649">
        <w:t>0</w:t>
      </w:r>
      <w:r w:rsidR="00B708DA">
        <w:t>/</w:t>
      </w:r>
      <w:r w:rsidR="00140AD1">
        <w:t>1</w:t>
      </w:r>
      <w:r w:rsidR="003A2649">
        <w:t>36</w:t>
      </w:r>
      <w:r w:rsidR="00F03654">
        <w:t xml:space="preserve">, </w:t>
      </w:r>
      <w:r w:rsidR="00B708DA">
        <w:t>2</w:t>
      </w:r>
      <w:r w:rsidR="003A2649">
        <w:t>2</w:t>
      </w:r>
      <w:r w:rsidR="00B708DA">
        <w:t>.</w:t>
      </w:r>
      <w:r w:rsidR="003A2649">
        <w:t>1</w:t>
      </w:r>
      <w:r w:rsidR="00B708DA">
        <w:t>%).</w:t>
      </w:r>
      <w:r w:rsidR="0023194A">
        <w:t xml:space="preserve"> When considering only those models with no sample weights</w:t>
      </w:r>
      <w:r w:rsidR="007717EE">
        <w:rPr>
          <w:rStyle w:val="FootnoteReference"/>
        </w:rPr>
        <w:footnoteReference w:id="8"/>
      </w:r>
      <w:r w:rsidR="0023194A">
        <w:t>, a much higher number yielded significance under listwise deletion (18/64</w:t>
      </w:r>
      <w:r w:rsidR="00F03654">
        <w:t xml:space="preserve">, </w:t>
      </w:r>
      <w:r w:rsidR="0023194A">
        <w:t>28.1%) than under multiple imputation (</w:t>
      </w:r>
      <w:r w:rsidR="00140AD1">
        <w:t>1</w:t>
      </w:r>
      <w:r w:rsidR="003A2649">
        <w:t>2</w:t>
      </w:r>
      <w:r w:rsidR="00140AD1">
        <w:t>/</w:t>
      </w:r>
      <w:r w:rsidR="003A2649">
        <w:t>7</w:t>
      </w:r>
      <w:r w:rsidR="00140AD1">
        <w:t>2</w:t>
      </w:r>
      <w:r w:rsidR="00F03654">
        <w:t xml:space="preserve">, </w:t>
      </w:r>
      <w:r w:rsidR="0023194A">
        <w:t>1</w:t>
      </w:r>
      <w:r w:rsidR="003A2649">
        <w:t>6.7</w:t>
      </w:r>
      <w:r w:rsidR="0023194A">
        <w:t>%)</w:t>
      </w:r>
      <w:r w:rsidR="00312B5D">
        <w:t>.</w:t>
      </w:r>
      <w:r w:rsidR="008B192C">
        <w:t xml:space="preserve"> </w:t>
      </w:r>
      <w:r w:rsidR="00931F87">
        <w:t>Further, this</w:t>
      </w:r>
      <w:r w:rsidR="00190C3C">
        <w:t xml:space="preserve"> </w:t>
      </w:r>
      <w:r w:rsidR="00931F87">
        <w:t>small percentage of significant</w:t>
      </w:r>
      <w:r w:rsidR="00127C88">
        <w:t xml:space="preserve"> estimates under multiple imputation and no sample weights</w:t>
      </w:r>
      <w:r w:rsidR="00E87DCC">
        <w:t xml:space="preserve"> – the </w:t>
      </w:r>
      <w:r w:rsidR="00190C3C">
        <w:t>conditions that we found most defensible --</w:t>
      </w:r>
      <w:r w:rsidR="0017599D">
        <w:t xml:space="preserve"> tended to b</w:t>
      </w:r>
      <w:r w:rsidR="00B3476E">
        <w:t>e</w:t>
      </w:r>
      <w:r w:rsidR="0017599D">
        <w:t xml:space="preserve"> barely significant, as </w:t>
      </w:r>
      <w:r w:rsidR="00931F87">
        <w:t>illustrated</w:t>
      </w:r>
      <w:r w:rsidR="0017599D">
        <w:t xml:space="preserve"> by the lower CI boundaries that nearly include one. The </w:t>
      </w:r>
      <w:r w:rsidR="00127C88">
        <w:t xml:space="preserve">median </w:t>
      </w:r>
      <w:r w:rsidR="00127C88">
        <w:rPr>
          <w:i/>
          <w:iCs/>
        </w:rPr>
        <w:t>p</w:t>
      </w:r>
      <w:r w:rsidR="00127C88">
        <w:t xml:space="preserve"> value for these </w:t>
      </w:r>
      <w:r w:rsidR="003A2649">
        <w:t>twelve</w:t>
      </w:r>
      <w:r w:rsidR="00127C88">
        <w:t xml:space="preserve"> significant tests was </w:t>
      </w:r>
      <w:r w:rsidR="00BB1361">
        <w:rPr>
          <w:i/>
          <w:iCs/>
        </w:rPr>
        <w:t>p</w:t>
      </w:r>
      <w:r w:rsidR="00BB1361">
        <w:t xml:space="preserve"> = </w:t>
      </w:r>
      <w:r w:rsidR="00127C88">
        <w:t>0.03</w:t>
      </w:r>
      <w:r w:rsidR="003A2649">
        <w:t>4</w:t>
      </w:r>
      <w:r w:rsidR="003555C6">
        <w:t>, and their median OR was 1.0</w:t>
      </w:r>
      <w:r w:rsidR="00140AD1">
        <w:t>6</w:t>
      </w:r>
      <w:r w:rsidR="003A2649">
        <w:t>0</w:t>
      </w:r>
      <w:r w:rsidR="00F06E6D">
        <w:t xml:space="preserve">. </w:t>
      </w:r>
      <w:r w:rsidR="007E07ED">
        <w:t xml:space="preserve">Further, we note that we were not able to exactly replicate the values reported by Chrisakis at al. (2004) under putatively identical models. </w:t>
      </w:r>
      <w:r w:rsidR="00E818FA">
        <w:t xml:space="preserve">Using the standardized attention outcome with a 120 cutoff, the original covariate set, listwise deletion, and sample weights, we estimated </w:t>
      </w:r>
      <w:r w:rsidR="00B37B10">
        <w:t xml:space="preserve">an </w:t>
      </w:r>
      <w:r w:rsidR="00E818FA">
        <w:t>OR of 1.137, 95% CI [</w:t>
      </w:r>
      <w:r w:rsidR="008D4075">
        <w:t xml:space="preserve">1.066, </w:t>
      </w:r>
      <w:r w:rsidR="00DB53A8">
        <w:t xml:space="preserve">1.214], </w:t>
      </w:r>
      <w:r w:rsidR="00DB53A8">
        <w:rPr>
          <w:i/>
          <w:iCs/>
        </w:rPr>
        <w:t>p</w:t>
      </w:r>
      <w:r w:rsidR="00DB53A8">
        <w:t xml:space="preserve"> &lt; .001 when TV was measured at age </w:t>
      </w:r>
      <w:r w:rsidR="00897F88">
        <w:t>~</w:t>
      </w:r>
      <w:r w:rsidR="00DB53A8">
        <w:t>3</w:t>
      </w:r>
      <w:r w:rsidR="00A83645">
        <w:t xml:space="preserve">; Christakis et al. reported 1.09 [1.03, 1.15] for this condition. We </w:t>
      </w:r>
      <w:r w:rsidR="00B37B10">
        <w:t xml:space="preserve">estimated OR = </w:t>
      </w:r>
      <w:r w:rsidR="00BB13F8">
        <w:lastRenderedPageBreak/>
        <w:t>1.0</w:t>
      </w:r>
      <w:r w:rsidR="00205D5C">
        <w:t>5</w:t>
      </w:r>
      <w:r w:rsidR="003A2649">
        <w:t>8</w:t>
      </w:r>
      <w:r w:rsidR="00BB13F8">
        <w:t>, 95% CI [0.9</w:t>
      </w:r>
      <w:r w:rsidR="00205D5C">
        <w:t>8</w:t>
      </w:r>
      <w:r w:rsidR="00897F88">
        <w:t>7</w:t>
      </w:r>
      <w:r w:rsidR="00BB13F8">
        <w:t xml:space="preserve">, </w:t>
      </w:r>
      <w:r w:rsidR="00897F88">
        <w:t>1.</w:t>
      </w:r>
      <w:r w:rsidR="00205D5C">
        <w:t>134</w:t>
      </w:r>
      <w:r w:rsidR="00897F88">
        <w:t xml:space="preserve">], </w:t>
      </w:r>
      <w:r w:rsidR="00897F88">
        <w:rPr>
          <w:i/>
          <w:iCs/>
        </w:rPr>
        <w:t>p</w:t>
      </w:r>
      <w:r w:rsidR="00897F88">
        <w:t xml:space="preserve"> = 0.</w:t>
      </w:r>
      <w:r w:rsidR="00205D5C">
        <w:t>114</w:t>
      </w:r>
      <w:r w:rsidR="00897F88">
        <w:t xml:space="preserve"> when TV was measured at age ~1.5</w:t>
      </w:r>
      <w:r w:rsidR="00B37B10">
        <w:t>; whereas the original paper reported OR = 1.09 [1.02, 1.16]. We cannot explain these discrepancies</w:t>
      </w:r>
      <w:r w:rsidR="00B34694">
        <w:t>.</w:t>
      </w:r>
    </w:p>
    <w:p w14:paraId="39EECA41" w14:textId="0801B844" w:rsidR="00CA42FB" w:rsidRPr="00F71468" w:rsidRDefault="00F15594" w:rsidP="00B255EE">
      <w:pPr>
        <w:spacing w:line="480" w:lineRule="auto"/>
        <w:rPr>
          <w:b/>
          <w:bCs/>
        </w:rPr>
      </w:pPr>
      <w:r w:rsidRPr="00F71468">
        <w:rPr>
          <w:b/>
          <w:bCs/>
        </w:rPr>
        <w:t xml:space="preserve">Multiverse II </w:t>
      </w:r>
      <w:r w:rsidR="00B34694">
        <w:rPr>
          <w:b/>
          <w:bCs/>
        </w:rPr>
        <w:t>r</w:t>
      </w:r>
      <w:r w:rsidRPr="00F71468">
        <w:rPr>
          <w:b/>
          <w:bCs/>
        </w:rPr>
        <w:t>esults</w:t>
      </w:r>
    </w:p>
    <w:p w14:paraId="0D5802CA" w14:textId="2CE07E5F" w:rsidR="00941491" w:rsidRDefault="00BA56F0" w:rsidP="00B255EE">
      <w:pPr>
        <w:spacing w:line="480" w:lineRule="auto"/>
        <w:ind w:firstLine="720"/>
      </w:pPr>
      <w:r w:rsidRPr="00F71468">
        <w:rPr>
          <w:b/>
          <w:bCs/>
          <w:i/>
          <w:iCs/>
        </w:rPr>
        <w:t xml:space="preserve">Linear regression </w:t>
      </w:r>
      <w:r w:rsidR="00F15594" w:rsidRPr="00F71468">
        <w:rPr>
          <w:b/>
          <w:bCs/>
          <w:i/>
          <w:iCs/>
        </w:rPr>
        <w:t>models</w:t>
      </w:r>
      <w:r w:rsidRPr="00F71468">
        <w:rPr>
          <w:b/>
          <w:bCs/>
          <w:i/>
          <w:iCs/>
        </w:rPr>
        <w:t>.</w:t>
      </w:r>
      <w:r w:rsidRPr="00A10D1E">
        <w:rPr>
          <w:b/>
          <w:bCs/>
        </w:rPr>
        <w:t xml:space="preserve"> </w:t>
      </w:r>
      <w:r w:rsidR="00BB5261">
        <w:t>We report standardized</w:t>
      </w:r>
      <w:r w:rsidR="00F15594">
        <w:t xml:space="preserve"> (with respect to </w:t>
      </w:r>
      <w:r w:rsidR="00F15594">
        <w:rPr>
          <w:i/>
          <w:iCs/>
        </w:rPr>
        <w:t>y</w:t>
      </w:r>
      <w:r w:rsidR="00F15594">
        <w:t>)</w:t>
      </w:r>
      <w:r w:rsidR="00BB5261">
        <w:t xml:space="preserve"> regression coefficient</w:t>
      </w:r>
      <w:r w:rsidR="00F15594">
        <w:t>s</w:t>
      </w:r>
      <w:r w:rsidR="00BB5261">
        <w:t xml:space="preserve"> for the effect of TV</w:t>
      </w:r>
      <w:r w:rsidR="00F15594">
        <w:t xml:space="preserve"> on attention, such that the estimate</w:t>
      </w:r>
      <w:r w:rsidR="00575FA4">
        <w:t>s</w:t>
      </w:r>
      <w:r w:rsidR="00F15594">
        <w:t xml:space="preserve"> represent the expected standard deviation change in attention given a one-hour change in TV use. </w:t>
      </w:r>
      <w:r w:rsidR="00F25A73">
        <w:t>The direction of the raw attention outcome has been reversed</w:t>
      </w:r>
      <w:r w:rsidR="000632D0">
        <w:t xml:space="preserve"> t</w:t>
      </w:r>
      <w:r w:rsidR="00F25A73">
        <w:t xml:space="preserve">o be consistent with the standardized outcome; higher scores represent worse attention for both. </w:t>
      </w:r>
      <w:r w:rsidR="00F15594">
        <w:t>Results are summarized in Figure 3A.</w:t>
      </w:r>
      <w:r w:rsidR="00941491">
        <w:t xml:space="preserve"> The median estimate for these models was </w:t>
      </w:r>
      <w:r w:rsidR="005577E3">
        <w:rPr>
          <w:i/>
          <w:iCs/>
        </w:rPr>
        <w:t>b</w:t>
      </w:r>
      <w:r w:rsidR="005577E3">
        <w:t xml:space="preserve"> = </w:t>
      </w:r>
      <w:r w:rsidR="00827893">
        <w:t>-0.0</w:t>
      </w:r>
      <w:r w:rsidR="00C829E9">
        <w:t>02</w:t>
      </w:r>
      <w:r w:rsidR="008E32B4">
        <w:t xml:space="preserve"> with 1</w:t>
      </w:r>
      <w:r w:rsidR="008E32B4" w:rsidRPr="008E32B4">
        <w:rPr>
          <w:vertAlign w:val="superscript"/>
        </w:rPr>
        <w:t>st</w:t>
      </w:r>
      <w:r w:rsidR="008E32B4">
        <w:t xml:space="preserve"> and 3</w:t>
      </w:r>
      <w:r w:rsidR="008E32B4" w:rsidRPr="008E32B4">
        <w:rPr>
          <w:vertAlign w:val="superscript"/>
        </w:rPr>
        <w:t>rd</w:t>
      </w:r>
      <w:r w:rsidR="008E32B4">
        <w:t xml:space="preserve"> quartiles of [-0.0</w:t>
      </w:r>
      <w:r w:rsidR="00C52282">
        <w:t>08</w:t>
      </w:r>
      <w:r w:rsidR="008E32B4">
        <w:t>, 0.</w:t>
      </w:r>
      <w:r w:rsidR="00F47FBA">
        <w:t>0</w:t>
      </w:r>
      <w:r w:rsidR="008E32B4">
        <w:t>13]</w:t>
      </w:r>
      <w:r w:rsidR="00F47FBA">
        <w:t xml:space="preserve">, median </w:t>
      </w:r>
      <w:r w:rsidR="00F47FBA">
        <w:rPr>
          <w:i/>
          <w:iCs/>
        </w:rPr>
        <w:t>p</w:t>
      </w:r>
      <w:r w:rsidR="00F47FBA">
        <w:t xml:space="preserve"> = 0</w:t>
      </w:r>
      <w:r w:rsidR="00941491">
        <w:t>.</w:t>
      </w:r>
      <w:r w:rsidR="00F47FBA">
        <w:t>335.</w:t>
      </w:r>
      <w:r w:rsidR="00941491">
        <w:t xml:space="preserve"> </w:t>
      </w:r>
    </w:p>
    <w:p w14:paraId="27750C9C" w14:textId="0313C897" w:rsidR="00941491" w:rsidRDefault="00941491" w:rsidP="00B255EE">
      <w:pPr>
        <w:spacing w:line="480" w:lineRule="auto"/>
        <w:jc w:val="center"/>
      </w:pPr>
      <w:r>
        <w:t>--- Insert Figure 3A about here ---</w:t>
      </w:r>
    </w:p>
    <w:p w14:paraId="6DB106B2" w14:textId="4F75F436" w:rsidR="005F2C6E" w:rsidRDefault="00F03654" w:rsidP="00B255EE">
      <w:pPr>
        <w:spacing w:line="480" w:lineRule="auto"/>
        <w:ind w:firstLine="720"/>
      </w:pPr>
      <w:r>
        <w:t>Statistically significant estimates were observed in 4/24 (16.7%) of the models</w:t>
      </w:r>
      <w:r w:rsidR="00413D91">
        <w:t xml:space="preserve">, all in the hypothesized direction. The median </w:t>
      </w:r>
      <w:r w:rsidR="00DE32C5">
        <w:rPr>
          <w:i/>
          <w:iCs/>
        </w:rPr>
        <w:t>p</w:t>
      </w:r>
      <w:r w:rsidR="00DE32C5">
        <w:t xml:space="preserve"> value for these significant </w:t>
      </w:r>
      <w:r w:rsidR="00423243">
        <w:t xml:space="preserve">models was </w:t>
      </w:r>
      <w:r w:rsidR="00423243">
        <w:rPr>
          <w:i/>
          <w:iCs/>
        </w:rPr>
        <w:t>p</w:t>
      </w:r>
      <w:r w:rsidR="00423243">
        <w:t xml:space="preserve"> = .027</w:t>
      </w:r>
      <w:r w:rsidR="001A6925">
        <w:t>.</w:t>
      </w:r>
      <w:r w:rsidR="005F2C6E">
        <w:t xml:space="preserve"> </w:t>
      </w:r>
      <w:r w:rsidR="001B7FDB">
        <w:t>All four of the significant estimates were produced by models using listwise deletion, and t</w:t>
      </w:r>
      <w:r w:rsidR="005F2C6E">
        <w:t xml:space="preserve">hree of the four </w:t>
      </w:r>
      <w:r w:rsidR="0039667C">
        <w:t xml:space="preserve">also incorporated </w:t>
      </w:r>
      <w:r w:rsidR="005F2C6E">
        <w:t>sample weights</w:t>
      </w:r>
      <w:r w:rsidR="0039667C">
        <w:t>. None of the models</w:t>
      </w:r>
      <w:r w:rsidR="00812EC1">
        <w:t xml:space="preserve"> </w:t>
      </w:r>
      <w:r w:rsidR="00FE090A">
        <w:t>that</w:t>
      </w:r>
      <w:r w:rsidR="0039667C">
        <w:t xml:space="preserve"> us</w:t>
      </w:r>
      <w:r w:rsidR="00FE090A">
        <w:t>ed</w:t>
      </w:r>
      <w:r w:rsidR="0039667C">
        <w:t xml:space="preserve"> multiple imputation</w:t>
      </w:r>
      <w:r w:rsidR="00FE090A">
        <w:t xml:space="preserve"> but did </w:t>
      </w:r>
      <w:r w:rsidR="0039667C">
        <w:t>no</w:t>
      </w:r>
      <w:r w:rsidR="004A02FA">
        <w:t>t incorpora</w:t>
      </w:r>
      <w:r w:rsidR="00FE090A">
        <w:t>te</w:t>
      </w:r>
      <w:r w:rsidR="0039667C">
        <w:t xml:space="preserve"> sample weights yielded significance; further</w:t>
      </w:r>
      <w:r w:rsidR="000D09EC">
        <w:t>,</w:t>
      </w:r>
      <w:r w:rsidR="0039667C">
        <w:t xml:space="preserve"> all their estimates were in the ‘wrong’ direction (e.g, TV helps attention). </w:t>
      </w:r>
    </w:p>
    <w:p w14:paraId="1381CB9B" w14:textId="657C2A73" w:rsidR="00A40DF7" w:rsidRDefault="002B6574" w:rsidP="00B255EE">
      <w:pPr>
        <w:spacing w:line="480" w:lineRule="auto"/>
        <w:ind w:firstLine="720"/>
      </w:pPr>
      <w:r w:rsidRPr="00F71468">
        <w:rPr>
          <w:b/>
          <w:bCs/>
          <w:i/>
          <w:iCs/>
        </w:rPr>
        <w:t>IPTW propensity score analysis results</w:t>
      </w:r>
      <w:r>
        <w:t xml:space="preserve">. </w:t>
      </w:r>
      <w:r w:rsidR="00F15972">
        <w:t xml:space="preserve">We </w:t>
      </w:r>
      <w:r w:rsidR="00A72ABF">
        <w:t xml:space="preserve">report Cohen’s </w:t>
      </w:r>
      <w:r w:rsidR="00A72ABF">
        <w:rPr>
          <w:i/>
          <w:iCs/>
        </w:rPr>
        <w:t>d</w:t>
      </w:r>
      <w:r w:rsidR="00A72ABF">
        <w:t xml:space="preserve"> effect sizes for the treatment effect estimates from the propensity score models.</w:t>
      </w:r>
      <w:r w:rsidR="00B3016C">
        <w:t xml:space="preserve"> </w:t>
      </w:r>
      <w:r w:rsidR="004F2544">
        <w:t xml:space="preserve">Note that the effect sizes for models using different TV cutpoints to define the </w:t>
      </w:r>
      <w:r w:rsidR="00EF2429">
        <w:t xml:space="preserve">virtual ‘treatment’ and ‘control’ groups are not </w:t>
      </w:r>
      <w:r w:rsidR="00853D67">
        <w:t xml:space="preserve">equivalent, as they are based on </w:t>
      </w:r>
      <w:r w:rsidR="00655BFD">
        <w:t>varying degre</w:t>
      </w:r>
      <w:r w:rsidR="00FE090A">
        <w:t>e</w:t>
      </w:r>
      <w:r w:rsidR="00655BFD">
        <w:t xml:space="preserve">s of difference in TV use between groups. </w:t>
      </w:r>
      <w:r w:rsidR="00F15972">
        <w:t xml:space="preserve">The median effect size across all IPTW models was </w:t>
      </w:r>
      <w:r w:rsidR="00F15972">
        <w:rPr>
          <w:i/>
          <w:iCs/>
        </w:rPr>
        <w:t>d</w:t>
      </w:r>
      <w:r w:rsidR="00F15972">
        <w:t xml:space="preserve"> = 0.06</w:t>
      </w:r>
      <w:r w:rsidR="002332BF">
        <w:t>8</w:t>
      </w:r>
      <w:r w:rsidR="0018621B">
        <w:t xml:space="preserve">, </w:t>
      </w:r>
      <w:r w:rsidR="00655BFD">
        <w:t xml:space="preserve">with </w:t>
      </w:r>
      <w:r w:rsidR="0018621B">
        <w:t>1</w:t>
      </w:r>
      <w:r w:rsidR="0018621B" w:rsidRPr="0018621B">
        <w:rPr>
          <w:vertAlign w:val="superscript"/>
        </w:rPr>
        <w:t>st</w:t>
      </w:r>
      <w:r w:rsidR="0018621B">
        <w:t xml:space="preserve"> and 3</w:t>
      </w:r>
      <w:r w:rsidR="0018621B" w:rsidRPr="0018621B">
        <w:rPr>
          <w:vertAlign w:val="superscript"/>
        </w:rPr>
        <w:t>rd</w:t>
      </w:r>
      <w:r w:rsidR="0018621B">
        <w:t xml:space="preserve"> quartiles [</w:t>
      </w:r>
      <w:r w:rsidR="00A83EBF">
        <w:t>0.005, 0.129]</w:t>
      </w:r>
      <w:r w:rsidR="00655BFD">
        <w:t xml:space="preserve"> and </w:t>
      </w:r>
      <w:r w:rsidR="00A83EBF">
        <w:t xml:space="preserve">median </w:t>
      </w:r>
      <w:r w:rsidR="00A83EBF">
        <w:rPr>
          <w:i/>
          <w:iCs/>
        </w:rPr>
        <w:t>p</w:t>
      </w:r>
      <w:r w:rsidR="00A83EBF">
        <w:t xml:space="preserve"> = 0.25</w:t>
      </w:r>
      <w:r w:rsidR="0022459D">
        <w:t>3</w:t>
      </w:r>
      <w:r w:rsidR="003D3349">
        <w:t>.</w:t>
      </w:r>
      <w:r w:rsidR="00F15972">
        <w:t xml:space="preserve"> Overall,</w:t>
      </w:r>
      <w:r w:rsidR="00F91C70">
        <w:t xml:space="preserve"> </w:t>
      </w:r>
      <w:r w:rsidR="0022459D">
        <w:t>100</w:t>
      </w:r>
      <w:r w:rsidR="00F91C70">
        <w:t xml:space="preserve"> / </w:t>
      </w:r>
      <w:r w:rsidR="00420358">
        <w:t>384 models (</w:t>
      </w:r>
      <w:r w:rsidR="008B706B">
        <w:t>2</w:t>
      </w:r>
      <w:r w:rsidR="0022459D">
        <w:t>6.0</w:t>
      </w:r>
      <w:r w:rsidR="00420358">
        <w:t xml:space="preserve">%) produced significant </w:t>
      </w:r>
      <w:r w:rsidR="008B706B">
        <w:t>estimates</w:t>
      </w:r>
      <w:r w:rsidR="00420358">
        <w:t xml:space="preserve">, </w:t>
      </w:r>
      <w:r w:rsidR="00D63FBA">
        <w:lastRenderedPageBreak/>
        <w:t>and</w:t>
      </w:r>
      <w:r w:rsidR="00FE090A">
        <w:t xml:space="preserve"> the</w:t>
      </w:r>
      <w:r w:rsidR="00B23B84">
        <w:t xml:space="preserve"> </w:t>
      </w:r>
      <w:r w:rsidR="00F15972">
        <w:t xml:space="preserve">direction of all of these was </w:t>
      </w:r>
      <w:r w:rsidR="00B23B84">
        <w:t xml:space="preserve">that </w:t>
      </w:r>
      <w:r w:rsidR="00F15972">
        <w:t xml:space="preserve">TV </w:t>
      </w:r>
      <w:r w:rsidR="008A2AFA">
        <w:t>ha</w:t>
      </w:r>
      <w:r w:rsidR="00B23B84">
        <w:t>s</w:t>
      </w:r>
      <w:r w:rsidR="00F15972">
        <w:t xml:space="preserve"> </w:t>
      </w:r>
      <w:r w:rsidR="008A2AFA">
        <w:t xml:space="preserve">a </w:t>
      </w:r>
      <w:r w:rsidR="00F15972">
        <w:t>harmful</w:t>
      </w:r>
      <w:r w:rsidR="008A2AFA">
        <w:t xml:space="preserve"> effect on attention</w:t>
      </w:r>
      <w:r w:rsidR="00F15972">
        <w:t>.</w:t>
      </w:r>
      <w:r w:rsidR="004E5139">
        <w:t xml:space="preserve"> </w:t>
      </w:r>
      <w:r w:rsidR="00D63FBA">
        <w:t>Results for these models are displayed in Figure 3B.</w:t>
      </w:r>
    </w:p>
    <w:p w14:paraId="6F1123B2" w14:textId="157F8BEE" w:rsidR="00D63FBA" w:rsidRDefault="00D63FBA" w:rsidP="00B255EE">
      <w:pPr>
        <w:spacing w:line="480" w:lineRule="auto"/>
        <w:jc w:val="center"/>
      </w:pPr>
      <w:r>
        <w:t>--- Insert Figure 3B about here ---</w:t>
      </w:r>
    </w:p>
    <w:p w14:paraId="4DA1CE99" w14:textId="5D7989D8" w:rsidR="000A4700" w:rsidRDefault="002937C3" w:rsidP="00B255EE">
      <w:pPr>
        <w:spacing w:line="480" w:lineRule="auto"/>
        <w:ind w:firstLine="720"/>
      </w:pPr>
      <w:r>
        <w:t>Only 20/192 (10.4%) of these models that did not include sample weights produced significant results</w:t>
      </w:r>
      <w:r w:rsidR="00223C68">
        <w:t>, compared with</w:t>
      </w:r>
      <w:r w:rsidR="0022459D">
        <w:t xml:space="preserve"> 80</w:t>
      </w:r>
      <w:r w:rsidR="001671F6">
        <w:t>/192 (41.</w:t>
      </w:r>
      <w:r w:rsidR="0022459D">
        <w:t>7</w:t>
      </w:r>
      <w:r w:rsidR="001671F6">
        <w:t>%) of the models that includ</w:t>
      </w:r>
      <w:r w:rsidR="004D332B">
        <w:t>ed</w:t>
      </w:r>
      <w:r w:rsidR="001671F6">
        <w:t xml:space="preserve"> sample weights.</w:t>
      </w:r>
      <w:r w:rsidR="004D332B">
        <w:t xml:space="preserve"> </w:t>
      </w:r>
      <w:r w:rsidR="00A40DF7" w:rsidRPr="004A197F">
        <w:t>Table</w:t>
      </w:r>
      <w:r w:rsidR="00A40DF7">
        <w:t xml:space="preserve"> 3 describes how the significance of these models varied across </w:t>
      </w:r>
      <w:r w:rsidR="008D5849">
        <w:t xml:space="preserve">these </w:t>
      </w:r>
      <w:r w:rsidR="00A40DF7">
        <w:t>cutpoints. The highest rate</w:t>
      </w:r>
      <w:r w:rsidR="00A35006">
        <w:t>s</w:t>
      </w:r>
      <w:r w:rsidR="00A40DF7">
        <w:t xml:space="preserve"> of significance w</w:t>
      </w:r>
      <w:r w:rsidR="00A35006">
        <w:t>ere</w:t>
      </w:r>
      <w:r w:rsidR="00A40DF7">
        <w:t xml:space="preserve"> associated with the </w:t>
      </w:r>
      <w:r w:rsidR="00A35006">
        <w:t>50</w:t>
      </w:r>
      <w:r w:rsidR="00A35006" w:rsidRPr="00A35006">
        <w:rPr>
          <w:vertAlign w:val="superscript"/>
        </w:rPr>
        <w:t>th</w:t>
      </w:r>
      <w:r w:rsidR="00A35006">
        <w:t xml:space="preserve"> and </w:t>
      </w:r>
      <w:r w:rsidR="00A40DF7">
        <w:t>60</w:t>
      </w:r>
      <w:r w:rsidR="00A40DF7" w:rsidRPr="00A10D1E">
        <w:rPr>
          <w:vertAlign w:val="superscript"/>
        </w:rPr>
        <w:t>th</w:t>
      </w:r>
      <w:r w:rsidR="00A40DF7">
        <w:t xml:space="preserve"> percentile cutoff</w:t>
      </w:r>
      <w:r w:rsidR="00A35006">
        <w:t>s</w:t>
      </w:r>
      <w:r w:rsidR="00A40DF7">
        <w:t>.</w:t>
      </w:r>
      <w:r w:rsidR="00916BA8">
        <w:t xml:space="preserve"> </w:t>
      </w:r>
    </w:p>
    <w:p w14:paraId="33CC3F7F" w14:textId="3309DB2D" w:rsidR="007A6795" w:rsidRDefault="00795213" w:rsidP="00795213">
      <w:pPr>
        <w:spacing w:line="480" w:lineRule="auto"/>
        <w:ind w:firstLine="720"/>
        <w:jc w:val="center"/>
        <w:rPr>
          <w:b/>
          <w:bCs/>
        </w:rPr>
      </w:pPr>
      <w:r>
        <w:t>--- Insert Table 3 about here ---</w:t>
      </w:r>
    </w:p>
    <w:p w14:paraId="1D63E2DB" w14:textId="41ED1A17" w:rsidR="00BD0F27" w:rsidRDefault="00A40DF7" w:rsidP="00B255EE">
      <w:pPr>
        <w:spacing w:line="480" w:lineRule="auto"/>
        <w:ind w:firstLine="720"/>
      </w:pPr>
      <w:r w:rsidRPr="00E00523">
        <w:rPr>
          <w:b/>
          <w:bCs/>
          <w:i/>
          <w:iCs/>
        </w:rPr>
        <w:t>S</w:t>
      </w:r>
      <w:r w:rsidR="002B6574" w:rsidRPr="00E00523">
        <w:rPr>
          <w:b/>
          <w:bCs/>
          <w:i/>
          <w:iCs/>
        </w:rPr>
        <w:t>tratification propensity score analysis results</w:t>
      </w:r>
      <w:r w:rsidR="002B6574">
        <w:rPr>
          <w:b/>
          <w:bCs/>
        </w:rPr>
        <w:t>.</w:t>
      </w:r>
      <w:r w:rsidR="002B6574" w:rsidRPr="008669FE">
        <w:rPr>
          <w:b/>
          <w:bCs/>
        </w:rPr>
        <w:t xml:space="preserve"> </w:t>
      </w:r>
      <w:r w:rsidR="002D4F4A">
        <w:t xml:space="preserve">The median Cohen’s </w:t>
      </w:r>
      <w:r w:rsidR="002D4F4A">
        <w:rPr>
          <w:i/>
          <w:iCs/>
        </w:rPr>
        <w:t>d</w:t>
      </w:r>
      <w:r w:rsidR="002D4F4A">
        <w:t xml:space="preserve"> effect size for the stratification models was </w:t>
      </w:r>
      <w:r w:rsidR="005C1EE9">
        <w:rPr>
          <w:i/>
          <w:iCs/>
        </w:rPr>
        <w:t>d</w:t>
      </w:r>
      <w:r w:rsidR="005C1EE9">
        <w:t xml:space="preserve"> = -0.01</w:t>
      </w:r>
      <w:r w:rsidR="0022459D">
        <w:t>6</w:t>
      </w:r>
      <w:r w:rsidR="005C1EE9">
        <w:t xml:space="preserve"> with 1</w:t>
      </w:r>
      <w:r w:rsidR="005C1EE9" w:rsidRPr="0018621B">
        <w:rPr>
          <w:vertAlign w:val="superscript"/>
        </w:rPr>
        <w:t>st</w:t>
      </w:r>
      <w:r w:rsidR="005C1EE9">
        <w:t xml:space="preserve"> and 3</w:t>
      </w:r>
      <w:r w:rsidR="005C1EE9" w:rsidRPr="0018621B">
        <w:rPr>
          <w:vertAlign w:val="superscript"/>
        </w:rPr>
        <w:t>rd</w:t>
      </w:r>
      <w:r w:rsidR="005C1EE9">
        <w:t xml:space="preserve"> quartiles [-0.041, 0.021] and median </w:t>
      </w:r>
      <w:r w:rsidR="005C1EE9">
        <w:rPr>
          <w:i/>
          <w:iCs/>
        </w:rPr>
        <w:t>p</w:t>
      </w:r>
      <w:r w:rsidR="005C1EE9">
        <w:t xml:space="preserve"> = 0.</w:t>
      </w:r>
      <w:r w:rsidR="00340BC0">
        <w:t xml:space="preserve">640. </w:t>
      </w:r>
      <w:r w:rsidR="00036E2D">
        <w:t>Only</w:t>
      </w:r>
      <w:r w:rsidR="00340BC0">
        <w:t xml:space="preserve"> </w:t>
      </w:r>
      <w:r w:rsidR="000D4C9A">
        <w:t>1</w:t>
      </w:r>
      <w:r w:rsidR="00340BC0">
        <w:t>/</w:t>
      </w:r>
      <w:r w:rsidR="00036E2D">
        <w:t>240</w:t>
      </w:r>
      <w:r w:rsidR="00795213">
        <w:t xml:space="preserve"> of the</w:t>
      </w:r>
      <w:r w:rsidR="00036E2D">
        <w:t xml:space="preserve"> </w:t>
      </w:r>
      <w:r w:rsidR="00CA626A">
        <w:t xml:space="preserve">stratification propensity score </w:t>
      </w:r>
      <w:r w:rsidR="00036E2D">
        <w:t>models (</w:t>
      </w:r>
      <w:r w:rsidR="000D4C9A">
        <w:t>0.4</w:t>
      </w:r>
      <w:r w:rsidR="00036E2D">
        <w:t xml:space="preserve">%) produced </w:t>
      </w:r>
      <w:r w:rsidR="008850D4">
        <w:t xml:space="preserve">a </w:t>
      </w:r>
      <w:r w:rsidR="00036E2D">
        <w:t xml:space="preserve">statistically significant result, and its point estimate indicated a beneficial effect of TV exposure. </w:t>
      </w:r>
      <w:r w:rsidR="00B628BD">
        <w:t>In general</w:t>
      </w:r>
      <w:r w:rsidR="00CB3897">
        <w:t>, the stratification models had wider standard errors and confidence intervals than the IPTW propensity score model</w:t>
      </w:r>
      <w:r w:rsidR="00044276">
        <w:t>s</w:t>
      </w:r>
      <w:r w:rsidR="00CB3897">
        <w:t>.</w:t>
      </w:r>
      <w:r w:rsidR="002F2A89">
        <w:t xml:space="preserve"> Results for these models are summarized in Figure 3C.</w:t>
      </w:r>
    </w:p>
    <w:p w14:paraId="753A731B" w14:textId="44E41623" w:rsidR="002F2A89" w:rsidRDefault="002F2A89" w:rsidP="002F2A89">
      <w:pPr>
        <w:spacing w:line="480" w:lineRule="auto"/>
        <w:jc w:val="center"/>
      </w:pPr>
      <w:r>
        <w:t>--- Insert Figure 3C about here ---</w:t>
      </w:r>
    </w:p>
    <w:p w14:paraId="04C7345C" w14:textId="043A9235" w:rsidR="00E57629" w:rsidRPr="006D0102" w:rsidRDefault="00036E2D" w:rsidP="00B255EE">
      <w:pPr>
        <w:spacing w:line="480" w:lineRule="auto"/>
        <w:ind w:firstLine="720"/>
      </w:pPr>
      <w:r w:rsidRPr="00E00523">
        <w:rPr>
          <w:b/>
          <w:bCs/>
          <w:i/>
          <w:iCs/>
        </w:rPr>
        <w:t>Overall summary</w:t>
      </w:r>
      <w:r w:rsidR="009768AB">
        <w:rPr>
          <w:b/>
          <w:bCs/>
          <w:i/>
          <w:iCs/>
        </w:rPr>
        <w:t xml:space="preserve"> for multiverse II</w:t>
      </w:r>
      <w:r>
        <w:rPr>
          <w:b/>
          <w:bCs/>
        </w:rPr>
        <w:t>.</w:t>
      </w:r>
      <w:r w:rsidR="006D0102">
        <w:t xml:space="preserve"> Overall, 10</w:t>
      </w:r>
      <w:r w:rsidR="0022459D">
        <w:t>5</w:t>
      </w:r>
      <w:r w:rsidR="006D0102">
        <w:t>/648 (</w:t>
      </w:r>
      <w:r w:rsidR="00812638">
        <w:t>16.</w:t>
      </w:r>
      <w:r w:rsidR="0022459D">
        <w:t>2</w:t>
      </w:r>
      <w:r w:rsidR="00812638">
        <w:t xml:space="preserve">%) of models in multiverse II </w:t>
      </w:r>
      <w:r w:rsidR="003B5976">
        <w:t>produced</w:t>
      </w:r>
      <w:r w:rsidR="00812638">
        <w:t xml:space="preserve"> </w:t>
      </w:r>
      <w:r w:rsidR="004969DB">
        <w:t xml:space="preserve">statistically </w:t>
      </w:r>
      <w:r w:rsidR="00812638">
        <w:t>significant</w:t>
      </w:r>
      <w:r w:rsidR="003B5976">
        <w:t xml:space="preserve"> results</w:t>
      </w:r>
      <w:r w:rsidR="004969DB">
        <w:t xml:space="preserve">, and only </w:t>
      </w:r>
      <w:r w:rsidR="001931C5">
        <w:t xml:space="preserve">22/448 (4.9%) of those not incorporating sample weights </w:t>
      </w:r>
      <w:r w:rsidR="003B5976">
        <w:t xml:space="preserve">produced significant results. </w:t>
      </w:r>
      <w:r w:rsidR="00E55FC7">
        <w:t xml:space="preserve">All significant results except </w:t>
      </w:r>
      <w:r w:rsidR="00FF5697">
        <w:t xml:space="preserve">one indicated a harmful effect of TV on attention. </w:t>
      </w:r>
      <w:r w:rsidR="003748CC">
        <w:t xml:space="preserve">In the propensity score IPTW models, the </w:t>
      </w:r>
      <w:r w:rsidR="007622AC">
        <w:t xml:space="preserve">results varied </w:t>
      </w:r>
      <w:r w:rsidR="00ED5551">
        <w:t xml:space="preserve">over the TV cutpoint used to define the ‘treatment’ and ‘control’ groups. </w:t>
      </w:r>
      <w:r w:rsidR="00347E30">
        <w:t xml:space="preserve">Only 2/324 (0.6%) of the models measuring TV exposure at age ~1.5 produced significant results, whereas </w:t>
      </w:r>
      <w:r w:rsidR="00073906">
        <w:t>10</w:t>
      </w:r>
      <w:r w:rsidR="0022459D">
        <w:t>3</w:t>
      </w:r>
      <w:r w:rsidR="00073906">
        <w:t xml:space="preserve">/324 </w:t>
      </w:r>
      <w:r w:rsidR="002F0873">
        <w:t>(31.</w:t>
      </w:r>
      <w:r w:rsidR="0022459D">
        <w:t>8</w:t>
      </w:r>
      <w:r w:rsidR="002F0873">
        <w:t xml:space="preserve">%) </w:t>
      </w:r>
      <w:r w:rsidR="00073906">
        <w:t>of the models measuring TV at age ~3</w:t>
      </w:r>
      <w:r w:rsidR="00A30008">
        <w:t xml:space="preserve"> </w:t>
      </w:r>
      <w:r w:rsidR="00073906">
        <w:t xml:space="preserve">produced significance. </w:t>
      </w:r>
    </w:p>
    <w:p w14:paraId="42F67EA9" w14:textId="77777777" w:rsidR="004C75BC" w:rsidRDefault="004C75BC" w:rsidP="008669FE">
      <w:pPr>
        <w:spacing w:line="480" w:lineRule="auto"/>
        <w:ind w:firstLine="720"/>
        <w:jc w:val="center"/>
        <w:rPr>
          <w:b/>
        </w:rPr>
      </w:pPr>
      <w:r>
        <w:rPr>
          <w:b/>
        </w:rPr>
        <w:t>Discussion</w:t>
      </w:r>
    </w:p>
    <w:p w14:paraId="5E1ECD3D" w14:textId="708C4944" w:rsidR="00EB3B13" w:rsidRDefault="00FF4B59" w:rsidP="00471727">
      <w:pPr>
        <w:spacing w:line="480" w:lineRule="auto"/>
        <w:ind w:firstLine="720"/>
      </w:pPr>
      <w:r>
        <w:lastRenderedPageBreak/>
        <w:t>The broad goal of this paper was</w:t>
      </w:r>
      <w:r w:rsidR="003D3503">
        <w:t xml:space="preserve"> to </w:t>
      </w:r>
      <w:r w:rsidR="001257BC">
        <w:t>re-evaluate</w:t>
      </w:r>
      <w:r w:rsidR="003D3503">
        <w:t xml:space="preserve"> the claim that early TV watch</w:t>
      </w:r>
      <w:r w:rsidR="00DA227F">
        <w:t>ing</w:t>
      </w:r>
      <w:r w:rsidR="003D3503">
        <w:t xml:space="preserve"> causes attentional problems (Christakis et al., 2004</w:t>
      </w:r>
      <w:r w:rsidR="001257BC">
        <w:t>; Christakis, 2011</w:t>
      </w:r>
      <w:r w:rsidR="003D3503">
        <w:t>)</w:t>
      </w:r>
      <w:r w:rsidR="00471727">
        <w:t>.</w:t>
      </w:r>
      <w:r w:rsidR="00916BA8">
        <w:t xml:space="preserve"> </w:t>
      </w:r>
      <w:r w:rsidR="00CD568D">
        <w:t>Over both multiverse analyses</w:t>
      </w:r>
      <w:r w:rsidR="00B97F3F">
        <w:t>,</w:t>
      </w:r>
      <w:r w:rsidR="001257BC">
        <w:t xml:space="preserve"> </w:t>
      </w:r>
      <w:r w:rsidR="00802C4F">
        <w:t xml:space="preserve">only </w:t>
      </w:r>
      <w:r w:rsidR="00C94E1E">
        <w:t>166</w:t>
      </w:r>
      <w:r w:rsidR="00AB2DFB">
        <w:t>/</w:t>
      </w:r>
      <w:r w:rsidR="00C94E1E">
        <w:t>848</w:t>
      </w:r>
      <w:r w:rsidR="00AB2DFB">
        <w:t xml:space="preserve"> (</w:t>
      </w:r>
      <w:r w:rsidR="00802C4F">
        <w:t>19.</w:t>
      </w:r>
      <w:r w:rsidR="00C30552">
        <w:t>6</w:t>
      </w:r>
      <w:r w:rsidR="00AB2DFB">
        <w:t>%) of the models</w:t>
      </w:r>
      <w:r w:rsidR="001257BC">
        <w:t xml:space="preserve"> </w:t>
      </w:r>
      <w:r w:rsidR="005179B5">
        <w:t>produced evidence of a relationship</w:t>
      </w:r>
      <w:r w:rsidR="001257BC">
        <w:t xml:space="preserve"> between variables</w:t>
      </w:r>
      <w:r w:rsidR="00802C4F">
        <w:t xml:space="preserve">. </w:t>
      </w:r>
      <w:r w:rsidR="005179B5">
        <w:t xml:space="preserve">Further, </w:t>
      </w:r>
      <w:r w:rsidR="00B85AA7">
        <w:t>only 21/440 (4.</w:t>
      </w:r>
      <w:r w:rsidR="009F6A9A">
        <w:t xml:space="preserve">8%) of </w:t>
      </w:r>
      <w:r w:rsidR="005179B5">
        <w:t xml:space="preserve">the models that we deemed most principled – those not including sample weights, </w:t>
      </w:r>
      <w:r w:rsidR="00B87205">
        <w:t>not discard</w:t>
      </w:r>
      <w:r w:rsidR="00934F3B">
        <w:t>ing</w:t>
      </w:r>
      <w:r w:rsidR="00B87205">
        <w:t xml:space="preserve"> records with missing data,</w:t>
      </w:r>
      <w:r w:rsidR="00934F3B">
        <w:t xml:space="preserve"> and not </w:t>
      </w:r>
      <w:r w:rsidR="00B85AA7">
        <w:t>artificially dichotomizing the outcome variable</w:t>
      </w:r>
      <w:r w:rsidR="00B87205">
        <w:t xml:space="preserve"> </w:t>
      </w:r>
      <w:r w:rsidR="00DD5381">
        <w:t xml:space="preserve">for logistic regression – produced significant results. </w:t>
      </w:r>
      <w:r w:rsidR="00B50F8E">
        <w:t xml:space="preserve">If this dataset </w:t>
      </w:r>
      <w:r w:rsidR="008A224C">
        <w:t>contained evidence of a causal association between TV and attention, th</w:t>
      </w:r>
      <w:r w:rsidR="00203FBC">
        <w:t>e superior analytic approaches should have yielded higher rates of statistical significance. Instead, the opposite occurred</w:t>
      </w:r>
      <w:r w:rsidR="002347F1">
        <w:t>, and we note that t</w:t>
      </w:r>
      <w:r w:rsidR="00DD5381">
        <w:t xml:space="preserve">his significance rate </w:t>
      </w:r>
      <w:r w:rsidR="003D20FC">
        <w:t>is nearly precisely what one would expect under the null hypothesis</w:t>
      </w:r>
      <w:r w:rsidR="00873192">
        <w:t xml:space="preserve"> given a 5% alpha criterion</w:t>
      </w:r>
      <w:r w:rsidR="003D20FC">
        <w:t xml:space="preserve">. </w:t>
      </w:r>
      <w:r w:rsidR="001257BC">
        <w:t xml:space="preserve">Thus our conclusion is that </w:t>
      </w:r>
      <w:r w:rsidR="003D20FC">
        <w:t>the</w:t>
      </w:r>
      <w:r w:rsidR="001257BC">
        <w:t xml:space="preserve"> claim is not robust and is </w:t>
      </w:r>
      <w:r w:rsidR="002347F1">
        <w:t>unlikely to be true.</w:t>
      </w:r>
      <w:r w:rsidR="00F123B8">
        <w:t xml:space="preserve"> </w:t>
      </w:r>
    </w:p>
    <w:p w14:paraId="0F1AB513" w14:textId="4F06EB62" w:rsidR="001257BC" w:rsidRDefault="00EB3B13" w:rsidP="00471727">
      <w:pPr>
        <w:spacing w:line="480" w:lineRule="auto"/>
        <w:ind w:firstLine="720"/>
      </w:pPr>
      <w:r>
        <w:t>The most straightforward method of visualizing the relationship – the simple scatterplots presented in Figure 1 – suggests a lack of compelling evidence for this purported relationship.</w:t>
      </w:r>
      <w:r w:rsidR="00916BA8">
        <w:t xml:space="preserve"> </w:t>
      </w:r>
      <w:r>
        <w:t xml:space="preserve">Particularly when including covariates, the relationship is basically a flat line – there is </w:t>
      </w:r>
      <w:r w:rsidR="006238A7">
        <w:t xml:space="preserve">little visual </w:t>
      </w:r>
      <w:r>
        <w:t xml:space="preserve">evidence of a linear relationship in which more TV leads to higher levels of attention problems. </w:t>
      </w:r>
      <w:r w:rsidR="006238A7">
        <w:t xml:space="preserve">Our formal analyses </w:t>
      </w:r>
      <w:r w:rsidR="005E35C6">
        <w:t>mostly underscore that point.</w:t>
      </w:r>
    </w:p>
    <w:p w14:paraId="086C8888" w14:textId="3A261593" w:rsidR="001462EF" w:rsidRDefault="00EC055D" w:rsidP="00471727">
      <w:pPr>
        <w:spacing w:line="480" w:lineRule="auto"/>
        <w:ind w:firstLine="720"/>
      </w:pPr>
      <w:r>
        <w:rPr>
          <w:b/>
          <w:bCs/>
        </w:rPr>
        <w:t xml:space="preserve">Why Were Some Models Significant? </w:t>
      </w:r>
      <w:r w:rsidR="00BD0DDF">
        <w:t xml:space="preserve">We performed some ‘post-mortem’ analyses to better understand why some of these models </w:t>
      </w:r>
      <w:r w:rsidR="007158B2">
        <w:t xml:space="preserve">detected a relationship between variables. Our </w:t>
      </w:r>
      <w:r w:rsidR="0088311D">
        <w:t>explanatio</w:t>
      </w:r>
      <w:r w:rsidR="008A2BDD">
        <w:t>n i</w:t>
      </w:r>
      <w:r w:rsidR="00AF1F26">
        <w:t xml:space="preserve">s that the nonlinear “wiggle” in the </w:t>
      </w:r>
      <w:r w:rsidR="00CF34CD">
        <w:t>scatterplots displayed in Figure 1 can trigger significance if it is brought into</w:t>
      </w:r>
      <w:r w:rsidR="00244238">
        <w:t xml:space="preserve"> sharp</w:t>
      </w:r>
      <w:r w:rsidR="00CF34CD">
        <w:t xml:space="preserve"> relief by the analysis. </w:t>
      </w:r>
      <w:r w:rsidR="001B7F82">
        <w:t xml:space="preserve">Our argument rests on a few observations. </w:t>
      </w:r>
      <w:r w:rsidR="001462EF">
        <w:t>A</w:t>
      </w:r>
      <w:r w:rsidR="00462E1A">
        <w:t xml:space="preserve">s </w:t>
      </w:r>
      <w:r w:rsidR="008E1253">
        <w:t>Figure 1</w:t>
      </w:r>
      <w:r w:rsidR="00EA37E9">
        <w:t xml:space="preserve"> indicates (</w:t>
      </w:r>
      <w:r w:rsidR="00EF4FFD">
        <w:t>comparing left panels to right panels), this</w:t>
      </w:r>
      <w:r w:rsidR="001B7F82">
        <w:t xml:space="preserve"> </w:t>
      </w:r>
      <w:r w:rsidR="00EF4FFD">
        <w:t xml:space="preserve">feature </w:t>
      </w:r>
      <w:r w:rsidR="001B7F82">
        <w:t>is</w:t>
      </w:r>
      <w:r w:rsidR="001A3001">
        <w:t xml:space="preserve"> visually</w:t>
      </w:r>
      <w:r w:rsidR="001B7F82">
        <w:t xml:space="preserve"> more pronounced when TV is measured at age ~3 than at age ~1.5</w:t>
      </w:r>
      <w:r w:rsidR="008C4B45">
        <w:t>. Over both multiverse analyses</w:t>
      </w:r>
      <w:r w:rsidR="00081A73">
        <w:t>, only 19/4</w:t>
      </w:r>
      <w:r w:rsidR="00C52282">
        <w:t>2</w:t>
      </w:r>
      <w:r w:rsidR="00C30552">
        <w:t>4</w:t>
      </w:r>
      <w:r w:rsidR="00081A73">
        <w:t xml:space="preserve"> (4.</w:t>
      </w:r>
      <w:r w:rsidR="00C52282">
        <w:t>5</w:t>
      </w:r>
      <w:r w:rsidR="00081A73">
        <w:t xml:space="preserve">%) of the age ~1.5 models were significant. compared to </w:t>
      </w:r>
      <w:r w:rsidR="00462E1A">
        <w:t>1</w:t>
      </w:r>
      <w:r w:rsidR="00C52282">
        <w:t>47</w:t>
      </w:r>
      <w:r w:rsidR="00462E1A">
        <w:t>/4</w:t>
      </w:r>
      <w:r w:rsidR="00C52282">
        <w:t>2</w:t>
      </w:r>
      <w:r w:rsidR="00C30552">
        <w:t>4</w:t>
      </w:r>
      <w:r w:rsidR="00462E1A">
        <w:t xml:space="preserve"> </w:t>
      </w:r>
      <w:r w:rsidR="00462E1A">
        <w:lastRenderedPageBreak/>
        <w:t>(34.</w:t>
      </w:r>
      <w:r w:rsidR="00C52282">
        <w:t>7</w:t>
      </w:r>
      <w:r w:rsidR="00462E1A">
        <w:t xml:space="preserve">%) of the age ~3 models. </w:t>
      </w:r>
      <w:r w:rsidR="001462EF">
        <w:t>Furthermore, p</w:t>
      </w:r>
      <w:r w:rsidR="00FB3C8D">
        <w:t>anel</w:t>
      </w:r>
      <w:r w:rsidR="008E33BB">
        <w:t>s C and</w:t>
      </w:r>
      <w:r w:rsidR="00FB3C8D">
        <w:t xml:space="preserve"> D of the</w:t>
      </w:r>
      <w:r w:rsidR="001476B1">
        <w:t xml:space="preserve"> figure illustrates how this “wiggle” is </w:t>
      </w:r>
      <w:r w:rsidR="002D3877">
        <w:t xml:space="preserve">visually </w:t>
      </w:r>
      <w:r w:rsidR="001476B1">
        <w:t>diminished by</w:t>
      </w:r>
      <w:r w:rsidR="00D4663D">
        <w:t xml:space="preserve"> imputation of missing data</w:t>
      </w:r>
      <w:r w:rsidR="00020587">
        <w:t xml:space="preserve">; </w:t>
      </w:r>
      <w:r w:rsidR="00C311CD">
        <w:t xml:space="preserve">an unconfounded comparison reveals that </w:t>
      </w:r>
      <w:r w:rsidR="00AB3525">
        <w:t>19/72 (</w:t>
      </w:r>
      <w:r w:rsidR="001B32B3">
        <w:t>26.4</w:t>
      </w:r>
      <w:r w:rsidR="00AB3525">
        <w:t xml:space="preserve">%) of models using listwise deletion were significant compared to </w:t>
      </w:r>
      <w:r w:rsidR="00C30552">
        <w:t>1</w:t>
      </w:r>
      <w:r w:rsidR="00C52282">
        <w:t>2/80</w:t>
      </w:r>
      <w:r w:rsidR="001B32B3">
        <w:t xml:space="preserve"> (1</w:t>
      </w:r>
      <w:r w:rsidR="00C52282">
        <w:t>5</w:t>
      </w:r>
      <w:r w:rsidR="00C30552">
        <w:t>.0</w:t>
      </w:r>
      <w:r w:rsidR="001B32B3">
        <w:t>%) of those using multiple imputation</w:t>
      </w:r>
      <w:r w:rsidR="002028EB">
        <w:t xml:space="preserve">. </w:t>
      </w:r>
    </w:p>
    <w:p w14:paraId="71E415F7" w14:textId="7CBC645D" w:rsidR="008C05A9" w:rsidRDefault="001462EF" w:rsidP="00471727">
      <w:pPr>
        <w:spacing w:line="480" w:lineRule="auto"/>
        <w:ind w:firstLine="720"/>
      </w:pPr>
      <w:r>
        <w:t>The</w:t>
      </w:r>
      <w:r w:rsidR="002028EB">
        <w:t xml:space="preserve"> pattern of results in the IPTW propensity score models </w:t>
      </w:r>
      <w:r w:rsidR="00A24715">
        <w:t xml:space="preserve">revealed that the likelihood of significance </w:t>
      </w:r>
      <w:r w:rsidR="00573029">
        <w:t>varied across TV cutpoints, as shown by Table 3</w:t>
      </w:r>
      <w:r w:rsidR="002D3877">
        <w:t>. The</w:t>
      </w:r>
      <w:r w:rsidR="00573029">
        <w:t xml:space="preserve"> highest </w:t>
      </w:r>
      <w:r w:rsidR="002D3877">
        <w:t xml:space="preserve">significance </w:t>
      </w:r>
      <w:r w:rsidR="00573029">
        <w:t xml:space="preserve">rates occurred </w:t>
      </w:r>
      <w:r w:rsidR="001E7D9A">
        <w:t>at 50</w:t>
      </w:r>
      <w:r w:rsidR="001E7D9A" w:rsidRPr="001E7D9A">
        <w:rPr>
          <w:vertAlign w:val="superscript"/>
        </w:rPr>
        <w:t>th</w:t>
      </w:r>
      <w:r w:rsidR="001E7D9A">
        <w:t xml:space="preserve"> and 60</w:t>
      </w:r>
      <w:r w:rsidR="001E7D9A" w:rsidRPr="001E7D9A">
        <w:rPr>
          <w:vertAlign w:val="superscript"/>
        </w:rPr>
        <w:t>th</w:t>
      </w:r>
      <w:r w:rsidR="001E7D9A">
        <w:t xml:space="preserve"> percentile cutpoint</w:t>
      </w:r>
      <w:r w:rsidR="00CF72A5">
        <w:t>s (2.86 and 3.43 hours of TV per day, respectively)</w:t>
      </w:r>
      <w:r w:rsidR="00AA747C">
        <w:t xml:space="preserve"> for the models </w:t>
      </w:r>
      <w:r w:rsidR="009A1F18">
        <w:t>in which TV was measured at age ~3</w:t>
      </w:r>
      <w:r w:rsidR="00CF72A5">
        <w:t>.</w:t>
      </w:r>
      <w:r w:rsidR="00E56054">
        <w:t xml:space="preserve"> </w:t>
      </w:r>
      <w:r w:rsidR="007E0E0E">
        <w:t xml:space="preserve">This is consistent with our hypothesis. </w:t>
      </w:r>
      <w:r w:rsidR="00E42132">
        <w:t>Figure 4 displays a magnified view of the nonlinear ‘wiggle’ and</w:t>
      </w:r>
      <w:r w:rsidR="00BC1716">
        <w:t xml:space="preserve"> indicates how the various TV percentile cutpoints for these models </w:t>
      </w:r>
      <w:r w:rsidR="0084434B">
        <w:t xml:space="preserve">aligned with </w:t>
      </w:r>
      <w:r w:rsidR="00BC1716">
        <w:t xml:space="preserve">this feature. </w:t>
      </w:r>
      <w:r w:rsidR="007D30DC">
        <w:t>The 50</w:t>
      </w:r>
      <w:r w:rsidR="007D30DC" w:rsidRPr="007D30DC">
        <w:rPr>
          <w:vertAlign w:val="superscript"/>
        </w:rPr>
        <w:t>th</w:t>
      </w:r>
      <w:r w:rsidR="007D30DC">
        <w:t xml:space="preserve"> and 60</w:t>
      </w:r>
      <w:r w:rsidR="007D30DC" w:rsidRPr="007D30DC">
        <w:rPr>
          <w:vertAlign w:val="superscript"/>
        </w:rPr>
        <w:t>th</w:t>
      </w:r>
      <w:r w:rsidR="007D30DC">
        <w:t xml:space="preserve"> percentile cutpoints</w:t>
      </w:r>
      <w:r w:rsidR="00085F88">
        <w:t>, which had the highest significance rate</w:t>
      </w:r>
      <w:r w:rsidR="00AD3B47">
        <w:t>s</w:t>
      </w:r>
      <w:r w:rsidR="00085F88">
        <w:t>, placed the</w:t>
      </w:r>
      <w:r w:rsidR="00AD3B47">
        <w:t xml:space="preserve"> dividing line between</w:t>
      </w:r>
      <w:r w:rsidR="00085F88">
        <w:t xml:space="preserve"> low</w:t>
      </w:r>
      <w:r w:rsidR="00AD3B47">
        <w:t xml:space="preserve"> and </w:t>
      </w:r>
      <w:r w:rsidR="00085F88">
        <w:t xml:space="preserve">high TV </w:t>
      </w:r>
      <w:r w:rsidR="00AD3B47">
        <w:t>groups</w:t>
      </w:r>
      <w:r w:rsidR="00085F88">
        <w:t xml:space="preserve"> almost precisely in the center of th</w:t>
      </w:r>
      <w:r>
        <w:t>is nonlinear feature of the data</w:t>
      </w:r>
      <w:r w:rsidR="00D81803">
        <w:t xml:space="preserve">, and resulted in the </w:t>
      </w:r>
      <w:r w:rsidR="004A3AC3">
        <w:t xml:space="preserve">largest precision-weighted difference in the means between these groups. </w:t>
      </w:r>
    </w:p>
    <w:p w14:paraId="0F154267" w14:textId="35979706" w:rsidR="00E57B23" w:rsidRDefault="00E57B23" w:rsidP="00E57B23">
      <w:pPr>
        <w:spacing w:line="480" w:lineRule="auto"/>
        <w:jc w:val="center"/>
      </w:pPr>
      <w:r>
        <w:t>--- Insert Figure 4 about here ---</w:t>
      </w:r>
    </w:p>
    <w:p w14:paraId="65E8DCC0" w14:textId="1330A5FA" w:rsidR="00230D41" w:rsidRDefault="004A3AC3" w:rsidP="00A85293">
      <w:pPr>
        <w:spacing w:line="480" w:lineRule="auto"/>
      </w:pPr>
      <w:r>
        <w:tab/>
        <w:t xml:space="preserve">The results of the logistic regression models in </w:t>
      </w:r>
      <w:r w:rsidR="00654DA3">
        <w:t>m</w:t>
      </w:r>
      <w:r>
        <w:t xml:space="preserve">ultiverse I </w:t>
      </w:r>
      <w:r w:rsidR="007E0E0E">
        <w:t xml:space="preserve">also support our hypothesis. </w:t>
      </w:r>
      <w:r w:rsidR="00BE0A74">
        <w:t>As show</w:t>
      </w:r>
      <w:r w:rsidR="00EE555B">
        <w:t>n</w:t>
      </w:r>
      <w:r w:rsidR="00BE0A74">
        <w:t xml:space="preserve"> in Figure </w:t>
      </w:r>
      <w:r w:rsidR="00063176">
        <w:t>2</w:t>
      </w:r>
      <w:r w:rsidR="00BE0A74">
        <w:t xml:space="preserve"> and Table 4, the significance of these models was strongly related to the attention cutpoint </w:t>
      </w:r>
      <w:r w:rsidR="00807152">
        <w:t>defin</w:t>
      </w:r>
      <w:r w:rsidR="00063176">
        <w:t>in</w:t>
      </w:r>
      <w:r w:rsidR="007E0E0E">
        <w:t>g</w:t>
      </w:r>
      <w:r w:rsidR="00807152">
        <w:t xml:space="preserve"> the ‘normal’ and ‘problematic’ attention groups. </w:t>
      </w:r>
      <w:r w:rsidR="005E15DA">
        <w:t xml:space="preserve">We believe that higher cutpoints in these models </w:t>
      </w:r>
      <w:r w:rsidR="006079DD">
        <w:t xml:space="preserve">magnify </w:t>
      </w:r>
      <w:r w:rsidR="00CA1AB0">
        <w:t>the n</w:t>
      </w:r>
      <w:r w:rsidR="00D940AC">
        <w:t>onlinear feature of the data</w:t>
      </w:r>
      <w:r w:rsidR="006F0FA5">
        <w:t xml:space="preserve"> to make it</w:t>
      </w:r>
      <w:r w:rsidR="00243D0C">
        <w:t xml:space="preserve"> more consistent with a TV-attention relationship</w:t>
      </w:r>
      <w:r w:rsidR="00D940AC">
        <w:t xml:space="preserve">. Figure 5 </w:t>
      </w:r>
      <w:r w:rsidR="009D2D02">
        <w:t xml:space="preserve">plots the proportion of cases in the ‘problematic’ attention category by </w:t>
      </w:r>
      <w:r w:rsidR="00621139">
        <w:t>TV use at age 3</w:t>
      </w:r>
      <w:r w:rsidR="003D5D62">
        <w:t xml:space="preserve"> (</w:t>
      </w:r>
      <w:r w:rsidR="00621139">
        <w:t xml:space="preserve">which has been categorized into bins to permit </w:t>
      </w:r>
      <w:r w:rsidR="000B069F">
        <w:t>rate calculations</w:t>
      </w:r>
      <w:r w:rsidR="003D5D62">
        <w:t xml:space="preserve">) </w:t>
      </w:r>
      <w:r w:rsidR="000B069F">
        <w:t>for twelve different attention cutpoints.</w:t>
      </w:r>
      <w:r w:rsidR="00DF1A05">
        <w:t xml:space="preserve"> The nonlinearity can be easily observed in the pattern of dots</w:t>
      </w:r>
      <w:r w:rsidR="003D5D62">
        <w:t xml:space="preserve"> in the </w:t>
      </w:r>
      <w:r w:rsidR="002A1F31">
        <w:t>upper left panel</w:t>
      </w:r>
      <w:r w:rsidR="00A85293">
        <w:t>.</w:t>
      </w:r>
      <w:r w:rsidR="000B069F">
        <w:t xml:space="preserve"> </w:t>
      </w:r>
      <w:r w:rsidR="002A1F31">
        <w:t>E</w:t>
      </w:r>
      <w:r w:rsidR="00B15E87">
        <w:t xml:space="preserve">ach panel of the figure displays a fitted linear regression line and shaded confidence interval, which roughly represents the </w:t>
      </w:r>
      <w:r w:rsidR="000A6580">
        <w:t xml:space="preserve">performance </w:t>
      </w:r>
      <w:r w:rsidR="000A6580">
        <w:lastRenderedPageBreak/>
        <w:t>of a logistic regression model</w:t>
      </w:r>
      <w:r w:rsidR="002A1F31">
        <w:t xml:space="preserve"> using that cutpoint</w:t>
      </w:r>
      <w:r w:rsidR="000A6580">
        <w:t xml:space="preserve">. The </w:t>
      </w:r>
      <w:r w:rsidR="000A6580">
        <w:rPr>
          <w:i/>
          <w:iCs/>
        </w:rPr>
        <w:t>p</w:t>
      </w:r>
      <w:r w:rsidR="000A6580">
        <w:t xml:space="preserve">-value for the slope coefficient of those regression lines is displayed in each panel. </w:t>
      </w:r>
      <w:r w:rsidR="00A85293">
        <w:t>At low cutoffs</w:t>
      </w:r>
      <w:r w:rsidR="00F63490">
        <w:t xml:space="preserve"> for defining problematic attention</w:t>
      </w:r>
      <w:r w:rsidR="00A85293">
        <w:t xml:space="preserve">, the </w:t>
      </w:r>
      <w:r w:rsidR="00ED2F30">
        <w:t>nonlinear configuration of points reduces the slope of the fitted line and, more importantly, adds uncertainty regarding the slope</w:t>
      </w:r>
      <w:r w:rsidR="00F63490">
        <w:t xml:space="preserve">, increasing </w:t>
      </w:r>
      <w:r w:rsidR="00ED2F30">
        <w:t xml:space="preserve">the </w:t>
      </w:r>
      <w:r w:rsidR="00F63490">
        <w:rPr>
          <w:i/>
          <w:iCs/>
        </w:rPr>
        <w:t>p</w:t>
      </w:r>
      <w:r w:rsidR="00F63490">
        <w:t xml:space="preserve">-value for the test. </w:t>
      </w:r>
      <w:r w:rsidR="00082B68">
        <w:t xml:space="preserve">As the cutoff defining problematic attention increases, the base rate of attention ‘problems’ is reduced, and the points migrate downward. This </w:t>
      </w:r>
      <w:r w:rsidR="00B81FD9">
        <w:t>alters</w:t>
      </w:r>
      <w:r w:rsidR="0001526F">
        <w:t xml:space="preserve"> the pattern</w:t>
      </w:r>
      <w:r w:rsidR="00CE54EF">
        <w:t xml:space="preserve"> of points</w:t>
      </w:r>
      <w:r w:rsidR="00B81FD9">
        <w:t xml:space="preserve">, making them more consistent with a linear trend. </w:t>
      </w:r>
      <w:r w:rsidR="00CC57E9">
        <w:t xml:space="preserve">As the cutpoint surpasses 120, the </w:t>
      </w:r>
      <w:r w:rsidR="00CC57E9">
        <w:rPr>
          <w:i/>
          <w:iCs/>
        </w:rPr>
        <w:t>p</w:t>
      </w:r>
      <w:r w:rsidR="00CC57E9">
        <w:t>-value for</w:t>
      </w:r>
      <w:r w:rsidR="00CF71D7">
        <w:t xml:space="preserve"> the slope becomes significant and remains so through the highest cutpoint examined. This pattern is </w:t>
      </w:r>
      <w:r w:rsidR="003B5513">
        <w:t>consistent with the results of the logistic models.</w:t>
      </w:r>
    </w:p>
    <w:p w14:paraId="18011162" w14:textId="5C46D609" w:rsidR="0087388F" w:rsidRDefault="0087388F" w:rsidP="0087388F">
      <w:pPr>
        <w:spacing w:line="480" w:lineRule="auto"/>
        <w:jc w:val="center"/>
      </w:pPr>
      <w:r>
        <w:t>--- Insert Figure 5 about here ---</w:t>
      </w:r>
    </w:p>
    <w:p w14:paraId="2CC16100" w14:textId="29452FD4" w:rsidR="002812CB" w:rsidRPr="00B70D35" w:rsidRDefault="006F0FA5" w:rsidP="00EB3B13">
      <w:pPr>
        <w:spacing w:line="480" w:lineRule="auto"/>
      </w:pPr>
      <w:r>
        <w:tab/>
      </w:r>
      <w:r w:rsidR="00710F9F" w:rsidRPr="00210D58">
        <w:rPr>
          <w:b/>
          <w:bCs/>
        </w:rPr>
        <w:t>Even the</w:t>
      </w:r>
      <w:r w:rsidR="001E0A94" w:rsidRPr="00210D58">
        <w:rPr>
          <w:b/>
          <w:bCs/>
        </w:rPr>
        <w:t xml:space="preserve"> Worst Case is Not So Bad</w:t>
      </w:r>
      <w:r w:rsidR="00210D58">
        <w:t>.</w:t>
      </w:r>
      <w:r w:rsidR="00710F9F">
        <w:t xml:space="preserve"> </w:t>
      </w:r>
      <w:r w:rsidR="00AE425D">
        <w:t>Our strong suspicion is that the nonlinear</w:t>
      </w:r>
      <w:r w:rsidR="000C6B89">
        <w:t xml:space="preserve"> feature </w:t>
      </w:r>
      <w:r w:rsidR="00AE425D">
        <w:t>in</w:t>
      </w:r>
      <w:r w:rsidR="000C6B89">
        <w:t xml:space="preserve"> the scatterplot that we have identified as the culprit for some of the significant models </w:t>
      </w:r>
      <w:r w:rsidR="001F3600">
        <w:t xml:space="preserve">is likely a chance feature of the data that would be unlikely to replicate in future samples. </w:t>
      </w:r>
      <w:r w:rsidR="0055560A">
        <w:t>Furthermore, e</w:t>
      </w:r>
      <w:r w:rsidR="00E937E8">
        <w:t>ven if we were to cherry-pick</w:t>
      </w:r>
      <w:r w:rsidR="00567DB4">
        <w:t xml:space="preserve"> the </w:t>
      </w:r>
      <w:r w:rsidR="00F5686B">
        <w:t xml:space="preserve">most alarming </w:t>
      </w:r>
      <w:r w:rsidR="00567DB4">
        <w:t>significant</w:t>
      </w:r>
      <w:r w:rsidR="00E937E8">
        <w:t xml:space="preserve"> findings, the story </w:t>
      </w:r>
      <w:r w:rsidR="00E31D45">
        <w:t xml:space="preserve">would </w:t>
      </w:r>
      <w:r w:rsidR="00E937E8">
        <w:t xml:space="preserve">hardly </w:t>
      </w:r>
      <w:r w:rsidR="00E31D45">
        <w:t xml:space="preserve">be </w:t>
      </w:r>
      <w:r w:rsidR="00E937E8">
        <w:t xml:space="preserve">one </w:t>
      </w:r>
      <w:r w:rsidR="004E7E5B">
        <w:t>worthy of</w:t>
      </w:r>
      <w:r w:rsidR="00E937E8">
        <w:t xml:space="preserve"> concern. </w:t>
      </w:r>
      <w:r w:rsidR="004E475E">
        <w:t xml:space="preserve">While the </w:t>
      </w:r>
      <w:r w:rsidR="00B54AED">
        <w:t xml:space="preserve">median significant </w:t>
      </w:r>
      <w:r w:rsidR="004E475E">
        <w:t>odd</w:t>
      </w:r>
      <w:r w:rsidR="006D6187">
        <w:t>s</w:t>
      </w:r>
      <w:r w:rsidR="00B54AED">
        <w:t xml:space="preserve"> </w:t>
      </w:r>
      <w:r w:rsidR="004E475E">
        <w:t xml:space="preserve">ratio from the logistic models </w:t>
      </w:r>
      <w:r w:rsidR="003D46CF">
        <w:t>(OR = 1.</w:t>
      </w:r>
      <w:r w:rsidR="008F1999">
        <w:t>1</w:t>
      </w:r>
      <w:r w:rsidR="00C30552">
        <w:t>0</w:t>
      </w:r>
      <w:r w:rsidR="003D46CF">
        <w:t xml:space="preserve">) would </w:t>
      </w:r>
      <w:r w:rsidR="001F0070">
        <w:t xml:space="preserve">indeed </w:t>
      </w:r>
      <w:r w:rsidR="000C4CCB">
        <w:t xml:space="preserve">be </w:t>
      </w:r>
      <w:r w:rsidR="006D6187">
        <w:t>worrisome</w:t>
      </w:r>
      <w:r w:rsidR="008F1999">
        <w:t>, th</w:t>
      </w:r>
      <w:r w:rsidR="0077599F">
        <w:t xml:space="preserve">e magnitude of this estimate is inconsistent with </w:t>
      </w:r>
      <w:r w:rsidR="00B107AC">
        <w:t>the</w:t>
      </w:r>
      <w:r w:rsidR="0077599F">
        <w:t xml:space="preserve"> estimates from all the models that treated </w:t>
      </w:r>
      <w:r w:rsidR="007B16D3">
        <w:t xml:space="preserve">the outcome as continuous. </w:t>
      </w:r>
      <w:r w:rsidR="008F1999">
        <w:t>T</w:t>
      </w:r>
      <w:r w:rsidR="00C75BA0">
        <w:t xml:space="preserve">he </w:t>
      </w:r>
      <w:r w:rsidR="00C75BA0" w:rsidRPr="007B16D3">
        <w:rPr>
          <w:i/>
          <w:iCs/>
        </w:rPr>
        <w:t>largest</w:t>
      </w:r>
      <w:r w:rsidR="00C75BA0">
        <w:t xml:space="preserve"> effect size in the IPTW propensity score model</w:t>
      </w:r>
      <w:r w:rsidR="001A4265">
        <w:t>s</w:t>
      </w:r>
      <w:r w:rsidR="00C75BA0">
        <w:t xml:space="preserve"> was </w:t>
      </w:r>
      <w:r w:rsidR="00C75BA0">
        <w:rPr>
          <w:i/>
          <w:iCs/>
        </w:rPr>
        <w:t>d</w:t>
      </w:r>
      <w:r w:rsidR="00C75BA0">
        <w:t xml:space="preserve"> = 0.2</w:t>
      </w:r>
      <w:r w:rsidR="00933F6B">
        <w:t>8</w:t>
      </w:r>
      <w:r w:rsidR="001A4265">
        <w:t xml:space="preserve"> from a model using 20</w:t>
      </w:r>
      <w:r w:rsidR="001A4265" w:rsidRPr="001A4265">
        <w:rPr>
          <w:vertAlign w:val="superscript"/>
        </w:rPr>
        <w:t>th</w:t>
      </w:r>
      <w:r w:rsidR="001A4265">
        <w:t xml:space="preserve"> and 80</w:t>
      </w:r>
      <w:r w:rsidR="001A4265" w:rsidRPr="001A4265">
        <w:rPr>
          <w:vertAlign w:val="superscript"/>
        </w:rPr>
        <w:t>th</w:t>
      </w:r>
      <w:r w:rsidR="001A4265">
        <w:t xml:space="preserve"> percentile TV cutpoints</w:t>
      </w:r>
      <w:r w:rsidR="00187E16">
        <w:t xml:space="preserve">, </w:t>
      </w:r>
      <w:r w:rsidR="00FC0041">
        <w:t>a median difference between groups of</w:t>
      </w:r>
      <w:r w:rsidR="00187E16">
        <w:t xml:space="preserve"> </w:t>
      </w:r>
      <w:r w:rsidR="00FC0041">
        <w:t>6.3 hours</w:t>
      </w:r>
      <w:r w:rsidR="0055119F">
        <w:t xml:space="preserve"> of TV</w:t>
      </w:r>
      <w:r w:rsidR="00FC0041">
        <w:t xml:space="preserve"> per day</w:t>
      </w:r>
      <w:r w:rsidR="00361C56">
        <w:t xml:space="preserve">. </w:t>
      </w:r>
      <w:r w:rsidR="00980129">
        <w:t>An effect size this small would be difficult to notice</w:t>
      </w:r>
      <w:r w:rsidR="00EA0A26">
        <w:t xml:space="preserve">, as two distributions differing by this amount exhibit a </w:t>
      </w:r>
      <w:r w:rsidR="00933F6B">
        <w:t>88.9</w:t>
      </w:r>
      <w:r w:rsidR="00EA0A26">
        <w:t>% overlap</w:t>
      </w:r>
      <w:r w:rsidR="00CD43DC">
        <w:rPr>
          <w:rStyle w:val="FootnoteReference"/>
        </w:rPr>
        <w:footnoteReference w:id="9"/>
      </w:r>
      <w:r w:rsidR="00EA0A26">
        <w:t>.</w:t>
      </w:r>
      <w:r w:rsidR="0011529B">
        <w:t xml:space="preserve"> </w:t>
      </w:r>
      <w:r w:rsidR="006A0550">
        <w:t>In real terms, this sugge</w:t>
      </w:r>
      <w:r w:rsidR="00361C56">
        <w:t>s</w:t>
      </w:r>
      <w:r w:rsidR="006A0550">
        <w:t>ts</w:t>
      </w:r>
      <w:r w:rsidR="00361C56">
        <w:t xml:space="preserve"> that</w:t>
      </w:r>
      <w:r w:rsidR="006A0550">
        <w:t xml:space="preserve"> watching </w:t>
      </w:r>
      <w:r w:rsidR="00361C56">
        <w:t>over six</w:t>
      </w:r>
      <w:r w:rsidR="006A0550">
        <w:t xml:space="preserve"> hours of TV a day</w:t>
      </w:r>
      <w:r w:rsidR="0055119F">
        <w:t xml:space="preserve"> in early childhood</w:t>
      </w:r>
      <w:r w:rsidR="006A0550">
        <w:t xml:space="preserve"> </w:t>
      </w:r>
      <w:r w:rsidR="00A56894">
        <w:t>would not be enough to</w:t>
      </w:r>
      <w:r w:rsidR="00916BA8">
        <w:t xml:space="preserve"> </w:t>
      </w:r>
      <w:r w:rsidR="006A0550">
        <w:t xml:space="preserve">move a child from a “never” to a “sometimes” on even one of the five </w:t>
      </w:r>
      <w:r w:rsidR="006A0550">
        <w:lastRenderedPageBreak/>
        <w:t>items on the hyperactivity subscale</w:t>
      </w:r>
      <w:r w:rsidR="00563F87">
        <w:t>.</w:t>
      </w:r>
      <w:r w:rsidR="00236871">
        <w:t xml:space="preserve"> This estimate is </w:t>
      </w:r>
      <w:r w:rsidR="00933F6B">
        <w:t xml:space="preserve">roughly </w:t>
      </w:r>
      <w:r w:rsidR="00236871">
        <w:t xml:space="preserve">consistent with the largest effect size from the linear regression models, </w:t>
      </w:r>
      <w:r w:rsidR="00F75AA6">
        <w:t>which indicated that</w:t>
      </w:r>
      <w:r w:rsidR="006643B9">
        <w:t xml:space="preserve"> each hour of additional TV watching would be associated with</w:t>
      </w:r>
      <w:r w:rsidR="007251F3">
        <w:t xml:space="preserve"> a</w:t>
      </w:r>
      <w:r w:rsidR="006643B9">
        <w:t xml:space="preserve"> </w:t>
      </w:r>
      <w:r w:rsidR="007251F3">
        <w:t>0.03</w:t>
      </w:r>
      <w:r w:rsidR="00C30552">
        <w:t>4</w:t>
      </w:r>
      <w:r w:rsidR="007251F3">
        <w:t xml:space="preserve"> standard deviation increase in the attention outcome. </w:t>
      </w:r>
      <w:r w:rsidR="00805E47">
        <w:t xml:space="preserve">By this estimate, it would take </w:t>
      </w:r>
      <w:r w:rsidR="00B70D35">
        <w:t xml:space="preserve">an increase of </w:t>
      </w:r>
      <w:r w:rsidR="00C30552">
        <w:t>5.9</w:t>
      </w:r>
      <w:r w:rsidR="00805E47">
        <w:t xml:space="preserve"> hours per day of TV watching</w:t>
      </w:r>
      <w:r w:rsidR="00AD6B19">
        <w:t xml:space="preserve"> to achieve a “small” </w:t>
      </w:r>
      <w:r w:rsidR="00AD6B19">
        <w:rPr>
          <w:i/>
          <w:iCs/>
        </w:rPr>
        <w:t>d</w:t>
      </w:r>
      <w:r w:rsidR="00B70D35">
        <w:t xml:space="preserve"> = 0.2 effect on attention. Again, these are the</w:t>
      </w:r>
      <w:r w:rsidR="00B70D35">
        <w:rPr>
          <w:i/>
          <w:iCs/>
        </w:rPr>
        <w:t xml:space="preserve"> largest</w:t>
      </w:r>
      <w:r w:rsidR="00B70D35">
        <w:t xml:space="preserve"> estimates from these model</w:t>
      </w:r>
      <w:r w:rsidR="00295F4D">
        <w:t xml:space="preserve"> families</w:t>
      </w:r>
      <w:r w:rsidR="00AB1A60">
        <w:t>.</w:t>
      </w:r>
    </w:p>
    <w:p w14:paraId="4B96031A" w14:textId="77777777" w:rsidR="00636A89" w:rsidRDefault="00E937E8" w:rsidP="00824A82">
      <w:pPr>
        <w:spacing w:line="480" w:lineRule="auto"/>
        <w:ind w:firstLine="720"/>
      </w:pPr>
      <w:r>
        <w:t>Our hunch at the outset of this project was that any relationship between early TV-watching and later attention problems might be the result of the third variable of temperament.</w:t>
      </w:r>
      <w:r w:rsidR="00611237">
        <w:t xml:space="preserve"> The i</w:t>
      </w:r>
      <w:r w:rsidR="008A4BC9">
        <w:t>nclusion of temperament and the other additional covariates had almost no impact on the results</w:t>
      </w:r>
      <w:r w:rsidR="00824A82">
        <w:t xml:space="preserve">. Whereas 80/424 (18.9%) of the models using the original covariate set were statistically significant, compared with 86/424 (20.3%) of models using the expanded covariate set. </w:t>
      </w:r>
      <w:r>
        <w:t xml:space="preserve">In fact, there was </w:t>
      </w:r>
      <w:r w:rsidRPr="00B23EE9">
        <w:t xml:space="preserve">little </w:t>
      </w:r>
      <w:r w:rsidR="00AE2576" w:rsidRPr="00B23EE9">
        <w:t>indication</w:t>
      </w:r>
      <w:r w:rsidRPr="00B23EE9">
        <w:t xml:space="preserve"> of a relation between TV and attention to be explained</w:t>
      </w:r>
      <w:r w:rsidR="00E43531">
        <w:t xml:space="preserve"> at all.</w:t>
      </w:r>
      <w:r>
        <w:t xml:space="preserve"> </w:t>
      </w:r>
    </w:p>
    <w:p w14:paraId="40B17217" w14:textId="5E32528E" w:rsidR="00E937E8" w:rsidRPr="008B695F" w:rsidRDefault="00E937E8" w:rsidP="00824A82">
      <w:pPr>
        <w:spacing w:line="480" w:lineRule="auto"/>
        <w:ind w:firstLine="720"/>
      </w:pPr>
      <w:r>
        <w:t xml:space="preserve">One might argue that the current analysis is unnecessary because the field has already moved beyond the broad-brush claims from the original paper. Recent research about screen media use in children has gotten much more precise – investigating the specific effects of violent content, fantastical content, pace of scene-change, and the viewer’s voluntary control of the action, among other factors (Huber et al., 2018). Notably, however, much of this research was founded on the desire to locate a </w:t>
      </w:r>
      <w:r>
        <w:rPr>
          <w:i/>
        </w:rPr>
        <w:t>mechanism</w:t>
      </w:r>
      <w:r>
        <w:t xml:space="preserve"> for the purported negative effect of TV – an effect that our multiverse analysis </w:t>
      </w:r>
      <w:r w:rsidR="0080511E">
        <w:t>calls into question.</w:t>
      </w:r>
      <w:r>
        <w:t xml:space="preserve"> Further, although the field may have moved onto such nuanced questions, </w:t>
      </w:r>
      <w:r w:rsidR="00904FE9">
        <w:t>clearly</w:t>
      </w:r>
      <w:r>
        <w:t xml:space="preserve"> the public consciousness has not, with parents often continuing to echo the message that TV causes attention problems. We think the results of our analysis – that TV likely does </w:t>
      </w:r>
      <w:r>
        <w:rPr>
          <w:i/>
        </w:rPr>
        <w:t>not</w:t>
      </w:r>
      <w:r>
        <w:t xml:space="preserve"> cause attention problems – bear repeating.</w:t>
      </w:r>
    </w:p>
    <w:p w14:paraId="353A740B" w14:textId="10A374FC" w:rsidR="00E937E8" w:rsidRPr="0023667E" w:rsidRDefault="00E937E8" w:rsidP="00E937E8">
      <w:pPr>
        <w:spacing w:line="480" w:lineRule="auto"/>
        <w:ind w:firstLine="720"/>
      </w:pPr>
      <w:r>
        <w:t xml:space="preserve">We also hope the current paper adds to the discussion regarding the replicability crisis in inferential science. One method for </w:t>
      </w:r>
      <w:r w:rsidR="00D910F8">
        <w:t xml:space="preserve">increasing the reliability of research </w:t>
      </w:r>
      <w:r w:rsidR="006F445E">
        <w:t>findings is the</w:t>
      </w:r>
      <w:r>
        <w:t xml:space="preserve"> </w:t>
      </w:r>
      <w:r>
        <w:lastRenderedPageBreak/>
        <w:t xml:space="preserve">preregistration of the study design and analysis plan. Preregistration </w:t>
      </w:r>
      <w:r w:rsidR="00A36B9C">
        <w:t>constrains</w:t>
      </w:r>
      <w:r>
        <w:t xml:space="preserve"> researchers’ abilit</w:t>
      </w:r>
      <w:r w:rsidR="002D5996">
        <w:t>y</w:t>
      </w:r>
      <w:r>
        <w:t xml:space="preserve"> to iterate over decision sets until “discovering” affirmative claims. However, preregistration does not fully address the deeper issue of model dependence, because a single analysis plan could still produce a </w:t>
      </w:r>
      <w:r w:rsidR="00935BB4">
        <w:t xml:space="preserve">non-representative </w:t>
      </w:r>
      <w:r>
        <w:t xml:space="preserve">result due to chance. The alternative is to make transparent the consequences of the multiple decision sets employed in an investigation. If preregistering a single analysis is “good,” showing the results of many possible analyses is “better” (with pre-registration of a </w:t>
      </w:r>
      <w:r w:rsidRPr="003023FE">
        <w:rPr>
          <w:i/>
        </w:rPr>
        <w:t>set</w:t>
      </w:r>
      <w:r>
        <w:t xml:space="preserve"> of analyses arguably being “best”). </w:t>
      </w:r>
    </w:p>
    <w:p w14:paraId="23C6B32A" w14:textId="4D63C145" w:rsidR="00342631" w:rsidRDefault="00E937E8" w:rsidP="0095096F">
      <w:pPr>
        <w:spacing w:line="480" w:lineRule="auto"/>
        <w:ind w:firstLine="720"/>
      </w:pPr>
      <w:r>
        <w:t>In summary, the multiverse analys</w:t>
      </w:r>
      <w:r w:rsidR="00DB0DA1">
        <w:t>e</w:t>
      </w:r>
      <w:r>
        <w:t xml:space="preserve">s presented in this paper used a large, nationally representative dataset to ask the same question in </w:t>
      </w:r>
      <w:r w:rsidR="00C94E1E">
        <w:t>848</w:t>
      </w:r>
      <w:r>
        <w:t xml:space="preserve"> different ways: </w:t>
      </w:r>
      <w:r w:rsidR="00635747">
        <w:t xml:space="preserve">Does </w:t>
      </w:r>
      <w:r>
        <w:t xml:space="preserve">TV watching in </w:t>
      </w:r>
      <w:r w:rsidR="00EF05E5">
        <w:t>toddlerhood</w:t>
      </w:r>
      <w:r>
        <w:t xml:space="preserve"> cause attention problems in later childhood? </w:t>
      </w:r>
      <w:r w:rsidR="00635747">
        <w:t xml:space="preserve">According to </w:t>
      </w:r>
      <w:r w:rsidR="00767DC6">
        <w:t xml:space="preserve">the </w:t>
      </w:r>
      <w:r w:rsidR="00635747">
        <w:t>data</w:t>
      </w:r>
      <w:r w:rsidR="00767DC6">
        <w:t xml:space="preserve"> presented here</w:t>
      </w:r>
      <w:r w:rsidR="00635747">
        <w:t>, the</w:t>
      </w:r>
      <w:r w:rsidR="00916BA8">
        <w:t>re is no reason to think so</w:t>
      </w:r>
      <w:r w:rsidR="00635747">
        <w:t>.</w:t>
      </w:r>
      <w:r w:rsidR="00916BA8">
        <w:t xml:space="preserve"> </w:t>
      </w:r>
      <w:r w:rsidR="00EF05E5">
        <w:t>We found that t</w:t>
      </w:r>
      <w:r w:rsidR="00635747">
        <w:t>he</w:t>
      </w:r>
      <w:r w:rsidR="002F2BD6">
        <w:t xml:space="preserve"> TV-attention link claimed by Christakis et al. (2004) </w:t>
      </w:r>
      <w:r w:rsidR="00285BE5">
        <w:t xml:space="preserve">was not </w:t>
      </w:r>
      <w:r w:rsidR="002F2BD6">
        <w:t>robust to model specification. The significance exhibited by a minority (</w:t>
      </w:r>
      <w:r w:rsidR="00C94E1E">
        <w:t>166</w:t>
      </w:r>
      <w:r w:rsidR="002F2BD6">
        <w:t>, 19.</w:t>
      </w:r>
      <w:r w:rsidR="000C2CED">
        <w:t>6</w:t>
      </w:r>
      <w:r w:rsidR="002F2BD6">
        <w:t xml:space="preserve">%) of the models appears to be related to overfitting a small feature of the data, and one that we </w:t>
      </w:r>
      <w:r w:rsidR="008C6A1A">
        <w:t xml:space="preserve">would </w:t>
      </w:r>
      <w:r w:rsidR="0003215E">
        <w:t>not expect to replicate in other samples</w:t>
      </w:r>
      <w:r w:rsidR="002F2BD6">
        <w:t xml:space="preserve">. </w:t>
      </w:r>
      <w:r w:rsidR="00767DC6">
        <w:t>Overall,</w:t>
      </w:r>
      <w:r w:rsidR="00285BE5">
        <w:t xml:space="preserve"> these data provide no reason to </w:t>
      </w:r>
      <w:r w:rsidR="00B91E1D">
        <w:t>believe</w:t>
      </w:r>
      <w:r w:rsidR="00285BE5">
        <w:t xml:space="preserve"> that early TV harms later attention.</w:t>
      </w:r>
      <w:r w:rsidR="00342631">
        <w:t xml:space="preserve"> </w:t>
      </w:r>
      <w:r w:rsidR="00767DC6">
        <w:t>Perhaps screen media is</w:t>
      </w:r>
      <w:r w:rsidR="00342631">
        <w:t xml:space="preserve"> just one more part of life that has the power to entertain, teach, confuse, distract, or inspire. </w:t>
      </w:r>
    </w:p>
    <w:p w14:paraId="070D496E" w14:textId="77777777" w:rsidR="00342631" w:rsidRDefault="00342631">
      <w:pPr>
        <w:spacing w:line="480" w:lineRule="auto"/>
        <w:ind w:firstLine="720"/>
      </w:pPr>
    </w:p>
    <w:p w14:paraId="4F75A9B5" w14:textId="504CF885" w:rsidR="0007027D" w:rsidRDefault="0007027D" w:rsidP="00916BA8">
      <w:pPr>
        <w:rPr>
          <w:b/>
        </w:rPr>
      </w:pPr>
      <w:r>
        <w:rPr>
          <w:b/>
        </w:rPr>
        <w:br w:type="page"/>
      </w:r>
    </w:p>
    <w:p w14:paraId="0D759DBC" w14:textId="53C1DE30" w:rsidR="00EF2F1A" w:rsidRPr="0003674E" w:rsidRDefault="00EF2F1A">
      <w:pPr>
        <w:spacing w:line="480" w:lineRule="auto"/>
        <w:jc w:val="center"/>
        <w:rPr>
          <w:b/>
        </w:rPr>
      </w:pPr>
      <w:r w:rsidRPr="0003674E">
        <w:rPr>
          <w:b/>
        </w:rPr>
        <w:lastRenderedPageBreak/>
        <w:t>References</w:t>
      </w:r>
    </w:p>
    <w:p w14:paraId="710E442C" w14:textId="35873E27" w:rsidR="00EF2F1A" w:rsidRPr="001E446A" w:rsidRDefault="00EF2F1A" w:rsidP="00EF2F1A">
      <w:pPr>
        <w:spacing w:line="480" w:lineRule="auto"/>
        <w:ind w:left="720" w:hanging="720"/>
        <w:contextualSpacing/>
      </w:pPr>
      <w:r w:rsidRPr="001E446A">
        <w:t>Auerbach, J. G., Berger, A., Atzaba</w:t>
      </w:r>
      <w:r w:rsidRPr="001E446A">
        <w:rPr>
          <w:rFonts w:ascii="Cambria Math" w:hAnsi="Cambria Math" w:cs="Cambria Math"/>
        </w:rPr>
        <w:t>‐</w:t>
      </w:r>
      <w:r w:rsidRPr="001E446A">
        <w:t>Poria, N., Arbelle, S., Cypin, N., Friedman, A., &amp; Landau, R. (2008). Temperament at 7, 12, and 25 months in children at familial risk for ADHD. </w:t>
      </w:r>
      <w:r w:rsidRPr="001E446A">
        <w:rPr>
          <w:i/>
          <w:iCs/>
        </w:rPr>
        <w:t xml:space="preserve">Infant and Child </w:t>
      </w:r>
      <w:r w:rsidR="006D34DA">
        <w:rPr>
          <w:i/>
          <w:iCs/>
        </w:rPr>
        <w:t>D</w:t>
      </w:r>
      <w:r w:rsidRPr="001E446A">
        <w:rPr>
          <w:i/>
          <w:iCs/>
        </w:rPr>
        <w:t>evelopment</w:t>
      </w:r>
      <w:r w:rsidRPr="001E446A">
        <w:t>, </w:t>
      </w:r>
      <w:r w:rsidRPr="001E446A">
        <w:rPr>
          <w:i/>
          <w:iCs/>
        </w:rPr>
        <w:t>17</w:t>
      </w:r>
      <w:r w:rsidRPr="001E446A">
        <w:t>(4), 321-338.</w:t>
      </w:r>
      <w:r>
        <w:t xml:space="preserve"> </w:t>
      </w:r>
      <w:r w:rsidR="00504E39">
        <w:t>http</w:t>
      </w:r>
      <w:r w:rsidR="00DE5EC2">
        <w:t>s://</w:t>
      </w:r>
      <w:r w:rsidR="00504E39">
        <w:t>doi.org/</w:t>
      </w:r>
      <w:r w:rsidRPr="007B7BAF">
        <w:t>10.1002/icd.579</w:t>
      </w:r>
    </w:p>
    <w:p w14:paraId="65CDC141" w14:textId="77777777" w:rsidR="00577768" w:rsidRDefault="00577768" w:rsidP="00EA71D9">
      <w:pPr>
        <w:spacing w:line="480" w:lineRule="auto"/>
        <w:ind w:left="720" w:hanging="720"/>
        <w:rPr>
          <w:color w:val="222222"/>
          <w:shd w:val="clear" w:color="auto" w:fill="FFFFFF"/>
        </w:rPr>
      </w:pPr>
      <w:r w:rsidRPr="00D2098F">
        <w:rPr>
          <w:color w:val="222222"/>
          <w:shd w:val="clear" w:color="auto" w:fill="FFFFFF"/>
        </w:rPr>
        <w:t xml:space="preserve">Austin, P. C. (2011). An introduction to propensity score methods for reducing the effects of </w:t>
      </w:r>
    </w:p>
    <w:p w14:paraId="6797C3D9" w14:textId="60BF0037" w:rsidR="00577768" w:rsidRPr="00577768" w:rsidRDefault="00577768" w:rsidP="00EA71D9">
      <w:pPr>
        <w:spacing w:line="480" w:lineRule="auto"/>
        <w:ind w:left="720" w:hanging="720"/>
      </w:pPr>
      <w:r>
        <w:rPr>
          <w:color w:val="222222"/>
          <w:shd w:val="clear" w:color="auto" w:fill="FFFFFF"/>
        </w:rPr>
        <w:tab/>
      </w:r>
      <w:r w:rsidRPr="00D2098F">
        <w:rPr>
          <w:color w:val="222222"/>
          <w:shd w:val="clear" w:color="auto" w:fill="FFFFFF"/>
        </w:rPr>
        <w:t>confounding in observational studies. </w:t>
      </w:r>
      <w:r w:rsidRPr="00577768">
        <w:rPr>
          <w:i/>
          <w:iCs/>
          <w:color w:val="222222"/>
          <w:shd w:val="clear" w:color="auto" w:fill="FFFFFF"/>
        </w:rPr>
        <w:t xml:space="preserve">Multivariate </w:t>
      </w:r>
      <w:r>
        <w:rPr>
          <w:i/>
          <w:iCs/>
          <w:color w:val="222222"/>
          <w:shd w:val="clear" w:color="auto" w:fill="FFFFFF"/>
        </w:rPr>
        <w:t>B</w:t>
      </w:r>
      <w:r w:rsidRPr="00577768">
        <w:rPr>
          <w:i/>
          <w:iCs/>
          <w:color w:val="222222"/>
          <w:shd w:val="clear" w:color="auto" w:fill="FFFFFF"/>
        </w:rPr>
        <w:t xml:space="preserve">ehavioral </w:t>
      </w:r>
      <w:r>
        <w:rPr>
          <w:i/>
          <w:iCs/>
          <w:color w:val="222222"/>
          <w:shd w:val="clear" w:color="auto" w:fill="FFFFFF"/>
        </w:rPr>
        <w:t>R</w:t>
      </w:r>
      <w:r w:rsidRPr="00D2098F">
        <w:rPr>
          <w:i/>
          <w:iCs/>
          <w:color w:val="222222"/>
          <w:shd w:val="clear" w:color="auto" w:fill="FFFFFF"/>
        </w:rPr>
        <w:t>esearch</w:t>
      </w:r>
      <w:r w:rsidRPr="00D2098F">
        <w:rPr>
          <w:color w:val="222222"/>
          <w:shd w:val="clear" w:color="auto" w:fill="FFFFFF"/>
        </w:rPr>
        <w:t>, </w:t>
      </w:r>
      <w:r w:rsidRPr="00D2098F">
        <w:rPr>
          <w:i/>
          <w:iCs/>
          <w:color w:val="222222"/>
          <w:shd w:val="clear" w:color="auto" w:fill="FFFFFF"/>
        </w:rPr>
        <w:t>46</w:t>
      </w:r>
      <w:r w:rsidRPr="00D2098F">
        <w:rPr>
          <w:color w:val="222222"/>
          <w:shd w:val="clear" w:color="auto" w:fill="FFFFFF"/>
        </w:rPr>
        <w:t>, 399-424.</w:t>
      </w:r>
      <w:r w:rsidR="00EA71D9">
        <w:rPr>
          <w:color w:val="222222"/>
          <w:shd w:val="clear" w:color="auto" w:fill="FFFFFF"/>
        </w:rPr>
        <w:t xml:space="preserve"> </w:t>
      </w:r>
      <w:r w:rsidR="00DD6A85">
        <w:rPr>
          <w:color w:val="222222"/>
          <w:shd w:val="clear" w:color="auto" w:fill="FFFFFF"/>
        </w:rPr>
        <w:t>https://doi.org/</w:t>
      </w:r>
      <w:r w:rsidR="00DD6A85" w:rsidRPr="00DD6A85">
        <w:rPr>
          <w:color w:val="222222"/>
          <w:shd w:val="clear" w:color="auto" w:fill="FFFFFF"/>
        </w:rPr>
        <w:t>10.1080/00273171.2011.568786</w:t>
      </w:r>
    </w:p>
    <w:p w14:paraId="6CC175ED" w14:textId="545F4606" w:rsidR="00985B4D" w:rsidRPr="00F71468" w:rsidRDefault="00985B4D" w:rsidP="00F71468">
      <w:pPr>
        <w:spacing w:line="480" w:lineRule="auto"/>
        <w:ind w:left="720" w:hanging="720"/>
        <w:rPr>
          <w:iCs/>
        </w:rPr>
      </w:pPr>
      <w:r w:rsidRPr="00F71468">
        <w:rPr>
          <w:iCs/>
        </w:rPr>
        <w:t>Camerer, C. F., Dreber, A., Holzmeister, F., Ho, T.-H., Huber, J., Johannesson, M.</w:t>
      </w:r>
      <w:r w:rsidR="000E5992">
        <w:rPr>
          <w:iCs/>
        </w:rPr>
        <w:t xml:space="preserve">, Kirchler, M., Nave, G., Nosek, B. A., Pfeiffer, T., Altmejd, A., </w:t>
      </w:r>
      <w:r w:rsidR="00B77D89">
        <w:rPr>
          <w:iCs/>
        </w:rPr>
        <w:t>Buttrick, N., Chan, T., Chen, Y., Forsell, E., Gampa, A., Heikensten, E., Hummer, L., Imai, T., …,</w:t>
      </w:r>
      <w:r w:rsidRPr="00F71468">
        <w:rPr>
          <w:iCs/>
        </w:rPr>
        <w:t xml:space="preserve"> Wu, H. (2018). Evaluating the replicability of social science experiments in Nature and Science between 2010 and 2015. </w:t>
      </w:r>
      <w:r w:rsidRPr="00511E1E">
        <w:rPr>
          <w:i/>
        </w:rPr>
        <w:t>Nature Human Behaviour</w:t>
      </w:r>
      <w:r w:rsidRPr="00F71468">
        <w:rPr>
          <w:iCs/>
        </w:rPr>
        <w:t xml:space="preserve">. </w:t>
      </w:r>
      <w:r w:rsidR="00504E39">
        <w:rPr>
          <w:iCs/>
        </w:rPr>
        <w:t>http</w:t>
      </w:r>
      <w:r w:rsidR="00DE5EC2">
        <w:rPr>
          <w:iCs/>
        </w:rPr>
        <w:t>s://doi.org/</w:t>
      </w:r>
      <w:r w:rsidRPr="00F71468">
        <w:rPr>
          <w:iCs/>
        </w:rPr>
        <w:t>10.1038/s41562-018-0399-z</w:t>
      </w:r>
    </w:p>
    <w:p w14:paraId="623B1678" w14:textId="227CCC1A" w:rsidR="00EF2F1A" w:rsidRDefault="00EF2F1A" w:rsidP="00EF2F1A">
      <w:pPr>
        <w:spacing w:line="480" w:lineRule="auto"/>
        <w:ind w:left="720" w:hanging="720"/>
      </w:pPr>
      <w:r w:rsidRPr="0003674E">
        <w:t xml:space="preserve">Christakis, D. A., Zimmerman, F. J., DiGiuseppe, D. L, &amp; McCarty, C. A. (2004). Early television exposure and subsequent attentional problems in children. </w:t>
      </w:r>
      <w:r w:rsidRPr="0003674E">
        <w:rPr>
          <w:i/>
        </w:rPr>
        <w:t>Pediatrics, 113</w:t>
      </w:r>
      <w:r w:rsidRPr="0003674E">
        <w:t xml:space="preserve">(4), 708-713. </w:t>
      </w:r>
      <w:r w:rsidR="00504E39">
        <w:t>http</w:t>
      </w:r>
      <w:r w:rsidR="00DE5EC2">
        <w:t>s://</w:t>
      </w:r>
      <w:r w:rsidR="00504E39">
        <w:t>doi.org/</w:t>
      </w:r>
      <w:r w:rsidRPr="0003674E">
        <w:t>10.1542/peds.113.4.708</w:t>
      </w:r>
    </w:p>
    <w:p w14:paraId="1C16F62D" w14:textId="43770EB7" w:rsidR="00511E1E" w:rsidRPr="00511E1E" w:rsidRDefault="00511E1E" w:rsidP="00EF2F1A">
      <w:pPr>
        <w:spacing w:line="480" w:lineRule="auto"/>
        <w:ind w:left="720" w:hanging="720"/>
      </w:pPr>
      <w:r>
        <w:t xml:space="preserve">Christakis, D. A. (2011, November). </w:t>
      </w:r>
      <w:r w:rsidRPr="00F71468">
        <w:rPr>
          <w:i/>
          <w:iCs/>
        </w:rPr>
        <w:t>Media and children</w:t>
      </w:r>
      <w:r>
        <w:t xml:space="preserve"> [Video]. TEDxRainier. </w:t>
      </w:r>
      <w:hyperlink r:id="rId11" w:history="1">
        <w:r w:rsidR="0031674F" w:rsidRPr="004D66C2">
          <w:rPr>
            <w:rStyle w:val="Hyperlink"/>
          </w:rPr>
          <w:t>https://tedxseattle.com/talks/dimitri-christakis-media-and-children/</w:t>
        </w:r>
      </w:hyperlink>
    </w:p>
    <w:p w14:paraId="44DEB596" w14:textId="77777777" w:rsidR="002B4BD8" w:rsidRDefault="002B4BD8" w:rsidP="00D2098F">
      <w:pPr>
        <w:spacing w:line="480" w:lineRule="auto"/>
        <w:rPr>
          <w:i/>
          <w:iCs/>
          <w:color w:val="222222"/>
          <w:shd w:val="clear" w:color="auto" w:fill="FFFFFF"/>
        </w:rPr>
      </w:pPr>
      <w:r w:rsidRPr="00D2098F">
        <w:rPr>
          <w:color w:val="222222"/>
          <w:shd w:val="clear" w:color="auto" w:fill="FFFFFF"/>
        </w:rPr>
        <w:t>Committee to Review Adverse Effects of Vaccines. (2012). </w:t>
      </w:r>
      <w:r w:rsidRPr="002B4BD8">
        <w:rPr>
          <w:i/>
          <w:iCs/>
          <w:color w:val="222222"/>
          <w:shd w:val="clear" w:color="auto" w:fill="FFFFFF"/>
        </w:rPr>
        <w:t xml:space="preserve">Adverse effects of vaccines: </w:t>
      </w:r>
    </w:p>
    <w:p w14:paraId="43443201" w14:textId="05D5F236" w:rsidR="002B4BD8" w:rsidRPr="00D2098F" w:rsidRDefault="002B4BD8" w:rsidP="00D2098F">
      <w:pPr>
        <w:spacing w:line="480" w:lineRule="auto"/>
        <w:ind w:firstLine="720"/>
        <w:rPr>
          <w:i/>
          <w:iCs/>
          <w:color w:val="222222"/>
          <w:shd w:val="clear" w:color="auto" w:fill="FFFFFF"/>
        </w:rPr>
      </w:pPr>
      <w:r>
        <w:rPr>
          <w:i/>
          <w:iCs/>
          <w:color w:val="222222"/>
          <w:shd w:val="clear" w:color="auto" w:fill="FFFFFF"/>
        </w:rPr>
        <w:t>E</w:t>
      </w:r>
      <w:r w:rsidRPr="00D2098F">
        <w:rPr>
          <w:i/>
          <w:iCs/>
          <w:color w:val="222222"/>
          <w:shd w:val="clear" w:color="auto" w:fill="FFFFFF"/>
        </w:rPr>
        <w:t>vidence and causality</w:t>
      </w:r>
      <w:r w:rsidRPr="00D2098F">
        <w:rPr>
          <w:color w:val="222222"/>
          <w:shd w:val="clear" w:color="auto" w:fill="FFFFFF"/>
        </w:rPr>
        <w:t xml:space="preserve">. </w:t>
      </w:r>
      <w:r w:rsidR="00A43198">
        <w:rPr>
          <w:color w:val="222222"/>
          <w:shd w:val="clear" w:color="auto" w:fill="FFFFFF"/>
        </w:rPr>
        <w:t xml:space="preserve">Washington, DC: </w:t>
      </w:r>
      <w:r w:rsidRPr="00D2098F">
        <w:rPr>
          <w:color w:val="222222"/>
          <w:shd w:val="clear" w:color="auto" w:fill="FFFFFF"/>
        </w:rPr>
        <w:t>National Academies Press.</w:t>
      </w:r>
    </w:p>
    <w:p w14:paraId="35DE34FA" w14:textId="54705019" w:rsidR="00EF2F1A" w:rsidRDefault="00EF2F1A" w:rsidP="00EF2F1A">
      <w:pPr>
        <w:spacing w:line="480" w:lineRule="auto"/>
        <w:ind w:left="720" w:hanging="720"/>
      </w:pPr>
      <w:r w:rsidRPr="0003674E">
        <w:t xml:space="preserve">Foster, E. M. &amp; Watkins, S. (2010). The value of reanalysis: TV viewing and attention problems. </w:t>
      </w:r>
      <w:r w:rsidRPr="0003674E">
        <w:rPr>
          <w:i/>
        </w:rPr>
        <w:t>Child Development, 81</w:t>
      </w:r>
      <w:r w:rsidRPr="0003674E">
        <w:t xml:space="preserve">(1), 368-375. </w:t>
      </w:r>
      <w:r w:rsidR="00504E39">
        <w:t>http</w:t>
      </w:r>
      <w:r w:rsidR="00DE5EC2">
        <w:t>s://</w:t>
      </w:r>
      <w:r w:rsidR="00504E39">
        <w:t>doi.org/</w:t>
      </w:r>
      <w:r w:rsidRPr="0003674E">
        <w:t>10.1111/j.1467-8624.2009.01400.x</w:t>
      </w:r>
    </w:p>
    <w:p w14:paraId="76DDC081" w14:textId="30EEDB03" w:rsidR="00C10BA8" w:rsidRPr="00C10BA8" w:rsidRDefault="00C10BA8" w:rsidP="00EF2F1A">
      <w:pPr>
        <w:spacing w:line="480" w:lineRule="auto"/>
        <w:ind w:left="720" w:hanging="720"/>
      </w:pPr>
      <w:r>
        <w:t xml:space="preserve">Fox, J. A. (2016). </w:t>
      </w:r>
      <w:r>
        <w:rPr>
          <w:i/>
          <w:iCs/>
        </w:rPr>
        <w:t>Applied regression analysis and generalized linear models</w:t>
      </w:r>
      <w:r>
        <w:t xml:space="preserve"> (3</w:t>
      </w:r>
      <w:r w:rsidRPr="00F71468">
        <w:rPr>
          <w:vertAlign w:val="superscript"/>
        </w:rPr>
        <w:t>rd</w:t>
      </w:r>
      <w:r>
        <w:t xml:space="preserve"> ed.). SAGE: Thousand Oakes, CA.</w:t>
      </w:r>
    </w:p>
    <w:p w14:paraId="12D0649F" w14:textId="77777777" w:rsidR="00271593" w:rsidRDefault="00271593" w:rsidP="00D2098F">
      <w:pPr>
        <w:spacing w:line="480" w:lineRule="auto"/>
        <w:rPr>
          <w:color w:val="222222"/>
          <w:shd w:val="clear" w:color="auto" w:fill="FFFFFF"/>
        </w:rPr>
      </w:pPr>
      <w:r w:rsidRPr="00D2098F">
        <w:rPr>
          <w:color w:val="222222"/>
          <w:shd w:val="clear" w:color="auto" w:fill="FFFFFF"/>
        </w:rPr>
        <w:lastRenderedPageBreak/>
        <w:t xml:space="preserve">Gelman, A., &amp; Loken, E. (2013). The garden of forking paths: Why multiple comparisons can be </w:t>
      </w:r>
    </w:p>
    <w:p w14:paraId="7A38C3D2" w14:textId="77777777" w:rsidR="00271593" w:rsidRDefault="00271593"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a problem, even when there is no “fishing expedition” or “p-hacking” and the research </w:t>
      </w:r>
    </w:p>
    <w:p w14:paraId="3A77518B" w14:textId="77777777" w:rsidR="00271593" w:rsidRDefault="00271593"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hypothesis was posited ahead of time. </w:t>
      </w:r>
      <w:r>
        <w:rPr>
          <w:color w:val="222222"/>
          <w:shd w:val="clear" w:color="auto" w:fill="FFFFFF"/>
        </w:rPr>
        <w:t xml:space="preserve">Unpublished manuscript. </w:t>
      </w:r>
      <w:r w:rsidRPr="00D2098F">
        <w:rPr>
          <w:i/>
          <w:iCs/>
          <w:color w:val="222222"/>
          <w:shd w:val="clear" w:color="auto" w:fill="FFFFFF"/>
        </w:rPr>
        <w:t xml:space="preserve">Department of Statistics, </w:t>
      </w:r>
    </w:p>
    <w:p w14:paraId="005C940E" w14:textId="217915AD" w:rsidR="00545614" w:rsidRDefault="00271593" w:rsidP="00D2098F">
      <w:pPr>
        <w:spacing w:line="480" w:lineRule="auto"/>
        <w:rPr>
          <w:color w:val="222222"/>
          <w:shd w:val="clear" w:color="auto" w:fill="FFFFFF"/>
        </w:rPr>
      </w:pPr>
      <w:r>
        <w:rPr>
          <w:i/>
          <w:iCs/>
          <w:color w:val="222222"/>
          <w:shd w:val="clear" w:color="auto" w:fill="FFFFFF"/>
        </w:rPr>
        <w:tab/>
      </w:r>
      <w:r w:rsidRPr="00D2098F">
        <w:rPr>
          <w:i/>
          <w:iCs/>
          <w:color w:val="222222"/>
          <w:shd w:val="clear" w:color="auto" w:fill="FFFFFF"/>
        </w:rPr>
        <w:t>Columbia University</w:t>
      </w:r>
      <w:r w:rsidRPr="00D2098F">
        <w:rPr>
          <w:color w:val="222222"/>
          <w:shd w:val="clear" w:color="auto" w:fill="FFFFFF"/>
        </w:rPr>
        <w:t>.</w:t>
      </w:r>
      <w:r w:rsidR="00916BA8">
        <w:rPr>
          <w:color w:val="222222"/>
          <w:shd w:val="clear" w:color="auto" w:fill="FFFFFF"/>
        </w:rPr>
        <w:t xml:space="preserve"> </w:t>
      </w:r>
      <w:r w:rsidR="00545614">
        <w:rPr>
          <w:color w:val="222222"/>
          <w:shd w:val="clear" w:color="auto" w:fill="FFFFFF"/>
        </w:rPr>
        <w:t xml:space="preserve">Retrieved from </w:t>
      </w:r>
      <w:hyperlink r:id="rId12" w:history="1">
        <w:r w:rsidR="00545614" w:rsidRPr="0018669F">
          <w:rPr>
            <w:rStyle w:val="Hyperlink"/>
            <w:shd w:val="clear" w:color="auto" w:fill="FFFFFF"/>
          </w:rPr>
          <w:t>http://www.stat.columbia.edu/~gelman/research/</w:t>
        </w:r>
      </w:hyperlink>
      <w:r w:rsidR="00545614">
        <w:rPr>
          <w:color w:val="222222"/>
          <w:shd w:val="clear" w:color="auto" w:fill="FFFFFF"/>
        </w:rPr>
        <w:t xml:space="preserve"> </w:t>
      </w:r>
    </w:p>
    <w:p w14:paraId="68B44C75" w14:textId="79B8C948" w:rsidR="00271593" w:rsidRPr="00D2098F" w:rsidRDefault="00545614" w:rsidP="00D2098F">
      <w:pPr>
        <w:spacing w:line="480" w:lineRule="auto"/>
        <w:rPr>
          <w:color w:val="222222"/>
          <w:shd w:val="clear" w:color="auto" w:fill="FFFFFF"/>
        </w:rPr>
      </w:pPr>
      <w:r>
        <w:rPr>
          <w:color w:val="222222"/>
          <w:shd w:val="clear" w:color="auto" w:fill="FFFFFF"/>
        </w:rPr>
        <w:tab/>
      </w:r>
      <w:r w:rsidRPr="00545614">
        <w:rPr>
          <w:color w:val="222222"/>
          <w:shd w:val="clear" w:color="auto" w:fill="FFFFFF"/>
        </w:rPr>
        <w:t>unpublished/p_hacking.pdf</w:t>
      </w:r>
    </w:p>
    <w:p w14:paraId="14BE3062" w14:textId="567345F8" w:rsidR="00EF2F1A" w:rsidRDefault="00EF2F1A" w:rsidP="00EF2F1A">
      <w:pPr>
        <w:spacing w:line="480" w:lineRule="auto"/>
        <w:ind w:left="720" w:hanging="720"/>
      </w:pPr>
      <w:r w:rsidRPr="0003674E">
        <w:t xml:space="preserve">Guo, S. Y. &amp; Fraser, M. W. (2015). </w:t>
      </w:r>
      <w:r w:rsidRPr="0003674E">
        <w:rPr>
          <w:i/>
        </w:rPr>
        <w:t>Propensity score analysis: Statistical methods and application</w:t>
      </w:r>
      <w:r w:rsidRPr="0003674E">
        <w:t xml:space="preserve"> (2</w:t>
      </w:r>
      <w:r w:rsidRPr="0003674E">
        <w:rPr>
          <w:vertAlign w:val="superscript"/>
        </w:rPr>
        <w:t>nd</w:t>
      </w:r>
      <w:r w:rsidRPr="0003674E">
        <w:t xml:space="preserve"> ed.). </w:t>
      </w:r>
      <w:r w:rsidR="00BB63CE">
        <w:t>Thousand Oak</w:t>
      </w:r>
      <w:r w:rsidRPr="0003674E">
        <w:t>s, CA: SAGE.</w:t>
      </w:r>
    </w:p>
    <w:p w14:paraId="5A628B7F" w14:textId="6D6EFCD1" w:rsidR="00EF2F1A" w:rsidRPr="0003674E" w:rsidRDefault="00EF2F1A" w:rsidP="00EF2F1A">
      <w:pPr>
        <w:spacing w:line="480" w:lineRule="auto"/>
        <w:ind w:left="720" w:hanging="720"/>
      </w:pPr>
      <w:r w:rsidRPr="0003674E">
        <w:t xml:space="preserve">Helmreich, J. E. &amp; Pruzek, R. M. (2009). PSAgraphics: An R Package to support propensity score analysis. </w:t>
      </w:r>
      <w:r w:rsidRPr="0003674E">
        <w:rPr>
          <w:i/>
        </w:rPr>
        <w:t>Journal of Statistical Software, 29</w:t>
      </w:r>
      <w:r w:rsidRPr="0003674E">
        <w:t xml:space="preserve">(6), 1-23. </w:t>
      </w:r>
      <w:r w:rsidR="00504E39">
        <w:t>http</w:t>
      </w:r>
      <w:r w:rsidR="00DE5EC2">
        <w:t>s://</w:t>
      </w:r>
      <w:r w:rsidR="00504E39">
        <w:t>doi.org/</w:t>
      </w:r>
      <w:r w:rsidRPr="0003674E">
        <w:t xml:space="preserve">10.18637/jss.v029.i06 </w:t>
      </w:r>
    </w:p>
    <w:p w14:paraId="2A70FCD5" w14:textId="375FAC5A" w:rsidR="00960367" w:rsidRPr="0003674E" w:rsidRDefault="001B42D7" w:rsidP="001B42D7">
      <w:pPr>
        <w:spacing w:line="480" w:lineRule="auto"/>
        <w:ind w:left="720" w:hanging="720"/>
      </w:pPr>
      <w:r w:rsidRPr="0003674E">
        <w:t xml:space="preserve">Hlavac, M. (2015). </w:t>
      </w:r>
      <w:r w:rsidR="00FA1DA9" w:rsidRPr="0003674E">
        <w:rPr>
          <w:i/>
        </w:rPr>
        <w:t>S</w:t>
      </w:r>
      <w:r w:rsidRPr="0003674E">
        <w:rPr>
          <w:i/>
        </w:rPr>
        <w:t>targazer: Well-formatted regression and summary statistics tables.</w:t>
      </w:r>
      <w:r w:rsidRPr="0003674E">
        <w:t xml:space="preserve"> [R package]. Version 5.2</w:t>
      </w:r>
      <w:r w:rsidR="00F57044">
        <w:t>.2</w:t>
      </w:r>
      <w:r w:rsidRPr="0003674E">
        <w:t xml:space="preserve">. </w:t>
      </w:r>
      <w:hyperlink r:id="rId13" w:history="1">
        <w:r w:rsidRPr="0003674E">
          <w:rPr>
            <w:rStyle w:val="Hyperlink"/>
          </w:rPr>
          <w:t>http://CRAN.R-project.org/package=stargazer</w:t>
        </w:r>
      </w:hyperlink>
    </w:p>
    <w:p w14:paraId="4F764DA5" w14:textId="458F0727" w:rsidR="00EF2F1A" w:rsidRDefault="00EF2F1A" w:rsidP="00960367">
      <w:pPr>
        <w:spacing w:line="480" w:lineRule="auto"/>
        <w:ind w:left="720" w:hanging="720"/>
      </w:pPr>
      <w:r w:rsidRPr="001F6F8D">
        <w:t>Huber, B., Yeates, M., Meyer, D., Fleckhammer, L., &amp; Kaufman, J. (2018). The effects of screen media content on young children’s executive functioning. </w:t>
      </w:r>
      <w:r w:rsidRPr="001F6F8D">
        <w:rPr>
          <w:i/>
          <w:iCs/>
        </w:rPr>
        <w:t xml:space="preserve">Journal of </w:t>
      </w:r>
      <w:r w:rsidR="002F5613">
        <w:rPr>
          <w:i/>
          <w:iCs/>
        </w:rPr>
        <w:t>E</w:t>
      </w:r>
      <w:r w:rsidRPr="001F6F8D">
        <w:rPr>
          <w:i/>
          <w:iCs/>
        </w:rPr>
        <w:t xml:space="preserve">xperimental </w:t>
      </w:r>
      <w:r w:rsidR="002F5613">
        <w:rPr>
          <w:i/>
          <w:iCs/>
        </w:rPr>
        <w:t>C</w:t>
      </w:r>
      <w:r w:rsidRPr="001F6F8D">
        <w:rPr>
          <w:i/>
          <w:iCs/>
        </w:rPr>
        <w:t xml:space="preserve">hild </w:t>
      </w:r>
      <w:r w:rsidR="002F5613">
        <w:rPr>
          <w:i/>
          <w:iCs/>
        </w:rPr>
        <w:t>P</w:t>
      </w:r>
      <w:r w:rsidRPr="001F6F8D">
        <w:rPr>
          <w:i/>
          <w:iCs/>
        </w:rPr>
        <w:t>sychology</w:t>
      </w:r>
      <w:r w:rsidRPr="001F6F8D">
        <w:t>, </w:t>
      </w:r>
      <w:r w:rsidRPr="001F6F8D">
        <w:rPr>
          <w:i/>
          <w:iCs/>
        </w:rPr>
        <w:t>170</w:t>
      </w:r>
      <w:r w:rsidRPr="001F6F8D">
        <w:t>, 72-85.</w:t>
      </w:r>
      <w:r w:rsidR="00272E2D">
        <w:t xml:space="preserve"> </w:t>
      </w:r>
      <w:r w:rsidR="00272E2D" w:rsidRPr="00272E2D">
        <w:t>https://doi.org/10.1016/j.jecp.2018.01.006</w:t>
      </w:r>
    </w:p>
    <w:p w14:paraId="5C09D81A" w14:textId="6B1D910C" w:rsidR="003A6A33" w:rsidRPr="00BD0F27" w:rsidRDefault="00D43287" w:rsidP="00960367">
      <w:pPr>
        <w:spacing w:line="480" w:lineRule="auto"/>
        <w:ind w:left="720" w:hanging="720"/>
      </w:pPr>
      <w:r w:rsidRPr="00BD0F27">
        <w:t xml:space="preserve">Imbens, G. W. &amp; Wooldridge, J. M. (2009). Recent developments in the econometrics of program evaluation. </w:t>
      </w:r>
      <w:r w:rsidRPr="00F71468">
        <w:rPr>
          <w:i/>
          <w:iCs/>
        </w:rPr>
        <w:t>Journal of Economic Literature, 47</w:t>
      </w:r>
      <w:r w:rsidRPr="00BD0F27">
        <w:t>(1)</w:t>
      </w:r>
      <w:r w:rsidR="00D077FB" w:rsidRPr="00BD0F27">
        <w:t xml:space="preserve">. </w:t>
      </w:r>
      <w:r w:rsidRPr="00BD0F27">
        <w:t>5-86.</w:t>
      </w:r>
      <w:r w:rsidR="00D077FB" w:rsidRPr="00BD0F27">
        <w:t xml:space="preserve"> </w:t>
      </w:r>
      <w:r w:rsidR="00504E39">
        <w:t>http</w:t>
      </w:r>
      <w:r w:rsidR="00DE5EC2">
        <w:t>s://</w:t>
      </w:r>
      <w:r w:rsidR="00504E39">
        <w:t>doi.org/</w:t>
      </w:r>
      <w:r w:rsidR="00D077FB" w:rsidRPr="00F71468">
        <w:rPr>
          <w:color w:val="353C3F"/>
          <w:shd w:val="clear" w:color="auto" w:fill="FFFFFF"/>
        </w:rPr>
        <w:t>10.1257/jel.47.1.5</w:t>
      </w:r>
    </w:p>
    <w:p w14:paraId="3B1392AC" w14:textId="7A40C8A2" w:rsidR="00EF2F1A" w:rsidRDefault="00EF2F1A" w:rsidP="00EF2F1A">
      <w:pPr>
        <w:spacing w:line="480" w:lineRule="auto"/>
        <w:ind w:left="720" w:hanging="720"/>
      </w:pPr>
      <w:r>
        <w:t xml:space="preserve">King, G. &amp; Zeng, L. (2007). Detecting model dependence in statistical inference: A response. </w:t>
      </w:r>
      <w:r>
        <w:rPr>
          <w:i/>
        </w:rPr>
        <w:t xml:space="preserve">International Studies Quarterly, 51. </w:t>
      </w:r>
      <w:r>
        <w:t xml:space="preserve">231-241. </w:t>
      </w:r>
      <w:r w:rsidR="00A1088D" w:rsidRPr="00A1088D">
        <w:t>https://doi.org/10.1111/j.1468-2478.2007.00449.x</w:t>
      </w:r>
    </w:p>
    <w:p w14:paraId="4E7BDFBC" w14:textId="77777777" w:rsidR="008779CB" w:rsidRDefault="008779CB" w:rsidP="00D2098F">
      <w:pPr>
        <w:spacing w:line="480" w:lineRule="auto"/>
        <w:rPr>
          <w:color w:val="222222"/>
          <w:shd w:val="clear" w:color="auto" w:fill="FFFFFF"/>
        </w:rPr>
      </w:pPr>
      <w:r w:rsidRPr="00D2098F">
        <w:rPr>
          <w:color w:val="222222"/>
          <w:shd w:val="clear" w:color="auto" w:fill="FFFFFF"/>
        </w:rPr>
        <w:t>Kos</w:t>
      </w:r>
      <w:r w:rsidRPr="008779CB">
        <w:rPr>
          <w:color w:val="222222"/>
          <w:shd w:val="clear" w:color="auto" w:fill="FFFFFF"/>
        </w:rPr>
        <w:t>tyrka-Allchorne, K., Cooper, N.</w:t>
      </w:r>
      <w:r w:rsidRPr="00D2098F">
        <w:rPr>
          <w:color w:val="222222"/>
          <w:shd w:val="clear" w:color="auto" w:fill="FFFFFF"/>
        </w:rPr>
        <w:t xml:space="preserve">R., &amp; Simpson, A. (2017). The relationship between </w:t>
      </w:r>
    </w:p>
    <w:p w14:paraId="36EB4BD6" w14:textId="75771C22" w:rsidR="008779CB" w:rsidRDefault="008779CB"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 xml:space="preserve">television exposure and children’s cognition and </w:t>
      </w:r>
      <w:r w:rsidR="00FA1DA9">
        <w:rPr>
          <w:color w:val="222222"/>
          <w:shd w:val="clear" w:color="auto" w:fill="FFFFFF"/>
        </w:rPr>
        <w:pgNum/>
      </w:r>
      <w:r w:rsidR="00FA1DA9">
        <w:rPr>
          <w:color w:val="222222"/>
          <w:shd w:val="clear" w:color="auto" w:fill="FFFFFF"/>
        </w:rPr>
        <w:t>ehavior</w:t>
      </w:r>
      <w:r w:rsidRPr="00D2098F">
        <w:rPr>
          <w:color w:val="222222"/>
          <w:shd w:val="clear" w:color="auto" w:fill="FFFFFF"/>
        </w:rPr>
        <w:t xml:space="preserve">: A systematic </w:t>
      </w:r>
    </w:p>
    <w:p w14:paraId="38C56904" w14:textId="225DF6C6" w:rsidR="008779CB" w:rsidRPr="008779CB" w:rsidRDefault="008779CB" w:rsidP="00D2098F">
      <w:pPr>
        <w:spacing w:line="480" w:lineRule="auto"/>
      </w:pPr>
      <w:r>
        <w:rPr>
          <w:color w:val="222222"/>
          <w:shd w:val="clear" w:color="auto" w:fill="FFFFFF"/>
        </w:rPr>
        <w:lastRenderedPageBreak/>
        <w:tab/>
      </w:r>
      <w:r w:rsidRPr="00D2098F">
        <w:rPr>
          <w:color w:val="222222"/>
          <w:shd w:val="clear" w:color="auto" w:fill="FFFFFF"/>
        </w:rPr>
        <w:t>review. </w:t>
      </w:r>
      <w:r w:rsidRPr="00D2098F">
        <w:rPr>
          <w:i/>
          <w:iCs/>
          <w:color w:val="222222"/>
          <w:shd w:val="clear" w:color="auto" w:fill="FFFFFF"/>
        </w:rPr>
        <w:t>Developmental Review</w:t>
      </w:r>
      <w:r w:rsidRPr="00D2098F">
        <w:rPr>
          <w:color w:val="222222"/>
          <w:shd w:val="clear" w:color="auto" w:fill="FFFFFF"/>
        </w:rPr>
        <w:t>, </w:t>
      </w:r>
      <w:r w:rsidRPr="00D2098F">
        <w:rPr>
          <w:i/>
          <w:iCs/>
          <w:color w:val="222222"/>
          <w:shd w:val="clear" w:color="auto" w:fill="FFFFFF"/>
        </w:rPr>
        <w:t>44</w:t>
      </w:r>
      <w:r w:rsidRPr="00D2098F">
        <w:rPr>
          <w:color w:val="222222"/>
          <w:shd w:val="clear" w:color="auto" w:fill="FFFFFF"/>
        </w:rPr>
        <w:t>, 19-58.</w:t>
      </w:r>
      <w:r w:rsidR="000E48D5" w:rsidRPr="000E48D5">
        <w:rPr>
          <w:color w:val="222222"/>
          <w:shd w:val="clear" w:color="auto" w:fill="FFFFFF"/>
        </w:rPr>
        <w:t xml:space="preserve"> </w:t>
      </w:r>
      <w:hyperlink r:id="rId14" w:tgtFrame="_blank" w:tooltip="Persistent link using digital object identifier" w:history="1">
        <w:r w:rsidR="000E48D5" w:rsidRPr="00D2098F">
          <w:rPr>
            <w:color w:val="007398"/>
            <w:u w:val="single"/>
          </w:rPr>
          <w:t>https://doi.org/10.1016/j.dr.2016.12.002</w:t>
        </w:r>
      </w:hyperlink>
    </w:p>
    <w:p w14:paraId="57910BDA" w14:textId="77777777" w:rsidR="009F42C7" w:rsidRDefault="009F42C7" w:rsidP="009F42C7">
      <w:pPr>
        <w:spacing w:line="480" w:lineRule="auto"/>
        <w:rPr>
          <w:color w:val="222222"/>
          <w:shd w:val="clear" w:color="auto" w:fill="FFFFFF"/>
        </w:rPr>
      </w:pPr>
      <w:r w:rsidRPr="00DC412B">
        <w:rPr>
          <w:color w:val="222222"/>
          <w:shd w:val="clear" w:color="auto" w:fill="FFFFFF"/>
        </w:rPr>
        <w:t>Little, R. J., &amp; Rubin, D. B. (2019). </w:t>
      </w:r>
      <w:r w:rsidRPr="00DC412B">
        <w:rPr>
          <w:i/>
          <w:iCs/>
          <w:color w:val="222222"/>
          <w:shd w:val="clear" w:color="auto" w:fill="FFFFFF"/>
        </w:rPr>
        <w:t>Statistical analysis with missing data</w:t>
      </w:r>
      <w:r w:rsidRPr="00DC412B">
        <w:rPr>
          <w:color w:val="222222"/>
          <w:shd w:val="clear" w:color="auto" w:fill="FFFFFF"/>
        </w:rPr>
        <w:t xml:space="preserve"> (Vol. 793). John Wiley </w:t>
      </w:r>
    </w:p>
    <w:p w14:paraId="3C262F17" w14:textId="1FE9633E" w:rsidR="009F42C7" w:rsidRPr="009F42C7" w:rsidRDefault="009F42C7" w:rsidP="00DC412B">
      <w:pPr>
        <w:spacing w:line="480" w:lineRule="auto"/>
        <w:ind w:firstLine="720"/>
      </w:pPr>
      <w:r w:rsidRPr="00DC412B">
        <w:rPr>
          <w:color w:val="222222"/>
          <w:shd w:val="clear" w:color="auto" w:fill="FFFFFF"/>
        </w:rPr>
        <w:t>&amp; Sons.</w:t>
      </w:r>
    </w:p>
    <w:p w14:paraId="1C453F21" w14:textId="4154D68F" w:rsidR="00EF2F1A" w:rsidRPr="00C20DD6" w:rsidRDefault="00EF2F1A" w:rsidP="00EF2F1A">
      <w:pPr>
        <w:spacing w:line="480" w:lineRule="auto"/>
        <w:ind w:left="720" w:hanging="720"/>
      </w:pPr>
      <w:r w:rsidRPr="002F7DCE">
        <w:rPr>
          <w:color w:val="222222"/>
          <w:shd w:val="clear" w:color="auto" w:fill="FFFFFF"/>
        </w:rPr>
        <w:t>Lovibond, P. F. (1998). Long-term stability of depression, anxiety, and stress</w:t>
      </w:r>
      <w:r w:rsidR="009F42C7">
        <w:rPr>
          <w:color w:val="222222"/>
          <w:shd w:val="clear" w:color="auto" w:fill="FFFFFF"/>
        </w:rPr>
        <w:t xml:space="preserve"> syndromes. </w:t>
      </w:r>
      <w:r w:rsidRPr="00C20DD6">
        <w:rPr>
          <w:i/>
          <w:iCs/>
          <w:color w:val="222222"/>
          <w:shd w:val="clear" w:color="auto" w:fill="FFFFFF"/>
        </w:rPr>
        <w:t xml:space="preserve">Journal of </w:t>
      </w:r>
      <w:r>
        <w:rPr>
          <w:i/>
          <w:iCs/>
          <w:color w:val="222222"/>
          <w:shd w:val="clear" w:color="auto" w:fill="FFFFFF"/>
        </w:rPr>
        <w:t>A</w:t>
      </w:r>
      <w:r w:rsidRPr="00C20DD6">
        <w:rPr>
          <w:i/>
          <w:iCs/>
          <w:color w:val="222222"/>
          <w:shd w:val="clear" w:color="auto" w:fill="FFFFFF"/>
        </w:rPr>
        <w:t xml:space="preserve">bnormal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107</w:t>
      </w:r>
      <w:r w:rsidRPr="002F7DCE">
        <w:rPr>
          <w:color w:val="222222"/>
          <w:shd w:val="clear" w:color="auto" w:fill="FFFFFF"/>
        </w:rPr>
        <w:t>, 520</w:t>
      </w:r>
      <w:r>
        <w:rPr>
          <w:color w:val="222222"/>
          <w:shd w:val="clear" w:color="auto" w:fill="FFFFFF"/>
        </w:rPr>
        <w:t>-526</w:t>
      </w:r>
      <w:r w:rsidRPr="002F7DCE">
        <w:rPr>
          <w:color w:val="222222"/>
          <w:shd w:val="clear" w:color="auto" w:fill="FFFFFF"/>
        </w:rPr>
        <w:t>.</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B425AA">
        <w:rPr>
          <w:color w:val="222222"/>
          <w:shd w:val="clear" w:color="auto" w:fill="FFFFFF"/>
        </w:rPr>
        <w:t>10.1037/0021-843X.107.3.520</w:t>
      </w:r>
    </w:p>
    <w:p w14:paraId="61D5CFAD" w14:textId="4BBFAEE2" w:rsidR="00EF2F1A" w:rsidRDefault="00EF2F1A" w:rsidP="00EF2F1A">
      <w:pPr>
        <w:spacing w:line="480" w:lineRule="auto"/>
        <w:ind w:left="720" w:hanging="720"/>
      </w:pPr>
      <w:r w:rsidRPr="0003674E">
        <w:t>Lumley, T. (201</w:t>
      </w:r>
      <w:r w:rsidR="00642782">
        <w:t>9</w:t>
      </w:r>
      <w:r w:rsidRPr="0003674E">
        <w:t xml:space="preserve">). </w:t>
      </w:r>
      <w:r>
        <w:rPr>
          <w:i/>
        </w:rPr>
        <w:t>S</w:t>
      </w:r>
      <w:r w:rsidRPr="0003674E">
        <w:rPr>
          <w:i/>
        </w:rPr>
        <w:t>urvey: Analysis of complex survey samples</w:t>
      </w:r>
      <w:r w:rsidRPr="0003674E">
        <w:t xml:space="preserve"> [R package]. </w:t>
      </w:r>
      <w:r w:rsidR="00FA1DA9" w:rsidRPr="0003674E">
        <w:t>V</w:t>
      </w:r>
      <w:r w:rsidRPr="0003674E">
        <w:t xml:space="preserve">ersion </w:t>
      </w:r>
      <w:r w:rsidR="00F57044">
        <w:t>4.0</w:t>
      </w:r>
      <w:r w:rsidRPr="0003674E">
        <w:t>.</w:t>
      </w:r>
    </w:p>
    <w:p w14:paraId="13A4E387" w14:textId="77E30F8F" w:rsidR="00104957" w:rsidRPr="00104957" w:rsidRDefault="00104957" w:rsidP="00EF2F1A">
      <w:pPr>
        <w:spacing w:line="480" w:lineRule="auto"/>
        <w:ind w:left="720" w:hanging="720"/>
      </w:pPr>
      <w:r>
        <w:t xml:space="preserve">MacCallum, R. C., Zhang, S., Preacher, K. J., &amp; Rucker, D. D. (2002). On the practice of dichotomization of quantitative variables. </w:t>
      </w:r>
      <w:r>
        <w:rPr>
          <w:i/>
          <w:iCs/>
        </w:rPr>
        <w:t>Psychological Methods, 7</w:t>
      </w:r>
      <w:r>
        <w:t xml:space="preserve">(1), 19-40. </w:t>
      </w:r>
      <w:hyperlink r:id="rId15" w:history="1">
        <w:r w:rsidRPr="00AE1F35">
          <w:rPr>
            <w:rStyle w:val="Hyperlink"/>
          </w:rPr>
          <w:t>https://doi.org/10.1037//1082-989X.7.1.19</w:t>
        </w:r>
      </w:hyperlink>
      <w:r>
        <w:t xml:space="preserve"> </w:t>
      </w:r>
    </w:p>
    <w:p w14:paraId="16498CA4" w14:textId="05FB6534" w:rsidR="00EF2F1A" w:rsidRDefault="00EF2F1A" w:rsidP="00EF2F1A">
      <w:pPr>
        <w:spacing w:line="480" w:lineRule="auto"/>
        <w:ind w:left="720" w:hanging="720"/>
        <w:rPr>
          <w:rStyle w:val="Hyperlink"/>
        </w:rPr>
      </w:pPr>
      <w:r w:rsidRPr="00D24973">
        <w:t>Montgomery, J. M., Nyhan,</w:t>
      </w:r>
      <w:r>
        <w:t xml:space="preserve"> B. </w:t>
      </w:r>
      <w:r w:rsidR="008009B6">
        <w:t>&amp; Torres, M. (2018).</w:t>
      </w:r>
      <w:r>
        <w:t xml:space="preserve"> How conditioning on posttreatment variables can ruin your experiment and w</w:t>
      </w:r>
      <w:r w:rsidRPr="00D24973">
        <w:t xml:space="preserve">hat to </w:t>
      </w:r>
      <w:r>
        <w:t>do about it</w:t>
      </w:r>
      <w:r w:rsidRPr="00D24973">
        <w:t xml:space="preserve">. </w:t>
      </w:r>
      <w:r w:rsidRPr="006C09A8">
        <w:rPr>
          <w:i/>
        </w:rPr>
        <w:t>American Journal of Political Science</w:t>
      </w:r>
      <w:r w:rsidR="0091182C">
        <w:t>, 62(3), 760-775</w:t>
      </w:r>
      <w:r>
        <w:t xml:space="preserve">. </w:t>
      </w:r>
      <w:r w:rsidR="00FE48D3" w:rsidRPr="00FE48D3">
        <w:t>https://doi.org /10.1111/ajps.12357</w:t>
      </w:r>
    </w:p>
    <w:p w14:paraId="1EA51DBC" w14:textId="11EDF860" w:rsidR="00EF2F1A" w:rsidRPr="006F06C9" w:rsidRDefault="00EF2F1A" w:rsidP="00EF2F1A">
      <w:pPr>
        <w:spacing w:line="480" w:lineRule="auto"/>
        <w:ind w:left="720" w:hanging="720"/>
      </w:pPr>
      <w:r w:rsidRPr="002F7DCE">
        <w:rPr>
          <w:color w:val="222222"/>
          <w:shd w:val="clear" w:color="auto" w:fill="FFFFFF"/>
        </w:rPr>
        <w:t>Nabi, R. L., &amp; Krcmar, M. (2016). It takes two: the effect of child characteristics on US parents’ motivations for allowing electronic media use. </w:t>
      </w:r>
      <w:r w:rsidRPr="002F7DCE">
        <w:rPr>
          <w:i/>
          <w:iCs/>
          <w:color w:val="222222"/>
          <w:shd w:val="clear" w:color="auto" w:fill="FFFFFF"/>
        </w:rPr>
        <w:t>Journal of Children and Media</w:t>
      </w:r>
      <w:r w:rsidRPr="002F7DCE">
        <w:rPr>
          <w:color w:val="222222"/>
          <w:shd w:val="clear" w:color="auto" w:fill="FFFFFF"/>
        </w:rPr>
        <w:t>, </w:t>
      </w:r>
      <w:r w:rsidRPr="002F7DCE">
        <w:rPr>
          <w:i/>
          <w:iCs/>
          <w:color w:val="222222"/>
          <w:shd w:val="clear" w:color="auto" w:fill="FFFFFF"/>
        </w:rPr>
        <w:t>10</w:t>
      </w:r>
      <w:r w:rsidRPr="002F7DCE">
        <w:rPr>
          <w:color w:val="222222"/>
          <w:shd w:val="clear" w:color="auto" w:fill="FFFFFF"/>
        </w:rPr>
        <w:t>, 285-303.</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A2116C">
        <w:rPr>
          <w:color w:val="222222"/>
          <w:shd w:val="clear" w:color="auto" w:fill="FFFFFF"/>
        </w:rPr>
        <w:t>10.1080/17482798.2016.1162185</w:t>
      </w:r>
    </w:p>
    <w:p w14:paraId="438EAB2C" w14:textId="413B0131" w:rsidR="00CE4507" w:rsidRDefault="00CE4507" w:rsidP="00EF2F1A">
      <w:pPr>
        <w:spacing w:line="480" w:lineRule="auto"/>
        <w:ind w:left="720" w:hanging="720"/>
      </w:pPr>
      <w:r>
        <w:t>NLS Investigator (</w:t>
      </w:r>
      <w:r w:rsidR="00FE48D3">
        <w:t>2020</w:t>
      </w:r>
      <w:r>
        <w:t>, A</w:t>
      </w:r>
      <w:r w:rsidR="00FE48D3">
        <w:t>pril 19</w:t>
      </w:r>
      <w:r>
        <w:t>).</w:t>
      </w:r>
      <w:r w:rsidR="00916BA8">
        <w:t xml:space="preserve"> </w:t>
      </w:r>
      <w:r>
        <w:t xml:space="preserve">Retrieved from </w:t>
      </w:r>
      <w:hyperlink r:id="rId16" w:history="1">
        <w:r w:rsidR="00FA1DA9" w:rsidRPr="00E04C03">
          <w:rPr>
            <w:rStyle w:val="Hyperlink"/>
          </w:rPr>
          <w:t>https://www.nlsinfo.org/investigator/pages/search.jsp?s=NLSY79</w:t>
        </w:r>
      </w:hyperlink>
    </w:p>
    <w:p w14:paraId="2A863B8C" w14:textId="6D3B6BC1" w:rsidR="00F76BDD" w:rsidRPr="009604A9" w:rsidRDefault="00EF2F1A" w:rsidP="00EF2F1A">
      <w:pPr>
        <w:spacing w:line="480" w:lineRule="auto"/>
        <w:ind w:left="720" w:hanging="720"/>
      </w:pPr>
      <w:r w:rsidRPr="00D2098F">
        <w:rPr>
          <w:rStyle w:val="Hyperlink"/>
          <w:color w:val="auto"/>
          <w:u w:val="none"/>
        </w:rPr>
        <w:t xml:space="preserve">National Longitudinal Survey of Youth </w:t>
      </w:r>
      <w:r w:rsidR="00FA1DA9">
        <w:rPr>
          <w:rStyle w:val="Hyperlink"/>
          <w:color w:val="auto"/>
          <w:u w:val="none"/>
        </w:rPr>
        <w:t>–</w:t>
      </w:r>
      <w:r w:rsidRPr="00D2098F">
        <w:rPr>
          <w:rStyle w:val="Hyperlink"/>
          <w:color w:val="auto"/>
          <w:u w:val="none"/>
        </w:rPr>
        <w:t xml:space="preserve"> Temperament (How My Child Usually Acts) (20</w:t>
      </w:r>
      <w:r w:rsidR="003446C8">
        <w:rPr>
          <w:rStyle w:val="Hyperlink"/>
          <w:color w:val="auto"/>
          <w:u w:val="none"/>
        </w:rPr>
        <w:t>20</w:t>
      </w:r>
      <w:r w:rsidRPr="00D2098F">
        <w:rPr>
          <w:rStyle w:val="Hyperlink"/>
          <w:color w:val="auto"/>
          <w:u w:val="none"/>
        </w:rPr>
        <w:t xml:space="preserve">, </w:t>
      </w:r>
      <w:r w:rsidR="003446C8">
        <w:rPr>
          <w:rStyle w:val="Hyperlink"/>
          <w:color w:val="auto"/>
          <w:u w:val="none"/>
        </w:rPr>
        <w:t>April 21</w:t>
      </w:r>
      <w:r w:rsidRPr="00D2098F">
        <w:rPr>
          <w:rStyle w:val="Hyperlink"/>
          <w:color w:val="auto"/>
          <w:u w:val="none"/>
        </w:rPr>
        <w:t xml:space="preserve">). Retrieved from </w:t>
      </w:r>
      <w:hyperlink r:id="rId17" w:history="1">
        <w:r w:rsidRPr="00D2098F">
          <w:rPr>
            <w:rStyle w:val="Hyperlink"/>
            <w:color w:val="auto"/>
            <w:u w:val="none"/>
          </w:rPr>
          <w:t>https://www.nlsinfo.org/content/cohorts/nlsy79-children/topical-guide/assessments/temperament-how-my-child-usually-acts</w:t>
        </w:r>
      </w:hyperlink>
    </w:p>
    <w:p w14:paraId="28490AA1" w14:textId="1B38FE1C" w:rsidR="00EF2F1A" w:rsidRPr="007D7862" w:rsidRDefault="00EF2F1A" w:rsidP="00EF2F1A">
      <w:pPr>
        <w:spacing w:line="480" w:lineRule="auto"/>
        <w:ind w:left="720" w:hanging="720"/>
      </w:pPr>
      <w:r>
        <w:t xml:space="preserve">Nature </w:t>
      </w:r>
      <w:r w:rsidRPr="00E83631">
        <w:t>Editorial Staff.</w:t>
      </w:r>
      <w:r w:rsidR="00F76BDD">
        <w:t xml:space="preserve"> (2016). Go forth and replicate!</w:t>
      </w:r>
      <w:r w:rsidRPr="00E83631">
        <w:t xml:space="preserve"> </w:t>
      </w:r>
      <w:r w:rsidRPr="002F7DCE">
        <w:rPr>
          <w:i/>
        </w:rPr>
        <w:t>Nature, 536</w:t>
      </w:r>
      <w:r w:rsidRPr="00E83631">
        <w:t>, 373.</w:t>
      </w:r>
      <w:r>
        <w:t xml:space="preserve"> </w:t>
      </w:r>
      <w:r w:rsidR="00504E39">
        <w:t>http</w:t>
      </w:r>
      <w:r w:rsidR="00DE5EC2">
        <w:t>s://doi.org/</w:t>
      </w:r>
      <w:r w:rsidRPr="00C93630">
        <w:t>10.1038/536373a</w:t>
      </w:r>
    </w:p>
    <w:p w14:paraId="12BFF437" w14:textId="77777777" w:rsidR="00945C30" w:rsidRDefault="00945C30" w:rsidP="00D2098F">
      <w:pPr>
        <w:spacing w:line="480" w:lineRule="auto"/>
        <w:rPr>
          <w:color w:val="222222"/>
          <w:shd w:val="clear" w:color="auto" w:fill="FFFFFF"/>
        </w:rPr>
      </w:pPr>
      <w:r w:rsidRPr="00D2098F">
        <w:rPr>
          <w:color w:val="222222"/>
          <w:shd w:val="clear" w:color="auto" w:fill="FFFFFF"/>
        </w:rPr>
        <w:lastRenderedPageBreak/>
        <w:t xml:space="preserve">Nikkelen, S. W., Valkenburg, P. M., Huizinga, M., &amp; Bushman, B. J. (2014). Media use and </w:t>
      </w:r>
    </w:p>
    <w:p w14:paraId="189060D1" w14:textId="77777777" w:rsidR="00945C30" w:rsidRDefault="00945C30" w:rsidP="00D2098F">
      <w:pPr>
        <w:spacing w:line="480" w:lineRule="auto"/>
        <w:rPr>
          <w:i/>
          <w:iCs/>
          <w:color w:val="222222"/>
          <w:shd w:val="clear" w:color="auto" w:fill="FFFFFF"/>
        </w:rPr>
      </w:pPr>
      <w:r>
        <w:rPr>
          <w:color w:val="222222"/>
          <w:shd w:val="clear" w:color="auto" w:fill="FFFFFF"/>
        </w:rPr>
        <w:tab/>
      </w:r>
      <w:r w:rsidRPr="00D2098F">
        <w:rPr>
          <w:color w:val="222222"/>
          <w:shd w:val="clear" w:color="auto" w:fill="FFFFFF"/>
        </w:rPr>
        <w:t>ADHD-related behaviors in children and adolescents: A meta-analysis. </w:t>
      </w:r>
      <w:r w:rsidRPr="00D2098F">
        <w:rPr>
          <w:i/>
          <w:iCs/>
          <w:color w:val="222222"/>
          <w:shd w:val="clear" w:color="auto" w:fill="FFFFFF"/>
        </w:rPr>
        <w:t xml:space="preserve">Developmental </w:t>
      </w:r>
    </w:p>
    <w:p w14:paraId="707E1ADE" w14:textId="73F7DC19" w:rsidR="00945C30" w:rsidRPr="00945C30" w:rsidRDefault="00945C30" w:rsidP="00D2098F">
      <w:pPr>
        <w:spacing w:line="480" w:lineRule="auto"/>
      </w:pPr>
      <w:r>
        <w:rPr>
          <w:i/>
          <w:iCs/>
          <w:color w:val="222222"/>
          <w:shd w:val="clear" w:color="auto" w:fill="FFFFFF"/>
        </w:rPr>
        <w:tab/>
      </w:r>
      <w:r w:rsidRPr="00D2098F">
        <w:rPr>
          <w:i/>
          <w:iCs/>
          <w:color w:val="222222"/>
          <w:shd w:val="clear" w:color="auto" w:fill="FFFFFF"/>
        </w:rPr>
        <w:t>Psychology</w:t>
      </w:r>
      <w:r w:rsidRPr="00D2098F">
        <w:rPr>
          <w:color w:val="222222"/>
          <w:shd w:val="clear" w:color="auto" w:fill="FFFFFF"/>
        </w:rPr>
        <w:t>, </w:t>
      </w:r>
      <w:r w:rsidRPr="00D2098F">
        <w:rPr>
          <w:i/>
          <w:iCs/>
          <w:color w:val="222222"/>
          <w:shd w:val="clear" w:color="auto" w:fill="FFFFFF"/>
        </w:rPr>
        <w:t>50</w:t>
      </w:r>
      <w:r w:rsidRPr="00D2098F">
        <w:rPr>
          <w:color w:val="222222"/>
          <w:shd w:val="clear" w:color="auto" w:fill="FFFFFF"/>
        </w:rPr>
        <w:t>(9), 2228</w:t>
      </w:r>
      <w:r w:rsidR="00CB1B3D">
        <w:rPr>
          <w:color w:val="222222"/>
          <w:shd w:val="clear" w:color="auto" w:fill="FFFFFF"/>
        </w:rPr>
        <w:t>-2241</w:t>
      </w:r>
      <w:r w:rsidRPr="00D2098F">
        <w:rPr>
          <w:color w:val="222222"/>
          <w:shd w:val="clear" w:color="auto" w:fill="FFFFFF"/>
        </w:rPr>
        <w:t>.</w:t>
      </w:r>
      <w:r w:rsidR="00916BA8">
        <w:rPr>
          <w:color w:val="222222"/>
          <w:shd w:val="clear" w:color="auto" w:fill="FFFFFF"/>
        </w:rPr>
        <w:t xml:space="preserve"> </w:t>
      </w:r>
      <w:hyperlink r:id="rId18" w:history="1">
        <w:r w:rsidR="00FA1DA9" w:rsidRPr="00E04C03">
          <w:rPr>
            <w:rStyle w:val="Hyperlink"/>
          </w:rPr>
          <w:t>http://dx.doi.org/10.1037/a0037318</w:t>
        </w:r>
      </w:hyperlink>
    </w:p>
    <w:p w14:paraId="591C8EC9" w14:textId="4510E546" w:rsidR="00FE2CA5" w:rsidRDefault="00FE2CA5" w:rsidP="00FE2CA5">
      <w:pPr>
        <w:spacing w:line="480" w:lineRule="auto"/>
        <w:ind w:left="720" w:hanging="720"/>
      </w:pPr>
      <w:r w:rsidRPr="00C67FB5">
        <w:t>Oliver, J. E., &amp; Wood, T. (2014). Medical conspiracy theories and health behaviors in the United States. </w:t>
      </w:r>
      <w:r w:rsidRPr="00C67FB5">
        <w:rPr>
          <w:i/>
          <w:iCs/>
        </w:rPr>
        <w:t>JAMA Internal Medicine</w:t>
      </w:r>
      <w:r w:rsidRPr="00C67FB5">
        <w:t>, </w:t>
      </w:r>
      <w:r w:rsidRPr="00C67FB5">
        <w:rPr>
          <w:i/>
          <w:iCs/>
        </w:rPr>
        <w:t>174</w:t>
      </w:r>
      <w:r w:rsidRPr="00C67FB5">
        <w:t>(5), 817-818.</w:t>
      </w:r>
      <w:r>
        <w:t xml:space="preserve"> </w:t>
      </w:r>
      <w:r w:rsidR="00504E39">
        <w:t>http</w:t>
      </w:r>
      <w:r w:rsidR="00DE5EC2">
        <w:t>s://</w:t>
      </w:r>
      <w:r w:rsidR="00504E39">
        <w:t>doi.org/</w:t>
      </w:r>
      <w:r w:rsidRPr="00614FBD">
        <w:t>10.1001/jamainternmed.2014.190</w:t>
      </w:r>
    </w:p>
    <w:p w14:paraId="5A0F9038" w14:textId="601A72B5" w:rsidR="00B77D89" w:rsidRDefault="00B77D89" w:rsidP="00FE2CA5">
      <w:pPr>
        <w:spacing w:line="480" w:lineRule="auto"/>
        <w:ind w:left="720" w:hanging="720"/>
      </w:pPr>
      <w:r>
        <w:t xml:space="preserve">Open Science Collaboration. (2015). </w:t>
      </w:r>
      <w:r w:rsidRPr="00B77D89">
        <w:t xml:space="preserve">Estimating the reproducibility of psychological science. </w:t>
      </w:r>
      <w:r w:rsidRPr="00F71468">
        <w:rPr>
          <w:i/>
          <w:iCs/>
        </w:rPr>
        <w:t>Science, 349</w:t>
      </w:r>
      <w:r w:rsidRPr="00B77D89">
        <w:t xml:space="preserve">(6251), aac4716–aac4716. </w:t>
      </w:r>
      <w:r w:rsidR="00504E39">
        <w:t>http</w:t>
      </w:r>
      <w:r w:rsidR="00DE5EC2">
        <w:t>s://doi.org/</w:t>
      </w:r>
      <w:r w:rsidRPr="00B77D89">
        <w:t>10.1126/science.aac4716 </w:t>
      </w:r>
    </w:p>
    <w:p w14:paraId="60AD8479" w14:textId="2421D334" w:rsidR="00596FF2" w:rsidRDefault="00596FF2" w:rsidP="00F71468">
      <w:pPr>
        <w:spacing w:line="480" w:lineRule="auto"/>
        <w:ind w:left="720" w:hanging="720"/>
        <w:rPr>
          <w:color w:val="222222"/>
          <w:shd w:val="clear" w:color="auto" w:fill="FFFFFF"/>
        </w:rPr>
      </w:pPr>
      <w:r w:rsidRPr="00596FF2">
        <w:rPr>
          <w:color w:val="222222"/>
          <w:shd w:val="clear" w:color="auto" w:fill="FFFFFF"/>
        </w:rPr>
        <w:t xml:space="preserve">Orben, A., Dienlin, T., &amp; Przybylski, A. K. (2019). Social media’s enduring effect on adolescent life satisfaction. </w:t>
      </w:r>
      <w:r w:rsidRPr="00F71468">
        <w:rPr>
          <w:i/>
          <w:iCs/>
          <w:color w:val="222222"/>
          <w:shd w:val="clear" w:color="auto" w:fill="FFFFFF"/>
        </w:rPr>
        <w:t>Proceedings of the National Academy of Sciences, 116</w:t>
      </w:r>
      <w:r w:rsidRPr="00596FF2">
        <w:rPr>
          <w:color w:val="222222"/>
          <w:shd w:val="clear" w:color="auto" w:fill="FFFFFF"/>
        </w:rPr>
        <w:t xml:space="preserve">(21), 10226–10228. </w:t>
      </w:r>
      <w:r w:rsidR="00DE5EC2">
        <w:rPr>
          <w:color w:val="222222"/>
          <w:shd w:val="clear" w:color="auto" w:fill="FFFFFF"/>
        </w:rPr>
        <w:t>https://doi.org/</w:t>
      </w:r>
      <w:r w:rsidRPr="00596FF2">
        <w:rPr>
          <w:color w:val="222222"/>
          <w:shd w:val="clear" w:color="auto" w:fill="FFFFFF"/>
        </w:rPr>
        <w:t>10.1073/pnas.1902058116</w:t>
      </w:r>
    </w:p>
    <w:p w14:paraId="67FC24B8" w14:textId="77777777" w:rsidR="003E2077" w:rsidRDefault="003E2077" w:rsidP="00D2098F">
      <w:pPr>
        <w:spacing w:line="480" w:lineRule="auto"/>
        <w:rPr>
          <w:color w:val="222222"/>
          <w:shd w:val="clear" w:color="auto" w:fill="FFFFFF"/>
        </w:rPr>
      </w:pPr>
      <w:r w:rsidRPr="00D2098F">
        <w:rPr>
          <w:color w:val="222222"/>
          <w:shd w:val="clear" w:color="auto" w:fill="FFFFFF"/>
        </w:rPr>
        <w:t xml:space="preserve">Posner, M. I., &amp; Rothbart, M. K. (2018). Temperament and brain networks of </w:t>
      </w:r>
    </w:p>
    <w:p w14:paraId="1EEA3265" w14:textId="17619161" w:rsidR="003E2077" w:rsidRDefault="003E2077" w:rsidP="00D2098F">
      <w:pPr>
        <w:spacing w:line="480" w:lineRule="auto"/>
        <w:rPr>
          <w:color w:val="222222"/>
          <w:shd w:val="clear" w:color="auto" w:fill="FFFFFF"/>
        </w:rPr>
      </w:pPr>
      <w:r>
        <w:rPr>
          <w:color w:val="222222"/>
          <w:shd w:val="clear" w:color="auto" w:fill="FFFFFF"/>
        </w:rPr>
        <w:tab/>
      </w:r>
      <w:r w:rsidRPr="00D2098F">
        <w:rPr>
          <w:color w:val="222222"/>
          <w:shd w:val="clear" w:color="auto" w:fill="FFFFFF"/>
        </w:rPr>
        <w:t>attention. </w:t>
      </w:r>
      <w:r>
        <w:rPr>
          <w:i/>
          <w:iCs/>
          <w:color w:val="222222"/>
          <w:shd w:val="clear" w:color="auto" w:fill="FFFFFF"/>
        </w:rPr>
        <w:t xml:space="preserve">Philosophical </w:t>
      </w:r>
      <w:r w:rsidRPr="003E2077">
        <w:rPr>
          <w:i/>
          <w:iCs/>
          <w:color w:val="222222"/>
          <w:shd w:val="clear" w:color="auto" w:fill="FFFFFF"/>
        </w:rPr>
        <w:t>Trans</w:t>
      </w:r>
      <w:r>
        <w:rPr>
          <w:i/>
          <w:iCs/>
          <w:color w:val="222222"/>
          <w:shd w:val="clear" w:color="auto" w:fill="FFFFFF"/>
        </w:rPr>
        <w:t>actions of the</w:t>
      </w:r>
      <w:r w:rsidRPr="003E2077">
        <w:rPr>
          <w:i/>
          <w:iCs/>
          <w:color w:val="222222"/>
          <w:shd w:val="clear" w:color="auto" w:fill="FFFFFF"/>
        </w:rPr>
        <w:t xml:space="preserve"> R</w:t>
      </w:r>
      <w:r>
        <w:rPr>
          <w:i/>
          <w:iCs/>
          <w:color w:val="222222"/>
          <w:shd w:val="clear" w:color="auto" w:fill="FFFFFF"/>
        </w:rPr>
        <w:t>oyal</w:t>
      </w:r>
      <w:r w:rsidRPr="003E2077">
        <w:rPr>
          <w:i/>
          <w:iCs/>
          <w:color w:val="222222"/>
          <w:shd w:val="clear" w:color="auto" w:fill="FFFFFF"/>
        </w:rPr>
        <w:t xml:space="preserve"> Soc</w:t>
      </w:r>
      <w:r>
        <w:rPr>
          <w:i/>
          <w:iCs/>
          <w:color w:val="222222"/>
          <w:shd w:val="clear" w:color="auto" w:fill="FFFFFF"/>
        </w:rPr>
        <w:t>iety</w:t>
      </w:r>
      <w:r w:rsidRPr="00D2098F">
        <w:rPr>
          <w:i/>
          <w:iCs/>
          <w:color w:val="222222"/>
          <w:shd w:val="clear" w:color="auto" w:fill="FFFFFF"/>
        </w:rPr>
        <w:t xml:space="preserve"> B</w:t>
      </w:r>
      <w:r w:rsidRPr="00D2098F">
        <w:rPr>
          <w:color w:val="222222"/>
          <w:shd w:val="clear" w:color="auto" w:fill="FFFFFF"/>
        </w:rPr>
        <w:t>, </w:t>
      </w:r>
      <w:r w:rsidRPr="00D2098F">
        <w:rPr>
          <w:i/>
          <w:iCs/>
          <w:color w:val="222222"/>
          <w:shd w:val="clear" w:color="auto" w:fill="FFFFFF"/>
        </w:rPr>
        <w:t>373</w:t>
      </w:r>
      <w:r w:rsidRPr="00D2098F">
        <w:rPr>
          <w:color w:val="222222"/>
          <w:shd w:val="clear" w:color="auto" w:fill="FFFFFF"/>
        </w:rPr>
        <w:t>, 20170254.</w:t>
      </w:r>
      <w:r w:rsidR="00916BA8">
        <w:rPr>
          <w:color w:val="222222"/>
          <w:shd w:val="clear" w:color="auto" w:fill="FFFFFF"/>
        </w:rPr>
        <w:t xml:space="preserve"> </w:t>
      </w:r>
    </w:p>
    <w:p w14:paraId="1C1861BA" w14:textId="412DE564" w:rsidR="003E2077" w:rsidRDefault="003E2077" w:rsidP="00D2098F">
      <w:pPr>
        <w:spacing w:line="480" w:lineRule="auto"/>
        <w:rPr>
          <w:shd w:val="clear" w:color="auto" w:fill="FFFFFF"/>
        </w:rPr>
      </w:pPr>
      <w:r w:rsidRPr="00EC75A6">
        <w:rPr>
          <w:shd w:val="clear" w:color="auto" w:fill="FFFFFF"/>
        </w:rPr>
        <w:tab/>
      </w:r>
      <w:hyperlink r:id="rId19" w:history="1">
        <w:r w:rsidR="0044416F" w:rsidRPr="004D66C2">
          <w:rPr>
            <w:rStyle w:val="Hyperlink"/>
            <w:bdr w:val="none" w:sz="0" w:space="0" w:color="auto" w:frame="1"/>
            <w:shd w:val="clear" w:color="auto" w:fill="FFFFFF"/>
          </w:rPr>
          <w:t>https://doi.org/</w:t>
        </w:r>
        <w:r w:rsidR="0044416F" w:rsidRPr="004D66C2">
          <w:rPr>
            <w:rStyle w:val="Hyperlink"/>
            <w:shd w:val="clear" w:color="auto" w:fill="FFFFFF"/>
          </w:rPr>
          <w:t>10.1098/rstb.2017.0254</w:t>
        </w:r>
      </w:hyperlink>
    </w:p>
    <w:p w14:paraId="76EBD614" w14:textId="34C31D41" w:rsidR="0044416F" w:rsidRPr="00EC75A6" w:rsidRDefault="0044416F" w:rsidP="0044416F">
      <w:pPr>
        <w:spacing w:line="480" w:lineRule="auto"/>
        <w:ind w:left="720" w:hanging="720"/>
      </w:pPr>
      <w:r>
        <w:t>R Core Team (2020). R: A language and environment for statistical computing. R Foundation for Statistical Computing, Vienna, Austria. https://www.R-project.org/.</w:t>
      </w:r>
    </w:p>
    <w:p w14:paraId="4F23229C" w14:textId="765521CE" w:rsidR="00EF2F1A" w:rsidRPr="00BD5755" w:rsidRDefault="00EF2F1A" w:rsidP="00EF2F1A">
      <w:pPr>
        <w:spacing w:line="480" w:lineRule="auto"/>
        <w:ind w:left="720" w:hanging="720"/>
        <w:outlineLvl w:val="0"/>
      </w:pPr>
      <w:r w:rsidRPr="00BD5755">
        <w:rPr>
          <w:color w:val="222222"/>
          <w:shd w:val="clear" w:color="auto" w:fill="FFFFFF"/>
        </w:rPr>
        <w:t>Radesky, J. S., Silverstein, M., Zuckerman, B., &amp; Christakis, D. A. (2014). Infant self-regulation and early childhood media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133</w:t>
      </w:r>
      <w:r w:rsidRPr="00BD5755">
        <w:rPr>
          <w:color w:val="222222"/>
          <w:shd w:val="clear" w:color="auto" w:fill="FFFFFF"/>
        </w:rPr>
        <w:t>(5), e1172-e1178.</w:t>
      </w:r>
      <w:r>
        <w:rPr>
          <w:color w:val="222222"/>
          <w:shd w:val="clear" w:color="auto" w:fill="FFFFFF"/>
        </w:rPr>
        <w:t xml:space="preserve"> </w:t>
      </w:r>
      <w:r w:rsidR="00504E39">
        <w:rPr>
          <w:color w:val="222222"/>
          <w:shd w:val="clear" w:color="auto" w:fill="FFFFFF"/>
        </w:rPr>
        <w:t>http</w:t>
      </w:r>
      <w:r w:rsidR="00DE5EC2">
        <w:rPr>
          <w:color w:val="222222"/>
          <w:shd w:val="clear" w:color="auto" w:fill="FFFFFF"/>
        </w:rPr>
        <w:t>s://</w:t>
      </w:r>
      <w:r w:rsidR="00504E39">
        <w:rPr>
          <w:color w:val="222222"/>
          <w:shd w:val="clear" w:color="auto" w:fill="FFFFFF"/>
        </w:rPr>
        <w:t>doi.org/</w:t>
      </w:r>
      <w:r w:rsidRPr="000E57E9">
        <w:rPr>
          <w:color w:val="222222"/>
          <w:shd w:val="clear" w:color="auto" w:fill="FFFFFF"/>
        </w:rPr>
        <w:t>10.1542/peds.2013-2367</w:t>
      </w:r>
    </w:p>
    <w:p w14:paraId="11F389B9" w14:textId="2739E15F" w:rsidR="00EF2F1A" w:rsidRPr="0003674E" w:rsidRDefault="00EF2F1A" w:rsidP="00EF2F1A">
      <w:pPr>
        <w:spacing w:line="480" w:lineRule="auto"/>
        <w:ind w:left="720" w:hanging="720"/>
      </w:pPr>
      <w:r w:rsidRPr="0003674E">
        <w:t xml:space="preserve">Ridgeway, G., McCaffrey, D., Morral, A. Griffin, B., &amp; Burgettey, L. </w:t>
      </w:r>
      <w:r w:rsidR="007B3661">
        <w:t xml:space="preserve">(2017). </w:t>
      </w:r>
      <w:r w:rsidRPr="0003674E">
        <w:rPr>
          <w:i/>
        </w:rPr>
        <w:t>Toolkit for weighting and analysis of nonequivalent groups (TWANG)</w:t>
      </w:r>
      <w:r w:rsidRPr="0003674E">
        <w:t xml:space="preserve"> [R package]. Santa Monica, CA: RAND Corporation.</w:t>
      </w:r>
    </w:p>
    <w:p w14:paraId="17DA4E7A" w14:textId="77777777" w:rsidR="00EF2F1A" w:rsidRPr="006E6456" w:rsidRDefault="00EF2F1A" w:rsidP="00EF2F1A">
      <w:pPr>
        <w:spacing w:line="480" w:lineRule="auto"/>
        <w:ind w:left="720" w:hanging="720"/>
      </w:pPr>
      <w:r>
        <w:lastRenderedPageBreak/>
        <w:t xml:space="preserve">Rohrer, J. M. (2018). Thinking clearly about correlations and causation: Graphical causal models for observational data. </w:t>
      </w:r>
      <w:r w:rsidRPr="00A462FF">
        <w:rPr>
          <w:i/>
        </w:rPr>
        <w:t>Advances in Methods and Practices in Psychological Science</w:t>
      </w:r>
      <w:r>
        <w:rPr>
          <w:i/>
        </w:rPr>
        <w:t>,</w:t>
      </w:r>
      <w:r>
        <w:t xml:space="preserve"> </w:t>
      </w:r>
      <w:r w:rsidRPr="00A462FF">
        <w:rPr>
          <w:i/>
        </w:rPr>
        <w:t>1</w:t>
      </w:r>
      <w:r>
        <w:t xml:space="preserve"> (1), 27-42. </w:t>
      </w:r>
      <w:hyperlink r:id="rId20" w:history="1">
        <w:r w:rsidRPr="006E6456">
          <w:rPr>
            <w:rStyle w:val="Hyperlink"/>
          </w:rPr>
          <w:t>https://doi.org/10.1177/2515245917745629</w:t>
        </w:r>
      </w:hyperlink>
    </w:p>
    <w:p w14:paraId="191E9C51" w14:textId="70C949B7" w:rsidR="001A657D" w:rsidRDefault="001A657D" w:rsidP="00D2098F">
      <w:pPr>
        <w:spacing w:line="480" w:lineRule="auto"/>
        <w:rPr>
          <w:color w:val="222222"/>
          <w:shd w:val="clear" w:color="auto" w:fill="FFFFFF"/>
        </w:rPr>
      </w:pPr>
      <w:r w:rsidRPr="001A657D">
        <w:rPr>
          <w:color w:val="222222"/>
          <w:shd w:val="clear" w:color="auto" w:fill="FFFFFF"/>
        </w:rPr>
        <w:t>Rosenbaum, P.R., &amp; Rubin, D.</w:t>
      </w:r>
      <w:r w:rsidRPr="00D2098F">
        <w:rPr>
          <w:color w:val="222222"/>
          <w:shd w:val="clear" w:color="auto" w:fill="FFFFFF"/>
        </w:rPr>
        <w:t xml:space="preserve">B. (1983). The central role of the propensity score in </w:t>
      </w:r>
    </w:p>
    <w:p w14:paraId="7129C47A" w14:textId="10905A00" w:rsidR="001A657D" w:rsidRPr="00D2098F" w:rsidRDefault="001A657D" w:rsidP="00D2098F">
      <w:pPr>
        <w:spacing w:line="480" w:lineRule="auto"/>
        <w:ind w:left="720"/>
        <w:rPr>
          <w:color w:val="222222"/>
          <w:shd w:val="clear" w:color="auto" w:fill="FFFFFF"/>
        </w:rPr>
      </w:pPr>
      <w:r w:rsidRPr="00D2098F">
        <w:rPr>
          <w:color w:val="222222"/>
          <w:shd w:val="clear" w:color="auto" w:fill="FFFFFF"/>
        </w:rPr>
        <w:t>observational studies for causal effects. </w:t>
      </w:r>
      <w:r w:rsidRPr="00D2098F">
        <w:rPr>
          <w:i/>
          <w:iCs/>
          <w:color w:val="222222"/>
          <w:shd w:val="clear" w:color="auto" w:fill="FFFFFF"/>
        </w:rPr>
        <w:t>Biometrika</w:t>
      </w:r>
      <w:r w:rsidRPr="00D2098F">
        <w:rPr>
          <w:color w:val="222222"/>
          <w:shd w:val="clear" w:color="auto" w:fill="FFFFFF"/>
        </w:rPr>
        <w:t>, </w:t>
      </w:r>
      <w:r w:rsidRPr="00D2098F">
        <w:rPr>
          <w:i/>
          <w:iCs/>
          <w:color w:val="222222"/>
          <w:shd w:val="clear" w:color="auto" w:fill="FFFFFF"/>
        </w:rPr>
        <w:t>70</w:t>
      </w:r>
      <w:r w:rsidRPr="001A657D">
        <w:rPr>
          <w:color w:val="222222"/>
          <w:shd w:val="clear" w:color="auto" w:fill="FFFFFF"/>
        </w:rPr>
        <w:t>, 41</w:t>
      </w:r>
      <w:r>
        <w:rPr>
          <w:color w:val="222222"/>
          <w:shd w:val="clear" w:color="auto" w:fill="FFFFFF"/>
        </w:rPr>
        <w:t>-</w:t>
      </w:r>
      <w:r w:rsidRPr="00D2098F">
        <w:rPr>
          <w:color w:val="222222"/>
          <w:shd w:val="clear" w:color="auto" w:fill="FFFFFF"/>
        </w:rPr>
        <w:t>55.</w:t>
      </w:r>
      <w:r>
        <w:rPr>
          <w:color w:val="222222"/>
          <w:shd w:val="clear" w:color="auto" w:fill="FFFFFF"/>
        </w:rPr>
        <w:t xml:space="preserve"> </w:t>
      </w:r>
      <w:hyperlink r:id="rId21" w:history="1">
        <w:r w:rsidRPr="00D2098F">
          <w:rPr>
            <w:rStyle w:val="Hyperlink"/>
          </w:rPr>
          <w:t>https://doi.org/10.1093/</w:t>
        </w:r>
        <w:r w:rsidRPr="001A657D">
          <w:rPr>
            <w:rStyle w:val="Hyperlink"/>
            <w:bdr w:val="none" w:sz="0" w:space="0" w:color="auto" w:frame="1"/>
            <w:shd w:val="clear" w:color="auto" w:fill="FFFFFF"/>
          </w:rPr>
          <w:t xml:space="preserve"> </w:t>
        </w:r>
        <w:r w:rsidRPr="00D2098F">
          <w:rPr>
            <w:rStyle w:val="Hyperlink"/>
          </w:rPr>
          <w:t>biomet/70.1.41</w:t>
        </w:r>
      </w:hyperlink>
    </w:p>
    <w:p w14:paraId="60BA1084" w14:textId="125D7A7E" w:rsidR="000849B7" w:rsidRPr="00493F13" w:rsidRDefault="000849B7" w:rsidP="000849B7">
      <w:pPr>
        <w:spacing w:line="480" w:lineRule="auto"/>
      </w:pPr>
      <w:r w:rsidRPr="00493F13">
        <w:t>Rothbart, M. K., &amp; Bates, J. E. (2006).</w:t>
      </w:r>
      <w:r w:rsidR="00916BA8">
        <w:t xml:space="preserve"> </w:t>
      </w:r>
      <w:r w:rsidRPr="00493F13">
        <w:t xml:space="preserve">Temperament. In N. Eisenberg, W. Damon, &amp; R. M. </w:t>
      </w:r>
    </w:p>
    <w:p w14:paraId="5D187CA8" w14:textId="18F0C1C3" w:rsidR="000849B7" w:rsidRPr="00493F13" w:rsidRDefault="000849B7" w:rsidP="000849B7">
      <w:pPr>
        <w:spacing w:line="480" w:lineRule="auto"/>
        <w:ind w:firstLine="720"/>
        <w:rPr>
          <w:i/>
        </w:rPr>
      </w:pPr>
      <w:r w:rsidRPr="00493F13">
        <w:t xml:space="preserve">Lerner (Eds.), </w:t>
      </w:r>
      <w:r w:rsidRPr="00493F13">
        <w:rPr>
          <w:i/>
        </w:rPr>
        <w:t>Handbook of child psychology:</w:t>
      </w:r>
      <w:r w:rsidR="00916BA8">
        <w:rPr>
          <w:i/>
        </w:rPr>
        <w:t xml:space="preserve"> </w:t>
      </w:r>
      <w:r w:rsidRPr="00493F13">
        <w:rPr>
          <w:i/>
        </w:rPr>
        <w:t xml:space="preserve">Social, emotional, and personality </w:t>
      </w:r>
    </w:p>
    <w:p w14:paraId="0F7317AB" w14:textId="07A63A28" w:rsidR="000849B7" w:rsidRPr="00493F13" w:rsidRDefault="000849B7" w:rsidP="000849B7">
      <w:pPr>
        <w:spacing w:line="480" w:lineRule="auto"/>
        <w:ind w:firstLine="720"/>
      </w:pPr>
      <w:r w:rsidRPr="00493F13">
        <w:rPr>
          <w:i/>
        </w:rPr>
        <w:t>development (6</w:t>
      </w:r>
      <w:r w:rsidRPr="00493F13">
        <w:rPr>
          <w:i/>
          <w:vertAlign w:val="superscript"/>
        </w:rPr>
        <w:t>th</w:t>
      </w:r>
      <w:r w:rsidRPr="00493F13">
        <w:rPr>
          <w:i/>
        </w:rPr>
        <w:t xml:space="preserve"> ed.), 3, </w:t>
      </w:r>
      <w:r w:rsidRPr="00493F13">
        <w:t>99-166.</w:t>
      </w:r>
      <w:r w:rsidR="00916BA8">
        <w:t xml:space="preserve"> </w:t>
      </w:r>
      <w:r w:rsidRPr="00493F13">
        <w:t>John Wiley &amp; Sons Inc.</w:t>
      </w:r>
    </w:p>
    <w:p w14:paraId="577103C1" w14:textId="5FC0EB1C" w:rsidR="00EF2F1A" w:rsidRDefault="00EF2F1A" w:rsidP="00EF2F1A">
      <w:pPr>
        <w:spacing w:line="480" w:lineRule="auto"/>
        <w:ind w:left="720" w:hanging="720"/>
      </w:pPr>
      <w:r w:rsidRPr="002A1EF8">
        <w:t>Silberzahn, R., Uhlmann, E. L., Martin, D. P., Anselmi, P., Aust, F.,</w:t>
      </w:r>
      <w:r w:rsidR="00743A8E">
        <w:t xml:space="preserve"> Awtrey E., </w:t>
      </w:r>
      <w:r w:rsidR="002620E6" w:rsidRPr="002620E6">
        <w:t>Bahní</w:t>
      </w:r>
      <w:r w:rsidR="00743A8E">
        <w:t>k</w:t>
      </w:r>
      <w:r w:rsidR="00301B6C">
        <w:t xml:space="preserve">, </w:t>
      </w:r>
      <w:r w:rsidR="00301B6C" w:rsidRPr="00301B6C">
        <w:t>Š.</w:t>
      </w:r>
      <w:r w:rsidR="00743A8E">
        <w:t>, Bai, F., Bannard, C., Bonnier, E., Carlsson, R., Cheung, F., Christensen, G., Clay, R., Craig, M. A., Dall Rosa, A., Dam, L</w:t>
      </w:r>
      <w:r w:rsidR="00E444D8">
        <w:t xml:space="preserve">., Evans, M. H., Flores Cervantes, I., </w:t>
      </w:r>
      <w:r w:rsidR="00FA1DA9">
        <w:t>…</w:t>
      </w:r>
      <w:r w:rsidRPr="002A1EF8">
        <w:t xml:space="preserve"> Nosek, B. A. (201</w:t>
      </w:r>
      <w:r w:rsidR="007E4FFF">
        <w:t>8</w:t>
      </w:r>
      <w:r w:rsidRPr="002A1EF8">
        <w:t xml:space="preserve">). </w:t>
      </w:r>
      <w:r w:rsidRPr="00A70F47">
        <w:t>Many analysts, one dataset: Making transparent how variations in analytical choices affect results</w:t>
      </w:r>
      <w:r w:rsidRPr="002A1EF8">
        <w:t>.</w:t>
      </w:r>
      <w:r w:rsidR="007E4FFF">
        <w:t xml:space="preserve"> </w:t>
      </w:r>
      <w:r w:rsidR="007E4FFF">
        <w:rPr>
          <w:i/>
          <w:iCs/>
        </w:rPr>
        <w:t xml:space="preserve">Advanced in Methods and Practices in Psychological Science, </w:t>
      </w:r>
      <w:r w:rsidR="00A01012">
        <w:t>1(3), 337-356.</w:t>
      </w:r>
      <w:r w:rsidRPr="002A1EF8">
        <w:t xml:space="preserve"> </w:t>
      </w:r>
      <w:r w:rsidR="005E2644" w:rsidRPr="005E2644">
        <w:t>https://doi.org/10.1177/2515245917747646</w:t>
      </w:r>
    </w:p>
    <w:p w14:paraId="25A9E2CC" w14:textId="5F437242" w:rsidR="00EF2F1A" w:rsidRPr="00246285" w:rsidRDefault="00EF2F1A" w:rsidP="00EF2F1A">
      <w:pPr>
        <w:spacing w:line="480" w:lineRule="auto"/>
        <w:ind w:left="720" w:hanging="720"/>
        <w:rPr>
          <w:color w:val="000000" w:themeColor="text1"/>
        </w:rPr>
      </w:pPr>
      <w:r w:rsidRPr="00246285">
        <w:rPr>
          <w:color w:val="000000" w:themeColor="text1"/>
          <w:shd w:val="clear" w:color="auto" w:fill="FFFFFF"/>
        </w:rPr>
        <w:t>Simmons, J. P., Nelson, L. D., &amp; Simonsohn, U. (2011). False-positive psychology: Undisclosed flexibility in data collection and analysis allows presenting anything as significant. </w:t>
      </w:r>
      <w:r w:rsidRPr="007D101D">
        <w:rPr>
          <w:i/>
          <w:iCs/>
          <w:color w:val="000000" w:themeColor="text1"/>
          <w:shd w:val="clear" w:color="auto" w:fill="FFFFFF"/>
        </w:rPr>
        <w:t xml:space="preserve">Psychological </w:t>
      </w:r>
      <w:r>
        <w:rPr>
          <w:i/>
          <w:iCs/>
          <w:color w:val="000000" w:themeColor="text1"/>
          <w:shd w:val="clear" w:color="auto" w:fill="FFFFFF"/>
        </w:rPr>
        <w:t>S</w:t>
      </w:r>
      <w:r w:rsidRPr="00246285">
        <w:rPr>
          <w:i/>
          <w:iCs/>
          <w:color w:val="000000" w:themeColor="text1"/>
          <w:shd w:val="clear" w:color="auto" w:fill="FFFFFF"/>
        </w:rPr>
        <w:t>cience</w:t>
      </w:r>
      <w:r w:rsidRPr="00246285">
        <w:rPr>
          <w:color w:val="000000" w:themeColor="text1"/>
          <w:shd w:val="clear" w:color="auto" w:fill="FFFFFF"/>
        </w:rPr>
        <w:t>, </w:t>
      </w:r>
      <w:r w:rsidRPr="00246285">
        <w:rPr>
          <w:i/>
          <w:iCs/>
          <w:color w:val="000000" w:themeColor="text1"/>
          <w:shd w:val="clear" w:color="auto" w:fill="FFFFFF"/>
        </w:rPr>
        <w:t>22</w:t>
      </w:r>
      <w:r w:rsidRPr="00246285">
        <w:rPr>
          <w:color w:val="000000" w:themeColor="text1"/>
          <w:shd w:val="clear" w:color="auto" w:fill="FFFFFF"/>
        </w:rPr>
        <w:t>, 1359-1366.</w:t>
      </w:r>
      <w:r>
        <w:rPr>
          <w:color w:val="000000" w:themeColor="text1"/>
          <w:shd w:val="clear" w:color="auto" w:fill="FFFFFF"/>
        </w:rPr>
        <w:t xml:space="preserve"> </w:t>
      </w:r>
      <w:r w:rsidR="00DE5EC2">
        <w:rPr>
          <w:color w:val="000000" w:themeColor="text1"/>
          <w:shd w:val="clear" w:color="auto" w:fill="FFFFFF"/>
        </w:rPr>
        <w:t>https://</w:t>
      </w:r>
      <w:r w:rsidR="00504E39">
        <w:rPr>
          <w:color w:val="000000" w:themeColor="text1"/>
          <w:shd w:val="clear" w:color="auto" w:fill="FFFFFF"/>
        </w:rPr>
        <w:t>doi.org/</w:t>
      </w:r>
      <w:r w:rsidRPr="00D762F2">
        <w:rPr>
          <w:color w:val="000000" w:themeColor="text1"/>
          <w:shd w:val="clear" w:color="auto" w:fill="FFFFFF"/>
        </w:rPr>
        <w:t>10.1177/0956797611417632</w:t>
      </w:r>
    </w:p>
    <w:p w14:paraId="2EA1AE2B" w14:textId="0AF75A6B" w:rsidR="001371FB" w:rsidRDefault="00EF2F1A" w:rsidP="001371FB">
      <w:pPr>
        <w:spacing w:line="480" w:lineRule="auto"/>
        <w:ind w:left="720" w:hanging="720"/>
        <w:rPr>
          <w:shd w:val="clear" w:color="auto" w:fill="FFFFFF"/>
        </w:rPr>
      </w:pPr>
      <w:r w:rsidRPr="00BD5755">
        <w:rPr>
          <w:shd w:val="clear" w:color="auto" w:fill="FFFFFF"/>
        </w:rPr>
        <w:t>Smith, P. H., Dixon Jr, W. E., Jankowski, J. J., Sanscrainte, M. M., Davidson, B. K., &amp;</w:t>
      </w:r>
      <w:r>
        <w:rPr>
          <w:shd w:val="clear" w:color="auto" w:fill="FFFFFF"/>
        </w:rPr>
        <w:t xml:space="preserve"> </w:t>
      </w:r>
    </w:p>
    <w:p w14:paraId="07D36FED" w14:textId="263509A8" w:rsidR="00EF2F1A" w:rsidRDefault="00EF2F1A" w:rsidP="00D2098F">
      <w:pPr>
        <w:spacing w:line="480" w:lineRule="auto"/>
        <w:ind w:left="720"/>
        <w:rPr>
          <w:shd w:val="clear" w:color="auto" w:fill="FFFFFF"/>
        </w:rPr>
      </w:pPr>
      <w:r>
        <w:rPr>
          <w:shd w:val="clear" w:color="auto" w:fill="FFFFFF"/>
        </w:rPr>
        <w:t>L</w:t>
      </w:r>
      <w:r w:rsidRPr="00BD5755">
        <w:rPr>
          <w:shd w:val="clear" w:color="auto" w:fill="FFFFFF"/>
        </w:rPr>
        <w:t>oboschefski, T. (1997). Longitudinal</w:t>
      </w:r>
      <w:r>
        <w:rPr>
          <w:shd w:val="clear" w:color="auto" w:fill="FFFFFF"/>
        </w:rPr>
        <w:t xml:space="preserve"> r</w:t>
      </w:r>
      <w:r w:rsidRPr="00BD5755">
        <w:rPr>
          <w:shd w:val="clear" w:color="auto" w:fill="FFFFFF"/>
        </w:rPr>
        <w:t>elationships between habituation and</w:t>
      </w:r>
      <w:r>
        <w:rPr>
          <w:shd w:val="clear" w:color="auto" w:fill="FFFFFF"/>
        </w:rPr>
        <w:t xml:space="preserve"> </w:t>
      </w:r>
      <w:r w:rsidRPr="00BD5755">
        <w:rPr>
          <w:shd w:val="clear" w:color="auto" w:fill="FFFFFF"/>
        </w:rPr>
        <w:t>temperament in infancy. </w:t>
      </w:r>
      <w:r w:rsidRPr="00246285">
        <w:rPr>
          <w:i/>
          <w:iCs/>
          <w:shd w:val="clear" w:color="auto" w:fill="FFFFFF"/>
        </w:rPr>
        <w:t>Merrill-Palmer Quarterly</w:t>
      </w:r>
      <w:r w:rsidR="001371FB">
        <w:rPr>
          <w:iCs/>
          <w:shd w:val="clear" w:color="auto" w:fill="FFFFFF"/>
        </w:rPr>
        <w:t xml:space="preserve">, </w:t>
      </w:r>
      <w:r w:rsidR="001371FB" w:rsidRPr="001371FB">
        <w:rPr>
          <w:i/>
          <w:iCs/>
          <w:shd w:val="clear" w:color="auto" w:fill="FFFFFF"/>
        </w:rPr>
        <w:t>46</w:t>
      </w:r>
      <w:r w:rsidR="001371FB">
        <w:rPr>
          <w:iCs/>
          <w:shd w:val="clear" w:color="auto" w:fill="FFFFFF"/>
        </w:rPr>
        <w:t xml:space="preserve">, </w:t>
      </w:r>
      <w:r w:rsidRPr="001371FB">
        <w:rPr>
          <w:shd w:val="clear" w:color="auto" w:fill="FFFFFF"/>
        </w:rPr>
        <w:t>291</w:t>
      </w:r>
      <w:r w:rsidRPr="00BD5755">
        <w:rPr>
          <w:shd w:val="clear" w:color="auto" w:fill="FFFFFF"/>
        </w:rPr>
        <w:t>-304.</w:t>
      </w:r>
      <w:r>
        <w:rPr>
          <w:shd w:val="clear" w:color="auto" w:fill="FFFFFF"/>
        </w:rPr>
        <w:t xml:space="preserve"> </w:t>
      </w:r>
    </w:p>
    <w:p w14:paraId="3569882F" w14:textId="77777777" w:rsidR="00EF2F1A" w:rsidRDefault="00EF2F1A" w:rsidP="00EF2F1A">
      <w:pPr>
        <w:spacing w:line="480" w:lineRule="auto"/>
        <w:ind w:left="720" w:hanging="720"/>
        <w:rPr>
          <w:rStyle w:val="Hyperlink"/>
        </w:rPr>
      </w:pPr>
      <w:r>
        <w:lastRenderedPageBreak/>
        <w:t xml:space="preserve">Steegen, S., Tuerlinckx, F., Gelman, A., &amp; Vanpaemel, W. (2016). Increasing transparency through a multiverse analysis. </w:t>
      </w:r>
      <w:r>
        <w:rPr>
          <w:i/>
        </w:rPr>
        <w:t>Perspectives on Psychological Science, 11</w:t>
      </w:r>
      <w:r>
        <w:t xml:space="preserve">(5), 702-712. </w:t>
      </w:r>
      <w:hyperlink r:id="rId22" w:history="1">
        <w:r w:rsidRPr="00EA7C8C">
          <w:rPr>
            <w:rStyle w:val="Hyperlink"/>
          </w:rPr>
          <w:t>https://doi.org/10.1177/1745691616658637</w:t>
        </w:r>
      </w:hyperlink>
    </w:p>
    <w:p w14:paraId="2C9A51C9" w14:textId="7736B31F" w:rsidR="00EF2F1A" w:rsidRDefault="00EF2F1A" w:rsidP="00EF2F1A">
      <w:pPr>
        <w:spacing w:line="480" w:lineRule="auto"/>
        <w:ind w:left="720" w:hanging="720"/>
        <w:contextualSpacing/>
      </w:pPr>
      <w:r w:rsidRPr="001E446A">
        <w:t>Sullivan, E. L., Holton, K. F., Nousen, E. K., Barling, A. N., Sullivan, C. A., Propper, C. B., &amp; Nigg, J. T. (2015). Early identification of ADHD risk via infant temperament and emotion regulation: a pilot study. </w:t>
      </w:r>
      <w:r w:rsidRPr="001E446A">
        <w:rPr>
          <w:i/>
          <w:iCs/>
        </w:rPr>
        <w:t>Journal of</w:t>
      </w:r>
      <w:r>
        <w:rPr>
          <w:i/>
          <w:iCs/>
        </w:rPr>
        <w:t xml:space="preserve"> C</w:t>
      </w:r>
      <w:r w:rsidRPr="001E446A">
        <w:rPr>
          <w:i/>
          <w:iCs/>
        </w:rPr>
        <w:t xml:space="preserve">hild </w:t>
      </w:r>
      <w:r>
        <w:rPr>
          <w:i/>
          <w:iCs/>
        </w:rPr>
        <w:t>P</w:t>
      </w:r>
      <w:r w:rsidRPr="001E446A">
        <w:rPr>
          <w:i/>
          <w:iCs/>
        </w:rPr>
        <w:t xml:space="preserve">sychology and </w:t>
      </w:r>
      <w:r>
        <w:rPr>
          <w:i/>
          <w:iCs/>
        </w:rPr>
        <w:t>P</w:t>
      </w:r>
      <w:r w:rsidRPr="001E446A">
        <w:rPr>
          <w:i/>
          <w:iCs/>
        </w:rPr>
        <w:t>sychiatry</w:t>
      </w:r>
      <w:r w:rsidRPr="001E446A">
        <w:t>, </w:t>
      </w:r>
      <w:r w:rsidRPr="001E446A">
        <w:rPr>
          <w:i/>
          <w:iCs/>
        </w:rPr>
        <w:t>56</w:t>
      </w:r>
      <w:r w:rsidRPr="001E446A">
        <w:t>(9), 949-957.</w:t>
      </w:r>
      <w:r>
        <w:t xml:space="preserve"> </w:t>
      </w:r>
      <w:r w:rsidR="00DE5EC2">
        <w:t>https://</w:t>
      </w:r>
      <w:r w:rsidR="00504E39">
        <w:t>doi.org/</w:t>
      </w:r>
      <w:r w:rsidRPr="00D75FEA">
        <w:t>10.1111/jcpp.12426</w:t>
      </w:r>
    </w:p>
    <w:p w14:paraId="3A3A957F" w14:textId="77777777" w:rsidR="00EF2F1A" w:rsidRDefault="00EF2F1A" w:rsidP="00EF2F1A">
      <w:pPr>
        <w:spacing w:line="480" w:lineRule="auto"/>
        <w:ind w:left="720" w:hanging="720"/>
        <w:outlineLvl w:val="0"/>
        <w:rPr>
          <w:color w:val="222222"/>
          <w:shd w:val="clear" w:color="auto" w:fill="FFFFFF"/>
        </w:rPr>
      </w:pPr>
      <w:r w:rsidRPr="00BD5755">
        <w:rPr>
          <w:color w:val="222222"/>
          <w:shd w:val="clear" w:color="auto" w:fill="FFFFFF"/>
        </w:rPr>
        <w:t>Thompson, A. L., Adair, L. S., &amp; Bentley, M. E. (2013). Maternal characteristics and perception of temperament associated with</w:t>
      </w:r>
      <w:r>
        <w:rPr>
          <w:color w:val="222222"/>
          <w:shd w:val="clear" w:color="auto" w:fill="FFFFFF"/>
        </w:rPr>
        <w:t xml:space="preserve"> </w:t>
      </w:r>
      <w:r w:rsidRPr="00BD5755">
        <w:rPr>
          <w:color w:val="222222"/>
          <w:shd w:val="clear" w:color="auto" w:fill="FFFFFF"/>
        </w:rPr>
        <w:t>infant TV exposure. </w:t>
      </w:r>
      <w:r w:rsidRPr="00BD5755">
        <w:rPr>
          <w:i/>
          <w:iCs/>
          <w:color w:val="222222"/>
          <w:shd w:val="clear" w:color="auto" w:fill="FFFFFF"/>
        </w:rPr>
        <w:t>Pediatrics</w:t>
      </w:r>
      <w:r w:rsidRPr="00BD5755">
        <w:rPr>
          <w:color w:val="222222"/>
          <w:shd w:val="clear" w:color="auto" w:fill="FFFFFF"/>
        </w:rPr>
        <w:t>, </w:t>
      </w:r>
      <w:r w:rsidRPr="00BD5755">
        <w:rPr>
          <w:i/>
          <w:iCs/>
          <w:color w:val="222222"/>
          <w:shd w:val="clear" w:color="auto" w:fill="FFFFFF"/>
        </w:rPr>
        <w:t>131</w:t>
      </w:r>
      <w:r w:rsidRPr="00BD5755">
        <w:rPr>
          <w:color w:val="222222"/>
          <w:shd w:val="clear" w:color="auto" w:fill="FFFFFF"/>
        </w:rPr>
        <w:t>(2), e390-e397.</w:t>
      </w:r>
      <w:r>
        <w:rPr>
          <w:color w:val="222222"/>
          <w:shd w:val="clear" w:color="auto" w:fill="FFFFFF"/>
        </w:rPr>
        <w:t xml:space="preserve"> doi </w:t>
      </w:r>
      <w:r w:rsidRPr="009132DC">
        <w:rPr>
          <w:color w:val="222222"/>
          <w:shd w:val="clear" w:color="auto" w:fill="FFFFFF"/>
        </w:rPr>
        <w:t>10.1542/peds.2012-1224</w:t>
      </w:r>
    </w:p>
    <w:p w14:paraId="7485E959" w14:textId="16AC53BD" w:rsidR="00EF2F1A" w:rsidRPr="008A75EF" w:rsidRDefault="00EF2F1A" w:rsidP="00EF2F1A">
      <w:pPr>
        <w:spacing w:line="480" w:lineRule="auto"/>
        <w:ind w:left="720" w:hanging="720"/>
      </w:pPr>
      <w:r w:rsidRPr="002F7DCE">
        <w:rPr>
          <w:color w:val="222222"/>
          <w:shd w:val="clear" w:color="auto" w:fill="FFFFFF"/>
        </w:rPr>
        <w:t>Trzesniewski, K. H., Donnellan, M. B., &amp; Robins, R. W. (2003). Stability of self-esteem across the life span. </w:t>
      </w:r>
      <w:r w:rsidRPr="008A75EF">
        <w:rPr>
          <w:i/>
          <w:iCs/>
          <w:color w:val="222222"/>
          <w:shd w:val="clear" w:color="auto" w:fill="FFFFFF"/>
        </w:rPr>
        <w:t xml:space="preserve">Journal of </w:t>
      </w:r>
      <w:r>
        <w:rPr>
          <w:i/>
          <w:iCs/>
          <w:color w:val="222222"/>
          <w:shd w:val="clear" w:color="auto" w:fill="FFFFFF"/>
        </w:rPr>
        <w:t>P</w:t>
      </w:r>
      <w:r w:rsidRPr="002F7DCE">
        <w:rPr>
          <w:i/>
          <w:iCs/>
          <w:color w:val="222222"/>
          <w:shd w:val="clear" w:color="auto" w:fill="FFFFFF"/>
        </w:rPr>
        <w:t xml:space="preserve">ersonality </w:t>
      </w:r>
      <w:r w:rsidRPr="008A75EF">
        <w:rPr>
          <w:i/>
          <w:iCs/>
          <w:color w:val="222222"/>
          <w:shd w:val="clear" w:color="auto" w:fill="FFFFFF"/>
        </w:rPr>
        <w:t xml:space="preserve">and </w:t>
      </w:r>
      <w:r>
        <w:rPr>
          <w:i/>
          <w:iCs/>
          <w:color w:val="222222"/>
          <w:shd w:val="clear" w:color="auto" w:fill="FFFFFF"/>
        </w:rPr>
        <w:t>S</w:t>
      </w:r>
      <w:r w:rsidRPr="008A75EF">
        <w:rPr>
          <w:i/>
          <w:iCs/>
          <w:color w:val="222222"/>
          <w:shd w:val="clear" w:color="auto" w:fill="FFFFFF"/>
        </w:rPr>
        <w:t xml:space="preserve">ocial </w:t>
      </w:r>
      <w:r>
        <w:rPr>
          <w:i/>
          <w:iCs/>
          <w:color w:val="222222"/>
          <w:shd w:val="clear" w:color="auto" w:fill="FFFFFF"/>
        </w:rPr>
        <w:t>P</w:t>
      </w:r>
      <w:r w:rsidRPr="002F7DCE">
        <w:rPr>
          <w:i/>
          <w:iCs/>
          <w:color w:val="222222"/>
          <w:shd w:val="clear" w:color="auto" w:fill="FFFFFF"/>
        </w:rPr>
        <w:t>sychology</w:t>
      </w:r>
      <w:r w:rsidRPr="002F7DCE">
        <w:rPr>
          <w:color w:val="222222"/>
          <w:shd w:val="clear" w:color="auto" w:fill="FFFFFF"/>
        </w:rPr>
        <w:t>, </w:t>
      </w:r>
      <w:r w:rsidRPr="002F7DCE">
        <w:rPr>
          <w:i/>
          <w:iCs/>
          <w:color w:val="222222"/>
          <w:shd w:val="clear" w:color="auto" w:fill="FFFFFF"/>
        </w:rPr>
        <w:t>84</w:t>
      </w:r>
      <w:r w:rsidRPr="002F7DCE">
        <w:rPr>
          <w:color w:val="222222"/>
          <w:shd w:val="clear" w:color="auto" w:fill="FFFFFF"/>
        </w:rPr>
        <w:t>, 205</w:t>
      </w:r>
      <w:r>
        <w:rPr>
          <w:color w:val="222222"/>
          <w:shd w:val="clear" w:color="auto" w:fill="FFFFFF"/>
        </w:rPr>
        <w:t>-220</w:t>
      </w:r>
      <w:r w:rsidRPr="002F7DCE">
        <w:rPr>
          <w:color w:val="222222"/>
          <w:shd w:val="clear" w:color="auto" w:fill="FFFFFF"/>
        </w:rPr>
        <w:t>.</w:t>
      </w:r>
      <w:r>
        <w:rPr>
          <w:color w:val="222222"/>
          <w:shd w:val="clear" w:color="auto" w:fill="FFFFFF"/>
        </w:rPr>
        <w:t xml:space="preserve"> </w:t>
      </w:r>
      <w:r w:rsidR="00DE5EC2">
        <w:rPr>
          <w:color w:val="222222"/>
          <w:shd w:val="clear" w:color="auto" w:fill="FFFFFF"/>
        </w:rPr>
        <w:t>https://</w:t>
      </w:r>
      <w:r w:rsidR="00504E39">
        <w:rPr>
          <w:color w:val="222222"/>
          <w:shd w:val="clear" w:color="auto" w:fill="FFFFFF"/>
        </w:rPr>
        <w:t>doi.org/</w:t>
      </w:r>
      <w:r w:rsidRPr="00CB13EB">
        <w:rPr>
          <w:color w:val="222222"/>
          <w:shd w:val="clear" w:color="auto" w:fill="FFFFFF"/>
        </w:rPr>
        <w:t>10.1037/0022-3514.84.1.205</w:t>
      </w:r>
    </w:p>
    <w:p w14:paraId="13397524" w14:textId="369BDADA" w:rsidR="00EF2F1A" w:rsidRPr="0003674E" w:rsidRDefault="00EF2F1A" w:rsidP="00EF2F1A">
      <w:pPr>
        <w:spacing w:line="480" w:lineRule="auto"/>
        <w:ind w:left="720" w:hanging="720"/>
      </w:pPr>
      <w:r w:rsidRPr="0003674E">
        <w:t xml:space="preserve">van Buuren, S., &amp; Groothuis-Oudshoorn, K. (2011). mice: Multivariate Imputation by Chained Equations in R. </w:t>
      </w:r>
      <w:r w:rsidRPr="0003674E">
        <w:rPr>
          <w:i/>
        </w:rPr>
        <w:t>Journal of Statistical Software, 45</w:t>
      </w:r>
      <w:r w:rsidRPr="0003674E">
        <w:t xml:space="preserve">(3), 1-67. </w:t>
      </w:r>
      <w:r w:rsidR="00DE5EC2">
        <w:t>https://</w:t>
      </w:r>
      <w:r w:rsidR="00504E39">
        <w:t>doi.org/</w:t>
      </w:r>
      <w:r w:rsidRPr="0003674E">
        <w:t>10.18637/jss.v045.i03</w:t>
      </w:r>
    </w:p>
    <w:p w14:paraId="101DC9FB" w14:textId="77777777" w:rsidR="00D4208D" w:rsidRDefault="00D4208D" w:rsidP="00D4208D">
      <w:pPr>
        <w:spacing w:line="480" w:lineRule="auto"/>
        <w:rPr>
          <w:color w:val="222222"/>
          <w:shd w:val="clear" w:color="auto" w:fill="FFFFFF"/>
        </w:rPr>
      </w:pPr>
      <w:r w:rsidRPr="007473FE">
        <w:rPr>
          <w:color w:val="222222"/>
          <w:shd w:val="clear" w:color="auto" w:fill="FFFFFF"/>
        </w:rPr>
        <w:t>Wakefield, A.J., Murch, S.</w:t>
      </w:r>
      <w:r w:rsidRPr="00D2098F">
        <w:rPr>
          <w:color w:val="222222"/>
          <w:shd w:val="clear" w:color="auto" w:fill="FFFFFF"/>
        </w:rPr>
        <w:t>H., Antho</w:t>
      </w:r>
      <w:r w:rsidRPr="007473FE">
        <w:rPr>
          <w:color w:val="222222"/>
          <w:shd w:val="clear" w:color="auto" w:fill="FFFFFF"/>
        </w:rPr>
        <w:t>ny, A., Linnell, J., Casson, D.</w:t>
      </w:r>
      <w:r w:rsidRPr="00D2098F">
        <w:rPr>
          <w:color w:val="222222"/>
          <w:shd w:val="clear" w:color="auto" w:fill="FFFFFF"/>
        </w:rPr>
        <w:t xml:space="preserve">M., Malik, M., ... &amp; </w:t>
      </w:r>
      <w:r>
        <w:rPr>
          <w:color w:val="222222"/>
          <w:shd w:val="clear" w:color="auto" w:fill="FFFFFF"/>
        </w:rPr>
        <w:t>Walker-</w:t>
      </w:r>
    </w:p>
    <w:p w14:paraId="61DA6312" w14:textId="77777777" w:rsidR="00D4208D" w:rsidRDefault="00D4208D" w:rsidP="00D4208D">
      <w:pPr>
        <w:spacing w:line="480" w:lineRule="auto"/>
        <w:rPr>
          <w:color w:val="222222"/>
          <w:shd w:val="clear" w:color="auto" w:fill="FFFFFF"/>
        </w:rPr>
      </w:pPr>
      <w:r>
        <w:rPr>
          <w:color w:val="222222"/>
          <w:shd w:val="clear" w:color="auto" w:fill="FFFFFF"/>
        </w:rPr>
        <w:tab/>
        <w:t>Smith, J.</w:t>
      </w:r>
      <w:r w:rsidRPr="00D2098F">
        <w:rPr>
          <w:color w:val="222222"/>
          <w:shd w:val="clear" w:color="auto" w:fill="FFFFFF"/>
        </w:rPr>
        <w:t xml:space="preserve">A. (1998). RETRACTED: Ileal-lymphoid-nodular hyperplasia, non-specific </w:t>
      </w:r>
    </w:p>
    <w:p w14:paraId="12178EEC" w14:textId="77777777" w:rsidR="00D4208D" w:rsidRPr="00E02AEC" w:rsidRDefault="00D4208D" w:rsidP="00D4208D">
      <w:pPr>
        <w:spacing w:line="480" w:lineRule="auto"/>
      </w:pPr>
      <w:r>
        <w:rPr>
          <w:color w:val="222222"/>
          <w:shd w:val="clear" w:color="auto" w:fill="FFFFFF"/>
        </w:rPr>
        <w:tab/>
      </w:r>
      <w:r w:rsidRPr="00D2098F">
        <w:rPr>
          <w:color w:val="222222"/>
          <w:shd w:val="clear" w:color="auto" w:fill="FFFFFF"/>
        </w:rPr>
        <w:t>colitis, and pervasive developmental disorder in children.</w:t>
      </w:r>
      <w:r>
        <w:rPr>
          <w:color w:val="222222"/>
          <w:shd w:val="clear" w:color="auto" w:fill="FFFFFF"/>
        </w:rPr>
        <w:t xml:space="preserve"> </w:t>
      </w:r>
      <w:r>
        <w:rPr>
          <w:i/>
          <w:color w:val="222222"/>
          <w:shd w:val="clear" w:color="auto" w:fill="FFFFFF"/>
        </w:rPr>
        <w:t>The Lancet</w:t>
      </w:r>
      <w:r>
        <w:rPr>
          <w:color w:val="222222"/>
          <w:shd w:val="clear" w:color="auto" w:fill="FFFFFF"/>
        </w:rPr>
        <w:t>.</w:t>
      </w:r>
    </w:p>
    <w:p w14:paraId="699C5EF0" w14:textId="6B8696BF" w:rsidR="00BC7FDC" w:rsidRPr="00BA09F4" w:rsidRDefault="00BC7FDC" w:rsidP="00EF2F1A">
      <w:pPr>
        <w:spacing w:line="480" w:lineRule="auto"/>
        <w:ind w:left="720" w:hanging="720"/>
      </w:pPr>
      <w:r w:rsidRPr="00BC7FDC">
        <w:t xml:space="preserve">Westfall, J., &amp; Yarkoni, T. (2016). Statistically Controlling for Confounding Constructs Is Harder than You Think. PLOS ONE, </w:t>
      </w:r>
      <w:r w:rsidRPr="00F71468">
        <w:rPr>
          <w:i/>
          <w:iCs/>
        </w:rPr>
        <w:t>11</w:t>
      </w:r>
      <w:r w:rsidRPr="00BC7FDC">
        <w:t xml:space="preserve">(3), e0152719. </w:t>
      </w:r>
      <w:r w:rsidR="00504E39">
        <w:t>http</w:t>
      </w:r>
      <w:r w:rsidR="00DE5EC2">
        <w:t>s://doi.org/</w:t>
      </w:r>
      <w:r w:rsidRPr="00BC7FDC">
        <w:t>10.1371/journal.pone.0152719</w:t>
      </w:r>
    </w:p>
    <w:p w14:paraId="3118CF28" w14:textId="066BE4DE" w:rsidR="00067050" w:rsidRDefault="00067050"/>
    <w:p w14:paraId="3AF1BA3B" w14:textId="77777777" w:rsidR="006B6601" w:rsidRDefault="006B6601">
      <w:r>
        <w:br w:type="page"/>
      </w:r>
    </w:p>
    <w:p w14:paraId="5C5775DF" w14:textId="02FCE534" w:rsidR="002D23D6" w:rsidRDefault="00067050">
      <w:r>
        <w:lastRenderedPageBreak/>
        <w:t>Table 1</w:t>
      </w:r>
    </w:p>
    <w:p w14:paraId="70E04F01" w14:textId="6EF0936E" w:rsidR="00810A7C" w:rsidRDefault="00810A7C">
      <w:r>
        <w:t>Conceptual map of analytic decisions for the multi</w:t>
      </w:r>
      <w:r w:rsidR="000422F6">
        <w:t>verse analyses</w:t>
      </w:r>
    </w:p>
    <w:tbl>
      <w:tblPr>
        <w:tblW w:w="7560" w:type="dxa"/>
        <w:tblLayout w:type="fixed"/>
        <w:tblLook w:val="04A0" w:firstRow="1" w:lastRow="0" w:firstColumn="1" w:lastColumn="0" w:noHBand="0" w:noVBand="1"/>
      </w:tblPr>
      <w:tblGrid>
        <w:gridCol w:w="2520"/>
        <w:gridCol w:w="5040"/>
      </w:tblGrid>
      <w:tr w:rsidR="00E8773A" w14:paraId="712F3BF7" w14:textId="77777777" w:rsidTr="004E7193">
        <w:trPr>
          <w:trHeight w:val="141"/>
        </w:trPr>
        <w:tc>
          <w:tcPr>
            <w:tcW w:w="2520" w:type="dxa"/>
            <w:tcBorders>
              <w:top w:val="single" w:sz="4" w:space="0" w:color="auto"/>
              <w:left w:val="nil"/>
              <w:bottom w:val="nil"/>
              <w:right w:val="nil"/>
            </w:tcBorders>
            <w:shd w:val="clear" w:color="auto" w:fill="auto"/>
            <w:noWrap/>
            <w:vAlign w:val="bottom"/>
            <w:hideMark/>
          </w:tcPr>
          <w:p w14:paraId="0129B08B" w14:textId="77777777" w:rsidR="002D23D6" w:rsidRDefault="002D23D6">
            <w:pPr>
              <w:rPr>
                <w:color w:val="000000"/>
                <w:sz w:val="22"/>
                <w:szCs w:val="22"/>
              </w:rPr>
            </w:pPr>
            <w:r>
              <w:rPr>
                <w:color w:val="000000"/>
                <w:sz w:val="22"/>
                <w:szCs w:val="22"/>
              </w:rPr>
              <w:t> </w:t>
            </w:r>
          </w:p>
        </w:tc>
        <w:tc>
          <w:tcPr>
            <w:tcW w:w="5040" w:type="dxa"/>
            <w:tcBorders>
              <w:top w:val="single" w:sz="4" w:space="0" w:color="auto"/>
              <w:left w:val="nil"/>
              <w:bottom w:val="nil"/>
              <w:right w:val="nil"/>
            </w:tcBorders>
            <w:shd w:val="clear" w:color="auto" w:fill="auto"/>
            <w:noWrap/>
            <w:vAlign w:val="bottom"/>
            <w:hideMark/>
          </w:tcPr>
          <w:p w14:paraId="376678A6" w14:textId="77777777" w:rsidR="002D23D6" w:rsidRDefault="002D23D6">
            <w:pPr>
              <w:rPr>
                <w:color w:val="000000"/>
                <w:sz w:val="22"/>
                <w:szCs w:val="22"/>
              </w:rPr>
            </w:pPr>
            <w:r>
              <w:rPr>
                <w:color w:val="000000"/>
                <w:sz w:val="22"/>
                <w:szCs w:val="22"/>
              </w:rPr>
              <w:t> </w:t>
            </w:r>
          </w:p>
        </w:tc>
      </w:tr>
      <w:tr w:rsidR="00E8773A" w14:paraId="2689B994"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C1C58DC" w14:textId="77777777" w:rsidR="002D23D6" w:rsidRDefault="002D23D6">
            <w:pPr>
              <w:jc w:val="center"/>
              <w:rPr>
                <w:b/>
                <w:bCs/>
                <w:color w:val="000000"/>
                <w:sz w:val="22"/>
                <w:szCs w:val="22"/>
              </w:rPr>
            </w:pPr>
            <w:r>
              <w:rPr>
                <w:b/>
                <w:bCs/>
                <w:color w:val="000000"/>
                <w:sz w:val="22"/>
                <w:szCs w:val="22"/>
              </w:rPr>
              <w:t>Multiverse I</w:t>
            </w:r>
          </w:p>
        </w:tc>
      </w:tr>
      <w:tr w:rsidR="00E8773A" w14:paraId="1E0C9599"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0CA12B73" w14:textId="320A34FF" w:rsidR="002D23D6" w:rsidRDefault="002D23D6">
            <w:pPr>
              <w:jc w:val="center"/>
              <w:rPr>
                <w:color w:val="000000"/>
                <w:sz w:val="22"/>
                <w:szCs w:val="22"/>
              </w:rPr>
            </w:pPr>
            <w:r>
              <w:rPr>
                <w:color w:val="000000"/>
                <w:sz w:val="22"/>
                <w:szCs w:val="22"/>
              </w:rPr>
              <w:t xml:space="preserve">Logistic regression (504 total, </w:t>
            </w:r>
            <w:r w:rsidR="00C94E1E">
              <w:rPr>
                <w:color w:val="000000"/>
                <w:sz w:val="22"/>
                <w:szCs w:val="22"/>
              </w:rPr>
              <w:t>200</w:t>
            </w:r>
            <w:r>
              <w:rPr>
                <w:color w:val="000000"/>
                <w:sz w:val="22"/>
                <w:szCs w:val="22"/>
              </w:rPr>
              <w:t xml:space="preserve"> non-redundant)</w:t>
            </w:r>
          </w:p>
        </w:tc>
      </w:tr>
      <w:tr w:rsidR="00E8773A" w14:paraId="4A587EBE" w14:textId="77777777" w:rsidTr="004E7193">
        <w:trPr>
          <w:trHeight w:val="141"/>
        </w:trPr>
        <w:tc>
          <w:tcPr>
            <w:tcW w:w="2520" w:type="dxa"/>
            <w:tcBorders>
              <w:top w:val="nil"/>
              <w:left w:val="nil"/>
              <w:bottom w:val="nil"/>
              <w:right w:val="nil"/>
            </w:tcBorders>
            <w:shd w:val="clear" w:color="auto" w:fill="auto"/>
            <w:noWrap/>
            <w:vAlign w:val="bottom"/>
            <w:hideMark/>
          </w:tcPr>
          <w:p w14:paraId="63D3D89C"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5129C431" w14:textId="77777777" w:rsidR="002D23D6" w:rsidRDefault="002D23D6">
            <w:pPr>
              <w:rPr>
                <w:sz w:val="20"/>
                <w:szCs w:val="20"/>
              </w:rPr>
            </w:pPr>
          </w:p>
        </w:tc>
      </w:tr>
      <w:tr w:rsidR="00E8773A" w14:paraId="20584BBB" w14:textId="77777777" w:rsidTr="004E7193">
        <w:trPr>
          <w:trHeight w:val="359"/>
        </w:trPr>
        <w:tc>
          <w:tcPr>
            <w:tcW w:w="2520" w:type="dxa"/>
            <w:tcBorders>
              <w:top w:val="single" w:sz="4" w:space="0" w:color="auto"/>
              <w:left w:val="nil"/>
              <w:bottom w:val="single" w:sz="4" w:space="0" w:color="auto"/>
              <w:right w:val="nil"/>
            </w:tcBorders>
            <w:shd w:val="clear" w:color="auto" w:fill="auto"/>
            <w:noWrap/>
            <w:vAlign w:val="center"/>
            <w:hideMark/>
          </w:tcPr>
          <w:p w14:paraId="40030AED" w14:textId="77777777" w:rsidR="002D23D6" w:rsidRDefault="002D23D6">
            <w:pPr>
              <w:rPr>
                <w:color w:val="000000"/>
                <w:sz w:val="22"/>
                <w:szCs w:val="22"/>
              </w:rPr>
            </w:pPr>
            <w:r>
              <w:rPr>
                <w:color w:val="000000"/>
                <w:sz w:val="22"/>
                <w:szCs w:val="22"/>
              </w:rPr>
              <w:t>Feature</w:t>
            </w:r>
          </w:p>
        </w:tc>
        <w:tc>
          <w:tcPr>
            <w:tcW w:w="5040" w:type="dxa"/>
            <w:tcBorders>
              <w:top w:val="single" w:sz="4" w:space="0" w:color="auto"/>
              <w:left w:val="nil"/>
              <w:bottom w:val="single" w:sz="4" w:space="0" w:color="auto"/>
              <w:right w:val="nil"/>
            </w:tcBorders>
            <w:shd w:val="clear" w:color="auto" w:fill="auto"/>
            <w:noWrap/>
            <w:vAlign w:val="center"/>
            <w:hideMark/>
          </w:tcPr>
          <w:p w14:paraId="4FC70003" w14:textId="77777777" w:rsidR="002D23D6" w:rsidRDefault="002D23D6">
            <w:pPr>
              <w:rPr>
                <w:color w:val="000000"/>
                <w:sz w:val="22"/>
                <w:szCs w:val="22"/>
              </w:rPr>
            </w:pPr>
            <w:r>
              <w:rPr>
                <w:color w:val="000000"/>
                <w:sz w:val="22"/>
                <w:szCs w:val="22"/>
              </w:rPr>
              <w:t>Levels</w:t>
            </w:r>
          </w:p>
        </w:tc>
      </w:tr>
      <w:tr w:rsidR="00E8773A" w14:paraId="4F65A914" w14:textId="77777777" w:rsidTr="004E7193">
        <w:trPr>
          <w:trHeight w:val="141"/>
        </w:trPr>
        <w:tc>
          <w:tcPr>
            <w:tcW w:w="2520" w:type="dxa"/>
            <w:tcBorders>
              <w:top w:val="nil"/>
              <w:left w:val="nil"/>
              <w:bottom w:val="nil"/>
              <w:right w:val="nil"/>
            </w:tcBorders>
            <w:shd w:val="clear" w:color="auto" w:fill="auto"/>
            <w:noWrap/>
            <w:vAlign w:val="bottom"/>
            <w:hideMark/>
          </w:tcPr>
          <w:p w14:paraId="765E1A33"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13200B7E" w14:textId="77777777" w:rsidR="002D23D6" w:rsidRDefault="002D23D6">
            <w:pPr>
              <w:rPr>
                <w:sz w:val="20"/>
                <w:szCs w:val="20"/>
              </w:rPr>
            </w:pPr>
          </w:p>
        </w:tc>
      </w:tr>
      <w:tr w:rsidR="00E8773A" w14:paraId="049A3939" w14:textId="77777777" w:rsidTr="004E7193">
        <w:trPr>
          <w:trHeight w:val="276"/>
        </w:trPr>
        <w:tc>
          <w:tcPr>
            <w:tcW w:w="2520" w:type="dxa"/>
            <w:tcBorders>
              <w:top w:val="nil"/>
              <w:left w:val="nil"/>
              <w:bottom w:val="nil"/>
              <w:right w:val="nil"/>
            </w:tcBorders>
            <w:shd w:val="clear" w:color="auto" w:fill="auto"/>
            <w:noWrap/>
            <w:vAlign w:val="bottom"/>
            <w:hideMark/>
          </w:tcPr>
          <w:p w14:paraId="0A1448F9" w14:textId="77777777" w:rsidR="002D23D6" w:rsidRDefault="002D23D6">
            <w:pPr>
              <w:rPr>
                <w:color w:val="000000"/>
                <w:sz w:val="22"/>
                <w:szCs w:val="22"/>
              </w:rPr>
            </w:pPr>
            <w:r>
              <w:rPr>
                <w:color w:val="000000"/>
                <w:sz w:val="22"/>
                <w:szCs w:val="22"/>
              </w:rPr>
              <w:t>Attention cutpoint</w:t>
            </w:r>
          </w:p>
        </w:tc>
        <w:tc>
          <w:tcPr>
            <w:tcW w:w="5040" w:type="dxa"/>
            <w:tcBorders>
              <w:top w:val="nil"/>
              <w:left w:val="nil"/>
              <w:bottom w:val="nil"/>
              <w:right w:val="nil"/>
            </w:tcBorders>
            <w:shd w:val="clear" w:color="auto" w:fill="auto"/>
            <w:noWrap/>
            <w:vAlign w:val="bottom"/>
            <w:hideMark/>
          </w:tcPr>
          <w:p w14:paraId="474030BA" w14:textId="6286E55E" w:rsidR="002D23D6" w:rsidRDefault="00724A9C">
            <w:pPr>
              <w:rPr>
                <w:color w:val="000000"/>
                <w:sz w:val="22"/>
                <w:szCs w:val="22"/>
              </w:rPr>
            </w:pPr>
            <w:r>
              <w:rPr>
                <w:color w:val="000000"/>
                <w:sz w:val="22"/>
                <w:szCs w:val="22"/>
              </w:rPr>
              <w:t>110</w:t>
            </w:r>
            <w:r w:rsidR="002D23D6">
              <w:rPr>
                <w:color w:val="000000"/>
                <w:sz w:val="22"/>
                <w:szCs w:val="22"/>
              </w:rPr>
              <w:t>, 1</w:t>
            </w:r>
            <w:r>
              <w:rPr>
                <w:color w:val="000000"/>
                <w:sz w:val="22"/>
                <w:szCs w:val="22"/>
              </w:rPr>
              <w:t>1</w:t>
            </w:r>
            <w:r w:rsidR="002D23D6">
              <w:rPr>
                <w:color w:val="000000"/>
                <w:sz w:val="22"/>
                <w:szCs w:val="22"/>
              </w:rPr>
              <w:t>2, 1</w:t>
            </w:r>
            <w:r>
              <w:rPr>
                <w:color w:val="000000"/>
                <w:sz w:val="22"/>
                <w:szCs w:val="22"/>
              </w:rPr>
              <w:t>1</w:t>
            </w:r>
            <w:r w:rsidR="002D23D6">
              <w:rPr>
                <w:color w:val="000000"/>
                <w:sz w:val="22"/>
                <w:szCs w:val="22"/>
              </w:rPr>
              <w:t>4, …., 130</w:t>
            </w:r>
            <w:r w:rsidR="002D23D6">
              <w:rPr>
                <w:i/>
                <w:iCs/>
                <w:color w:val="000000"/>
                <w:sz w:val="22"/>
                <w:szCs w:val="22"/>
              </w:rPr>
              <w:t xml:space="preserve"> (21 levels)</w:t>
            </w:r>
          </w:p>
        </w:tc>
      </w:tr>
      <w:tr w:rsidR="00E8773A" w14:paraId="22FB2D70" w14:textId="77777777" w:rsidTr="004E7193">
        <w:trPr>
          <w:trHeight w:val="276"/>
        </w:trPr>
        <w:tc>
          <w:tcPr>
            <w:tcW w:w="2520" w:type="dxa"/>
            <w:tcBorders>
              <w:top w:val="nil"/>
              <w:left w:val="nil"/>
              <w:bottom w:val="nil"/>
              <w:right w:val="nil"/>
            </w:tcBorders>
            <w:shd w:val="clear" w:color="auto" w:fill="auto"/>
            <w:noWrap/>
            <w:vAlign w:val="bottom"/>
            <w:hideMark/>
          </w:tcPr>
          <w:p w14:paraId="2B91F788"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9D1DC3F" w14:textId="4A6C0321" w:rsidR="002D23D6" w:rsidRDefault="002D23D6">
            <w:pPr>
              <w:rPr>
                <w:color w:val="000000"/>
                <w:sz w:val="22"/>
                <w:szCs w:val="22"/>
              </w:rPr>
            </w:pPr>
            <w:r>
              <w:rPr>
                <w:color w:val="000000"/>
                <w:sz w:val="22"/>
                <w:szCs w:val="22"/>
              </w:rPr>
              <w:t>Within-sex standardized</w:t>
            </w:r>
            <w:r w:rsidR="00E86D10">
              <w:rPr>
                <w:color w:val="000000"/>
                <w:sz w:val="22"/>
                <w:szCs w:val="22"/>
              </w:rPr>
              <w:t xml:space="preserve"> </w:t>
            </w:r>
            <w:r>
              <w:rPr>
                <w:color w:val="000000"/>
                <w:sz w:val="22"/>
                <w:szCs w:val="22"/>
              </w:rPr>
              <w:t>raw attention</w:t>
            </w:r>
          </w:p>
        </w:tc>
      </w:tr>
      <w:tr w:rsidR="00E8773A" w14:paraId="022DC418" w14:textId="77777777" w:rsidTr="004E7193">
        <w:trPr>
          <w:trHeight w:val="276"/>
        </w:trPr>
        <w:tc>
          <w:tcPr>
            <w:tcW w:w="2520" w:type="dxa"/>
            <w:tcBorders>
              <w:top w:val="nil"/>
              <w:left w:val="nil"/>
              <w:bottom w:val="nil"/>
              <w:right w:val="nil"/>
            </w:tcBorders>
            <w:shd w:val="clear" w:color="auto" w:fill="auto"/>
            <w:noWrap/>
            <w:vAlign w:val="bottom"/>
            <w:hideMark/>
          </w:tcPr>
          <w:p w14:paraId="190ADF48"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1248C78" w14:textId="77777777" w:rsidR="002D23D6" w:rsidRDefault="002D23D6">
            <w:pPr>
              <w:rPr>
                <w:color w:val="000000"/>
                <w:sz w:val="22"/>
                <w:szCs w:val="22"/>
              </w:rPr>
            </w:pPr>
            <w:r>
              <w:rPr>
                <w:color w:val="000000"/>
                <w:sz w:val="22"/>
                <w:szCs w:val="22"/>
              </w:rPr>
              <w:t>Listwise deletion vs multiple imputation</w:t>
            </w:r>
          </w:p>
        </w:tc>
      </w:tr>
      <w:tr w:rsidR="00E8773A" w14:paraId="3B678443" w14:textId="77777777" w:rsidTr="004E7193">
        <w:trPr>
          <w:trHeight w:val="276"/>
        </w:trPr>
        <w:tc>
          <w:tcPr>
            <w:tcW w:w="2520" w:type="dxa"/>
            <w:tcBorders>
              <w:top w:val="nil"/>
              <w:left w:val="nil"/>
              <w:bottom w:val="nil"/>
              <w:right w:val="nil"/>
            </w:tcBorders>
            <w:shd w:val="clear" w:color="auto" w:fill="auto"/>
            <w:noWrap/>
            <w:vAlign w:val="bottom"/>
            <w:hideMark/>
          </w:tcPr>
          <w:p w14:paraId="30C880CC"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701CECE" w14:textId="77777777" w:rsidR="002D23D6" w:rsidRDefault="002D23D6">
            <w:pPr>
              <w:rPr>
                <w:color w:val="000000"/>
                <w:sz w:val="22"/>
                <w:szCs w:val="22"/>
              </w:rPr>
            </w:pPr>
            <w:r>
              <w:rPr>
                <w:color w:val="000000"/>
                <w:sz w:val="22"/>
                <w:szCs w:val="22"/>
              </w:rPr>
              <w:t>Incorporated vs not incorporated</w:t>
            </w:r>
          </w:p>
        </w:tc>
      </w:tr>
      <w:tr w:rsidR="00E8773A" w14:paraId="50D1A0CB" w14:textId="77777777" w:rsidTr="004E7193">
        <w:trPr>
          <w:trHeight w:val="276"/>
        </w:trPr>
        <w:tc>
          <w:tcPr>
            <w:tcW w:w="2520" w:type="dxa"/>
            <w:tcBorders>
              <w:top w:val="nil"/>
              <w:left w:val="nil"/>
              <w:bottom w:val="nil"/>
              <w:right w:val="nil"/>
            </w:tcBorders>
            <w:shd w:val="clear" w:color="auto" w:fill="auto"/>
            <w:noWrap/>
            <w:vAlign w:val="bottom"/>
            <w:hideMark/>
          </w:tcPr>
          <w:p w14:paraId="0D49C680"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250CCE7" w14:textId="77777777" w:rsidR="002D23D6" w:rsidRDefault="002D23D6">
            <w:pPr>
              <w:rPr>
                <w:color w:val="000000"/>
                <w:sz w:val="22"/>
                <w:szCs w:val="22"/>
              </w:rPr>
            </w:pPr>
            <w:r>
              <w:rPr>
                <w:color w:val="000000"/>
                <w:sz w:val="22"/>
                <w:szCs w:val="22"/>
              </w:rPr>
              <w:t>Original vs expanded</w:t>
            </w:r>
          </w:p>
        </w:tc>
      </w:tr>
      <w:tr w:rsidR="00E8773A" w14:paraId="447931AC" w14:textId="77777777" w:rsidTr="004E7193">
        <w:trPr>
          <w:trHeight w:val="276"/>
        </w:trPr>
        <w:tc>
          <w:tcPr>
            <w:tcW w:w="2520" w:type="dxa"/>
            <w:tcBorders>
              <w:top w:val="nil"/>
              <w:left w:val="nil"/>
              <w:bottom w:val="nil"/>
              <w:right w:val="nil"/>
            </w:tcBorders>
            <w:shd w:val="clear" w:color="auto" w:fill="auto"/>
            <w:noWrap/>
            <w:vAlign w:val="bottom"/>
            <w:hideMark/>
          </w:tcPr>
          <w:p w14:paraId="151274A6"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0011C32C" w14:textId="77777777" w:rsidR="002D23D6" w:rsidRDefault="002D23D6">
            <w:pPr>
              <w:rPr>
                <w:color w:val="000000"/>
                <w:sz w:val="22"/>
                <w:szCs w:val="22"/>
              </w:rPr>
            </w:pPr>
            <w:r>
              <w:rPr>
                <w:color w:val="000000"/>
                <w:sz w:val="22"/>
                <w:szCs w:val="22"/>
              </w:rPr>
              <w:t>~1.5 vs ~3</w:t>
            </w:r>
          </w:p>
        </w:tc>
      </w:tr>
      <w:tr w:rsidR="00E8773A" w14:paraId="5E47D9A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78736049"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7D41BEF6" w14:textId="77777777" w:rsidR="002D23D6" w:rsidRDefault="002D23D6">
            <w:pPr>
              <w:rPr>
                <w:color w:val="000000"/>
                <w:sz w:val="22"/>
                <w:szCs w:val="22"/>
              </w:rPr>
            </w:pPr>
            <w:r>
              <w:rPr>
                <w:color w:val="000000"/>
                <w:sz w:val="22"/>
                <w:szCs w:val="22"/>
              </w:rPr>
              <w:t> </w:t>
            </w:r>
          </w:p>
        </w:tc>
      </w:tr>
      <w:tr w:rsidR="00E8773A" w14:paraId="7BA1CC93" w14:textId="77777777" w:rsidTr="004E7193">
        <w:trPr>
          <w:trHeight w:val="141"/>
        </w:trPr>
        <w:tc>
          <w:tcPr>
            <w:tcW w:w="2520" w:type="dxa"/>
            <w:tcBorders>
              <w:top w:val="nil"/>
              <w:left w:val="nil"/>
              <w:bottom w:val="nil"/>
              <w:right w:val="nil"/>
            </w:tcBorders>
            <w:shd w:val="clear" w:color="auto" w:fill="auto"/>
            <w:noWrap/>
            <w:vAlign w:val="bottom"/>
            <w:hideMark/>
          </w:tcPr>
          <w:p w14:paraId="0576BADC"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36EB4AD0" w14:textId="77777777" w:rsidR="002D23D6" w:rsidRDefault="002D23D6">
            <w:pPr>
              <w:rPr>
                <w:sz w:val="20"/>
                <w:szCs w:val="20"/>
              </w:rPr>
            </w:pPr>
          </w:p>
        </w:tc>
      </w:tr>
      <w:tr w:rsidR="00E8773A" w14:paraId="622B32E3" w14:textId="77777777" w:rsidTr="004E7193">
        <w:trPr>
          <w:trHeight w:val="144"/>
        </w:trPr>
        <w:tc>
          <w:tcPr>
            <w:tcW w:w="7560" w:type="dxa"/>
            <w:gridSpan w:val="2"/>
            <w:tcBorders>
              <w:top w:val="nil"/>
              <w:left w:val="nil"/>
              <w:bottom w:val="nil"/>
              <w:right w:val="nil"/>
            </w:tcBorders>
            <w:shd w:val="clear" w:color="auto" w:fill="auto"/>
            <w:noWrap/>
            <w:vAlign w:val="bottom"/>
            <w:hideMark/>
          </w:tcPr>
          <w:p w14:paraId="09321A64" w14:textId="77777777" w:rsidR="002D23D6" w:rsidRDefault="002D23D6">
            <w:pPr>
              <w:jc w:val="center"/>
              <w:rPr>
                <w:b/>
                <w:bCs/>
                <w:color w:val="000000"/>
                <w:sz w:val="22"/>
                <w:szCs w:val="22"/>
              </w:rPr>
            </w:pPr>
            <w:r>
              <w:rPr>
                <w:b/>
                <w:bCs/>
                <w:color w:val="000000"/>
                <w:sz w:val="22"/>
                <w:szCs w:val="22"/>
              </w:rPr>
              <w:t>Multiverse II</w:t>
            </w:r>
          </w:p>
        </w:tc>
      </w:tr>
      <w:tr w:rsidR="00E8773A" w14:paraId="370F7CB0"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2E4C1006" w14:textId="77777777" w:rsidR="002D23D6" w:rsidRDefault="002D23D6">
            <w:pPr>
              <w:jc w:val="center"/>
              <w:rPr>
                <w:color w:val="000000"/>
                <w:sz w:val="22"/>
                <w:szCs w:val="22"/>
              </w:rPr>
            </w:pPr>
            <w:r>
              <w:rPr>
                <w:color w:val="000000"/>
                <w:sz w:val="22"/>
                <w:szCs w:val="22"/>
              </w:rPr>
              <w:t>Linear regression (24 total)</w:t>
            </w:r>
          </w:p>
        </w:tc>
      </w:tr>
      <w:tr w:rsidR="00E8773A" w14:paraId="2F351F63" w14:textId="77777777" w:rsidTr="004E7193">
        <w:trPr>
          <w:trHeight w:val="141"/>
        </w:trPr>
        <w:tc>
          <w:tcPr>
            <w:tcW w:w="2520" w:type="dxa"/>
            <w:tcBorders>
              <w:top w:val="nil"/>
              <w:left w:val="nil"/>
              <w:bottom w:val="nil"/>
              <w:right w:val="nil"/>
            </w:tcBorders>
            <w:shd w:val="clear" w:color="auto" w:fill="auto"/>
            <w:noWrap/>
            <w:vAlign w:val="bottom"/>
            <w:hideMark/>
          </w:tcPr>
          <w:p w14:paraId="682F42DA"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8249A01" w14:textId="77777777" w:rsidR="002D23D6" w:rsidRDefault="002D23D6">
            <w:pPr>
              <w:rPr>
                <w:sz w:val="20"/>
                <w:szCs w:val="20"/>
              </w:rPr>
            </w:pPr>
          </w:p>
        </w:tc>
      </w:tr>
      <w:tr w:rsidR="00E8773A" w14:paraId="519854AA" w14:textId="77777777" w:rsidTr="004E7193">
        <w:trPr>
          <w:trHeight w:val="276"/>
        </w:trPr>
        <w:tc>
          <w:tcPr>
            <w:tcW w:w="2520" w:type="dxa"/>
            <w:tcBorders>
              <w:top w:val="nil"/>
              <w:left w:val="nil"/>
              <w:bottom w:val="nil"/>
              <w:right w:val="nil"/>
            </w:tcBorders>
            <w:shd w:val="clear" w:color="auto" w:fill="auto"/>
            <w:noWrap/>
            <w:vAlign w:val="bottom"/>
            <w:hideMark/>
          </w:tcPr>
          <w:p w14:paraId="2401D8BB"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75E44783" w14:textId="77777777" w:rsidR="002D23D6" w:rsidRDefault="002D23D6">
            <w:pPr>
              <w:rPr>
                <w:color w:val="000000"/>
                <w:sz w:val="22"/>
                <w:szCs w:val="22"/>
              </w:rPr>
            </w:pPr>
            <w:r>
              <w:rPr>
                <w:color w:val="000000"/>
                <w:sz w:val="22"/>
                <w:szCs w:val="22"/>
              </w:rPr>
              <w:t>Within-sex standardized vs raw attention</w:t>
            </w:r>
          </w:p>
        </w:tc>
      </w:tr>
      <w:tr w:rsidR="00E8773A" w14:paraId="7AC07C29" w14:textId="77777777" w:rsidTr="004E7193">
        <w:trPr>
          <w:trHeight w:val="276"/>
        </w:trPr>
        <w:tc>
          <w:tcPr>
            <w:tcW w:w="2520" w:type="dxa"/>
            <w:tcBorders>
              <w:top w:val="nil"/>
              <w:left w:val="nil"/>
              <w:bottom w:val="nil"/>
              <w:right w:val="nil"/>
            </w:tcBorders>
            <w:shd w:val="clear" w:color="auto" w:fill="auto"/>
            <w:noWrap/>
            <w:vAlign w:val="bottom"/>
            <w:hideMark/>
          </w:tcPr>
          <w:p w14:paraId="5BF4E322" w14:textId="77777777" w:rsidR="002D23D6" w:rsidRDefault="002D23D6">
            <w:pPr>
              <w:rPr>
                <w:color w:val="000000"/>
                <w:sz w:val="22"/>
                <w:szCs w:val="22"/>
              </w:rPr>
            </w:pPr>
            <w:r>
              <w:rPr>
                <w:color w:val="000000"/>
                <w:sz w:val="22"/>
                <w:szCs w:val="22"/>
              </w:rPr>
              <w:t>Treatment of missing data</w:t>
            </w:r>
          </w:p>
        </w:tc>
        <w:tc>
          <w:tcPr>
            <w:tcW w:w="5040" w:type="dxa"/>
            <w:tcBorders>
              <w:top w:val="nil"/>
              <w:left w:val="nil"/>
              <w:bottom w:val="nil"/>
              <w:right w:val="nil"/>
            </w:tcBorders>
            <w:shd w:val="clear" w:color="auto" w:fill="auto"/>
            <w:noWrap/>
            <w:vAlign w:val="bottom"/>
            <w:hideMark/>
          </w:tcPr>
          <w:p w14:paraId="5CBA8656" w14:textId="77777777" w:rsidR="002D23D6" w:rsidRDefault="002D23D6">
            <w:pPr>
              <w:rPr>
                <w:color w:val="000000"/>
                <w:sz w:val="22"/>
                <w:szCs w:val="22"/>
              </w:rPr>
            </w:pPr>
            <w:r>
              <w:rPr>
                <w:color w:val="000000"/>
                <w:sz w:val="22"/>
                <w:szCs w:val="22"/>
              </w:rPr>
              <w:t>Listwise deletion vs multiple imputation</w:t>
            </w:r>
          </w:p>
        </w:tc>
      </w:tr>
      <w:tr w:rsidR="00E8773A" w14:paraId="3DE3E8FC" w14:textId="77777777" w:rsidTr="004E7193">
        <w:trPr>
          <w:trHeight w:val="276"/>
        </w:trPr>
        <w:tc>
          <w:tcPr>
            <w:tcW w:w="2520" w:type="dxa"/>
            <w:tcBorders>
              <w:top w:val="nil"/>
              <w:left w:val="nil"/>
              <w:bottom w:val="nil"/>
              <w:right w:val="nil"/>
            </w:tcBorders>
            <w:shd w:val="clear" w:color="auto" w:fill="auto"/>
            <w:noWrap/>
            <w:vAlign w:val="bottom"/>
            <w:hideMark/>
          </w:tcPr>
          <w:p w14:paraId="456838D1"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4A587095" w14:textId="77777777" w:rsidR="002D23D6" w:rsidRDefault="002D23D6">
            <w:pPr>
              <w:rPr>
                <w:color w:val="000000"/>
                <w:sz w:val="22"/>
                <w:szCs w:val="22"/>
              </w:rPr>
            </w:pPr>
            <w:r>
              <w:rPr>
                <w:color w:val="000000"/>
                <w:sz w:val="22"/>
                <w:szCs w:val="22"/>
              </w:rPr>
              <w:t>Incorporated vs not incorporated</w:t>
            </w:r>
          </w:p>
        </w:tc>
      </w:tr>
      <w:tr w:rsidR="00E8773A" w14:paraId="09445F41" w14:textId="77777777" w:rsidTr="004E7193">
        <w:trPr>
          <w:trHeight w:val="276"/>
        </w:trPr>
        <w:tc>
          <w:tcPr>
            <w:tcW w:w="2520" w:type="dxa"/>
            <w:tcBorders>
              <w:top w:val="nil"/>
              <w:left w:val="nil"/>
              <w:bottom w:val="nil"/>
              <w:right w:val="nil"/>
            </w:tcBorders>
            <w:shd w:val="clear" w:color="auto" w:fill="auto"/>
            <w:noWrap/>
            <w:vAlign w:val="bottom"/>
            <w:hideMark/>
          </w:tcPr>
          <w:p w14:paraId="6B6DD1C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F14BA84" w14:textId="77777777" w:rsidR="002D23D6" w:rsidRDefault="002D23D6">
            <w:pPr>
              <w:rPr>
                <w:color w:val="000000"/>
                <w:sz w:val="22"/>
                <w:szCs w:val="22"/>
              </w:rPr>
            </w:pPr>
            <w:r>
              <w:rPr>
                <w:color w:val="000000"/>
                <w:sz w:val="22"/>
                <w:szCs w:val="22"/>
              </w:rPr>
              <w:t>Original vs expanded</w:t>
            </w:r>
          </w:p>
        </w:tc>
      </w:tr>
      <w:tr w:rsidR="00E8773A" w14:paraId="6875F60F" w14:textId="77777777" w:rsidTr="004E7193">
        <w:trPr>
          <w:trHeight w:val="276"/>
        </w:trPr>
        <w:tc>
          <w:tcPr>
            <w:tcW w:w="2520" w:type="dxa"/>
            <w:tcBorders>
              <w:top w:val="nil"/>
              <w:left w:val="nil"/>
              <w:bottom w:val="nil"/>
              <w:right w:val="nil"/>
            </w:tcBorders>
            <w:shd w:val="clear" w:color="auto" w:fill="auto"/>
            <w:noWrap/>
            <w:vAlign w:val="bottom"/>
            <w:hideMark/>
          </w:tcPr>
          <w:p w14:paraId="1F06F97C"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99DDEB7" w14:textId="77777777" w:rsidR="002D23D6" w:rsidRDefault="002D23D6">
            <w:pPr>
              <w:rPr>
                <w:color w:val="000000"/>
                <w:sz w:val="22"/>
                <w:szCs w:val="22"/>
              </w:rPr>
            </w:pPr>
            <w:r>
              <w:rPr>
                <w:color w:val="000000"/>
                <w:sz w:val="22"/>
                <w:szCs w:val="22"/>
              </w:rPr>
              <w:t>~1.5 vs ~3</w:t>
            </w:r>
          </w:p>
        </w:tc>
      </w:tr>
      <w:tr w:rsidR="00E8773A" w14:paraId="4D71A390" w14:textId="77777777" w:rsidTr="004E7193">
        <w:trPr>
          <w:trHeight w:val="73"/>
        </w:trPr>
        <w:tc>
          <w:tcPr>
            <w:tcW w:w="2520" w:type="dxa"/>
            <w:tcBorders>
              <w:top w:val="nil"/>
              <w:left w:val="nil"/>
              <w:bottom w:val="single" w:sz="4" w:space="0" w:color="auto"/>
              <w:right w:val="nil"/>
            </w:tcBorders>
            <w:shd w:val="clear" w:color="auto" w:fill="auto"/>
            <w:noWrap/>
            <w:vAlign w:val="bottom"/>
            <w:hideMark/>
          </w:tcPr>
          <w:p w14:paraId="106D86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54D3690B" w14:textId="77777777" w:rsidR="002D23D6" w:rsidRDefault="002D23D6">
            <w:pPr>
              <w:rPr>
                <w:color w:val="000000"/>
                <w:sz w:val="22"/>
                <w:szCs w:val="22"/>
              </w:rPr>
            </w:pPr>
            <w:r>
              <w:rPr>
                <w:color w:val="000000"/>
                <w:sz w:val="22"/>
                <w:szCs w:val="22"/>
              </w:rPr>
              <w:t> </w:t>
            </w:r>
          </w:p>
        </w:tc>
      </w:tr>
      <w:tr w:rsidR="00E8773A" w14:paraId="4E7D5055" w14:textId="77777777" w:rsidTr="004E7193">
        <w:trPr>
          <w:trHeight w:val="141"/>
        </w:trPr>
        <w:tc>
          <w:tcPr>
            <w:tcW w:w="2520" w:type="dxa"/>
            <w:tcBorders>
              <w:top w:val="nil"/>
              <w:left w:val="nil"/>
              <w:bottom w:val="nil"/>
              <w:right w:val="nil"/>
            </w:tcBorders>
            <w:shd w:val="clear" w:color="auto" w:fill="auto"/>
            <w:noWrap/>
            <w:vAlign w:val="bottom"/>
            <w:hideMark/>
          </w:tcPr>
          <w:p w14:paraId="1B9C999D"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61BDEEC1" w14:textId="77777777" w:rsidR="002D23D6" w:rsidRDefault="002D23D6">
            <w:pPr>
              <w:rPr>
                <w:sz w:val="20"/>
                <w:szCs w:val="20"/>
              </w:rPr>
            </w:pPr>
          </w:p>
        </w:tc>
      </w:tr>
      <w:tr w:rsidR="00E8773A" w14:paraId="154845B7"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387FAE23" w14:textId="77777777" w:rsidR="002D23D6" w:rsidRDefault="002D23D6">
            <w:pPr>
              <w:jc w:val="center"/>
              <w:rPr>
                <w:color w:val="000000"/>
                <w:sz w:val="22"/>
                <w:szCs w:val="22"/>
              </w:rPr>
            </w:pPr>
            <w:r>
              <w:rPr>
                <w:color w:val="000000"/>
                <w:sz w:val="22"/>
                <w:szCs w:val="22"/>
              </w:rPr>
              <w:t>Propensity score analysis, IPTW weighting (384 total)</w:t>
            </w:r>
          </w:p>
        </w:tc>
      </w:tr>
      <w:tr w:rsidR="00E8773A" w14:paraId="1FD2BC73" w14:textId="77777777" w:rsidTr="004E7193">
        <w:trPr>
          <w:trHeight w:val="141"/>
        </w:trPr>
        <w:tc>
          <w:tcPr>
            <w:tcW w:w="2520" w:type="dxa"/>
            <w:tcBorders>
              <w:top w:val="nil"/>
              <w:left w:val="nil"/>
              <w:bottom w:val="nil"/>
              <w:right w:val="nil"/>
            </w:tcBorders>
            <w:shd w:val="clear" w:color="auto" w:fill="auto"/>
            <w:noWrap/>
            <w:vAlign w:val="bottom"/>
            <w:hideMark/>
          </w:tcPr>
          <w:p w14:paraId="10A73E85"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7B164144" w14:textId="77777777" w:rsidR="002D23D6" w:rsidRDefault="002D23D6">
            <w:pPr>
              <w:rPr>
                <w:sz w:val="20"/>
                <w:szCs w:val="20"/>
              </w:rPr>
            </w:pPr>
          </w:p>
        </w:tc>
      </w:tr>
      <w:tr w:rsidR="00E8773A" w14:paraId="187855D2" w14:textId="77777777" w:rsidTr="004E7193">
        <w:trPr>
          <w:trHeight w:val="276"/>
        </w:trPr>
        <w:tc>
          <w:tcPr>
            <w:tcW w:w="2520" w:type="dxa"/>
            <w:tcBorders>
              <w:top w:val="nil"/>
              <w:left w:val="nil"/>
              <w:bottom w:val="nil"/>
              <w:right w:val="nil"/>
            </w:tcBorders>
            <w:shd w:val="clear" w:color="auto" w:fill="auto"/>
            <w:noWrap/>
            <w:vAlign w:val="bottom"/>
            <w:hideMark/>
          </w:tcPr>
          <w:p w14:paraId="72944D3C"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3E63DF3F" w14:textId="77777777" w:rsidR="002D23D6" w:rsidRDefault="002D23D6">
            <w:pPr>
              <w:rPr>
                <w:color w:val="000000"/>
                <w:sz w:val="22"/>
                <w:szCs w:val="22"/>
              </w:rPr>
            </w:pPr>
            <w:r>
              <w:rPr>
                <w:color w:val="000000"/>
                <w:sz w:val="22"/>
                <w:szCs w:val="22"/>
              </w:rPr>
              <w:t>Within-sex standardized vs raw attention</w:t>
            </w:r>
          </w:p>
        </w:tc>
      </w:tr>
      <w:tr w:rsidR="00E8773A" w14:paraId="79BFE621" w14:textId="77777777" w:rsidTr="004E7193">
        <w:trPr>
          <w:trHeight w:val="276"/>
        </w:trPr>
        <w:tc>
          <w:tcPr>
            <w:tcW w:w="2520" w:type="dxa"/>
            <w:tcBorders>
              <w:top w:val="nil"/>
              <w:left w:val="nil"/>
              <w:bottom w:val="nil"/>
              <w:right w:val="nil"/>
            </w:tcBorders>
            <w:shd w:val="clear" w:color="auto" w:fill="auto"/>
            <w:noWrap/>
            <w:vAlign w:val="bottom"/>
            <w:hideMark/>
          </w:tcPr>
          <w:p w14:paraId="5B811C46" w14:textId="5BC933A7" w:rsidR="002D23D6" w:rsidRDefault="002D23D6">
            <w:pPr>
              <w:rPr>
                <w:color w:val="000000"/>
                <w:sz w:val="22"/>
                <w:szCs w:val="22"/>
              </w:rPr>
            </w:pPr>
            <w:r>
              <w:rPr>
                <w:color w:val="000000"/>
                <w:sz w:val="22"/>
                <w:szCs w:val="22"/>
              </w:rPr>
              <w:t>TV cutpoint</w:t>
            </w:r>
          </w:p>
        </w:tc>
        <w:tc>
          <w:tcPr>
            <w:tcW w:w="5040" w:type="dxa"/>
            <w:tcBorders>
              <w:top w:val="nil"/>
              <w:left w:val="nil"/>
              <w:bottom w:val="nil"/>
              <w:right w:val="nil"/>
            </w:tcBorders>
            <w:shd w:val="clear" w:color="auto" w:fill="auto"/>
            <w:noWrap/>
            <w:vAlign w:val="bottom"/>
            <w:hideMark/>
          </w:tcPr>
          <w:p w14:paraId="0326921C" w14:textId="3F5507AF" w:rsidR="002D23D6" w:rsidRDefault="002D23D6" w:rsidP="004E7193">
            <w:pPr>
              <w:ind w:right="-373"/>
              <w:rPr>
                <w:color w:val="000000"/>
                <w:sz w:val="22"/>
                <w:szCs w:val="22"/>
              </w:rPr>
            </w:pPr>
            <w:r>
              <w:rPr>
                <w:color w:val="000000"/>
                <w:sz w:val="22"/>
                <w:szCs w:val="22"/>
              </w:rPr>
              <w:t>20/80, 30/70, 40/60, 50, 60, 70</w:t>
            </w:r>
            <w:r>
              <w:rPr>
                <w:i/>
                <w:iCs/>
                <w:color w:val="000000"/>
                <w:sz w:val="22"/>
                <w:szCs w:val="22"/>
              </w:rPr>
              <w:t xml:space="preserve"> (</w:t>
            </w:r>
            <w:r w:rsidR="004E7193">
              <w:rPr>
                <w:i/>
                <w:iCs/>
                <w:color w:val="000000"/>
                <w:sz w:val="22"/>
                <w:szCs w:val="22"/>
              </w:rPr>
              <w:t xml:space="preserve">percentiles, </w:t>
            </w:r>
            <w:r>
              <w:rPr>
                <w:i/>
                <w:iCs/>
                <w:color w:val="000000"/>
                <w:sz w:val="22"/>
                <w:szCs w:val="22"/>
              </w:rPr>
              <w:t>6 levels)</w:t>
            </w:r>
          </w:p>
        </w:tc>
      </w:tr>
      <w:tr w:rsidR="00E8773A" w14:paraId="588F4863" w14:textId="77777777" w:rsidTr="004E7193">
        <w:trPr>
          <w:trHeight w:val="276"/>
        </w:trPr>
        <w:tc>
          <w:tcPr>
            <w:tcW w:w="2520" w:type="dxa"/>
            <w:tcBorders>
              <w:top w:val="nil"/>
              <w:left w:val="nil"/>
              <w:bottom w:val="nil"/>
              <w:right w:val="nil"/>
            </w:tcBorders>
            <w:shd w:val="clear" w:color="auto" w:fill="auto"/>
            <w:noWrap/>
            <w:vAlign w:val="bottom"/>
            <w:hideMark/>
          </w:tcPr>
          <w:p w14:paraId="51EC7567"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7760D318" w14:textId="77777777" w:rsidR="002D23D6" w:rsidRDefault="002D23D6">
            <w:pPr>
              <w:rPr>
                <w:color w:val="000000"/>
                <w:sz w:val="22"/>
                <w:szCs w:val="22"/>
              </w:rPr>
            </w:pPr>
            <w:r>
              <w:rPr>
                <w:color w:val="000000"/>
                <w:sz w:val="22"/>
                <w:szCs w:val="22"/>
              </w:rPr>
              <w:t>Incorporated vs not incorporated</w:t>
            </w:r>
          </w:p>
        </w:tc>
      </w:tr>
      <w:tr w:rsidR="00E8773A" w14:paraId="2F1D4220" w14:textId="77777777" w:rsidTr="004E7193">
        <w:trPr>
          <w:trHeight w:val="276"/>
        </w:trPr>
        <w:tc>
          <w:tcPr>
            <w:tcW w:w="2520" w:type="dxa"/>
            <w:tcBorders>
              <w:top w:val="nil"/>
              <w:left w:val="nil"/>
              <w:bottom w:val="nil"/>
              <w:right w:val="nil"/>
            </w:tcBorders>
            <w:shd w:val="clear" w:color="auto" w:fill="auto"/>
            <w:noWrap/>
            <w:vAlign w:val="bottom"/>
            <w:hideMark/>
          </w:tcPr>
          <w:p w14:paraId="0BD8E3CC"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1AA7B6D1" w14:textId="77777777" w:rsidR="002D23D6" w:rsidRDefault="002D23D6">
            <w:pPr>
              <w:rPr>
                <w:color w:val="000000"/>
                <w:sz w:val="22"/>
                <w:szCs w:val="22"/>
              </w:rPr>
            </w:pPr>
            <w:r>
              <w:rPr>
                <w:color w:val="000000"/>
                <w:sz w:val="22"/>
                <w:szCs w:val="22"/>
              </w:rPr>
              <w:t>Original vs expanded</w:t>
            </w:r>
          </w:p>
        </w:tc>
      </w:tr>
      <w:tr w:rsidR="00E8773A" w14:paraId="4F84D7BF" w14:textId="77777777" w:rsidTr="004E7193">
        <w:trPr>
          <w:trHeight w:val="276"/>
        </w:trPr>
        <w:tc>
          <w:tcPr>
            <w:tcW w:w="2520" w:type="dxa"/>
            <w:tcBorders>
              <w:top w:val="nil"/>
              <w:left w:val="nil"/>
              <w:bottom w:val="nil"/>
              <w:right w:val="nil"/>
            </w:tcBorders>
            <w:shd w:val="clear" w:color="auto" w:fill="auto"/>
            <w:noWrap/>
            <w:vAlign w:val="bottom"/>
            <w:hideMark/>
          </w:tcPr>
          <w:p w14:paraId="107E8312"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6076FAEA" w14:textId="77777777" w:rsidR="002D23D6" w:rsidRDefault="002D23D6">
            <w:pPr>
              <w:rPr>
                <w:color w:val="000000"/>
                <w:sz w:val="22"/>
                <w:szCs w:val="22"/>
              </w:rPr>
            </w:pPr>
            <w:r>
              <w:rPr>
                <w:color w:val="000000"/>
                <w:sz w:val="22"/>
                <w:szCs w:val="22"/>
              </w:rPr>
              <w:t>~1.5 vs ~3</w:t>
            </w:r>
          </w:p>
        </w:tc>
      </w:tr>
      <w:tr w:rsidR="00E8773A" w14:paraId="0A2DECA3" w14:textId="77777777" w:rsidTr="004E7193">
        <w:trPr>
          <w:trHeight w:val="276"/>
        </w:trPr>
        <w:tc>
          <w:tcPr>
            <w:tcW w:w="2520" w:type="dxa"/>
            <w:tcBorders>
              <w:top w:val="nil"/>
              <w:left w:val="nil"/>
              <w:bottom w:val="nil"/>
              <w:right w:val="nil"/>
            </w:tcBorders>
            <w:shd w:val="clear" w:color="auto" w:fill="auto"/>
            <w:noWrap/>
            <w:vAlign w:val="bottom"/>
            <w:hideMark/>
          </w:tcPr>
          <w:p w14:paraId="36559414" w14:textId="77777777" w:rsidR="002D23D6" w:rsidRDefault="002D23D6">
            <w:pPr>
              <w:rPr>
                <w:color w:val="000000"/>
                <w:sz w:val="22"/>
                <w:szCs w:val="22"/>
              </w:rPr>
            </w:pPr>
            <w:r>
              <w:rPr>
                <w:color w:val="000000"/>
                <w:sz w:val="22"/>
                <w:szCs w:val="22"/>
              </w:rPr>
              <w:t>Treatment effect</w:t>
            </w:r>
          </w:p>
        </w:tc>
        <w:tc>
          <w:tcPr>
            <w:tcW w:w="5040" w:type="dxa"/>
            <w:tcBorders>
              <w:top w:val="nil"/>
              <w:left w:val="nil"/>
              <w:bottom w:val="nil"/>
              <w:right w:val="nil"/>
            </w:tcBorders>
            <w:shd w:val="clear" w:color="auto" w:fill="auto"/>
            <w:noWrap/>
            <w:vAlign w:val="bottom"/>
            <w:hideMark/>
          </w:tcPr>
          <w:p w14:paraId="0C1E8701" w14:textId="77777777" w:rsidR="002D23D6" w:rsidRDefault="002D23D6">
            <w:pPr>
              <w:rPr>
                <w:color w:val="000000"/>
                <w:sz w:val="22"/>
                <w:szCs w:val="22"/>
              </w:rPr>
            </w:pPr>
            <w:r>
              <w:rPr>
                <w:color w:val="000000"/>
                <w:sz w:val="22"/>
                <w:szCs w:val="22"/>
              </w:rPr>
              <w:t>ATT vs ATE</w:t>
            </w:r>
          </w:p>
        </w:tc>
      </w:tr>
      <w:tr w:rsidR="00E8773A" w14:paraId="6C1040E2" w14:textId="77777777" w:rsidTr="004E7193">
        <w:trPr>
          <w:trHeight w:val="276"/>
        </w:trPr>
        <w:tc>
          <w:tcPr>
            <w:tcW w:w="2520" w:type="dxa"/>
            <w:tcBorders>
              <w:top w:val="nil"/>
              <w:left w:val="nil"/>
              <w:bottom w:val="nil"/>
              <w:right w:val="nil"/>
            </w:tcBorders>
            <w:shd w:val="clear" w:color="auto" w:fill="auto"/>
            <w:noWrap/>
            <w:hideMark/>
          </w:tcPr>
          <w:p w14:paraId="1EDBD054" w14:textId="77777777" w:rsidR="002D23D6" w:rsidRDefault="002D23D6">
            <w:pPr>
              <w:rPr>
                <w:color w:val="000000"/>
                <w:sz w:val="22"/>
                <w:szCs w:val="22"/>
              </w:rPr>
            </w:pPr>
            <w:r>
              <w:rPr>
                <w:color w:val="000000"/>
                <w:sz w:val="22"/>
                <w:szCs w:val="22"/>
              </w:rPr>
              <w:t>Doubly-robust estimation</w:t>
            </w:r>
          </w:p>
        </w:tc>
        <w:tc>
          <w:tcPr>
            <w:tcW w:w="5040" w:type="dxa"/>
            <w:tcBorders>
              <w:top w:val="nil"/>
              <w:left w:val="nil"/>
              <w:bottom w:val="nil"/>
              <w:right w:val="nil"/>
            </w:tcBorders>
            <w:shd w:val="clear" w:color="auto" w:fill="auto"/>
            <w:noWrap/>
            <w:vAlign w:val="bottom"/>
            <w:hideMark/>
          </w:tcPr>
          <w:p w14:paraId="71D3F94F" w14:textId="77777777" w:rsidR="002D23D6" w:rsidRDefault="002D23D6">
            <w:pPr>
              <w:rPr>
                <w:color w:val="000000"/>
                <w:sz w:val="22"/>
                <w:szCs w:val="22"/>
              </w:rPr>
            </w:pPr>
            <w:r>
              <w:rPr>
                <w:color w:val="000000"/>
                <w:sz w:val="22"/>
                <w:szCs w:val="22"/>
              </w:rPr>
              <w:t>Doubly robust vs no additional covariate adjustment</w:t>
            </w:r>
          </w:p>
        </w:tc>
      </w:tr>
      <w:tr w:rsidR="00E8773A" w14:paraId="2C61012D"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4696219A"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0893E265" w14:textId="77777777" w:rsidR="002D23D6" w:rsidRDefault="002D23D6">
            <w:pPr>
              <w:rPr>
                <w:color w:val="000000"/>
                <w:sz w:val="22"/>
                <w:szCs w:val="22"/>
              </w:rPr>
            </w:pPr>
            <w:r>
              <w:rPr>
                <w:color w:val="000000"/>
                <w:sz w:val="22"/>
                <w:szCs w:val="22"/>
              </w:rPr>
              <w:t> </w:t>
            </w:r>
          </w:p>
        </w:tc>
      </w:tr>
      <w:tr w:rsidR="00E8773A" w14:paraId="53CFA278" w14:textId="77777777" w:rsidTr="004E7193">
        <w:trPr>
          <w:trHeight w:val="141"/>
        </w:trPr>
        <w:tc>
          <w:tcPr>
            <w:tcW w:w="2520" w:type="dxa"/>
            <w:tcBorders>
              <w:top w:val="nil"/>
              <w:left w:val="nil"/>
              <w:bottom w:val="nil"/>
              <w:right w:val="nil"/>
            </w:tcBorders>
            <w:shd w:val="clear" w:color="auto" w:fill="auto"/>
            <w:noWrap/>
            <w:vAlign w:val="bottom"/>
            <w:hideMark/>
          </w:tcPr>
          <w:p w14:paraId="2076F5F0" w14:textId="77777777" w:rsidR="002D23D6" w:rsidRDefault="002D23D6">
            <w:pPr>
              <w:rPr>
                <w:color w:val="000000"/>
                <w:sz w:val="22"/>
                <w:szCs w:val="22"/>
              </w:rPr>
            </w:pPr>
          </w:p>
        </w:tc>
        <w:tc>
          <w:tcPr>
            <w:tcW w:w="5040" w:type="dxa"/>
            <w:tcBorders>
              <w:top w:val="nil"/>
              <w:left w:val="nil"/>
              <w:bottom w:val="nil"/>
              <w:right w:val="nil"/>
            </w:tcBorders>
            <w:shd w:val="clear" w:color="auto" w:fill="auto"/>
            <w:noWrap/>
            <w:vAlign w:val="bottom"/>
            <w:hideMark/>
          </w:tcPr>
          <w:p w14:paraId="0EC5C2D2" w14:textId="77777777" w:rsidR="002D23D6" w:rsidRDefault="002D23D6">
            <w:pPr>
              <w:rPr>
                <w:sz w:val="20"/>
                <w:szCs w:val="20"/>
              </w:rPr>
            </w:pPr>
          </w:p>
        </w:tc>
      </w:tr>
      <w:tr w:rsidR="00E8773A" w14:paraId="7E613492" w14:textId="77777777" w:rsidTr="004E7193">
        <w:trPr>
          <w:trHeight w:val="276"/>
        </w:trPr>
        <w:tc>
          <w:tcPr>
            <w:tcW w:w="7560" w:type="dxa"/>
            <w:gridSpan w:val="2"/>
            <w:tcBorders>
              <w:top w:val="nil"/>
              <w:left w:val="nil"/>
              <w:bottom w:val="nil"/>
              <w:right w:val="nil"/>
            </w:tcBorders>
            <w:shd w:val="clear" w:color="auto" w:fill="auto"/>
            <w:noWrap/>
            <w:vAlign w:val="bottom"/>
            <w:hideMark/>
          </w:tcPr>
          <w:p w14:paraId="5F98A790" w14:textId="77777777" w:rsidR="002D23D6" w:rsidRDefault="002D23D6">
            <w:pPr>
              <w:jc w:val="center"/>
              <w:rPr>
                <w:color w:val="000000"/>
                <w:sz w:val="22"/>
                <w:szCs w:val="22"/>
              </w:rPr>
            </w:pPr>
            <w:r>
              <w:rPr>
                <w:color w:val="000000"/>
                <w:sz w:val="22"/>
                <w:szCs w:val="22"/>
              </w:rPr>
              <w:t>Propensity score analysis, Stratification (240 total)</w:t>
            </w:r>
          </w:p>
        </w:tc>
      </w:tr>
      <w:tr w:rsidR="00E8773A" w14:paraId="6FF8DBA6" w14:textId="77777777" w:rsidTr="004E7193">
        <w:trPr>
          <w:trHeight w:val="276"/>
        </w:trPr>
        <w:tc>
          <w:tcPr>
            <w:tcW w:w="2520" w:type="dxa"/>
            <w:tcBorders>
              <w:top w:val="nil"/>
              <w:left w:val="nil"/>
              <w:bottom w:val="nil"/>
              <w:right w:val="nil"/>
            </w:tcBorders>
            <w:shd w:val="clear" w:color="auto" w:fill="auto"/>
            <w:noWrap/>
            <w:vAlign w:val="bottom"/>
            <w:hideMark/>
          </w:tcPr>
          <w:p w14:paraId="722ACF81" w14:textId="77777777" w:rsidR="002D23D6" w:rsidRDefault="002D23D6">
            <w:pPr>
              <w:jc w:val="center"/>
              <w:rPr>
                <w:color w:val="000000"/>
                <w:sz w:val="22"/>
                <w:szCs w:val="22"/>
              </w:rPr>
            </w:pPr>
          </w:p>
        </w:tc>
        <w:tc>
          <w:tcPr>
            <w:tcW w:w="5040" w:type="dxa"/>
            <w:tcBorders>
              <w:top w:val="nil"/>
              <w:left w:val="nil"/>
              <w:bottom w:val="nil"/>
              <w:right w:val="nil"/>
            </w:tcBorders>
            <w:shd w:val="clear" w:color="auto" w:fill="auto"/>
            <w:noWrap/>
            <w:vAlign w:val="bottom"/>
            <w:hideMark/>
          </w:tcPr>
          <w:p w14:paraId="6F677B7A" w14:textId="77777777" w:rsidR="002D23D6" w:rsidRDefault="002D23D6">
            <w:pPr>
              <w:rPr>
                <w:sz w:val="20"/>
                <w:szCs w:val="20"/>
              </w:rPr>
            </w:pPr>
          </w:p>
        </w:tc>
      </w:tr>
      <w:tr w:rsidR="00E8773A" w14:paraId="76417F8C" w14:textId="77777777" w:rsidTr="004E7193">
        <w:trPr>
          <w:trHeight w:val="276"/>
        </w:trPr>
        <w:tc>
          <w:tcPr>
            <w:tcW w:w="2520" w:type="dxa"/>
            <w:tcBorders>
              <w:top w:val="nil"/>
              <w:left w:val="nil"/>
              <w:bottom w:val="nil"/>
              <w:right w:val="nil"/>
            </w:tcBorders>
            <w:shd w:val="clear" w:color="auto" w:fill="auto"/>
            <w:noWrap/>
            <w:vAlign w:val="bottom"/>
            <w:hideMark/>
          </w:tcPr>
          <w:p w14:paraId="390F5189" w14:textId="77777777" w:rsidR="002D23D6" w:rsidRDefault="002D23D6">
            <w:pPr>
              <w:rPr>
                <w:color w:val="000000"/>
                <w:sz w:val="22"/>
                <w:szCs w:val="22"/>
              </w:rPr>
            </w:pPr>
            <w:r>
              <w:rPr>
                <w:color w:val="000000"/>
                <w:sz w:val="22"/>
                <w:szCs w:val="22"/>
              </w:rPr>
              <w:t>Outcome variable</w:t>
            </w:r>
          </w:p>
        </w:tc>
        <w:tc>
          <w:tcPr>
            <w:tcW w:w="5040" w:type="dxa"/>
            <w:tcBorders>
              <w:top w:val="nil"/>
              <w:left w:val="nil"/>
              <w:bottom w:val="nil"/>
              <w:right w:val="nil"/>
            </w:tcBorders>
            <w:shd w:val="clear" w:color="auto" w:fill="auto"/>
            <w:noWrap/>
            <w:vAlign w:val="bottom"/>
            <w:hideMark/>
          </w:tcPr>
          <w:p w14:paraId="1BB7D3B5" w14:textId="77777777" w:rsidR="002D23D6" w:rsidRDefault="002D23D6">
            <w:pPr>
              <w:rPr>
                <w:color w:val="000000"/>
                <w:sz w:val="22"/>
                <w:szCs w:val="22"/>
              </w:rPr>
            </w:pPr>
            <w:r>
              <w:rPr>
                <w:color w:val="000000"/>
                <w:sz w:val="22"/>
                <w:szCs w:val="22"/>
              </w:rPr>
              <w:t>Within-sex standardized vs raw attention</w:t>
            </w:r>
          </w:p>
        </w:tc>
      </w:tr>
      <w:tr w:rsidR="00E8773A" w14:paraId="39C0D505" w14:textId="77777777" w:rsidTr="004E7193">
        <w:trPr>
          <w:trHeight w:val="276"/>
        </w:trPr>
        <w:tc>
          <w:tcPr>
            <w:tcW w:w="2520" w:type="dxa"/>
            <w:tcBorders>
              <w:top w:val="nil"/>
              <w:left w:val="nil"/>
              <w:bottom w:val="nil"/>
              <w:right w:val="nil"/>
            </w:tcBorders>
            <w:shd w:val="clear" w:color="auto" w:fill="auto"/>
            <w:noWrap/>
            <w:vAlign w:val="bottom"/>
            <w:hideMark/>
          </w:tcPr>
          <w:p w14:paraId="49C711EC" w14:textId="59372F69" w:rsidR="002D23D6" w:rsidRDefault="002D23D6">
            <w:pPr>
              <w:rPr>
                <w:color w:val="000000"/>
                <w:sz w:val="22"/>
                <w:szCs w:val="22"/>
              </w:rPr>
            </w:pPr>
            <w:r>
              <w:rPr>
                <w:color w:val="000000"/>
                <w:sz w:val="22"/>
                <w:szCs w:val="22"/>
              </w:rPr>
              <w:t>TV cutpoint</w:t>
            </w:r>
          </w:p>
        </w:tc>
        <w:tc>
          <w:tcPr>
            <w:tcW w:w="5040" w:type="dxa"/>
            <w:tcBorders>
              <w:top w:val="nil"/>
              <w:left w:val="nil"/>
              <w:bottom w:val="nil"/>
              <w:right w:val="nil"/>
            </w:tcBorders>
            <w:shd w:val="clear" w:color="auto" w:fill="auto"/>
            <w:noWrap/>
            <w:vAlign w:val="bottom"/>
            <w:hideMark/>
          </w:tcPr>
          <w:p w14:paraId="75077282" w14:textId="66EEF693" w:rsidR="002D23D6" w:rsidRDefault="002D23D6">
            <w:pPr>
              <w:rPr>
                <w:color w:val="000000"/>
                <w:sz w:val="22"/>
                <w:szCs w:val="22"/>
              </w:rPr>
            </w:pPr>
            <w:r>
              <w:rPr>
                <w:color w:val="000000"/>
                <w:sz w:val="22"/>
                <w:szCs w:val="22"/>
              </w:rPr>
              <w:t xml:space="preserve">20/80, 30/70, 40/60, 50, 60, 70 </w:t>
            </w:r>
            <w:r>
              <w:rPr>
                <w:i/>
                <w:iCs/>
                <w:color w:val="000000"/>
                <w:sz w:val="22"/>
                <w:szCs w:val="22"/>
              </w:rPr>
              <w:t>(</w:t>
            </w:r>
            <w:r w:rsidR="004E7193">
              <w:rPr>
                <w:i/>
                <w:iCs/>
                <w:color w:val="000000"/>
                <w:sz w:val="22"/>
                <w:szCs w:val="22"/>
              </w:rPr>
              <w:t xml:space="preserve">percentiles, </w:t>
            </w:r>
            <w:r>
              <w:rPr>
                <w:i/>
                <w:iCs/>
                <w:color w:val="000000"/>
                <w:sz w:val="22"/>
                <w:szCs w:val="22"/>
              </w:rPr>
              <w:t>6 levels)</w:t>
            </w:r>
          </w:p>
        </w:tc>
      </w:tr>
      <w:tr w:rsidR="00E8773A" w14:paraId="19910A58" w14:textId="77777777" w:rsidTr="004E7193">
        <w:trPr>
          <w:trHeight w:val="276"/>
        </w:trPr>
        <w:tc>
          <w:tcPr>
            <w:tcW w:w="2520" w:type="dxa"/>
            <w:tcBorders>
              <w:top w:val="nil"/>
              <w:left w:val="nil"/>
              <w:bottom w:val="nil"/>
              <w:right w:val="nil"/>
            </w:tcBorders>
            <w:shd w:val="clear" w:color="auto" w:fill="auto"/>
            <w:noWrap/>
            <w:vAlign w:val="bottom"/>
            <w:hideMark/>
          </w:tcPr>
          <w:p w14:paraId="35B8FAF5" w14:textId="77777777" w:rsidR="002D23D6" w:rsidRDefault="002D23D6">
            <w:pPr>
              <w:rPr>
                <w:color w:val="000000"/>
                <w:sz w:val="22"/>
                <w:szCs w:val="22"/>
              </w:rPr>
            </w:pPr>
            <w:r>
              <w:rPr>
                <w:color w:val="000000"/>
                <w:sz w:val="22"/>
                <w:szCs w:val="22"/>
              </w:rPr>
              <w:t>Sample weights</w:t>
            </w:r>
          </w:p>
        </w:tc>
        <w:tc>
          <w:tcPr>
            <w:tcW w:w="5040" w:type="dxa"/>
            <w:tcBorders>
              <w:top w:val="nil"/>
              <w:left w:val="nil"/>
              <w:bottom w:val="nil"/>
              <w:right w:val="nil"/>
            </w:tcBorders>
            <w:shd w:val="clear" w:color="auto" w:fill="auto"/>
            <w:noWrap/>
            <w:vAlign w:val="bottom"/>
            <w:hideMark/>
          </w:tcPr>
          <w:p w14:paraId="14805030" w14:textId="77777777" w:rsidR="002D23D6" w:rsidRDefault="002D23D6">
            <w:pPr>
              <w:rPr>
                <w:color w:val="000000"/>
                <w:sz w:val="22"/>
                <w:szCs w:val="22"/>
              </w:rPr>
            </w:pPr>
            <w:r>
              <w:rPr>
                <w:color w:val="000000"/>
                <w:sz w:val="22"/>
                <w:szCs w:val="22"/>
              </w:rPr>
              <w:t>Incorporated vs not incorporated</w:t>
            </w:r>
          </w:p>
        </w:tc>
      </w:tr>
      <w:tr w:rsidR="00E8773A" w14:paraId="19786E3D" w14:textId="77777777" w:rsidTr="004E7193">
        <w:trPr>
          <w:trHeight w:val="276"/>
        </w:trPr>
        <w:tc>
          <w:tcPr>
            <w:tcW w:w="2520" w:type="dxa"/>
            <w:tcBorders>
              <w:top w:val="nil"/>
              <w:left w:val="nil"/>
              <w:bottom w:val="nil"/>
              <w:right w:val="nil"/>
            </w:tcBorders>
            <w:shd w:val="clear" w:color="auto" w:fill="auto"/>
            <w:noWrap/>
            <w:vAlign w:val="bottom"/>
            <w:hideMark/>
          </w:tcPr>
          <w:p w14:paraId="6C46A1B1" w14:textId="77777777" w:rsidR="002D23D6" w:rsidRDefault="002D23D6">
            <w:pPr>
              <w:rPr>
                <w:color w:val="000000"/>
                <w:sz w:val="22"/>
                <w:szCs w:val="22"/>
              </w:rPr>
            </w:pPr>
            <w:r>
              <w:rPr>
                <w:color w:val="000000"/>
                <w:sz w:val="22"/>
                <w:szCs w:val="22"/>
              </w:rPr>
              <w:t>Covariate set</w:t>
            </w:r>
          </w:p>
        </w:tc>
        <w:tc>
          <w:tcPr>
            <w:tcW w:w="5040" w:type="dxa"/>
            <w:tcBorders>
              <w:top w:val="nil"/>
              <w:left w:val="nil"/>
              <w:bottom w:val="nil"/>
              <w:right w:val="nil"/>
            </w:tcBorders>
            <w:shd w:val="clear" w:color="auto" w:fill="auto"/>
            <w:noWrap/>
            <w:vAlign w:val="bottom"/>
            <w:hideMark/>
          </w:tcPr>
          <w:p w14:paraId="6CB5E754" w14:textId="77777777" w:rsidR="002D23D6" w:rsidRDefault="002D23D6">
            <w:pPr>
              <w:rPr>
                <w:color w:val="000000"/>
                <w:sz w:val="22"/>
                <w:szCs w:val="22"/>
              </w:rPr>
            </w:pPr>
            <w:r>
              <w:rPr>
                <w:color w:val="000000"/>
                <w:sz w:val="22"/>
                <w:szCs w:val="22"/>
              </w:rPr>
              <w:t>Original vs expanded</w:t>
            </w:r>
          </w:p>
        </w:tc>
      </w:tr>
      <w:tr w:rsidR="00E8773A" w14:paraId="1A4C795E" w14:textId="77777777" w:rsidTr="004E7193">
        <w:trPr>
          <w:trHeight w:val="276"/>
        </w:trPr>
        <w:tc>
          <w:tcPr>
            <w:tcW w:w="2520" w:type="dxa"/>
            <w:tcBorders>
              <w:top w:val="nil"/>
              <w:left w:val="nil"/>
              <w:bottom w:val="nil"/>
              <w:right w:val="nil"/>
            </w:tcBorders>
            <w:shd w:val="clear" w:color="auto" w:fill="auto"/>
            <w:noWrap/>
            <w:vAlign w:val="bottom"/>
            <w:hideMark/>
          </w:tcPr>
          <w:p w14:paraId="3C29E337" w14:textId="77777777" w:rsidR="002D23D6" w:rsidRDefault="002D23D6">
            <w:pPr>
              <w:rPr>
                <w:color w:val="000000"/>
                <w:sz w:val="22"/>
                <w:szCs w:val="22"/>
              </w:rPr>
            </w:pPr>
            <w:r>
              <w:rPr>
                <w:color w:val="000000"/>
                <w:sz w:val="22"/>
                <w:szCs w:val="22"/>
              </w:rPr>
              <w:t>TV age</w:t>
            </w:r>
          </w:p>
        </w:tc>
        <w:tc>
          <w:tcPr>
            <w:tcW w:w="5040" w:type="dxa"/>
            <w:tcBorders>
              <w:top w:val="nil"/>
              <w:left w:val="nil"/>
              <w:bottom w:val="nil"/>
              <w:right w:val="nil"/>
            </w:tcBorders>
            <w:shd w:val="clear" w:color="auto" w:fill="auto"/>
            <w:noWrap/>
            <w:vAlign w:val="bottom"/>
            <w:hideMark/>
          </w:tcPr>
          <w:p w14:paraId="2DFE92A4" w14:textId="77777777" w:rsidR="002D23D6" w:rsidRDefault="002D23D6">
            <w:pPr>
              <w:rPr>
                <w:color w:val="000000"/>
                <w:sz w:val="22"/>
                <w:szCs w:val="22"/>
              </w:rPr>
            </w:pPr>
            <w:r>
              <w:rPr>
                <w:color w:val="000000"/>
                <w:sz w:val="22"/>
                <w:szCs w:val="22"/>
              </w:rPr>
              <w:t>~1.5 vs ~3</w:t>
            </w:r>
          </w:p>
        </w:tc>
      </w:tr>
      <w:tr w:rsidR="00E8773A" w14:paraId="5DE84DF6" w14:textId="77777777" w:rsidTr="004E7193">
        <w:trPr>
          <w:trHeight w:val="276"/>
        </w:trPr>
        <w:tc>
          <w:tcPr>
            <w:tcW w:w="2520" w:type="dxa"/>
            <w:tcBorders>
              <w:top w:val="nil"/>
              <w:left w:val="nil"/>
              <w:bottom w:val="nil"/>
              <w:right w:val="nil"/>
            </w:tcBorders>
            <w:shd w:val="clear" w:color="auto" w:fill="auto"/>
            <w:noWrap/>
            <w:vAlign w:val="bottom"/>
            <w:hideMark/>
          </w:tcPr>
          <w:p w14:paraId="02D8D22F" w14:textId="77777777" w:rsidR="002D23D6" w:rsidRDefault="002D23D6">
            <w:pPr>
              <w:rPr>
                <w:color w:val="000000"/>
                <w:sz w:val="22"/>
                <w:szCs w:val="22"/>
              </w:rPr>
            </w:pPr>
            <w:r>
              <w:rPr>
                <w:color w:val="000000"/>
                <w:sz w:val="22"/>
                <w:szCs w:val="22"/>
              </w:rPr>
              <w:t>Number of strata</w:t>
            </w:r>
          </w:p>
        </w:tc>
        <w:tc>
          <w:tcPr>
            <w:tcW w:w="5040" w:type="dxa"/>
            <w:tcBorders>
              <w:top w:val="nil"/>
              <w:left w:val="nil"/>
              <w:bottom w:val="nil"/>
              <w:right w:val="nil"/>
            </w:tcBorders>
            <w:shd w:val="clear" w:color="auto" w:fill="auto"/>
            <w:noWrap/>
            <w:vAlign w:val="bottom"/>
            <w:hideMark/>
          </w:tcPr>
          <w:p w14:paraId="5304100B" w14:textId="77777777" w:rsidR="002D23D6" w:rsidRDefault="002D23D6">
            <w:pPr>
              <w:rPr>
                <w:color w:val="000000"/>
                <w:sz w:val="22"/>
                <w:szCs w:val="22"/>
              </w:rPr>
            </w:pPr>
            <w:r>
              <w:rPr>
                <w:color w:val="000000"/>
                <w:sz w:val="22"/>
                <w:szCs w:val="22"/>
              </w:rPr>
              <w:t xml:space="preserve">4, 5, 6, 7, 8 </w:t>
            </w:r>
            <w:r>
              <w:rPr>
                <w:i/>
                <w:iCs/>
                <w:color w:val="000000"/>
                <w:sz w:val="22"/>
                <w:szCs w:val="22"/>
              </w:rPr>
              <w:t>(5 levels)</w:t>
            </w:r>
          </w:p>
        </w:tc>
      </w:tr>
      <w:tr w:rsidR="00E8773A" w14:paraId="6B752224" w14:textId="77777777" w:rsidTr="004E7193">
        <w:trPr>
          <w:trHeight w:val="141"/>
        </w:trPr>
        <w:tc>
          <w:tcPr>
            <w:tcW w:w="2520" w:type="dxa"/>
            <w:tcBorders>
              <w:top w:val="nil"/>
              <w:left w:val="nil"/>
              <w:bottom w:val="single" w:sz="4" w:space="0" w:color="auto"/>
              <w:right w:val="nil"/>
            </w:tcBorders>
            <w:shd w:val="clear" w:color="auto" w:fill="auto"/>
            <w:noWrap/>
            <w:vAlign w:val="bottom"/>
            <w:hideMark/>
          </w:tcPr>
          <w:p w14:paraId="3403D0A7" w14:textId="77777777" w:rsidR="002D23D6" w:rsidRDefault="002D23D6">
            <w:pPr>
              <w:rPr>
                <w:color w:val="000000"/>
                <w:sz w:val="22"/>
                <w:szCs w:val="22"/>
              </w:rPr>
            </w:pPr>
            <w:r>
              <w:rPr>
                <w:color w:val="000000"/>
                <w:sz w:val="22"/>
                <w:szCs w:val="22"/>
              </w:rPr>
              <w:t> </w:t>
            </w:r>
          </w:p>
        </w:tc>
        <w:tc>
          <w:tcPr>
            <w:tcW w:w="5040" w:type="dxa"/>
            <w:tcBorders>
              <w:top w:val="nil"/>
              <w:left w:val="nil"/>
              <w:bottom w:val="single" w:sz="4" w:space="0" w:color="auto"/>
              <w:right w:val="nil"/>
            </w:tcBorders>
            <w:shd w:val="clear" w:color="auto" w:fill="auto"/>
            <w:noWrap/>
            <w:vAlign w:val="bottom"/>
            <w:hideMark/>
          </w:tcPr>
          <w:p w14:paraId="11685AEE" w14:textId="77777777" w:rsidR="002D23D6" w:rsidRDefault="002D23D6">
            <w:pPr>
              <w:rPr>
                <w:color w:val="000000"/>
                <w:sz w:val="22"/>
                <w:szCs w:val="22"/>
              </w:rPr>
            </w:pPr>
            <w:r>
              <w:rPr>
                <w:color w:val="000000"/>
                <w:sz w:val="22"/>
                <w:szCs w:val="22"/>
              </w:rPr>
              <w:t> </w:t>
            </w:r>
          </w:p>
        </w:tc>
      </w:tr>
    </w:tbl>
    <w:p w14:paraId="42F2BC34" w14:textId="56CF88B1" w:rsidR="004E7193" w:rsidRDefault="00DC412B" w:rsidP="00067050">
      <w:pPr>
        <w:rPr>
          <w:color w:val="000000"/>
          <w:sz w:val="22"/>
          <w:szCs w:val="22"/>
        </w:rPr>
      </w:pPr>
      <w:r w:rsidRPr="004E7193">
        <w:rPr>
          <w:i/>
          <w:iCs/>
        </w:rPr>
        <w:t>Note</w:t>
      </w:r>
      <w:r>
        <w:t xml:space="preserve">: Missing data in the propensity score models was </w:t>
      </w:r>
      <w:r w:rsidR="004E7193">
        <w:t xml:space="preserve">treated </w:t>
      </w:r>
      <w:r w:rsidR="004E7193">
        <w:rPr>
          <w:color w:val="000000"/>
          <w:sz w:val="22"/>
          <w:szCs w:val="22"/>
        </w:rPr>
        <w:t>as informative by the boosted classification trees method used to estimate the propensity scores.</w:t>
      </w:r>
    </w:p>
    <w:p w14:paraId="0A28B5B5" w14:textId="77777777" w:rsidR="004E7193" w:rsidRDefault="004E7193">
      <w:pPr>
        <w:rPr>
          <w:color w:val="000000"/>
          <w:sz w:val="22"/>
          <w:szCs w:val="22"/>
        </w:rPr>
      </w:pPr>
      <w:r>
        <w:rPr>
          <w:color w:val="000000"/>
          <w:sz w:val="22"/>
          <w:szCs w:val="22"/>
        </w:rPr>
        <w:br w:type="page"/>
      </w:r>
    </w:p>
    <w:p w14:paraId="04A128B3" w14:textId="752AE88F" w:rsidR="00067050" w:rsidRDefault="00067050" w:rsidP="00067050">
      <w:r>
        <w:lastRenderedPageBreak/>
        <w:t>Table 2</w:t>
      </w:r>
    </w:p>
    <w:p w14:paraId="35A2FF98" w14:textId="77777777" w:rsidR="00067050" w:rsidRDefault="00067050" w:rsidP="00067050">
      <w:r>
        <w:t>Marginal descriptive statistics for continuous variables</w:t>
      </w:r>
    </w:p>
    <w:p w14:paraId="49343645" w14:textId="77777777" w:rsidR="00067050" w:rsidRDefault="00067050" w:rsidP="00067050"/>
    <w:tbl>
      <w:tblPr>
        <w:tblW w:w="8910" w:type="dxa"/>
        <w:tblLayout w:type="fixed"/>
        <w:tblLook w:val="04A0" w:firstRow="1" w:lastRow="0" w:firstColumn="1" w:lastColumn="0" w:noHBand="0" w:noVBand="1"/>
      </w:tblPr>
      <w:tblGrid>
        <w:gridCol w:w="3880"/>
        <w:gridCol w:w="1030"/>
        <w:gridCol w:w="1030"/>
        <w:gridCol w:w="1080"/>
        <w:gridCol w:w="810"/>
        <w:gridCol w:w="1080"/>
      </w:tblGrid>
      <w:tr w:rsidR="00067050" w:rsidRPr="002434FE" w14:paraId="7E16F14D" w14:textId="77777777" w:rsidTr="006F3489">
        <w:trPr>
          <w:trHeight w:val="359"/>
        </w:trPr>
        <w:tc>
          <w:tcPr>
            <w:tcW w:w="3880" w:type="dxa"/>
            <w:tcBorders>
              <w:top w:val="single" w:sz="4" w:space="0" w:color="auto"/>
              <w:left w:val="nil"/>
              <w:bottom w:val="nil"/>
              <w:right w:val="nil"/>
            </w:tcBorders>
            <w:shd w:val="clear" w:color="auto" w:fill="auto"/>
            <w:noWrap/>
            <w:vAlign w:val="bottom"/>
            <w:hideMark/>
          </w:tcPr>
          <w:p w14:paraId="7312DCEA" w14:textId="77777777" w:rsidR="00067050" w:rsidRPr="002434FE" w:rsidRDefault="00067050" w:rsidP="006F3489">
            <w:pPr>
              <w:rPr>
                <w:color w:val="000000"/>
                <w:sz w:val="22"/>
                <w:szCs w:val="22"/>
              </w:rPr>
            </w:pPr>
            <w:r w:rsidRPr="002434FE">
              <w:rPr>
                <w:color w:val="000000"/>
                <w:sz w:val="22"/>
                <w:szCs w:val="22"/>
              </w:rPr>
              <w:t>Variable</w:t>
            </w:r>
          </w:p>
        </w:tc>
        <w:tc>
          <w:tcPr>
            <w:tcW w:w="1030" w:type="dxa"/>
            <w:tcBorders>
              <w:top w:val="single" w:sz="4" w:space="0" w:color="auto"/>
              <w:left w:val="nil"/>
              <w:bottom w:val="nil"/>
              <w:right w:val="nil"/>
            </w:tcBorders>
            <w:shd w:val="clear" w:color="auto" w:fill="auto"/>
            <w:noWrap/>
            <w:vAlign w:val="bottom"/>
            <w:hideMark/>
          </w:tcPr>
          <w:p w14:paraId="35B1F3C5" w14:textId="77777777" w:rsidR="00067050" w:rsidRPr="002434FE" w:rsidRDefault="00067050" w:rsidP="006F3489">
            <w:pPr>
              <w:jc w:val="right"/>
              <w:rPr>
                <w:color w:val="000000"/>
                <w:sz w:val="22"/>
                <w:szCs w:val="22"/>
              </w:rPr>
            </w:pPr>
            <w:r w:rsidRPr="002434FE">
              <w:rPr>
                <w:color w:val="000000"/>
                <w:sz w:val="22"/>
                <w:szCs w:val="22"/>
              </w:rPr>
              <w:t>Valid n</w:t>
            </w:r>
          </w:p>
        </w:tc>
        <w:tc>
          <w:tcPr>
            <w:tcW w:w="1030" w:type="dxa"/>
            <w:tcBorders>
              <w:top w:val="single" w:sz="4" w:space="0" w:color="auto"/>
              <w:left w:val="nil"/>
              <w:bottom w:val="nil"/>
              <w:right w:val="nil"/>
            </w:tcBorders>
            <w:shd w:val="clear" w:color="auto" w:fill="auto"/>
            <w:noWrap/>
            <w:vAlign w:val="bottom"/>
            <w:hideMark/>
          </w:tcPr>
          <w:p w14:paraId="06E1A2AA" w14:textId="77777777" w:rsidR="00067050" w:rsidRPr="002434FE" w:rsidRDefault="00067050" w:rsidP="006F3489">
            <w:pPr>
              <w:jc w:val="right"/>
              <w:rPr>
                <w:color w:val="000000"/>
                <w:sz w:val="22"/>
                <w:szCs w:val="22"/>
              </w:rPr>
            </w:pPr>
            <w:r w:rsidRPr="002434FE">
              <w:rPr>
                <w:color w:val="000000"/>
                <w:sz w:val="22"/>
                <w:szCs w:val="22"/>
              </w:rPr>
              <w:t>Mean</w:t>
            </w:r>
          </w:p>
        </w:tc>
        <w:tc>
          <w:tcPr>
            <w:tcW w:w="1080" w:type="dxa"/>
            <w:tcBorders>
              <w:top w:val="single" w:sz="4" w:space="0" w:color="auto"/>
              <w:left w:val="nil"/>
              <w:bottom w:val="nil"/>
              <w:right w:val="nil"/>
            </w:tcBorders>
            <w:shd w:val="clear" w:color="auto" w:fill="auto"/>
            <w:noWrap/>
            <w:vAlign w:val="bottom"/>
            <w:hideMark/>
          </w:tcPr>
          <w:p w14:paraId="1929FBEC" w14:textId="77777777" w:rsidR="00067050" w:rsidRPr="002434FE" w:rsidRDefault="00067050" w:rsidP="006F3489">
            <w:pPr>
              <w:jc w:val="right"/>
              <w:rPr>
                <w:color w:val="000000"/>
                <w:sz w:val="22"/>
                <w:szCs w:val="22"/>
              </w:rPr>
            </w:pPr>
            <w:r w:rsidRPr="002434FE">
              <w:rPr>
                <w:color w:val="000000"/>
                <w:sz w:val="22"/>
                <w:szCs w:val="22"/>
              </w:rPr>
              <w:t>Std Dev</w:t>
            </w:r>
          </w:p>
        </w:tc>
        <w:tc>
          <w:tcPr>
            <w:tcW w:w="810" w:type="dxa"/>
            <w:tcBorders>
              <w:top w:val="single" w:sz="4" w:space="0" w:color="auto"/>
              <w:left w:val="nil"/>
              <w:bottom w:val="nil"/>
              <w:right w:val="nil"/>
            </w:tcBorders>
            <w:shd w:val="clear" w:color="auto" w:fill="auto"/>
            <w:noWrap/>
            <w:vAlign w:val="bottom"/>
            <w:hideMark/>
          </w:tcPr>
          <w:p w14:paraId="7AB24DFE" w14:textId="77777777" w:rsidR="00067050" w:rsidRPr="002434FE" w:rsidRDefault="00067050" w:rsidP="006F3489">
            <w:pPr>
              <w:jc w:val="right"/>
              <w:rPr>
                <w:color w:val="000000"/>
                <w:sz w:val="22"/>
                <w:szCs w:val="22"/>
              </w:rPr>
            </w:pPr>
            <w:r w:rsidRPr="002434FE">
              <w:rPr>
                <w:color w:val="000000"/>
                <w:sz w:val="22"/>
                <w:szCs w:val="22"/>
              </w:rPr>
              <w:t>Min</w:t>
            </w:r>
          </w:p>
        </w:tc>
        <w:tc>
          <w:tcPr>
            <w:tcW w:w="1080" w:type="dxa"/>
            <w:tcBorders>
              <w:top w:val="single" w:sz="4" w:space="0" w:color="auto"/>
              <w:left w:val="nil"/>
              <w:bottom w:val="nil"/>
              <w:right w:val="nil"/>
            </w:tcBorders>
            <w:shd w:val="clear" w:color="auto" w:fill="auto"/>
            <w:noWrap/>
            <w:vAlign w:val="bottom"/>
            <w:hideMark/>
          </w:tcPr>
          <w:p w14:paraId="2567117F" w14:textId="77777777" w:rsidR="00067050" w:rsidRPr="002434FE" w:rsidRDefault="00067050" w:rsidP="006F3489">
            <w:pPr>
              <w:jc w:val="right"/>
              <w:rPr>
                <w:color w:val="000000"/>
                <w:sz w:val="22"/>
                <w:szCs w:val="22"/>
              </w:rPr>
            </w:pPr>
            <w:r w:rsidRPr="002434FE">
              <w:rPr>
                <w:color w:val="000000"/>
                <w:sz w:val="22"/>
                <w:szCs w:val="22"/>
              </w:rPr>
              <w:t>Max</w:t>
            </w:r>
          </w:p>
        </w:tc>
      </w:tr>
      <w:tr w:rsidR="00067050" w:rsidRPr="002434FE" w14:paraId="4B00962D" w14:textId="77777777" w:rsidTr="006F3489">
        <w:trPr>
          <w:trHeight w:val="85"/>
        </w:trPr>
        <w:tc>
          <w:tcPr>
            <w:tcW w:w="3880" w:type="dxa"/>
            <w:tcBorders>
              <w:top w:val="nil"/>
              <w:left w:val="nil"/>
              <w:bottom w:val="single" w:sz="4" w:space="0" w:color="auto"/>
              <w:right w:val="nil"/>
            </w:tcBorders>
            <w:shd w:val="clear" w:color="auto" w:fill="auto"/>
            <w:noWrap/>
            <w:vAlign w:val="bottom"/>
            <w:hideMark/>
          </w:tcPr>
          <w:p w14:paraId="513411B4"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5598149C"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65B85EE"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402DCC75"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8098BE8"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6149103B" w14:textId="77777777" w:rsidR="00067050" w:rsidRPr="008669FE" w:rsidRDefault="00067050" w:rsidP="006F3489">
            <w:pPr>
              <w:rPr>
                <w:color w:val="000000"/>
                <w:sz w:val="10"/>
                <w:szCs w:val="10"/>
              </w:rPr>
            </w:pPr>
            <w:r w:rsidRPr="008669FE">
              <w:rPr>
                <w:color w:val="000000"/>
                <w:sz w:val="10"/>
                <w:szCs w:val="10"/>
              </w:rPr>
              <w:t> </w:t>
            </w:r>
          </w:p>
        </w:tc>
      </w:tr>
      <w:tr w:rsidR="00067050" w:rsidRPr="002434FE" w14:paraId="4FF4D7B1" w14:textId="77777777" w:rsidTr="006F3489">
        <w:trPr>
          <w:trHeight w:val="395"/>
        </w:trPr>
        <w:tc>
          <w:tcPr>
            <w:tcW w:w="3880" w:type="dxa"/>
            <w:tcBorders>
              <w:top w:val="nil"/>
              <w:left w:val="nil"/>
              <w:bottom w:val="nil"/>
              <w:right w:val="nil"/>
            </w:tcBorders>
            <w:shd w:val="clear" w:color="auto" w:fill="auto"/>
            <w:noWrap/>
            <w:vAlign w:val="bottom"/>
            <w:hideMark/>
          </w:tcPr>
          <w:p w14:paraId="708E2804" w14:textId="77777777" w:rsidR="00067050" w:rsidRPr="002434FE" w:rsidRDefault="00067050" w:rsidP="006F3489">
            <w:pPr>
              <w:rPr>
                <w:color w:val="000000"/>
                <w:sz w:val="22"/>
                <w:szCs w:val="22"/>
              </w:rPr>
            </w:pPr>
            <w:r w:rsidRPr="002434FE">
              <w:rPr>
                <w:color w:val="000000"/>
                <w:sz w:val="22"/>
                <w:szCs w:val="22"/>
              </w:rPr>
              <w:t>Age (yrs) when attention was measured</w:t>
            </w:r>
          </w:p>
        </w:tc>
        <w:tc>
          <w:tcPr>
            <w:tcW w:w="1030" w:type="dxa"/>
            <w:tcBorders>
              <w:top w:val="nil"/>
              <w:left w:val="nil"/>
              <w:bottom w:val="nil"/>
              <w:right w:val="nil"/>
            </w:tcBorders>
            <w:shd w:val="clear" w:color="auto" w:fill="auto"/>
            <w:noWrap/>
            <w:vAlign w:val="bottom"/>
            <w:hideMark/>
          </w:tcPr>
          <w:p w14:paraId="18A22255"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1F0BDA8B" w14:textId="77777777" w:rsidR="00067050" w:rsidRPr="002434FE" w:rsidRDefault="00067050" w:rsidP="006F3489">
            <w:pPr>
              <w:jc w:val="right"/>
              <w:rPr>
                <w:color w:val="000000"/>
                <w:sz w:val="22"/>
                <w:szCs w:val="22"/>
              </w:rPr>
            </w:pPr>
            <w:r w:rsidRPr="002434FE">
              <w:rPr>
                <w:color w:val="000000"/>
                <w:sz w:val="22"/>
                <w:szCs w:val="22"/>
              </w:rPr>
              <w:t>7.75</w:t>
            </w:r>
          </w:p>
        </w:tc>
        <w:tc>
          <w:tcPr>
            <w:tcW w:w="1080" w:type="dxa"/>
            <w:tcBorders>
              <w:top w:val="nil"/>
              <w:left w:val="nil"/>
              <w:bottom w:val="nil"/>
              <w:right w:val="nil"/>
            </w:tcBorders>
            <w:shd w:val="clear" w:color="auto" w:fill="auto"/>
            <w:noWrap/>
            <w:vAlign w:val="bottom"/>
            <w:hideMark/>
          </w:tcPr>
          <w:p w14:paraId="24CBBACC" w14:textId="77777777" w:rsidR="00067050" w:rsidRPr="002434FE" w:rsidRDefault="00067050" w:rsidP="006F3489">
            <w:pPr>
              <w:jc w:val="right"/>
              <w:rPr>
                <w:color w:val="000000"/>
                <w:sz w:val="22"/>
                <w:szCs w:val="22"/>
              </w:rPr>
            </w:pPr>
            <w:r w:rsidRPr="002434FE">
              <w:rPr>
                <w:color w:val="000000"/>
                <w:sz w:val="22"/>
                <w:szCs w:val="22"/>
              </w:rPr>
              <w:t>0.61</w:t>
            </w:r>
          </w:p>
        </w:tc>
        <w:tc>
          <w:tcPr>
            <w:tcW w:w="810" w:type="dxa"/>
            <w:tcBorders>
              <w:top w:val="nil"/>
              <w:left w:val="nil"/>
              <w:bottom w:val="nil"/>
              <w:right w:val="nil"/>
            </w:tcBorders>
            <w:shd w:val="clear" w:color="auto" w:fill="auto"/>
            <w:noWrap/>
            <w:vAlign w:val="bottom"/>
            <w:hideMark/>
          </w:tcPr>
          <w:p w14:paraId="36C9F5B5" w14:textId="77777777" w:rsidR="00067050" w:rsidRPr="002434FE" w:rsidRDefault="00067050" w:rsidP="006F3489">
            <w:pPr>
              <w:jc w:val="right"/>
              <w:rPr>
                <w:color w:val="000000"/>
                <w:sz w:val="22"/>
                <w:szCs w:val="22"/>
              </w:rPr>
            </w:pPr>
            <w:r w:rsidRPr="002434FE">
              <w:rPr>
                <w:color w:val="000000"/>
                <w:sz w:val="22"/>
                <w:szCs w:val="22"/>
              </w:rPr>
              <w:t>6.75</w:t>
            </w:r>
          </w:p>
        </w:tc>
        <w:tc>
          <w:tcPr>
            <w:tcW w:w="1080" w:type="dxa"/>
            <w:tcBorders>
              <w:top w:val="nil"/>
              <w:left w:val="nil"/>
              <w:bottom w:val="nil"/>
              <w:right w:val="nil"/>
            </w:tcBorders>
            <w:shd w:val="clear" w:color="auto" w:fill="auto"/>
            <w:noWrap/>
            <w:vAlign w:val="bottom"/>
            <w:hideMark/>
          </w:tcPr>
          <w:p w14:paraId="7CE3F32C" w14:textId="77777777" w:rsidR="00067050" w:rsidRPr="002434FE" w:rsidRDefault="00067050" w:rsidP="006F3489">
            <w:pPr>
              <w:jc w:val="right"/>
              <w:rPr>
                <w:color w:val="000000"/>
                <w:sz w:val="22"/>
                <w:szCs w:val="22"/>
              </w:rPr>
            </w:pPr>
            <w:r w:rsidRPr="002434FE">
              <w:rPr>
                <w:color w:val="000000"/>
                <w:sz w:val="22"/>
                <w:szCs w:val="22"/>
              </w:rPr>
              <w:t>8.75</w:t>
            </w:r>
          </w:p>
        </w:tc>
      </w:tr>
      <w:tr w:rsidR="00067050" w:rsidRPr="002434FE" w14:paraId="781D2EEC" w14:textId="77777777" w:rsidTr="006F3489">
        <w:trPr>
          <w:trHeight w:val="320"/>
        </w:trPr>
        <w:tc>
          <w:tcPr>
            <w:tcW w:w="3880" w:type="dxa"/>
            <w:tcBorders>
              <w:top w:val="nil"/>
              <w:left w:val="nil"/>
              <w:bottom w:val="nil"/>
              <w:right w:val="nil"/>
            </w:tcBorders>
            <w:shd w:val="clear" w:color="auto" w:fill="auto"/>
            <w:noWrap/>
            <w:vAlign w:val="bottom"/>
            <w:hideMark/>
          </w:tcPr>
          <w:p w14:paraId="7F03931D" w14:textId="77777777" w:rsidR="00067050" w:rsidRPr="002434FE" w:rsidRDefault="00067050" w:rsidP="006F3489">
            <w:pPr>
              <w:rPr>
                <w:color w:val="000000"/>
                <w:sz w:val="22"/>
                <w:szCs w:val="22"/>
              </w:rPr>
            </w:pPr>
            <w:r w:rsidRPr="002434FE">
              <w:rPr>
                <w:color w:val="000000"/>
                <w:sz w:val="22"/>
                <w:szCs w:val="22"/>
              </w:rPr>
              <w:t>Annual family income (thousands)</w:t>
            </w:r>
          </w:p>
        </w:tc>
        <w:tc>
          <w:tcPr>
            <w:tcW w:w="1030" w:type="dxa"/>
            <w:tcBorders>
              <w:top w:val="nil"/>
              <w:left w:val="nil"/>
              <w:bottom w:val="nil"/>
              <w:right w:val="nil"/>
            </w:tcBorders>
            <w:shd w:val="clear" w:color="auto" w:fill="auto"/>
            <w:noWrap/>
            <w:vAlign w:val="bottom"/>
            <w:hideMark/>
          </w:tcPr>
          <w:p w14:paraId="472FBC5E" w14:textId="77777777" w:rsidR="00067050" w:rsidRPr="002434FE" w:rsidRDefault="00067050" w:rsidP="006F3489">
            <w:pPr>
              <w:jc w:val="right"/>
              <w:rPr>
                <w:color w:val="000000"/>
                <w:sz w:val="22"/>
                <w:szCs w:val="22"/>
              </w:rPr>
            </w:pPr>
            <w:r w:rsidRPr="002434FE">
              <w:rPr>
                <w:color w:val="000000"/>
                <w:sz w:val="22"/>
                <w:szCs w:val="22"/>
              </w:rPr>
              <w:t>1958</w:t>
            </w:r>
          </w:p>
        </w:tc>
        <w:tc>
          <w:tcPr>
            <w:tcW w:w="1030" w:type="dxa"/>
            <w:tcBorders>
              <w:top w:val="nil"/>
              <w:left w:val="nil"/>
              <w:bottom w:val="nil"/>
              <w:right w:val="nil"/>
            </w:tcBorders>
            <w:shd w:val="clear" w:color="auto" w:fill="auto"/>
            <w:noWrap/>
            <w:vAlign w:val="bottom"/>
            <w:hideMark/>
          </w:tcPr>
          <w:p w14:paraId="0D5A2D4E" w14:textId="77777777" w:rsidR="00067050" w:rsidRPr="002434FE" w:rsidRDefault="00067050" w:rsidP="006F3489">
            <w:pPr>
              <w:jc w:val="right"/>
              <w:rPr>
                <w:color w:val="000000"/>
                <w:sz w:val="22"/>
                <w:szCs w:val="22"/>
              </w:rPr>
            </w:pPr>
            <w:r w:rsidRPr="002434FE">
              <w:rPr>
                <w:color w:val="000000"/>
                <w:sz w:val="22"/>
                <w:szCs w:val="22"/>
              </w:rPr>
              <w:t>33.42</w:t>
            </w:r>
          </w:p>
        </w:tc>
        <w:tc>
          <w:tcPr>
            <w:tcW w:w="1080" w:type="dxa"/>
            <w:tcBorders>
              <w:top w:val="nil"/>
              <w:left w:val="nil"/>
              <w:bottom w:val="nil"/>
              <w:right w:val="nil"/>
            </w:tcBorders>
            <w:shd w:val="clear" w:color="auto" w:fill="auto"/>
            <w:noWrap/>
            <w:vAlign w:val="bottom"/>
            <w:hideMark/>
          </w:tcPr>
          <w:p w14:paraId="5788C3EE" w14:textId="77777777" w:rsidR="00067050" w:rsidRPr="002434FE" w:rsidRDefault="00067050" w:rsidP="006F3489">
            <w:pPr>
              <w:jc w:val="right"/>
              <w:rPr>
                <w:color w:val="000000"/>
                <w:sz w:val="22"/>
                <w:szCs w:val="22"/>
              </w:rPr>
            </w:pPr>
            <w:r w:rsidRPr="002434FE">
              <w:rPr>
                <w:color w:val="000000"/>
                <w:sz w:val="22"/>
                <w:szCs w:val="22"/>
              </w:rPr>
              <w:t>24.53</w:t>
            </w:r>
          </w:p>
        </w:tc>
        <w:tc>
          <w:tcPr>
            <w:tcW w:w="810" w:type="dxa"/>
            <w:tcBorders>
              <w:top w:val="nil"/>
              <w:left w:val="nil"/>
              <w:bottom w:val="nil"/>
              <w:right w:val="nil"/>
            </w:tcBorders>
            <w:shd w:val="clear" w:color="auto" w:fill="auto"/>
            <w:noWrap/>
            <w:vAlign w:val="bottom"/>
            <w:hideMark/>
          </w:tcPr>
          <w:p w14:paraId="34D15CF3" w14:textId="436341A4"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EE7A7CC" w14:textId="77777777" w:rsidR="00067050" w:rsidRPr="002434FE" w:rsidRDefault="00067050" w:rsidP="006F3489">
            <w:pPr>
              <w:jc w:val="right"/>
              <w:rPr>
                <w:color w:val="000000"/>
                <w:sz w:val="22"/>
                <w:szCs w:val="22"/>
              </w:rPr>
            </w:pPr>
            <w:r w:rsidRPr="002434FE">
              <w:rPr>
                <w:color w:val="000000"/>
                <w:sz w:val="22"/>
                <w:szCs w:val="22"/>
              </w:rPr>
              <w:t>189.92</w:t>
            </w:r>
          </w:p>
        </w:tc>
      </w:tr>
      <w:tr w:rsidR="00067050" w:rsidRPr="002434FE" w14:paraId="774CB98B" w14:textId="77777777" w:rsidTr="006F3489">
        <w:trPr>
          <w:trHeight w:val="320"/>
        </w:trPr>
        <w:tc>
          <w:tcPr>
            <w:tcW w:w="3880" w:type="dxa"/>
            <w:tcBorders>
              <w:top w:val="nil"/>
              <w:left w:val="nil"/>
              <w:bottom w:val="nil"/>
              <w:right w:val="nil"/>
            </w:tcBorders>
            <w:shd w:val="clear" w:color="auto" w:fill="auto"/>
            <w:noWrap/>
            <w:vAlign w:val="bottom"/>
            <w:hideMark/>
          </w:tcPr>
          <w:p w14:paraId="129E1091" w14:textId="77777777" w:rsidR="00067050" w:rsidRPr="002434FE" w:rsidRDefault="00067050" w:rsidP="006F3489">
            <w:pPr>
              <w:rPr>
                <w:color w:val="000000"/>
                <w:sz w:val="22"/>
                <w:szCs w:val="22"/>
              </w:rPr>
            </w:pPr>
            <w:r w:rsidRPr="002434FE">
              <w:rPr>
                <w:color w:val="000000"/>
                <w:sz w:val="22"/>
                <w:szCs w:val="22"/>
              </w:rPr>
              <w:t>Attention (raw)</w:t>
            </w:r>
          </w:p>
        </w:tc>
        <w:tc>
          <w:tcPr>
            <w:tcW w:w="1030" w:type="dxa"/>
            <w:tcBorders>
              <w:top w:val="nil"/>
              <w:left w:val="nil"/>
              <w:bottom w:val="nil"/>
              <w:right w:val="nil"/>
            </w:tcBorders>
            <w:shd w:val="clear" w:color="auto" w:fill="auto"/>
            <w:noWrap/>
            <w:vAlign w:val="bottom"/>
            <w:hideMark/>
          </w:tcPr>
          <w:p w14:paraId="54EE55D4"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565F86F9" w14:textId="77777777" w:rsidR="00067050" w:rsidRPr="002434FE" w:rsidRDefault="00067050" w:rsidP="006F3489">
            <w:pPr>
              <w:jc w:val="right"/>
              <w:rPr>
                <w:color w:val="000000"/>
                <w:sz w:val="22"/>
                <w:szCs w:val="22"/>
              </w:rPr>
            </w:pPr>
            <w:r w:rsidRPr="002434FE">
              <w:rPr>
                <w:color w:val="000000"/>
                <w:sz w:val="22"/>
                <w:szCs w:val="22"/>
              </w:rPr>
              <w:t>2.64</w:t>
            </w:r>
          </w:p>
        </w:tc>
        <w:tc>
          <w:tcPr>
            <w:tcW w:w="1080" w:type="dxa"/>
            <w:tcBorders>
              <w:top w:val="nil"/>
              <w:left w:val="nil"/>
              <w:bottom w:val="nil"/>
              <w:right w:val="nil"/>
            </w:tcBorders>
            <w:shd w:val="clear" w:color="auto" w:fill="auto"/>
            <w:noWrap/>
            <w:vAlign w:val="bottom"/>
            <w:hideMark/>
          </w:tcPr>
          <w:p w14:paraId="29C9D9F2" w14:textId="77777777" w:rsidR="00067050" w:rsidRPr="002434FE" w:rsidRDefault="00067050" w:rsidP="006F3489">
            <w:pPr>
              <w:jc w:val="right"/>
              <w:rPr>
                <w:color w:val="000000"/>
                <w:sz w:val="22"/>
                <w:szCs w:val="22"/>
              </w:rPr>
            </w:pPr>
            <w:r w:rsidRPr="002434FE">
              <w:rPr>
                <w:color w:val="000000"/>
                <w:sz w:val="22"/>
                <w:szCs w:val="22"/>
              </w:rPr>
              <w:t>0.39</w:t>
            </w:r>
          </w:p>
        </w:tc>
        <w:tc>
          <w:tcPr>
            <w:tcW w:w="810" w:type="dxa"/>
            <w:tcBorders>
              <w:top w:val="nil"/>
              <w:left w:val="nil"/>
              <w:bottom w:val="nil"/>
              <w:right w:val="nil"/>
            </w:tcBorders>
            <w:shd w:val="clear" w:color="auto" w:fill="auto"/>
            <w:noWrap/>
            <w:vAlign w:val="bottom"/>
            <w:hideMark/>
          </w:tcPr>
          <w:p w14:paraId="3FBAEA70" w14:textId="03EEF9D9"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0C09625" w14:textId="15D15F56" w:rsidR="00067050" w:rsidRPr="002434FE" w:rsidRDefault="00067050" w:rsidP="006F3489">
            <w:pPr>
              <w:jc w:val="right"/>
              <w:rPr>
                <w:color w:val="000000"/>
                <w:sz w:val="22"/>
                <w:szCs w:val="22"/>
              </w:rPr>
            </w:pPr>
            <w:r w:rsidRPr="002434FE">
              <w:rPr>
                <w:color w:val="000000"/>
                <w:sz w:val="22"/>
                <w:szCs w:val="22"/>
              </w:rPr>
              <w:t>3</w:t>
            </w:r>
            <w:r w:rsidR="0062634D">
              <w:rPr>
                <w:color w:val="000000"/>
                <w:sz w:val="22"/>
                <w:szCs w:val="22"/>
              </w:rPr>
              <w:t>.00</w:t>
            </w:r>
          </w:p>
        </w:tc>
      </w:tr>
      <w:tr w:rsidR="00067050" w:rsidRPr="002434FE" w14:paraId="0E314EA6" w14:textId="77777777" w:rsidTr="006F3489">
        <w:trPr>
          <w:trHeight w:val="320"/>
        </w:trPr>
        <w:tc>
          <w:tcPr>
            <w:tcW w:w="3880" w:type="dxa"/>
            <w:tcBorders>
              <w:top w:val="nil"/>
              <w:left w:val="nil"/>
              <w:bottom w:val="nil"/>
              <w:right w:val="nil"/>
            </w:tcBorders>
            <w:shd w:val="clear" w:color="auto" w:fill="auto"/>
            <w:noWrap/>
            <w:vAlign w:val="bottom"/>
            <w:hideMark/>
          </w:tcPr>
          <w:p w14:paraId="5576FADD" w14:textId="3DB434F8" w:rsidR="00067050" w:rsidRPr="002434FE" w:rsidRDefault="0062634D" w:rsidP="006F3489">
            <w:pPr>
              <w:rPr>
                <w:color w:val="000000"/>
                <w:sz w:val="22"/>
                <w:szCs w:val="22"/>
              </w:rPr>
            </w:pPr>
            <w:r>
              <w:rPr>
                <w:color w:val="000000"/>
                <w:sz w:val="22"/>
                <w:szCs w:val="22"/>
              </w:rPr>
              <w:t>.</w:t>
            </w:r>
            <w:r w:rsidR="00067050" w:rsidRPr="002434FE">
              <w:rPr>
                <w:color w:val="000000"/>
                <w:sz w:val="22"/>
                <w:szCs w:val="22"/>
              </w:rPr>
              <w:t>Attention within-sex SS</w:t>
            </w:r>
          </w:p>
        </w:tc>
        <w:tc>
          <w:tcPr>
            <w:tcW w:w="1030" w:type="dxa"/>
            <w:tcBorders>
              <w:top w:val="nil"/>
              <w:left w:val="nil"/>
              <w:bottom w:val="nil"/>
              <w:right w:val="nil"/>
            </w:tcBorders>
            <w:shd w:val="clear" w:color="auto" w:fill="auto"/>
            <w:noWrap/>
            <w:vAlign w:val="bottom"/>
            <w:hideMark/>
          </w:tcPr>
          <w:p w14:paraId="5082CEEB" w14:textId="77777777" w:rsidR="00067050" w:rsidRPr="002434FE" w:rsidRDefault="00067050" w:rsidP="006F3489">
            <w:pPr>
              <w:jc w:val="right"/>
              <w:rPr>
                <w:color w:val="000000"/>
                <w:sz w:val="22"/>
                <w:szCs w:val="22"/>
              </w:rPr>
            </w:pPr>
            <w:r w:rsidRPr="002434FE">
              <w:rPr>
                <w:color w:val="000000"/>
                <w:sz w:val="22"/>
                <w:szCs w:val="22"/>
              </w:rPr>
              <w:t>2075</w:t>
            </w:r>
          </w:p>
        </w:tc>
        <w:tc>
          <w:tcPr>
            <w:tcW w:w="1030" w:type="dxa"/>
            <w:tcBorders>
              <w:top w:val="nil"/>
              <w:left w:val="nil"/>
              <w:bottom w:val="nil"/>
              <w:right w:val="nil"/>
            </w:tcBorders>
            <w:shd w:val="clear" w:color="auto" w:fill="auto"/>
            <w:noWrap/>
            <w:vAlign w:val="bottom"/>
            <w:hideMark/>
          </w:tcPr>
          <w:p w14:paraId="4548F705" w14:textId="77777777" w:rsidR="00067050" w:rsidRPr="002434FE" w:rsidRDefault="00067050" w:rsidP="006F3489">
            <w:pPr>
              <w:jc w:val="right"/>
              <w:rPr>
                <w:color w:val="000000"/>
                <w:sz w:val="22"/>
                <w:szCs w:val="22"/>
              </w:rPr>
            </w:pPr>
            <w:r w:rsidRPr="002434FE">
              <w:rPr>
                <w:color w:val="000000"/>
                <w:sz w:val="22"/>
                <w:szCs w:val="22"/>
              </w:rPr>
              <w:t>101.25</w:t>
            </w:r>
          </w:p>
        </w:tc>
        <w:tc>
          <w:tcPr>
            <w:tcW w:w="1080" w:type="dxa"/>
            <w:tcBorders>
              <w:top w:val="nil"/>
              <w:left w:val="nil"/>
              <w:bottom w:val="nil"/>
              <w:right w:val="nil"/>
            </w:tcBorders>
            <w:shd w:val="clear" w:color="auto" w:fill="auto"/>
            <w:noWrap/>
            <w:vAlign w:val="bottom"/>
            <w:hideMark/>
          </w:tcPr>
          <w:p w14:paraId="1B395901" w14:textId="77777777" w:rsidR="00067050" w:rsidRPr="002434FE" w:rsidRDefault="00067050" w:rsidP="006F3489">
            <w:pPr>
              <w:jc w:val="right"/>
              <w:rPr>
                <w:color w:val="000000"/>
                <w:sz w:val="22"/>
                <w:szCs w:val="22"/>
              </w:rPr>
            </w:pPr>
            <w:r w:rsidRPr="002434FE">
              <w:rPr>
                <w:color w:val="000000"/>
                <w:sz w:val="22"/>
                <w:szCs w:val="22"/>
              </w:rPr>
              <w:t>13.79</w:t>
            </w:r>
          </w:p>
        </w:tc>
        <w:tc>
          <w:tcPr>
            <w:tcW w:w="810" w:type="dxa"/>
            <w:tcBorders>
              <w:top w:val="nil"/>
              <w:left w:val="nil"/>
              <w:bottom w:val="nil"/>
              <w:right w:val="nil"/>
            </w:tcBorders>
            <w:shd w:val="clear" w:color="auto" w:fill="auto"/>
            <w:noWrap/>
            <w:vAlign w:val="bottom"/>
            <w:hideMark/>
          </w:tcPr>
          <w:p w14:paraId="02183B35" w14:textId="2D814DA1" w:rsidR="00067050" w:rsidRPr="002434FE" w:rsidRDefault="00067050" w:rsidP="006F3489">
            <w:pPr>
              <w:jc w:val="right"/>
              <w:rPr>
                <w:color w:val="000000"/>
                <w:sz w:val="22"/>
                <w:szCs w:val="22"/>
              </w:rPr>
            </w:pPr>
            <w:r w:rsidRPr="002434FE">
              <w:rPr>
                <w:color w:val="000000"/>
                <w:sz w:val="22"/>
                <w:szCs w:val="22"/>
              </w:rPr>
              <w:t>83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6A40A6F" w14:textId="75CC67BA" w:rsidR="00067050" w:rsidRPr="002434FE" w:rsidRDefault="00067050" w:rsidP="006F3489">
            <w:pPr>
              <w:jc w:val="right"/>
              <w:rPr>
                <w:color w:val="000000"/>
                <w:sz w:val="22"/>
                <w:szCs w:val="22"/>
              </w:rPr>
            </w:pPr>
            <w:r w:rsidRPr="002434FE">
              <w:rPr>
                <w:color w:val="000000"/>
                <w:sz w:val="22"/>
                <w:szCs w:val="22"/>
              </w:rPr>
              <w:t>136</w:t>
            </w:r>
            <w:r w:rsidR="0062634D">
              <w:rPr>
                <w:color w:val="000000"/>
                <w:sz w:val="22"/>
                <w:szCs w:val="22"/>
              </w:rPr>
              <w:t>.00</w:t>
            </w:r>
          </w:p>
        </w:tc>
      </w:tr>
      <w:tr w:rsidR="00067050" w:rsidRPr="002434FE" w14:paraId="44DEB58B" w14:textId="77777777" w:rsidTr="006F3489">
        <w:trPr>
          <w:trHeight w:val="320"/>
        </w:trPr>
        <w:tc>
          <w:tcPr>
            <w:tcW w:w="3880" w:type="dxa"/>
            <w:tcBorders>
              <w:top w:val="nil"/>
              <w:left w:val="nil"/>
              <w:bottom w:val="nil"/>
              <w:right w:val="nil"/>
            </w:tcBorders>
            <w:shd w:val="clear" w:color="auto" w:fill="auto"/>
            <w:noWrap/>
            <w:vAlign w:val="bottom"/>
            <w:hideMark/>
          </w:tcPr>
          <w:p w14:paraId="14A2E656" w14:textId="77777777" w:rsidR="00067050" w:rsidRPr="002434FE" w:rsidRDefault="00067050" w:rsidP="006F3489">
            <w:pPr>
              <w:rPr>
                <w:color w:val="000000"/>
                <w:sz w:val="22"/>
                <w:szCs w:val="22"/>
              </w:rPr>
            </w:pPr>
            <w:r w:rsidRPr="002434FE">
              <w:rPr>
                <w:color w:val="000000"/>
                <w:sz w:val="22"/>
                <w:szCs w:val="22"/>
              </w:rPr>
              <w:t>CES-D Depression score (1992)</w:t>
            </w:r>
          </w:p>
        </w:tc>
        <w:tc>
          <w:tcPr>
            <w:tcW w:w="1030" w:type="dxa"/>
            <w:tcBorders>
              <w:top w:val="nil"/>
              <w:left w:val="nil"/>
              <w:bottom w:val="nil"/>
              <w:right w:val="nil"/>
            </w:tcBorders>
            <w:shd w:val="clear" w:color="auto" w:fill="auto"/>
            <w:noWrap/>
            <w:vAlign w:val="bottom"/>
            <w:hideMark/>
          </w:tcPr>
          <w:p w14:paraId="486B3547" w14:textId="77777777" w:rsidR="00067050" w:rsidRPr="002434FE" w:rsidRDefault="00067050" w:rsidP="006F3489">
            <w:pPr>
              <w:jc w:val="right"/>
              <w:rPr>
                <w:color w:val="000000"/>
                <w:sz w:val="22"/>
                <w:szCs w:val="22"/>
              </w:rPr>
            </w:pPr>
            <w:r w:rsidRPr="002434FE">
              <w:rPr>
                <w:color w:val="000000"/>
                <w:sz w:val="22"/>
                <w:szCs w:val="22"/>
              </w:rPr>
              <w:t>2089</w:t>
            </w:r>
          </w:p>
        </w:tc>
        <w:tc>
          <w:tcPr>
            <w:tcW w:w="1030" w:type="dxa"/>
            <w:tcBorders>
              <w:top w:val="nil"/>
              <w:left w:val="nil"/>
              <w:bottom w:val="nil"/>
              <w:right w:val="nil"/>
            </w:tcBorders>
            <w:shd w:val="clear" w:color="auto" w:fill="auto"/>
            <w:noWrap/>
            <w:vAlign w:val="bottom"/>
            <w:hideMark/>
          </w:tcPr>
          <w:p w14:paraId="53E7BBEF" w14:textId="77777777" w:rsidR="00067050" w:rsidRPr="002434FE" w:rsidRDefault="00067050" w:rsidP="006F3489">
            <w:pPr>
              <w:jc w:val="right"/>
              <w:rPr>
                <w:color w:val="000000"/>
                <w:sz w:val="22"/>
                <w:szCs w:val="22"/>
              </w:rPr>
            </w:pPr>
            <w:r w:rsidRPr="002434FE">
              <w:rPr>
                <w:color w:val="000000"/>
                <w:sz w:val="22"/>
                <w:szCs w:val="22"/>
              </w:rPr>
              <w:t>46.97</w:t>
            </w:r>
          </w:p>
        </w:tc>
        <w:tc>
          <w:tcPr>
            <w:tcW w:w="1080" w:type="dxa"/>
            <w:tcBorders>
              <w:top w:val="nil"/>
              <w:left w:val="nil"/>
              <w:bottom w:val="nil"/>
              <w:right w:val="nil"/>
            </w:tcBorders>
            <w:shd w:val="clear" w:color="auto" w:fill="auto"/>
            <w:noWrap/>
            <w:vAlign w:val="bottom"/>
            <w:hideMark/>
          </w:tcPr>
          <w:p w14:paraId="7C21A32D" w14:textId="77777777" w:rsidR="00067050" w:rsidRPr="002434FE" w:rsidRDefault="00067050" w:rsidP="006F3489">
            <w:pPr>
              <w:jc w:val="right"/>
              <w:rPr>
                <w:color w:val="000000"/>
                <w:sz w:val="22"/>
                <w:szCs w:val="22"/>
              </w:rPr>
            </w:pPr>
            <w:r w:rsidRPr="002434FE">
              <w:rPr>
                <w:color w:val="000000"/>
                <w:sz w:val="22"/>
                <w:szCs w:val="22"/>
              </w:rPr>
              <w:t>7.87</w:t>
            </w:r>
          </w:p>
        </w:tc>
        <w:tc>
          <w:tcPr>
            <w:tcW w:w="810" w:type="dxa"/>
            <w:tcBorders>
              <w:top w:val="nil"/>
              <w:left w:val="nil"/>
              <w:bottom w:val="nil"/>
              <w:right w:val="nil"/>
            </w:tcBorders>
            <w:shd w:val="clear" w:color="auto" w:fill="auto"/>
            <w:noWrap/>
            <w:vAlign w:val="bottom"/>
            <w:hideMark/>
          </w:tcPr>
          <w:p w14:paraId="317DF002" w14:textId="4A77C605" w:rsidR="00067050" w:rsidRPr="002434FE" w:rsidRDefault="00067050" w:rsidP="006F3489">
            <w:pPr>
              <w:jc w:val="right"/>
              <w:rPr>
                <w:color w:val="000000"/>
                <w:sz w:val="22"/>
                <w:szCs w:val="22"/>
              </w:rPr>
            </w:pPr>
            <w:r w:rsidRPr="002434FE">
              <w:rPr>
                <w:color w:val="000000"/>
                <w:sz w:val="22"/>
                <w:szCs w:val="22"/>
              </w:rPr>
              <w:t>32.3</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476D3D8A" w14:textId="4560E53C" w:rsidR="00067050" w:rsidRPr="002434FE" w:rsidRDefault="00067050" w:rsidP="006F3489">
            <w:pPr>
              <w:jc w:val="right"/>
              <w:rPr>
                <w:color w:val="000000"/>
                <w:sz w:val="22"/>
                <w:szCs w:val="22"/>
              </w:rPr>
            </w:pPr>
            <w:r w:rsidRPr="002434FE">
              <w:rPr>
                <w:color w:val="000000"/>
                <w:sz w:val="22"/>
                <w:szCs w:val="22"/>
              </w:rPr>
              <w:t>79.9</w:t>
            </w:r>
            <w:r w:rsidR="0062634D">
              <w:rPr>
                <w:color w:val="000000"/>
                <w:sz w:val="22"/>
                <w:szCs w:val="22"/>
              </w:rPr>
              <w:t>0</w:t>
            </w:r>
          </w:p>
        </w:tc>
      </w:tr>
      <w:tr w:rsidR="00067050" w:rsidRPr="002434FE" w14:paraId="6AA3572D" w14:textId="77777777" w:rsidTr="006F3489">
        <w:trPr>
          <w:trHeight w:val="320"/>
        </w:trPr>
        <w:tc>
          <w:tcPr>
            <w:tcW w:w="3880" w:type="dxa"/>
            <w:tcBorders>
              <w:top w:val="nil"/>
              <w:left w:val="nil"/>
              <w:bottom w:val="nil"/>
              <w:right w:val="nil"/>
            </w:tcBorders>
            <w:shd w:val="clear" w:color="auto" w:fill="auto"/>
            <w:noWrap/>
            <w:vAlign w:val="bottom"/>
            <w:hideMark/>
          </w:tcPr>
          <w:p w14:paraId="2EE76A3E" w14:textId="77777777" w:rsidR="00067050" w:rsidRPr="002434FE" w:rsidRDefault="00067050" w:rsidP="006F3489">
            <w:pPr>
              <w:rPr>
                <w:color w:val="000000"/>
                <w:sz w:val="22"/>
                <w:szCs w:val="22"/>
              </w:rPr>
            </w:pPr>
            <w:r w:rsidRPr="002434FE">
              <w:rPr>
                <w:color w:val="000000"/>
                <w:sz w:val="22"/>
                <w:szCs w:val="22"/>
              </w:rPr>
              <w:t>Cognitive stimulation of home age 1-3</w:t>
            </w:r>
          </w:p>
        </w:tc>
        <w:tc>
          <w:tcPr>
            <w:tcW w:w="1030" w:type="dxa"/>
            <w:tcBorders>
              <w:top w:val="nil"/>
              <w:left w:val="nil"/>
              <w:bottom w:val="nil"/>
              <w:right w:val="nil"/>
            </w:tcBorders>
            <w:shd w:val="clear" w:color="auto" w:fill="auto"/>
            <w:noWrap/>
            <w:vAlign w:val="bottom"/>
            <w:hideMark/>
          </w:tcPr>
          <w:p w14:paraId="7EE390B4" w14:textId="77777777" w:rsidR="00067050" w:rsidRPr="002434FE" w:rsidRDefault="00067050" w:rsidP="006F3489">
            <w:pPr>
              <w:jc w:val="right"/>
              <w:rPr>
                <w:color w:val="000000"/>
                <w:sz w:val="22"/>
                <w:szCs w:val="22"/>
              </w:rPr>
            </w:pPr>
            <w:r w:rsidRPr="002434FE">
              <w:rPr>
                <w:color w:val="000000"/>
                <w:sz w:val="22"/>
                <w:szCs w:val="22"/>
              </w:rPr>
              <w:t>1907</w:t>
            </w:r>
          </w:p>
        </w:tc>
        <w:tc>
          <w:tcPr>
            <w:tcW w:w="1030" w:type="dxa"/>
            <w:tcBorders>
              <w:top w:val="nil"/>
              <w:left w:val="nil"/>
              <w:bottom w:val="nil"/>
              <w:right w:val="nil"/>
            </w:tcBorders>
            <w:shd w:val="clear" w:color="auto" w:fill="auto"/>
            <w:noWrap/>
            <w:vAlign w:val="bottom"/>
            <w:hideMark/>
          </w:tcPr>
          <w:p w14:paraId="7B3354D4" w14:textId="77777777" w:rsidR="00067050" w:rsidRPr="002434FE" w:rsidRDefault="00067050" w:rsidP="006F3489">
            <w:pPr>
              <w:jc w:val="right"/>
              <w:rPr>
                <w:color w:val="000000"/>
                <w:sz w:val="22"/>
                <w:szCs w:val="22"/>
              </w:rPr>
            </w:pPr>
            <w:r w:rsidRPr="002434FE">
              <w:rPr>
                <w:color w:val="000000"/>
                <w:sz w:val="22"/>
                <w:szCs w:val="22"/>
              </w:rPr>
              <w:t>97.61</w:t>
            </w:r>
          </w:p>
        </w:tc>
        <w:tc>
          <w:tcPr>
            <w:tcW w:w="1080" w:type="dxa"/>
            <w:tcBorders>
              <w:top w:val="nil"/>
              <w:left w:val="nil"/>
              <w:bottom w:val="nil"/>
              <w:right w:val="nil"/>
            </w:tcBorders>
            <w:shd w:val="clear" w:color="auto" w:fill="auto"/>
            <w:noWrap/>
            <w:vAlign w:val="bottom"/>
            <w:hideMark/>
          </w:tcPr>
          <w:p w14:paraId="7B4A4A90" w14:textId="77777777" w:rsidR="00067050" w:rsidRPr="002434FE" w:rsidRDefault="00067050" w:rsidP="006F3489">
            <w:pPr>
              <w:jc w:val="right"/>
              <w:rPr>
                <w:color w:val="000000"/>
                <w:sz w:val="22"/>
                <w:szCs w:val="22"/>
              </w:rPr>
            </w:pPr>
            <w:r w:rsidRPr="002434FE">
              <w:rPr>
                <w:color w:val="000000"/>
                <w:sz w:val="22"/>
                <w:szCs w:val="22"/>
              </w:rPr>
              <w:t>16.15</w:t>
            </w:r>
          </w:p>
        </w:tc>
        <w:tc>
          <w:tcPr>
            <w:tcW w:w="810" w:type="dxa"/>
            <w:tcBorders>
              <w:top w:val="nil"/>
              <w:left w:val="nil"/>
              <w:bottom w:val="nil"/>
              <w:right w:val="nil"/>
            </w:tcBorders>
            <w:shd w:val="clear" w:color="auto" w:fill="auto"/>
            <w:noWrap/>
            <w:vAlign w:val="bottom"/>
            <w:hideMark/>
          </w:tcPr>
          <w:p w14:paraId="6C1B78C3" w14:textId="6FF47B71" w:rsidR="00067050" w:rsidRPr="002434FE" w:rsidRDefault="00067050" w:rsidP="006F3489">
            <w:pPr>
              <w:jc w:val="right"/>
              <w:rPr>
                <w:color w:val="000000"/>
                <w:sz w:val="22"/>
                <w:szCs w:val="22"/>
              </w:rPr>
            </w:pPr>
            <w:r w:rsidRPr="002434FE">
              <w:rPr>
                <w:color w:val="000000"/>
                <w:sz w:val="22"/>
                <w:szCs w:val="22"/>
              </w:rPr>
              <w:t>11.1</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74F4B3D1" w14:textId="31471227" w:rsidR="00067050" w:rsidRPr="002434FE" w:rsidRDefault="00067050" w:rsidP="006F3489">
            <w:pPr>
              <w:jc w:val="right"/>
              <w:rPr>
                <w:color w:val="000000"/>
                <w:sz w:val="22"/>
                <w:szCs w:val="22"/>
              </w:rPr>
            </w:pPr>
            <w:r w:rsidRPr="002434FE">
              <w:rPr>
                <w:color w:val="000000"/>
                <w:sz w:val="22"/>
                <w:szCs w:val="22"/>
              </w:rPr>
              <w:t>148.2</w:t>
            </w:r>
            <w:r w:rsidR="0062634D">
              <w:rPr>
                <w:color w:val="000000"/>
                <w:sz w:val="22"/>
                <w:szCs w:val="22"/>
              </w:rPr>
              <w:t>0</w:t>
            </w:r>
          </w:p>
        </w:tc>
      </w:tr>
      <w:tr w:rsidR="00067050" w:rsidRPr="002434FE" w14:paraId="36D4DC44" w14:textId="77777777" w:rsidTr="006F3489">
        <w:trPr>
          <w:trHeight w:val="320"/>
        </w:trPr>
        <w:tc>
          <w:tcPr>
            <w:tcW w:w="3880" w:type="dxa"/>
            <w:tcBorders>
              <w:top w:val="nil"/>
              <w:left w:val="nil"/>
              <w:bottom w:val="nil"/>
              <w:right w:val="nil"/>
            </w:tcBorders>
            <w:shd w:val="clear" w:color="auto" w:fill="auto"/>
            <w:noWrap/>
            <w:vAlign w:val="bottom"/>
            <w:hideMark/>
          </w:tcPr>
          <w:p w14:paraId="17545C1A" w14:textId="77777777" w:rsidR="00067050" w:rsidRPr="002434FE" w:rsidRDefault="00067050" w:rsidP="006F3489">
            <w:pPr>
              <w:rPr>
                <w:color w:val="000000"/>
                <w:sz w:val="22"/>
                <w:szCs w:val="22"/>
              </w:rPr>
            </w:pPr>
            <w:r w:rsidRPr="002434FE">
              <w:rPr>
                <w:color w:val="000000"/>
                <w:sz w:val="22"/>
                <w:szCs w:val="22"/>
              </w:rPr>
              <w:t>Emotional support of home age 1-3</w:t>
            </w:r>
          </w:p>
        </w:tc>
        <w:tc>
          <w:tcPr>
            <w:tcW w:w="1030" w:type="dxa"/>
            <w:tcBorders>
              <w:top w:val="nil"/>
              <w:left w:val="nil"/>
              <w:bottom w:val="nil"/>
              <w:right w:val="nil"/>
            </w:tcBorders>
            <w:shd w:val="clear" w:color="auto" w:fill="auto"/>
            <w:noWrap/>
            <w:vAlign w:val="bottom"/>
            <w:hideMark/>
          </w:tcPr>
          <w:p w14:paraId="1A5E0380" w14:textId="77777777" w:rsidR="00067050" w:rsidRPr="002434FE" w:rsidRDefault="00067050" w:rsidP="006F3489">
            <w:pPr>
              <w:jc w:val="right"/>
              <w:rPr>
                <w:color w:val="000000"/>
                <w:sz w:val="22"/>
                <w:szCs w:val="22"/>
              </w:rPr>
            </w:pPr>
            <w:r w:rsidRPr="002434FE">
              <w:rPr>
                <w:color w:val="000000"/>
                <w:sz w:val="22"/>
                <w:szCs w:val="22"/>
              </w:rPr>
              <w:t>1765</w:t>
            </w:r>
          </w:p>
        </w:tc>
        <w:tc>
          <w:tcPr>
            <w:tcW w:w="1030" w:type="dxa"/>
            <w:tcBorders>
              <w:top w:val="nil"/>
              <w:left w:val="nil"/>
              <w:bottom w:val="nil"/>
              <w:right w:val="nil"/>
            </w:tcBorders>
            <w:shd w:val="clear" w:color="auto" w:fill="auto"/>
            <w:noWrap/>
            <w:vAlign w:val="bottom"/>
            <w:hideMark/>
          </w:tcPr>
          <w:p w14:paraId="23B905DE" w14:textId="77777777" w:rsidR="00067050" w:rsidRPr="002434FE" w:rsidRDefault="00067050" w:rsidP="006F3489">
            <w:pPr>
              <w:jc w:val="right"/>
              <w:rPr>
                <w:color w:val="000000"/>
                <w:sz w:val="22"/>
                <w:szCs w:val="22"/>
              </w:rPr>
            </w:pPr>
            <w:r w:rsidRPr="002434FE">
              <w:rPr>
                <w:color w:val="000000"/>
                <w:sz w:val="22"/>
                <w:szCs w:val="22"/>
              </w:rPr>
              <w:t>97.99</w:t>
            </w:r>
          </w:p>
        </w:tc>
        <w:tc>
          <w:tcPr>
            <w:tcW w:w="1080" w:type="dxa"/>
            <w:tcBorders>
              <w:top w:val="nil"/>
              <w:left w:val="nil"/>
              <w:bottom w:val="nil"/>
              <w:right w:val="nil"/>
            </w:tcBorders>
            <w:shd w:val="clear" w:color="auto" w:fill="auto"/>
            <w:noWrap/>
            <w:vAlign w:val="bottom"/>
            <w:hideMark/>
          </w:tcPr>
          <w:p w14:paraId="0C22CA40" w14:textId="77777777" w:rsidR="00067050" w:rsidRPr="002434FE" w:rsidRDefault="00067050" w:rsidP="006F3489">
            <w:pPr>
              <w:jc w:val="right"/>
              <w:rPr>
                <w:color w:val="000000"/>
                <w:sz w:val="22"/>
                <w:szCs w:val="22"/>
              </w:rPr>
            </w:pPr>
            <w:r w:rsidRPr="002434FE">
              <w:rPr>
                <w:color w:val="000000"/>
                <w:sz w:val="22"/>
                <w:szCs w:val="22"/>
              </w:rPr>
              <w:t>16.58</w:t>
            </w:r>
          </w:p>
        </w:tc>
        <w:tc>
          <w:tcPr>
            <w:tcW w:w="810" w:type="dxa"/>
            <w:tcBorders>
              <w:top w:val="nil"/>
              <w:left w:val="nil"/>
              <w:bottom w:val="nil"/>
              <w:right w:val="nil"/>
            </w:tcBorders>
            <w:shd w:val="clear" w:color="auto" w:fill="auto"/>
            <w:noWrap/>
            <w:vAlign w:val="bottom"/>
            <w:hideMark/>
          </w:tcPr>
          <w:p w14:paraId="2DB5C05C" w14:textId="11307EC9" w:rsidR="00067050" w:rsidRPr="002434FE" w:rsidRDefault="00067050" w:rsidP="006F3489">
            <w:pPr>
              <w:jc w:val="right"/>
              <w:rPr>
                <w:color w:val="000000"/>
                <w:sz w:val="22"/>
                <w:szCs w:val="22"/>
              </w:rPr>
            </w:pPr>
            <w:r w:rsidRPr="002434FE">
              <w:rPr>
                <w:color w:val="000000"/>
                <w:sz w:val="22"/>
                <w:szCs w:val="22"/>
              </w:rPr>
              <w:t>31.6</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0A14B5C" w14:textId="0E903677" w:rsidR="00067050" w:rsidRPr="002434FE" w:rsidRDefault="00067050" w:rsidP="006F3489">
            <w:pPr>
              <w:jc w:val="right"/>
              <w:rPr>
                <w:color w:val="000000"/>
                <w:sz w:val="22"/>
                <w:szCs w:val="22"/>
              </w:rPr>
            </w:pPr>
            <w:r w:rsidRPr="002434FE">
              <w:rPr>
                <w:color w:val="000000"/>
                <w:sz w:val="22"/>
                <w:szCs w:val="22"/>
              </w:rPr>
              <w:t>124.7</w:t>
            </w:r>
            <w:r w:rsidR="0062634D">
              <w:rPr>
                <w:color w:val="000000"/>
                <w:sz w:val="22"/>
                <w:szCs w:val="22"/>
              </w:rPr>
              <w:t>0</w:t>
            </w:r>
          </w:p>
        </w:tc>
      </w:tr>
      <w:tr w:rsidR="00067050" w:rsidRPr="002434FE" w14:paraId="72D3600D" w14:textId="77777777" w:rsidTr="006F3489">
        <w:trPr>
          <w:trHeight w:val="320"/>
        </w:trPr>
        <w:tc>
          <w:tcPr>
            <w:tcW w:w="3880" w:type="dxa"/>
            <w:tcBorders>
              <w:top w:val="nil"/>
              <w:left w:val="nil"/>
              <w:bottom w:val="nil"/>
              <w:right w:val="nil"/>
            </w:tcBorders>
            <w:shd w:val="clear" w:color="auto" w:fill="auto"/>
            <w:noWrap/>
            <w:vAlign w:val="bottom"/>
            <w:hideMark/>
          </w:tcPr>
          <w:p w14:paraId="1F13005C" w14:textId="77777777" w:rsidR="00067050" w:rsidRPr="002434FE" w:rsidRDefault="00067050" w:rsidP="006F3489">
            <w:pPr>
              <w:rPr>
                <w:color w:val="000000"/>
                <w:sz w:val="22"/>
                <w:szCs w:val="22"/>
              </w:rPr>
            </w:pPr>
            <w:r w:rsidRPr="002434FE">
              <w:rPr>
                <w:color w:val="000000"/>
                <w:sz w:val="22"/>
                <w:szCs w:val="22"/>
              </w:rPr>
              <w:t>Gestational age at birth</w:t>
            </w:r>
          </w:p>
        </w:tc>
        <w:tc>
          <w:tcPr>
            <w:tcW w:w="1030" w:type="dxa"/>
            <w:tcBorders>
              <w:top w:val="nil"/>
              <w:left w:val="nil"/>
              <w:bottom w:val="nil"/>
              <w:right w:val="nil"/>
            </w:tcBorders>
            <w:shd w:val="clear" w:color="auto" w:fill="auto"/>
            <w:noWrap/>
            <w:vAlign w:val="bottom"/>
            <w:hideMark/>
          </w:tcPr>
          <w:p w14:paraId="3701933A" w14:textId="77777777" w:rsidR="00067050" w:rsidRPr="002434FE" w:rsidRDefault="00067050" w:rsidP="006F3489">
            <w:pPr>
              <w:jc w:val="right"/>
              <w:rPr>
                <w:color w:val="000000"/>
                <w:sz w:val="22"/>
                <w:szCs w:val="22"/>
              </w:rPr>
            </w:pPr>
            <w:r w:rsidRPr="002434FE">
              <w:rPr>
                <w:color w:val="000000"/>
                <w:sz w:val="22"/>
                <w:szCs w:val="22"/>
              </w:rPr>
              <w:t>1960</w:t>
            </w:r>
          </w:p>
        </w:tc>
        <w:tc>
          <w:tcPr>
            <w:tcW w:w="1030" w:type="dxa"/>
            <w:tcBorders>
              <w:top w:val="nil"/>
              <w:left w:val="nil"/>
              <w:bottom w:val="nil"/>
              <w:right w:val="nil"/>
            </w:tcBorders>
            <w:shd w:val="clear" w:color="auto" w:fill="auto"/>
            <w:noWrap/>
            <w:vAlign w:val="bottom"/>
            <w:hideMark/>
          </w:tcPr>
          <w:p w14:paraId="5279EEB0" w14:textId="77777777" w:rsidR="00067050" w:rsidRPr="002434FE" w:rsidRDefault="00067050" w:rsidP="006F3489">
            <w:pPr>
              <w:jc w:val="right"/>
              <w:rPr>
                <w:color w:val="000000"/>
                <w:sz w:val="22"/>
                <w:szCs w:val="22"/>
              </w:rPr>
            </w:pPr>
            <w:r w:rsidRPr="002434FE">
              <w:rPr>
                <w:color w:val="000000"/>
                <w:sz w:val="22"/>
                <w:szCs w:val="22"/>
              </w:rPr>
              <w:t>-1.41</w:t>
            </w:r>
          </w:p>
        </w:tc>
        <w:tc>
          <w:tcPr>
            <w:tcW w:w="1080" w:type="dxa"/>
            <w:tcBorders>
              <w:top w:val="nil"/>
              <w:left w:val="nil"/>
              <w:bottom w:val="nil"/>
              <w:right w:val="nil"/>
            </w:tcBorders>
            <w:shd w:val="clear" w:color="auto" w:fill="auto"/>
            <w:noWrap/>
            <w:vAlign w:val="bottom"/>
            <w:hideMark/>
          </w:tcPr>
          <w:p w14:paraId="2AC6AEE1" w14:textId="77777777" w:rsidR="00067050" w:rsidRPr="002434FE" w:rsidRDefault="00067050" w:rsidP="006F3489">
            <w:pPr>
              <w:jc w:val="right"/>
              <w:rPr>
                <w:color w:val="000000"/>
                <w:sz w:val="22"/>
                <w:szCs w:val="22"/>
              </w:rPr>
            </w:pPr>
            <w:r w:rsidRPr="002434FE">
              <w:rPr>
                <w:color w:val="000000"/>
                <w:sz w:val="22"/>
                <w:szCs w:val="22"/>
              </w:rPr>
              <w:t>1.96</w:t>
            </w:r>
          </w:p>
        </w:tc>
        <w:tc>
          <w:tcPr>
            <w:tcW w:w="810" w:type="dxa"/>
            <w:tcBorders>
              <w:top w:val="nil"/>
              <w:left w:val="nil"/>
              <w:bottom w:val="nil"/>
              <w:right w:val="nil"/>
            </w:tcBorders>
            <w:shd w:val="clear" w:color="auto" w:fill="auto"/>
            <w:noWrap/>
            <w:vAlign w:val="bottom"/>
            <w:hideMark/>
          </w:tcPr>
          <w:p w14:paraId="232FB885" w14:textId="2868EF9A" w:rsidR="00067050" w:rsidRPr="002434FE" w:rsidRDefault="00067050" w:rsidP="006F3489">
            <w:pPr>
              <w:jc w:val="right"/>
              <w:rPr>
                <w:color w:val="000000"/>
                <w:sz w:val="22"/>
                <w:szCs w:val="22"/>
              </w:rPr>
            </w:pPr>
            <w:r w:rsidRPr="002434FE">
              <w:rPr>
                <w:color w:val="000000"/>
                <w:sz w:val="22"/>
                <w:szCs w:val="22"/>
              </w:rPr>
              <w:t>-14</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8C6846E" w14:textId="6776C8A2"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18B9FFB3" w14:textId="77777777" w:rsidTr="006F3489">
        <w:trPr>
          <w:trHeight w:val="320"/>
        </w:trPr>
        <w:tc>
          <w:tcPr>
            <w:tcW w:w="3880" w:type="dxa"/>
            <w:tcBorders>
              <w:top w:val="nil"/>
              <w:left w:val="nil"/>
              <w:bottom w:val="nil"/>
              <w:right w:val="nil"/>
            </w:tcBorders>
            <w:shd w:val="clear" w:color="auto" w:fill="auto"/>
            <w:noWrap/>
            <w:vAlign w:val="bottom"/>
            <w:hideMark/>
          </w:tcPr>
          <w:p w14:paraId="3218C8BC" w14:textId="67FFA166"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age at birth</w:t>
            </w:r>
          </w:p>
        </w:tc>
        <w:tc>
          <w:tcPr>
            <w:tcW w:w="1030" w:type="dxa"/>
            <w:tcBorders>
              <w:top w:val="nil"/>
              <w:left w:val="nil"/>
              <w:bottom w:val="nil"/>
              <w:right w:val="nil"/>
            </w:tcBorders>
            <w:shd w:val="clear" w:color="auto" w:fill="auto"/>
            <w:noWrap/>
            <w:vAlign w:val="bottom"/>
            <w:hideMark/>
          </w:tcPr>
          <w:p w14:paraId="7BD9B16E" w14:textId="77777777" w:rsidR="00067050" w:rsidRPr="002434FE" w:rsidRDefault="00067050" w:rsidP="006F3489">
            <w:pPr>
              <w:jc w:val="right"/>
              <w:rPr>
                <w:color w:val="000000"/>
                <w:sz w:val="22"/>
                <w:szCs w:val="22"/>
              </w:rPr>
            </w:pPr>
            <w:r w:rsidRPr="002434FE">
              <w:rPr>
                <w:color w:val="000000"/>
                <w:sz w:val="22"/>
                <w:szCs w:val="22"/>
              </w:rPr>
              <w:t>2108</w:t>
            </w:r>
          </w:p>
        </w:tc>
        <w:tc>
          <w:tcPr>
            <w:tcW w:w="1030" w:type="dxa"/>
            <w:tcBorders>
              <w:top w:val="nil"/>
              <w:left w:val="nil"/>
              <w:bottom w:val="nil"/>
              <w:right w:val="nil"/>
            </w:tcBorders>
            <w:shd w:val="clear" w:color="auto" w:fill="auto"/>
            <w:noWrap/>
            <w:vAlign w:val="bottom"/>
            <w:hideMark/>
          </w:tcPr>
          <w:p w14:paraId="6978C0B2" w14:textId="77777777" w:rsidR="00067050" w:rsidRPr="002434FE" w:rsidRDefault="00067050" w:rsidP="006F3489">
            <w:pPr>
              <w:jc w:val="right"/>
              <w:rPr>
                <w:color w:val="000000"/>
                <w:sz w:val="22"/>
                <w:szCs w:val="22"/>
              </w:rPr>
            </w:pPr>
            <w:r w:rsidRPr="002434FE">
              <w:rPr>
                <w:color w:val="000000"/>
                <w:sz w:val="22"/>
                <w:szCs w:val="22"/>
              </w:rPr>
              <w:t>28.48</w:t>
            </w:r>
          </w:p>
        </w:tc>
        <w:tc>
          <w:tcPr>
            <w:tcW w:w="1080" w:type="dxa"/>
            <w:tcBorders>
              <w:top w:val="nil"/>
              <w:left w:val="nil"/>
              <w:bottom w:val="nil"/>
              <w:right w:val="nil"/>
            </w:tcBorders>
            <w:shd w:val="clear" w:color="auto" w:fill="auto"/>
            <w:noWrap/>
            <w:vAlign w:val="bottom"/>
            <w:hideMark/>
          </w:tcPr>
          <w:p w14:paraId="588550B1" w14:textId="77777777" w:rsidR="00067050" w:rsidRPr="002434FE" w:rsidRDefault="00067050" w:rsidP="006F3489">
            <w:pPr>
              <w:jc w:val="right"/>
              <w:rPr>
                <w:color w:val="000000"/>
                <w:sz w:val="22"/>
                <w:szCs w:val="22"/>
              </w:rPr>
            </w:pPr>
            <w:r w:rsidRPr="002434FE">
              <w:rPr>
                <w:color w:val="000000"/>
                <w:sz w:val="22"/>
                <w:szCs w:val="22"/>
              </w:rPr>
              <w:t>2.62</w:t>
            </w:r>
          </w:p>
        </w:tc>
        <w:tc>
          <w:tcPr>
            <w:tcW w:w="810" w:type="dxa"/>
            <w:tcBorders>
              <w:top w:val="nil"/>
              <w:left w:val="nil"/>
              <w:bottom w:val="nil"/>
              <w:right w:val="nil"/>
            </w:tcBorders>
            <w:shd w:val="clear" w:color="auto" w:fill="auto"/>
            <w:noWrap/>
            <w:vAlign w:val="bottom"/>
            <w:hideMark/>
          </w:tcPr>
          <w:p w14:paraId="0D7582F3" w14:textId="38474EA1" w:rsidR="00067050" w:rsidRPr="002434FE" w:rsidRDefault="00067050" w:rsidP="006F3489">
            <w:pPr>
              <w:jc w:val="right"/>
              <w:rPr>
                <w:color w:val="000000"/>
                <w:sz w:val="22"/>
                <w:szCs w:val="22"/>
              </w:rPr>
            </w:pPr>
            <w:r w:rsidRPr="002434FE">
              <w:rPr>
                <w:color w:val="000000"/>
                <w:sz w:val="22"/>
                <w:szCs w:val="22"/>
              </w:rPr>
              <w:t>23</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702D6649" w14:textId="79B4F902" w:rsidR="00067050" w:rsidRPr="002434FE" w:rsidRDefault="00067050" w:rsidP="006F3489">
            <w:pPr>
              <w:jc w:val="right"/>
              <w:rPr>
                <w:color w:val="000000"/>
                <w:sz w:val="22"/>
                <w:szCs w:val="22"/>
              </w:rPr>
            </w:pPr>
            <w:r w:rsidRPr="002434FE">
              <w:rPr>
                <w:color w:val="000000"/>
                <w:sz w:val="22"/>
                <w:szCs w:val="22"/>
              </w:rPr>
              <w:t>36</w:t>
            </w:r>
            <w:r w:rsidR="0062634D">
              <w:rPr>
                <w:color w:val="000000"/>
                <w:sz w:val="22"/>
                <w:szCs w:val="22"/>
              </w:rPr>
              <w:t>.00</w:t>
            </w:r>
          </w:p>
        </w:tc>
      </w:tr>
      <w:tr w:rsidR="00067050" w:rsidRPr="002434FE" w14:paraId="1418F196" w14:textId="77777777" w:rsidTr="006F3489">
        <w:trPr>
          <w:trHeight w:val="320"/>
        </w:trPr>
        <w:tc>
          <w:tcPr>
            <w:tcW w:w="3880" w:type="dxa"/>
            <w:tcBorders>
              <w:top w:val="nil"/>
              <w:left w:val="nil"/>
              <w:bottom w:val="nil"/>
              <w:right w:val="nil"/>
            </w:tcBorders>
            <w:shd w:val="clear" w:color="auto" w:fill="auto"/>
            <w:noWrap/>
            <w:vAlign w:val="bottom"/>
            <w:hideMark/>
          </w:tcPr>
          <w:p w14:paraId="32932F33" w14:textId="54DFC223" w:rsidR="00067050" w:rsidRPr="002434FE" w:rsidRDefault="00067050" w:rsidP="006F3489">
            <w:pPr>
              <w:rPr>
                <w:color w:val="000000"/>
                <w:sz w:val="22"/>
                <w:szCs w:val="22"/>
              </w:rPr>
            </w:pPr>
            <w:r w:rsidRPr="002434FE">
              <w:rPr>
                <w:color w:val="000000"/>
                <w:sz w:val="22"/>
                <w:szCs w:val="22"/>
              </w:rPr>
              <w:t>Mot</w:t>
            </w:r>
            <w:r w:rsidR="000422F6">
              <w:rPr>
                <w:color w:val="000000"/>
                <w:sz w:val="22"/>
                <w:szCs w:val="22"/>
              </w:rPr>
              <w:t>h</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38681B5" w14:textId="77777777" w:rsidR="00067050" w:rsidRPr="002434FE" w:rsidRDefault="00067050" w:rsidP="006F3489">
            <w:pPr>
              <w:jc w:val="right"/>
              <w:rPr>
                <w:color w:val="000000"/>
                <w:sz w:val="22"/>
                <w:szCs w:val="22"/>
              </w:rPr>
            </w:pPr>
            <w:r w:rsidRPr="002434FE">
              <w:rPr>
                <w:color w:val="000000"/>
                <w:sz w:val="22"/>
                <w:szCs w:val="22"/>
              </w:rPr>
              <w:t>2095</w:t>
            </w:r>
          </w:p>
        </w:tc>
        <w:tc>
          <w:tcPr>
            <w:tcW w:w="1030" w:type="dxa"/>
            <w:tcBorders>
              <w:top w:val="nil"/>
              <w:left w:val="nil"/>
              <w:bottom w:val="nil"/>
              <w:right w:val="nil"/>
            </w:tcBorders>
            <w:shd w:val="clear" w:color="auto" w:fill="auto"/>
            <w:noWrap/>
            <w:vAlign w:val="bottom"/>
            <w:hideMark/>
          </w:tcPr>
          <w:p w14:paraId="6A2ACFD9" w14:textId="77777777" w:rsidR="00067050" w:rsidRPr="002434FE" w:rsidRDefault="00067050" w:rsidP="006F3489">
            <w:pPr>
              <w:jc w:val="right"/>
              <w:rPr>
                <w:color w:val="000000"/>
                <w:sz w:val="22"/>
                <w:szCs w:val="22"/>
              </w:rPr>
            </w:pPr>
            <w:r w:rsidRPr="002434FE">
              <w:rPr>
                <w:color w:val="000000"/>
                <w:sz w:val="22"/>
                <w:szCs w:val="22"/>
              </w:rPr>
              <w:t>12.95</w:t>
            </w:r>
          </w:p>
        </w:tc>
        <w:tc>
          <w:tcPr>
            <w:tcW w:w="1080" w:type="dxa"/>
            <w:tcBorders>
              <w:top w:val="nil"/>
              <w:left w:val="nil"/>
              <w:bottom w:val="nil"/>
              <w:right w:val="nil"/>
            </w:tcBorders>
            <w:shd w:val="clear" w:color="auto" w:fill="auto"/>
            <w:noWrap/>
            <w:vAlign w:val="bottom"/>
            <w:hideMark/>
          </w:tcPr>
          <w:p w14:paraId="0774A289" w14:textId="77777777" w:rsidR="00067050" w:rsidRPr="002434FE" w:rsidRDefault="00067050" w:rsidP="006F3489">
            <w:pPr>
              <w:jc w:val="right"/>
              <w:rPr>
                <w:color w:val="000000"/>
                <w:sz w:val="22"/>
                <w:szCs w:val="22"/>
              </w:rPr>
            </w:pPr>
            <w:r w:rsidRPr="002434FE">
              <w:rPr>
                <w:color w:val="000000"/>
                <w:sz w:val="22"/>
                <w:szCs w:val="22"/>
              </w:rPr>
              <w:t>2.48</w:t>
            </w:r>
          </w:p>
        </w:tc>
        <w:tc>
          <w:tcPr>
            <w:tcW w:w="810" w:type="dxa"/>
            <w:tcBorders>
              <w:top w:val="nil"/>
              <w:left w:val="nil"/>
              <w:bottom w:val="nil"/>
              <w:right w:val="nil"/>
            </w:tcBorders>
            <w:shd w:val="clear" w:color="auto" w:fill="auto"/>
            <w:noWrap/>
            <w:vAlign w:val="bottom"/>
            <w:hideMark/>
          </w:tcPr>
          <w:p w14:paraId="208C080F" w14:textId="2B1EA08B"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371DFA52" w14:textId="183F7637"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77FA88C3" w14:textId="77777777" w:rsidTr="006F3489">
        <w:trPr>
          <w:trHeight w:val="320"/>
        </w:trPr>
        <w:tc>
          <w:tcPr>
            <w:tcW w:w="3880" w:type="dxa"/>
            <w:tcBorders>
              <w:top w:val="nil"/>
              <w:left w:val="nil"/>
              <w:bottom w:val="nil"/>
              <w:right w:val="nil"/>
            </w:tcBorders>
            <w:shd w:val="clear" w:color="auto" w:fill="auto"/>
            <w:noWrap/>
            <w:vAlign w:val="bottom"/>
            <w:hideMark/>
          </w:tcPr>
          <w:p w14:paraId="1BF8BA25" w14:textId="77777777" w:rsidR="00067050" w:rsidRPr="002434FE" w:rsidRDefault="00067050" w:rsidP="006F3489">
            <w:pPr>
              <w:rPr>
                <w:color w:val="000000"/>
                <w:sz w:val="22"/>
                <w:szCs w:val="22"/>
              </w:rPr>
            </w:pPr>
            <w:r w:rsidRPr="002434FE">
              <w:rPr>
                <w:color w:val="000000"/>
                <w:sz w:val="22"/>
                <w:szCs w:val="22"/>
              </w:rPr>
              <w:t>Number of children in household</w:t>
            </w:r>
          </w:p>
        </w:tc>
        <w:tc>
          <w:tcPr>
            <w:tcW w:w="1030" w:type="dxa"/>
            <w:tcBorders>
              <w:top w:val="nil"/>
              <w:left w:val="nil"/>
              <w:bottom w:val="nil"/>
              <w:right w:val="nil"/>
            </w:tcBorders>
            <w:shd w:val="clear" w:color="auto" w:fill="auto"/>
            <w:noWrap/>
            <w:vAlign w:val="bottom"/>
            <w:hideMark/>
          </w:tcPr>
          <w:p w14:paraId="3009EF31" w14:textId="77777777" w:rsidR="00067050" w:rsidRPr="002434FE" w:rsidRDefault="00067050" w:rsidP="006F3489">
            <w:pPr>
              <w:jc w:val="right"/>
              <w:rPr>
                <w:color w:val="000000"/>
                <w:sz w:val="22"/>
                <w:szCs w:val="22"/>
              </w:rPr>
            </w:pPr>
            <w:r w:rsidRPr="002434FE">
              <w:rPr>
                <w:color w:val="000000"/>
                <w:sz w:val="22"/>
                <w:szCs w:val="22"/>
              </w:rPr>
              <w:t>2097</w:t>
            </w:r>
          </w:p>
        </w:tc>
        <w:tc>
          <w:tcPr>
            <w:tcW w:w="1030" w:type="dxa"/>
            <w:tcBorders>
              <w:top w:val="nil"/>
              <w:left w:val="nil"/>
              <w:bottom w:val="nil"/>
              <w:right w:val="nil"/>
            </w:tcBorders>
            <w:shd w:val="clear" w:color="auto" w:fill="auto"/>
            <w:noWrap/>
            <w:vAlign w:val="bottom"/>
            <w:hideMark/>
          </w:tcPr>
          <w:p w14:paraId="0829E4CD" w14:textId="77777777" w:rsidR="00067050" w:rsidRPr="002434FE" w:rsidRDefault="00067050" w:rsidP="006F3489">
            <w:pPr>
              <w:jc w:val="right"/>
              <w:rPr>
                <w:color w:val="000000"/>
                <w:sz w:val="22"/>
                <w:szCs w:val="22"/>
              </w:rPr>
            </w:pPr>
            <w:r w:rsidRPr="002434FE">
              <w:rPr>
                <w:color w:val="000000"/>
                <w:sz w:val="22"/>
                <w:szCs w:val="22"/>
              </w:rPr>
              <w:t>1.64</w:t>
            </w:r>
          </w:p>
        </w:tc>
        <w:tc>
          <w:tcPr>
            <w:tcW w:w="1080" w:type="dxa"/>
            <w:tcBorders>
              <w:top w:val="nil"/>
              <w:left w:val="nil"/>
              <w:bottom w:val="nil"/>
              <w:right w:val="nil"/>
            </w:tcBorders>
            <w:shd w:val="clear" w:color="auto" w:fill="auto"/>
            <w:noWrap/>
            <w:vAlign w:val="bottom"/>
            <w:hideMark/>
          </w:tcPr>
          <w:p w14:paraId="4A3B3037" w14:textId="35B58B37" w:rsidR="00067050" w:rsidRPr="002434FE" w:rsidRDefault="00067050" w:rsidP="006F3489">
            <w:pPr>
              <w:jc w:val="right"/>
              <w:rPr>
                <w:color w:val="000000"/>
                <w:sz w:val="22"/>
                <w:szCs w:val="22"/>
              </w:rPr>
            </w:pPr>
            <w:r w:rsidRPr="002434FE">
              <w:rPr>
                <w:color w:val="000000"/>
                <w:sz w:val="22"/>
                <w:szCs w:val="22"/>
              </w:rPr>
              <w:t>1.2</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5BB57A1B" w14:textId="316C15D2"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5C1A4CA0" w14:textId="109FB269" w:rsidR="00067050" w:rsidRPr="002434FE" w:rsidRDefault="00067050" w:rsidP="006F3489">
            <w:pPr>
              <w:jc w:val="right"/>
              <w:rPr>
                <w:color w:val="000000"/>
                <w:sz w:val="22"/>
                <w:szCs w:val="22"/>
              </w:rPr>
            </w:pPr>
            <w:r w:rsidRPr="002434FE">
              <w:rPr>
                <w:color w:val="000000"/>
                <w:sz w:val="22"/>
                <w:szCs w:val="22"/>
              </w:rPr>
              <w:t>7</w:t>
            </w:r>
            <w:r w:rsidR="0062634D">
              <w:rPr>
                <w:color w:val="000000"/>
                <w:sz w:val="22"/>
                <w:szCs w:val="22"/>
              </w:rPr>
              <w:t>.00</w:t>
            </w:r>
          </w:p>
        </w:tc>
      </w:tr>
      <w:tr w:rsidR="00067050" w:rsidRPr="002434FE" w14:paraId="487CB7E2" w14:textId="77777777" w:rsidTr="006F3489">
        <w:trPr>
          <w:trHeight w:val="320"/>
        </w:trPr>
        <w:tc>
          <w:tcPr>
            <w:tcW w:w="3880" w:type="dxa"/>
            <w:tcBorders>
              <w:top w:val="nil"/>
              <w:left w:val="nil"/>
              <w:bottom w:val="nil"/>
              <w:right w:val="nil"/>
            </w:tcBorders>
            <w:shd w:val="clear" w:color="auto" w:fill="auto"/>
            <w:noWrap/>
            <w:vAlign w:val="bottom"/>
            <w:hideMark/>
          </w:tcPr>
          <w:p w14:paraId="615D9D98" w14:textId="27278AC3" w:rsidR="00067050" w:rsidRPr="002434FE" w:rsidRDefault="00067050" w:rsidP="006F3489">
            <w:pPr>
              <w:rPr>
                <w:color w:val="000000"/>
                <w:sz w:val="22"/>
                <w:szCs w:val="22"/>
              </w:rPr>
            </w:pPr>
            <w:r w:rsidRPr="002434FE">
              <w:rPr>
                <w:color w:val="000000"/>
                <w:sz w:val="22"/>
                <w:szCs w:val="22"/>
              </w:rPr>
              <w:t>Part</w:t>
            </w:r>
            <w:r w:rsidR="000422F6">
              <w:rPr>
                <w:color w:val="000000"/>
                <w:sz w:val="22"/>
                <w:szCs w:val="22"/>
              </w:rPr>
              <w:t>n</w:t>
            </w:r>
            <w:r w:rsidRPr="002434FE">
              <w:rPr>
                <w:color w:val="000000"/>
                <w:sz w:val="22"/>
                <w:szCs w:val="22"/>
              </w:rPr>
              <w:t>er's years of schooling</w:t>
            </w:r>
          </w:p>
        </w:tc>
        <w:tc>
          <w:tcPr>
            <w:tcW w:w="1030" w:type="dxa"/>
            <w:tcBorders>
              <w:top w:val="nil"/>
              <w:left w:val="nil"/>
              <w:bottom w:val="nil"/>
              <w:right w:val="nil"/>
            </w:tcBorders>
            <w:shd w:val="clear" w:color="auto" w:fill="auto"/>
            <w:noWrap/>
            <w:vAlign w:val="bottom"/>
            <w:hideMark/>
          </w:tcPr>
          <w:p w14:paraId="5F73BAB1" w14:textId="77777777" w:rsidR="00067050" w:rsidRPr="002434FE" w:rsidRDefault="00067050" w:rsidP="006F3489">
            <w:pPr>
              <w:jc w:val="right"/>
              <w:rPr>
                <w:color w:val="000000"/>
                <w:sz w:val="22"/>
                <w:szCs w:val="22"/>
              </w:rPr>
            </w:pPr>
            <w:r w:rsidRPr="002434FE">
              <w:rPr>
                <w:color w:val="000000"/>
                <w:sz w:val="22"/>
                <w:szCs w:val="22"/>
              </w:rPr>
              <w:t>1757</w:t>
            </w:r>
          </w:p>
        </w:tc>
        <w:tc>
          <w:tcPr>
            <w:tcW w:w="1030" w:type="dxa"/>
            <w:tcBorders>
              <w:top w:val="nil"/>
              <w:left w:val="nil"/>
              <w:bottom w:val="nil"/>
              <w:right w:val="nil"/>
            </w:tcBorders>
            <w:shd w:val="clear" w:color="auto" w:fill="auto"/>
            <w:noWrap/>
            <w:vAlign w:val="bottom"/>
            <w:hideMark/>
          </w:tcPr>
          <w:p w14:paraId="75CDF668" w14:textId="77777777" w:rsidR="00067050" w:rsidRPr="002434FE" w:rsidRDefault="00067050" w:rsidP="006F3489">
            <w:pPr>
              <w:jc w:val="right"/>
              <w:rPr>
                <w:color w:val="000000"/>
                <w:sz w:val="22"/>
                <w:szCs w:val="22"/>
              </w:rPr>
            </w:pPr>
            <w:r w:rsidRPr="002434FE">
              <w:rPr>
                <w:color w:val="000000"/>
                <w:sz w:val="22"/>
                <w:szCs w:val="22"/>
              </w:rPr>
              <w:t>13.28</w:t>
            </w:r>
          </w:p>
        </w:tc>
        <w:tc>
          <w:tcPr>
            <w:tcW w:w="1080" w:type="dxa"/>
            <w:tcBorders>
              <w:top w:val="nil"/>
              <w:left w:val="nil"/>
              <w:bottom w:val="nil"/>
              <w:right w:val="nil"/>
            </w:tcBorders>
            <w:shd w:val="clear" w:color="auto" w:fill="auto"/>
            <w:noWrap/>
            <w:vAlign w:val="bottom"/>
            <w:hideMark/>
          </w:tcPr>
          <w:p w14:paraId="7972F960" w14:textId="10AA8EBB" w:rsidR="00067050" w:rsidRPr="002434FE" w:rsidRDefault="00067050" w:rsidP="006F3489">
            <w:pPr>
              <w:jc w:val="right"/>
              <w:rPr>
                <w:color w:val="000000"/>
                <w:sz w:val="22"/>
                <w:szCs w:val="22"/>
              </w:rPr>
            </w:pPr>
            <w:r w:rsidRPr="002434FE">
              <w:rPr>
                <w:color w:val="000000"/>
                <w:sz w:val="22"/>
                <w:szCs w:val="22"/>
              </w:rPr>
              <w:t>2.7</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AD5D2FB" w14:textId="6F7500E8"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080BD1CF" w14:textId="1B5E6AD6" w:rsidR="00067050" w:rsidRPr="002434FE" w:rsidRDefault="00067050" w:rsidP="006F3489">
            <w:pPr>
              <w:jc w:val="right"/>
              <w:rPr>
                <w:color w:val="000000"/>
                <w:sz w:val="22"/>
                <w:szCs w:val="22"/>
              </w:rPr>
            </w:pPr>
            <w:r w:rsidRPr="002434FE">
              <w:rPr>
                <w:color w:val="000000"/>
                <w:sz w:val="22"/>
                <w:szCs w:val="22"/>
              </w:rPr>
              <w:t>20</w:t>
            </w:r>
            <w:r w:rsidR="0062634D">
              <w:rPr>
                <w:color w:val="000000"/>
                <w:sz w:val="22"/>
                <w:szCs w:val="22"/>
              </w:rPr>
              <w:t>.00</w:t>
            </w:r>
          </w:p>
        </w:tc>
      </w:tr>
      <w:tr w:rsidR="00067050" w:rsidRPr="002434FE" w14:paraId="003E0602" w14:textId="77777777" w:rsidTr="006F3489">
        <w:trPr>
          <w:trHeight w:val="320"/>
        </w:trPr>
        <w:tc>
          <w:tcPr>
            <w:tcW w:w="3880" w:type="dxa"/>
            <w:tcBorders>
              <w:top w:val="nil"/>
              <w:left w:val="nil"/>
              <w:bottom w:val="nil"/>
              <w:right w:val="nil"/>
            </w:tcBorders>
            <w:shd w:val="clear" w:color="auto" w:fill="auto"/>
            <w:noWrap/>
            <w:vAlign w:val="bottom"/>
            <w:hideMark/>
          </w:tcPr>
          <w:p w14:paraId="73A73017" w14:textId="77777777" w:rsidR="00067050" w:rsidRPr="002434FE" w:rsidRDefault="00067050" w:rsidP="006F3489">
            <w:pPr>
              <w:rPr>
                <w:color w:val="000000"/>
                <w:sz w:val="22"/>
                <w:szCs w:val="22"/>
              </w:rPr>
            </w:pPr>
            <w:r w:rsidRPr="002434FE">
              <w:rPr>
                <w:color w:val="000000"/>
                <w:sz w:val="22"/>
                <w:szCs w:val="22"/>
              </w:rPr>
              <w:t>Rosenberg self-esteem score (1987)</w:t>
            </w:r>
          </w:p>
        </w:tc>
        <w:tc>
          <w:tcPr>
            <w:tcW w:w="1030" w:type="dxa"/>
            <w:tcBorders>
              <w:top w:val="nil"/>
              <w:left w:val="nil"/>
              <w:bottom w:val="nil"/>
              <w:right w:val="nil"/>
            </w:tcBorders>
            <w:shd w:val="clear" w:color="auto" w:fill="auto"/>
            <w:noWrap/>
            <w:vAlign w:val="bottom"/>
            <w:hideMark/>
          </w:tcPr>
          <w:p w14:paraId="6FECDE22" w14:textId="77777777" w:rsidR="00067050" w:rsidRPr="002434FE" w:rsidRDefault="00067050" w:rsidP="006F3489">
            <w:pPr>
              <w:jc w:val="right"/>
              <w:rPr>
                <w:color w:val="000000"/>
                <w:sz w:val="22"/>
                <w:szCs w:val="22"/>
              </w:rPr>
            </w:pPr>
            <w:r w:rsidRPr="002434FE">
              <w:rPr>
                <w:color w:val="000000"/>
                <w:sz w:val="22"/>
                <w:szCs w:val="22"/>
              </w:rPr>
              <w:t>2040</w:t>
            </w:r>
          </w:p>
        </w:tc>
        <w:tc>
          <w:tcPr>
            <w:tcW w:w="1030" w:type="dxa"/>
            <w:tcBorders>
              <w:top w:val="nil"/>
              <w:left w:val="nil"/>
              <w:bottom w:val="nil"/>
              <w:right w:val="nil"/>
            </w:tcBorders>
            <w:shd w:val="clear" w:color="auto" w:fill="auto"/>
            <w:noWrap/>
            <w:vAlign w:val="bottom"/>
            <w:hideMark/>
          </w:tcPr>
          <w:p w14:paraId="6D12C140" w14:textId="77777777" w:rsidR="00067050" w:rsidRPr="002434FE" w:rsidRDefault="00067050" w:rsidP="006F3489">
            <w:pPr>
              <w:jc w:val="right"/>
              <w:rPr>
                <w:color w:val="000000"/>
                <w:sz w:val="22"/>
                <w:szCs w:val="22"/>
              </w:rPr>
            </w:pPr>
            <w:r w:rsidRPr="002434FE">
              <w:rPr>
                <w:color w:val="000000"/>
                <w:sz w:val="22"/>
                <w:szCs w:val="22"/>
              </w:rPr>
              <w:t>45.07</w:t>
            </w:r>
          </w:p>
        </w:tc>
        <w:tc>
          <w:tcPr>
            <w:tcW w:w="1080" w:type="dxa"/>
            <w:tcBorders>
              <w:top w:val="nil"/>
              <w:left w:val="nil"/>
              <w:bottom w:val="nil"/>
              <w:right w:val="nil"/>
            </w:tcBorders>
            <w:shd w:val="clear" w:color="auto" w:fill="auto"/>
            <w:noWrap/>
            <w:vAlign w:val="bottom"/>
            <w:hideMark/>
          </w:tcPr>
          <w:p w14:paraId="038C9AAE" w14:textId="7A3255ED" w:rsidR="00067050" w:rsidRPr="002434FE" w:rsidRDefault="00067050" w:rsidP="006F3489">
            <w:pPr>
              <w:jc w:val="right"/>
              <w:rPr>
                <w:color w:val="000000"/>
                <w:sz w:val="22"/>
                <w:szCs w:val="22"/>
              </w:rPr>
            </w:pPr>
            <w:r w:rsidRPr="002434FE">
              <w:rPr>
                <w:color w:val="000000"/>
                <w:sz w:val="22"/>
                <w:szCs w:val="22"/>
              </w:rPr>
              <w:t>8.4</w:t>
            </w:r>
            <w:r w:rsidR="0062634D">
              <w:rPr>
                <w:color w:val="000000"/>
                <w:sz w:val="22"/>
                <w:szCs w:val="22"/>
              </w:rPr>
              <w:t>0</w:t>
            </w:r>
          </w:p>
        </w:tc>
        <w:tc>
          <w:tcPr>
            <w:tcW w:w="810" w:type="dxa"/>
            <w:tcBorders>
              <w:top w:val="nil"/>
              <w:left w:val="nil"/>
              <w:bottom w:val="nil"/>
              <w:right w:val="nil"/>
            </w:tcBorders>
            <w:shd w:val="clear" w:color="auto" w:fill="auto"/>
            <w:noWrap/>
            <w:vAlign w:val="bottom"/>
            <w:hideMark/>
          </w:tcPr>
          <w:p w14:paraId="4416C460" w14:textId="76B0C8D4" w:rsidR="00067050" w:rsidRPr="002434FE" w:rsidRDefault="00067050" w:rsidP="006F3489">
            <w:pPr>
              <w:jc w:val="right"/>
              <w:rPr>
                <w:color w:val="000000"/>
                <w:sz w:val="22"/>
                <w:szCs w:val="22"/>
              </w:rPr>
            </w:pPr>
            <w:r w:rsidRPr="002434FE">
              <w:rPr>
                <w:color w:val="000000"/>
                <w:sz w:val="22"/>
                <w:szCs w:val="22"/>
              </w:rPr>
              <w:t>23.5</w:t>
            </w:r>
            <w:r w:rsidR="0062634D">
              <w:rPr>
                <w:color w:val="000000"/>
                <w:sz w:val="22"/>
                <w:szCs w:val="22"/>
              </w:rPr>
              <w:t>0</w:t>
            </w:r>
          </w:p>
        </w:tc>
        <w:tc>
          <w:tcPr>
            <w:tcW w:w="1080" w:type="dxa"/>
            <w:tcBorders>
              <w:top w:val="nil"/>
              <w:left w:val="nil"/>
              <w:bottom w:val="nil"/>
              <w:right w:val="nil"/>
            </w:tcBorders>
            <w:shd w:val="clear" w:color="auto" w:fill="auto"/>
            <w:noWrap/>
            <w:vAlign w:val="bottom"/>
            <w:hideMark/>
          </w:tcPr>
          <w:p w14:paraId="3878756F" w14:textId="0C1E2133" w:rsidR="00067050" w:rsidRPr="002434FE" w:rsidRDefault="00067050" w:rsidP="006F3489">
            <w:pPr>
              <w:jc w:val="right"/>
              <w:rPr>
                <w:color w:val="000000"/>
                <w:sz w:val="22"/>
                <w:szCs w:val="22"/>
              </w:rPr>
            </w:pPr>
            <w:r w:rsidRPr="002434FE">
              <w:rPr>
                <w:color w:val="000000"/>
                <w:sz w:val="22"/>
                <w:szCs w:val="22"/>
              </w:rPr>
              <w:t>59.7</w:t>
            </w:r>
            <w:r w:rsidR="0062634D">
              <w:rPr>
                <w:color w:val="000000"/>
                <w:sz w:val="22"/>
                <w:szCs w:val="22"/>
              </w:rPr>
              <w:t>0</w:t>
            </w:r>
          </w:p>
        </w:tc>
      </w:tr>
      <w:tr w:rsidR="00067050" w:rsidRPr="002434FE" w14:paraId="4F4A6D76" w14:textId="77777777" w:rsidTr="006F3489">
        <w:trPr>
          <w:trHeight w:val="320"/>
        </w:trPr>
        <w:tc>
          <w:tcPr>
            <w:tcW w:w="3880" w:type="dxa"/>
            <w:tcBorders>
              <w:top w:val="nil"/>
              <w:left w:val="nil"/>
              <w:bottom w:val="nil"/>
              <w:right w:val="nil"/>
            </w:tcBorders>
            <w:shd w:val="clear" w:color="auto" w:fill="auto"/>
            <w:noWrap/>
            <w:vAlign w:val="bottom"/>
            <w:hideMark/>
          </w:tcPr>
          <w:p w14:paraId="667936AB" w14:textId="77777777" w:rsidR="00067050" w:rsidRPr="002434FE" w:rsidRDefault="00067050" w:rsidP="006F3489">
            <w:pPr>
              <w:rPr>
                <w:color w:val="000000"/>
                <w:sz w:val="22"/>
                <w:szCs w:val="22"/>
              </w:rPr>
            </w:pPr>
            <w:r w:rsidRPr="002434FE">
              <w:rPr>
                <w:color w:val="000000"/>
                <w:sz w:val="22"/>
                <w:szCs w:val="22"/>
              </w:rPr>
              <w:t>Temperament</w:t>
            </w:r>
          </w:p>
        </w:tc>
        <w:tc>
          <w:tcPr>
            <w:tcW w:w="1030" w:type="dxa"/>
            <w:tcBorders>
              <w:top w:val="nil"/>
              <w:left w:val="nil"/>
              <w:bottom w:val="nil"/>
              <w:right w:val="nil"/>
            </w:tcBorders>
            <w:shd w:val="clear" w:color="auto" w:fill="auto"/>
            <w:noWrap/>
            <w:vAlign w:val="bottom"/>
            <w:hideMark/>
          </w:tcPr>
          <w:p w14:paraId="533323F3" w14:textId="77777777" w:rsidR="00067050" w:rsidRPr="002434FE" w:rsidRDefault="00067050" w:rsidP="006F3489">
            <w:pPr>
              <w:jc w:val="right"/>
              <w:rPr>
                <w:color w:val="000000"/>
                <w:sz w:val="22"/>
                <w:szCs w:val="22"/>
              </w:rPr>
            </w:pPr>
            <w:r w:rsidRPr="002434FE">
              <w:rPr>
                <w:color w:val="000000"/>
                <w:sz w:val="22"/>
                <w:szCs w:val="22"/>
              </w:rPr>
              <w:t>1961</w:t>
            </w:r>
          </w:p>
        </w:tc>
        <w:tc>
          <w:tcPr>
            <w:tcW w:w="1030" w:type="dxa"/>
            <w:tcBorders>
              <w:top w:val="nil"/>
              <w:left w:val="nil"/>
              <w:bottom w:val="nil"/>
              <w:right w:val="nil"/>
            </w:tcBorders>
            <w:shd w:val="clear" w:color="auto" w:fill="auto"/>
            <w:noWrap/>
            <w:vAlign w:val="bottom"/>
            <w:hideMark/>
          </w:tcPr>
          <w:p w14:paraId="6BF703BB" w14:textId="77777777" w:rsidR="00067050" w:rsidRPr="002434FE" w:rsidRDefault="00067050" w:rsidP="006F3489">
            <w:pPr>
              <w:jc w:val="right"/>
              <w:rPr>
                <w:color w:val="000000"/>
                <w:sz w:val="22"/>
                <w:szCs w:val="22"/>
              </w:rPr>
            </w:pPr>
            <w:r w:rsidRPr="002434FE">
              <w:rPr>
                <w:color w:val="000000"/>
                <w:sz w:val="22"/>
                <w:szCs w:val="22"/>
              </w:rPr>
              <w:t>2.01</w:t>
            </w:r>
          </w:p>
        </w:tc>
        <w:tc>
          <w:tcPr>
            <w:tcW w:w="1080" w:type="dxa"/>
            <w:tcBorders>
              <w:top w:val="nil"/>
              <w:left w:val="nil"/>
              <w:bottom w:val="nil"/>
              <w:right w:val="nil"/>
            </w:tcBorders>
            <w:shd w:val="clear" w:color="auto" w:fill="auto"/>
            <w:noWrap/>
            <w:vAlign w:val="bottom"/>
            <w:hideMark/>
          </w:tcPr>
          <w:p w14:paraId="7E5710B2" w14:textId="77777777" w:rsidR="00067050" w:rsidRPr="002434FE" w:rsidRDefault="00067050" w:rsidP="006F3489">
            <w:pPr>
              <w:jc w:val="right"/>
              <w:rPr>
                <w:color w:val="000000"/>
                <w:sz w:val="22"/>
                <w:szCs w:val="22"/>
              </w:rPr>
            </w:pPr>
            <w:r w:rsidRPr="002434FE">
              <w:rPr>
                <w:color w:val="000000"/>
                <w:sz w:val="22"/>
                <w:szCs w:val="22"/>
              </w:rPr>
              <w:t>0.69</w:t>
            </w:r>
          </w:p>
        </w:tc>
        <w:tc>
          <w:tcPr>
            <w:tcW w:w="810" w:type="dxa"/>
            <w:tcBorders>
              <w:top w:val="nil"/>
              <w:left w:val="nil"/>
              <w:bottom w:val="nil"/>
              <w:right w:val="nil"/>
            </w:tcBorders>
            <w:shd w:val="clear" w:color="auto" w:fill="auto"/>
            <w:noWrap/>
            <w:vAlign w:val="bottom"/>
            <w:hideMark/>
          </w:tcPr>
          <w:p w14:paraId="6D286EED" w14:textId="30E9679F" w:rsidR="00067050" w:rsidRPr="002434FE" w:rsidRDefault="00067050" w:rsidP="006F3489">
            <w:pPr>
              <w:jc w:val="right"/>
              <w:rPr>
                <w:color w:val="000000"/>
                <w:sz w:val="22"/>
                <w:szCs w:val="22"/>
              </w:rPr>
            </w:pPr>
            <w:r w:rsidRPr="002434FE">
              <w:rPr>
                <w:color w:val="000000"/>
                <w:sz w:val="22"/>
                <w:szCs w:val="22"/>
              </w:rPr>
              <w:t>1</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43347A73" w14:textId="646A4EB7" w:rsidR="00067050" w:rsidRPr="002434FE" w:rsidRDefault="00067050" w:rsidP="006F3489">
            <w:pPr>
              <w:jc w:val="right"/>
              <w:rPr>
                <w:color w:val="000000"/>
                <w:sz w:val="22"/>
                <w:szCs w:val="22"/>
              </w:rPr>
            </w:pPr>
            <w:r w:rsidRPr="002434FE">
              <w:rPr>
                <w:color w:val="000000"/>
                <w:sz w:val="22"/>
                <w:szCs w:val="22"/>
              </w:rPr>
              <w:t>5</w:t>
            </w:r>
            <w:r w:rsidR="0062634D">
              <w:rPr>
                <w:color w:val="000000"/>
                <w:sz w:val="22"/>
                <w:szCs w:val="22"/>
              </w:rPr>
              <w:t>.00</w:t>
            </w:r>
          </w:p>
        </w:tc>
      </w:tr>
      <w:tr w:rsidR="00067050" w:rsidRPr="002434FE" w14:paraId="536BF6BD" w14:textId="77777777" w:rsidTr="006F3489">
        <w:trPr>
          <w:trHeight w:val="320"/>
        </w:trPr>
        <w:tc>
          <w:tcPr>
            <w:tcW w:w="3880" w:type="dxa"/>
            <w:tcBorders>
              <w:top w:val="nil"/>
              <w:left w:val="nil"/>
              <w:bottom w:val="nil"/>
              <w:right w:val="nil"/>
            </w:tcBorders>
            <w:shd w:val="clear" w:color="auto" w:fill="auto"/>
            <w:noWrap/>
            <w:vAlign w:val="bottom"/>
            <w:hideMark/>
          </w:tcPr>
          <w:p w14:paraId="75561FFB" w14:textId="77777777" w:rsidR="00067050" w:rsidRPr="002434FE" w:rsidRDefault="00067050" w:rsidP="006F3489">
            <w:pPr>
              <w:rPr>
                <w:color w:val="000000"/>
                <w:sz w:val="22"/>
                <w:szCs w:val="22"/>
              </w:rPr>
            </w:pPr>
            <w:r w:rsidRPr="002434FE">
              <w:rPr>
                <w:color w:val="000000"/>
                <w:sz w:val="22"/>
                <w:szCs w:val="22"/>
              </w:rPr>
              <w:t>TV hours per day age 1.5</w:t>
            </w:r>
          </w:p>
        </w:tc>
        <w:tc>
          <w:tcPr>
            <w:tcW w:w="1030" w:type="dxa"/>
            <w:tcBorders>
              <w:top w:val="nil"/>
              <w:left w:val="nil"/>
              <w:bottom w:val="nil"/>
              <w:right w:val="nil"/>
            </w:tcBorders>
            <w:shd w:val="clear" w:color="auto" w:fill="auto"/>
            <w:noWrap/>
            <w:vAlign w:val="bottom"/>
            <w:hideMark/>
          </w:tcPr>
          <w:p w14:paraId="0415D167" w14:textId="77777777" w:rsidR="00067050" w:rsidRPr="002434FE" w:rsidRDefault="00067050" w:rsidP="006F3489">
            <w:pPr>
              <w:jc w:val="right"/>
              <w:rPr>
                <w:color w:val="000000"/>
                <w:sz w:val="22"/>
                <w:szCs w:val="22"/>
              </w:rPr>
            </w:pPr>
            <w:r w:rsidRPr="002434FE">
              <w:rPr>
                <w:color w:val="000000"/>
                <w:sz w:val="22"/>
                <w:szCs w:val="22"/>
              </w:rPr>
              <w:t>1993</w:t>
            </w:r>
          </w:p>
        </w:tc>
        <w:tc>
          <w:tcPr>
            <w:tcW w:w="1030" w:type="dxa"/>
            <w:tcBorders>
              <w:top w:val="nil"/>
              <w:left w:val="nil"/>
              <w:bottom w:val="nil"/>
              <w:right w:val="nil"/>
            </w:tcBorders>
            <w:shd w:val="clear" w:color="auto" w:fill="auto"/>
            <w:noWrap/>
            <w:vAlign w:val="bottom"/>
            <w:hideMark/>
          </w:tcPr>
          <w:p w14:paraId="540F2193" w14:textId="77777777" w:rsidR="00067050" w:rsidRPr="002434FE" w:rsidRDefault="00067050" w:rsidP="006F3489">
            <w:pPr>
              <w:jc w:val="right"/>
              <w:rPr>
                <w:color w:val="000000"/>
                <w:sz w:val="22"/>
                <w:szCs w:val="22"/>
              </w:rPr>
            </w:pPr>
            <w:r w:rsidRPr="002434FE">
              <w:rPr>
                <w:color w:val="000000"/>
                <w:sz w:val="22"/>
                <w:szCs w:val="22"/>
              </w:rPr>
              <w:t>2.23</w:t>
            </w:r>
          </w:p>
        </w:tc>
        <w:tc>
          <w:tcPr>
            <w:tcW w:w="1080" w:type="dxa"/>
            <w:tcBorders>
              <w:top w:val="nil"/>
              <w:left w:val="nil"/>
              <w:bottom w:val="nil"/>
              <w:right w:val="nil"/>
            </w:tcBorders>
            <w:shd w:val="clear" w:color="auto" w:fill="auto"/>
            <w:noWrap/>
            <w:vAlign w:val="bottom"/>
            <w:hideMark/>
          </w:tcPr>
          <w:p w14:paraId="6387F757" w14:textId="77777777" w:rsidR="00067050" w:rsidRPr="002434FE" w:rsidRDefault="00067050" w:rsidP="006F3489">
            <w:pPr>
              <w:jc w:val="right"/>
              <w:rPr>
                <w:color w:val="000000"/>
                <w:sz w:val="22"/>
                <w:szCs w:val="22"/>
              </w:rPr>
            </w:pPr>
            <w:r w:rsidRPr="002434FE">
              <w:rPr>
                <w:color w:val="000000"/>
                <w:sz w:val="22"/>
                <w:szCs w:val="22"/>
              </w:rPr>
              <w:t>3.07</w:t>
            </w:r>
          </w:p>
        </w:tc>
        <w:tc>
          <w:tcPr>
            <w:tcW w:w="810" w:type="dxa"/>
            <w:tcBorders>
              <w:top w:val="nil"/>
              <w:left w:val="nil"/>
              <w:bottom w:val="nil"/>
              <w:right w:val="nil"/>
            </w:tcBorders>
            <w:shd w:val="clear" w:color="auto" w:fill="auto"/>
            <w:noWrap/>
            <w:vAlign w:val="bottom"/>
            <w:hideMark/>
          </w:tcPr>
          <w:p w14:paraId="7228B6DE" w14:textId="7C2DEBCA"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1EFC62EE" w14:textId="37F558FA"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40F49CB1" w14:textId="77777777" w:rsidTr="006F3489">
        <w:trPr>
          <w:trHeight w:val="320"/>
        </w:trPr>
        <w:tc>
          <w:tcPr>
            <w:tcW w:w="3880" w:type="dxa"/>
            <w:tcBorders>
              <w:top w:val="nil"/>
              <w:left w:val="nil"/>
              <w:bottom w:val="nil"/>
              <w:right w:val="nil"/>
            </w:tcBorders>
            <w:shd w:val="clear" w:color="auto" w:fill="auto"/>
            <w:noWrap/>
            <w:vAlign w:val="bottom"/>
            <w:hideMark/>
          </w:tcPr>
          <w:p w14:paraId="6FE585ED" w14:textId="77777777" w:rsidR="00067050" w:rsidRPr="002434FE" w:rsidRDefault="00067050" w:rsidP="006F3489">
            <w:pPr>
              <w:rPr>
                <w:color w:val="000000"/>
                <w:sz w:val="22"/>
                <w:szCs w:val="22"/>
              </w:rPr>
            </w:pPr>
            <w:r w:rsidRPr="002434FE">
              <w:rPr>
                <w:color w:val="000000"/>
                <w:sz w:val="22"/>
                <w:szCs w:val="22"/>
              </w:rPr>
              <w:t>TV hours per day age 3</w:t>
            </w:r>
          </w:p>
        </w:tc>
        <w:tc>
          <w:tcPr>
            <w:tcW w:w="1030" w:type="dxa"/>
            <w:tcBorders>
              <w:top w:val="nil"/>
              <w:left w:val="nil"/>
              <w:bottom w:val="nil"/>
              <w:right w:val="nil"/>
            </w:tcBorders>
            <w:shd w:val="clear" w:color="auto" w:fill="auto"/>
            <w:noWrap/>
            <w:vAlign w:val="bottom"/>
            <w:hideMark/>
          </w:tcPr>
          <w:p w14:paraId="534FCA0F" w14:textId="77777777" w:rsidR="00067050" w:rsidRPr="002434FE" w:rsidRDefault="00067050" w:rsidP="006F3489">
            <w:pPr>
              <w:jc w:val="right"/>
              <w:rPr>
                <w:color w:val="000000"/>
                <w:sz w:val="22"/>
                <w:szCs w:val="22"/>
              </w:rPr>
            </w:pPr>
            <w:r w:rsidRPr="002434FE">
              <w:rPr>
                <w:color w:val="000000"/>
                <w:sz w:val="22"/>
                <w:szCs w:val="22"/>
              </w:rPr>
              <w:t>2023</w:t>
            </w:r>
          </w:p>
        </w:tc>
        <w:tc>
          <w:tcPr>
            <w:tcW w:w="1030" w:type="dxa"/>
            <w:tcBorders>
              <w:top w:val="nil"/>
              <w:left w:val="nil"/>
              <w:bottom w:val="nil"/>
              <w:right w:val="nil"/>
            </w:tcBorders>
            <w:shd w:val="clear" w:color="auto" w:fill="auto"/>
            <w:noWrap/>
            <w:vAlign w:val="bottom"/>
            <w:hideMark/>
          </w:tcPr>
          <w:p w14:paraId="3707901F" w14:textId="77777777" w:rsidR="00067050" w:rsidRPr="002434FE" w:rsidRDefault="00067050" w:rsidP="006F3489">
            <w:pPr>
              <w:jc w:val="right"/>
              <w:rPr>
                <w:color w:val="000000"/>
                <w:sz w:val="22"/>
                <w:szCs w:val="22"/>
              </w:rPr>
            </w:pPr>
            <w:r w:rsidRPr="002434FE">
              <w:rPr>
                <w:color w:val="000000"/>
                <w:sz w:val="22"/>
                <w:szCs w:val="22"/>
              </w:rPr>
              <w:t>3.68</w:t>
            </w:r>
          </w:p>
        </w:tc>
        <w:tc>
          <w:tcPr>
            <w:tcW w:w="1080" w:type="dxa"/>
            <w:tcBorders>
              <w:top w:val="nil"/>
              <w:left w:val="nil"/>
              <w:bottom w:val="nil"/>
              <w:right w:val="nil"/>
            </w:tcBorders>
            <w:shd w:val="clear" w:color="auto" w:fill="auto"/>
            <w:noWrap/>
            <w:vAlign w:val="bottom"/>
            <w:hideMark/>
          </w:tcPr>
          <w:p w14:paraId="3830B39A" w14:textId="77777777" w:rsidR="00067050" w:rsidRPr="002434FE" w:rsidRDefault="00067050" w:rsidP="006F3489">
            <w:pPr>
              <w:jc w:val="right"/>
              <w:rPr>
                <w:color w:val="000000"/>
                <w:sz w:val="22"/>
                <w:szCs w:val="22"/>
              </w:rPr>
            </w:pPr>
            <w:r w:rsidRPr="002434FE">
              <w:rPr>
                <w:color w:val="000000"/>
                <w:sz w:val="22"/>
                <w:szCs w:val="22"/>
              </w:rPr>
              <w:t>3.12</w:t>
            </w:r>
          </w:p>
        </w:tc>
        <w:tc>
          <w:tcPr>
            <w:tcW w:w="810" w:type="dxa"/>
            <w:tcBorders>
              <w:top w:val="nil"/>
              <w:left w:val="nil"/>
              <w:bottom w:val="nil"/>
              <w:right w:val="nil"/>
            </w:tcBorders>
            <w:shd w:val="clear" w:color="auto" w:fill="auto"/>
            <w:noWrap/>
            <w:vAlign w:val="bottom"/>
            <w:hideMark/>
          </w:tcPr>
          <w:p w14:paraId="3F66F995" w14:textId="5C493F53" w:rsidR="00067050" w:rsidRPr="002434FE" w:rsidRDefault="00067050" w:rsidP="006F3489">
            <w:pPr>
              <w:jc w:val="right"/>
              <w:rPr>
                <w:color w:val="000000"/>
                <w:sz w:val="22"/>
                <w:szCs w:val="22"/>
              </w:rPr>
            </w:pPr>
            <w:r w:rsidRPr="002434FE">
              <w:rPr>
                <w:color w:val="000000"/>
                <w:sz w:val="22"/>
                <w:szCs w:val="22"/>
              </w:rPr>
              <w:t>0</w:t>
            </w:r>
            <w:r w:rsidR="0062634D">
              <w:rPr>
                <w:color w:val="000000"/>
                <w:sz w:val="22"/>
                <w:szCs w:val="22"/>
              </w:rPr>
              <w:t>.00</w:t>
            </w:r>
          </w:p>
        </w:tc>
        <w:tc>
          <w:tcPr>
            <w:tcW w:w="1080" w:type="dxa"/>
            <w:tcBorders>
              <w:top w:val="nil"/>
              <w:left w:val="nil"/>
              <w:bottom w:val="nil"/>
              <w:right w:val="nil"/>
            </w:tcBorders>
            <w:shd w:val="clear" w:color="auto" w:fill="auto"/>
            <w:noWrap/>
            <w:vAlign w:val="bottom"/>
            <w:hideMark/>
          </w:tcPr>
          <w:p w14:paraId="6C818C6A" w14:textId="4D1B91CF" w:rsidR="00067050" w:rsidRPr="002434FE" w:rsidRDefault="00067050" w:rsidP="006F3489">
            <w:pPr>
              <w:jc w:val="right"/>
              <w:rPr>
                <w:color w:val="000000"/>
                <w:sz w:val="22"/>
                <w:szCs w:val="22"/>
              </w:rPr>
            </w:pPr>
            <w:r w:rsidRPr="002434FE">
              <w:rPr>
                <w:color w:val="000000"/>
                <w:sz w:val="22"/>
                <w:szCs w:val="22"/>
              </w:rPr>
              <w:t>16</w:t>
            </w:r>
            <w:r w:rsidR="0062634D">
              <w:rPr>
                <w:color w:val="000000"/>
                <w:sz w:val="22"/>
                <w:szCs w:val="22"/>
              </w:rPr>
              <w:t>.00</w:t>
            </w:r>
          </w:p>
        </w:tc>
      </w:tr>
      <w:tr w:rsidR="00067050" w:rsidRPr="002434FE" w14:paraId="07AA3FA7" w14:textId="77777777" w:rsidTr="006F3489">
        <w:trPr>
          <w:trHeight w:val="144"/>
        </w:trPr>
        <w:tc>
          <w:tcPr>
            <w:tcW w:w="3880" w:type="dxa"/>
            <w:tcBorders>
              <w:top w:val="nil"/>
              <w:left w:val="nil"/>
              <w:bottom w:val="single" w:sz="4" w:space="0" w:color="auto"/>
              <w:right w:val="nil"/>
            </w:tcBorders>
            <w:shd w:val="clear" w:color="auto" w:fill="auto"/>
            <w:noWrap/>
            <w:vAlign w:val="bottom"/>
            <w:hideMark/>
          </w:tcPr>
          <w:p w14:paraId="032C1895" w14:textId="77777777" w:rsidR="00067050" w:rsidRPr="008669FE" w:rsidRDefault="00067050" w:rsidP="006F3489">
            <w:pPr>
              <w:rPr>
                <w:color w:val="000000"/>
                <w:sz w:val="10"/>
                <w:szCs w:val="10"/>
              </w:rPr>
            </w:pPr>
            <w:r w:rsidRPr="008669FE">
              <w:rPr>
                <w:rFonts w:hint="eastAsia"/>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4DB7BD48" w14:textId="77777777" w:rsidR="00067050" w:rsidRPr="008669FE" w:rsidRDefault="00067050" w:rsidP="006F3489">
            <w:pPr>
              <w:rPr>
                <w:color w:val="000000"/>
                <w:sz w:val="10"/>
                <w:szCs w:val="10"/>
              </w:rPr>
            </w:pPr>
            <w:r w:rsidRPr="008669FE">
              <w:rPr>
                <w:color w:val="000000"/>
                <w:sz w:val="10"/>
                <w:szCs w:val="10"/>
              </w:rPr>
              <w:t> </w:t>
            </w:r>
          </w:p>
        </w:tc>
        <w:tc>
          <w:tcPr>
            <w:tcW w:w="1030" w:type="dxa"/>
            <w:tcBorders>
              <w:top w:val="nil"/>
              <w:left w:val="nil"/>
              <w:bottom w:val="single" w:sz="4" w:space="0" w:color="auto"/>
              <w:right w:val="nil"/>
            </w:tcBorders>
            <w:shd w:val="clear" w:color="auto" w:fill="auto"/>
            <w:noWrap/>
            <w:vAlign w:val="bottom"/>
            <w:hideMark/>
          </w:tcPr>
          <w:p w14:paraId="1CE552FF"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24ADB0F8" w14:textId="77777777" w:rsidR="00067050" w:rsidRPr="008669FE" w:rsidRDefault="00067050" w:rsidP="006F3489">
            <w:pPr>
              <w:rPr>
                <w:color w:val="000000"/>
                <w:sz w:val="10"/>
                <w:szCs w:val="10"/>
              </w:rPr>
            </w:pPr>
            <w:r w:rsidRPr="008669FE">
              <w:rPr>
                <w:color w:val="000000"/>
                <w:sz w:val="10"/>
                <w:szCs w:val="10"/>
              </w:rPr>
              <w:t> </w:t>
            </w:r>
          </w:p>
        </w:tc>
        <w:tc>
          <w:tcPr>
            <w:tcW w:w="810" w:type="dxa"/>
            <w:tcBorders>
              <w:top w:val="nil"/>
              <w:left w:val="nil"/>
              <w:bottom w:val="single" w:sz="4" w:space="0" w:color="auto"/>
              <w:right w:val="nil"/>
            </w:tcBorders>
            <w:shd w:val="clear" w:color="auto" w:fill="auto"/>
            <w:noWrap/>
            <w:vAlign w:val="bottom"/>
            <w:hideMark/>
          </w:tcPr>
          <w:p w14:paraId="366AD3A4" w14:textId="77777777" w:rsidR="00067050" w:rsidRPr="008669FE" w:rsidRDefault="00067050" w:rsidP="006F3489">
            <w:pPr>
              <w:rPr>
                <w:color w:val="000000"/>
                <w:sz w:val="10"/>
                <w:szCs w:val="10"/>
              </w:rPr>
            </w:pPr>
            <w:r w:rsidRPr="008669FE">
              <w:rPr>
                <w:color w:val="000000"/>
                <w:sz w:val="10"/>
                <w:szCs w:val="10"/>
              </w:rPr>
              <w:t> </w:t>
            </w:r>
          </w:p>
        </w:tc>
        <w:tc>
          <w:tcPr>
            <w:tcW w:w="1080" w:type="dxa"/>
            <w:tcBorders>
              <w:top w:val="nil"/>
              <w:left w:val="nil"/>
              <w:bottom w:val="single" w:sz="4" w:space="0" w:color="auto"/>
              <w:right w:val="nil"/>
            </w:tcBorders>
            <w:shd w:val="clear" w:color="auto" w:fill="auto"/>
            <w:noWrap/>
            <w:vAlign w:val="bottom"/>
            <w:hideMark/>
          </w:tcPr>
          <w:p w14:paraId="3B46013C" w14:textId="77777777" w:rsidR="00067050" w:rsidRPr="008669FE" w:rsidRDefault="00067050" w:rsidP="006F3489">
            <w:pPr>
              <w:rPr>
                <w:color w:val="000000"/>
                <w:sz w:val="10"/>
                <w:szCs w:val="10"/>
              </w:rPr>
            </w:pPr>
            <w:r w:rsidRPr="008669FE">
              <w:rPr>
                <w:color w:val="000000"/>
                <w:sz w:val="10"/>
                <w:szCs w:val="10"/>
              </w:rPr>
              <w:t> </w:t>
            </w:r>
          </w:p>
        </w:tc>
      </w:tr>
    </w:tbl>
    <w:p w14:paraId="2958AFE1" w14:textId="77777777" w:rsidR="00067050" w:rsidRPr="002434FE" w:rsidRDefault="00067050" w:rsidP="00067050"/>
    <w:p w14:paraId="4A6005C8" w14:textId="77777777" w:rsidR="00067050" w:rsidRDefault="00067050" w:rsidP="00067050">
      <w:r>
        <w:br w:type="page"/>
      </w:r>
    </w:p>
    <w:p w14:paraId="204BA287" w14:textId="00D2F949" w:rsidR="004C75BC" w:rsidRDefault="004C75BC" w:rsidP="004C75BC">
      <w:r>
        <w:lastRenderedPageBreak/>
        <w:t xml:space="preserve">Table </w:t>
      </w:r>
      <w:r w:rsidR="00B47F37">
        <w:t>3</w:t>
      </w:r>
    </w:p>
    <w:p w14:paraId="10A6CC45" w14:textId="77777777" w:rsidR="004C75BC" w:rsidRDefault="004C75BC" w:rsidP="004C75BC">
      <w:r>
        <w:t>Marginal descriptive statistics for categorical variables</w:t>
      </w:r>
    </w:p>
    <w:p w14:paraId="64C7E904" w14:textId="60286521" w:rsidR="00854C26" w:rsidRDefault="00854C26" w:rsidP="00854C26">
      <w:pPr>
        <w:rPr>
          <w:sz w:val="20"/>
          <w:szCs w:val="20"/>
        </w:rPr>
      </w:pPr>
    </w:p>
    <w:tbl>
      <w:tblPr>
        <w:tblW w:w="9040" w:type="dxa"/>
        <w:tblLook w:val="04A0" w:firstRow="1" w:lastRow="0" w:firstColumn="1" w:lastColumn="0" w:noHBand="0" w:noVBand="1"/>
      </w:tblPr>
      <w:tblGrid>
        <w:gridCol w:w="3700"/>
        <w:gridCol w:w="3140"/>
        <w:gridCol w:w="900"/>
        <w:gridCol w:w="1300"/>
      </w:tblGrid>
      <w:tr w:rsidR="002434FE" w:rsidRPr="00BB280A" w14:paraId="1749F8AA" w14:textId="77777777" w:rsidTr="002434FE">
        <w:trPr>
          <w:trHeight w:val="380"/>
        </w:trPr>
        <w:tc>
          <w:tcPr>
            <w:tcW w:w="3700" w:type="dxa"/>
            <w:tcBorders>
              <w:top w:val="single" w:sz="4" w:space="0" w:color="auto"/>
              <w:left w:val="nil"/>
              <w:bottom w:val="nil"/>
              <w:right w:val="nil"/>
            </w:tcBorders>
            <w:shd w:val="clear" w:color="auto" w:fill="auto"/>
            <w:noWrap/>
            <w:vAlign w:val="bottom"/>
            <w:hideMark/>
          </w:tcPr>
          <w:p w14:paraId="32F7CD92" w14:textId="77777777" w:rsidR="002434FE" w:rsidRPr="008669FE" w:rsidRDefault="002434FE">
            <w:pPr>
              <w:rPr>
                <w:color w:val="000000"/>
                <w:sz w:val="22"/>
                <w:szCs w:val="22"/>
              </w:rPr>
            </w:pPr>
            <w:r w:rsidRPr="008669FE">
              <w:rPr>
                <w:color w:val="000000"/>
                <w:sz w:val="22"/>
                <w:szCs w:val="22"/>
              </w:rPr>
              <w:t>Variable</w:t>
            </w:r>
          </w:p>
        </w:tc>
        <w:tc>
          <w:tcPr>
            <w:tcW w:w="3140" w:type="dxa"/>
            <w:tcBorders>
              <w:top w:val="single" w:sz="4" w:space="0" w:color="auto"/>
              <w:left w:val="nil"/>
              <w:bottom w:val="nil"/>
              <w:right w:val="nil"/>
            </w:tcBorders>
            <w:shd w:val="clear" w:color="auto" w:fill="auto"/>
            <w:noWrap/>
            <w:vAlign w:val="bottom"/>
            <w:hideMark/>
          </w:tcPr>
          <w:p w14:paraId="67962DBB" w14:textId="77777777" w:rsidR="002434FE" w:rsidRPr="008669FE" w:rsidRDefault="002434FE">
            <w:pPr>
              <w:rPr>
                <w:color w:val="000000"/>
                <w:sz w:val="22"/>
                <w:szCs w:val="22"/>
              </w:rPr>
            </w:pPr>
            <w:r w:rsidRPr="008669FE">
              <w:rPr>
                <w:color w:val="000000"/>
                <w:sz w:val="22"/>
                <w:szCs w:val="22"/>
              </w:rPr>
              <w:t>Value</w:t>
            </w:r>
          </w:p>
        </w:tc>
        <w:tc>
          <w:tcPr>
            <w:tcW w:w="900" w:type="dxa"/>
            <w:tcBorders>
              <w:top w:val="single" w:sz="4" w:space="0" w:color="auto"/>
              <w:left w:val="nil"/>
              <w:bottom w:val="nil"/>
              <w:right w:val="nil"/>
            </w:tcBorders>
            <w:shd w:val="clear" w:color="auto" w:fill="auto"/>
            <w:noWrap/>
            <w:vAlign w:val="bottom"/>
            <w:hideMark/>
          </w:tcPr>
          <w:p w14:paraId="07655B05" w14:textId="77777777" w:rsidR="002434FE" w:rsidRPr="008669FE" w:rsidRDefault="002434FE">
            <w:pPr>
              <w:jc w:val="right"/>
              <w:rPr>
                <w:color w:val="000000"/>
                <w:sz w:val="22"/>
                <w:szCs w:val="22"/>
              </w:rPr>
            </w:pPr>
            <w:r w:rsidRPr="008669FE">
              <w:rPr>
                <w:color w:val="000000"/>
                <w:sz w:val="22"/>
                <w:szCs w:val="22"/>
              </w:rPr>
              <w:t>n</w:t>
            </w:r>
          </w:p>
        </w:tc>
        <w:tc>
          <w:tcPr>
            <w:tcW w:w="1300" w:type="dxa"/>
            <w:tcBorders>
              <w:top w:val="single" w:sz="4" w:space="0" w:color="auto"/>
              <w:left w:val="nil"/>
              <w:bottom w:val="nil"/>
              <w:right w:val="nil"/>
            </w:tcBorders>
            <w:shd w:val="clear" w:color="auto" w:fill="auto"/>
            <w:noWrap/>
            <w:vAlign w:val="bottom"/>
            <w:hideMark/>
          </w:tcPr>
          <w:p w14:paraId="56617A80" w14:textId="77777777" w:rsidR="002434FE" w:rsidRPr="008669FE" w:rsidRDefault="002434FE">
            <w:pPr>
              <w:jc w:val="right"/>
              <w:rPr>
                <w:color w:val="000000"/>
                <w:sz w:val="22"/>
                <w:szCs w:val="22"/>
              </w:rPr>
            </w:pPr>
            <w:r w:rsidRPr="008669FE">
              <w:rPr>
                <w:color w:val="000000"/>
                <w:sz w:val="22"/>
                <w:szCs w:val="22"/>
              </w:rPr>
              <w:t>Percent</w:t>
            </w:r>
          </w:p>
        </w:tc>
      </w:tr>
      <w:tr w:rsidR="002434FE" w:rsidRPr="00BB280A" w14:paraId="14304E55" w14:textId="77777777" w:rsidTr="002434FE">
        <w:trPr>
          <w:trHeight w:val="140"/>
        </w:trPr>
        <w:tc>
          <w:tcPr>
            <w:tcW w:w="3700" w:type="dxa"/>
            <w:tcBorders>
              <w:top w:val="nil"/>
              <w:left w:val="nil"/>
              <w:bottom w:val="single" w:sz="4" w:space="0" w:color="auto"/>
              <w:right w:val="nil"/>
            </w:tcBorders>
            <w:shd w:val="clear" w:color="auto" w:fill="auto"/>
            <w:noWrap/>
            <w:vAlign w:val="bottom"/>
            <w:hideMark/>
          </w:tcPr>
          <w:p w14:paraId="05EF3423"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44AFCA0D"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26E73C6D"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1005E410" w14:textId="77777777" w:rsidR="002434FE" w:rsidRPr="008669FE" w:rsidRDefault="002434FE">
            <w:pPr>
              <w:rPr>
                <w:color w:val="000000"/>
                <w:sz w:val="22"/>
                <w:szCs w:val="22"/>
              </w:rPr>
            </w:pPr>
            <w:r w:rsidRPr="008669FE">
              <w:rPr>
                <w:color w:val="000000"/>
                <w:sz w:val="22"/>
                <w:szCs w:val="22"/>
              </w:rPr>
              <w:t> </w:t>
            </w:r>
          </w:p>
        </w:tc>
      </w:tr>
      <w:tr w:rsidR="002434FE" w:rsidRPr="00BB280A" w14:paraId="789965FD" w14:textId="77777777" w:rsidTr="008669FE">
        <w:trPr>
          <w:trHeight w:val="560"/>
        </w:trPr>
        <w:tc>
          <w:tcPr>
            <w:tcW w:w="3700" w:type="dxa"/>
            <w:tcBorders>
              <w:top w:val="nil"/>
              <w:left w:val="nil"/>
              <w:bottom w:val="nil"/>
              <w:right w:val="nil"/>
            </w:tcBorders>
            <w:shd w:val="clear" w:color="auto" w:fill="auto"/>
            <w:noWrap/>
            <w:vAlign w:val="bottom"/>
            <w:hideMark/>
          </w:tcPr>
          <w:p w14:paraId="37E799ED" w14:textId="531D9493" w:rsidR="002434FE" w:rsidRPr="008669FE" w:rsidRDefault="002434FE">
            <w:pPr>
              <w:rPr>
                <w:color w:val="000000"/>
                <w:sz w:val="22"/>
                <w:szCs w:val="22"/>
              </w:rPr>
            </w:pPr>
            <w:r w:rsidRPr="008669FE">
              <w:rPr>
                <w:color w:val="000000"/>
                <w:sz w:val="22"/>
                <w:szCs w:val="22"/>
              </w:rPr>
              <w:t>Maternal alcohol use in pregnancy</w:t>
            </w:r>
            <w:r w:rsidR="00BB280A" w:rsidRPr="008669FE">
              <w:rPr>
                <w:color w:val="000000"/>
                <w:sz w:val="22"/>
                <w:szCs w:val="22"/>
              </w:rPr>
              <w:t xml:space="preserve"> </w:t>
            </w:r>
          </w:p>
        </w:tc>
        <w:tc>
          <w:tcPr>
            <w:tcW w:w="3140" w:type="dxa"/>
            <w:tcBorders>
              <w:top w:val="nil"/>
              <w:left w:val="nil"/>
              <w:bottom w:val="nil"/>
              <w:right w:val="nil"/>
            </w:tcBorders>
            <w:shd w:val="clear" w:color="auto" w:fill="auto"/>
            <w:noWrap/>
            <w:vAlign w:val="bottom"/>
            <w:hideMark/>
          </w:tcPr>
          <w:p w14:paraId="4B08E586"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2F5A2A03" w14:textId="77777777" w:rsidR="002434FE" w:rsidRPr="008669FE" w:rsidRDefault="002434FE">
            <w:pPr>
              <w:jc w:val="right"/>
              <w:rPr>
                <w:color w:val="000000"/>
                <w:sz w:val="22"/>
                <w:szCs w:val="22"/>
              </w:rPr>
            </w:pPr>
            <w:r w:rsidRPr="008669FE">
              <w:rPr>
                <w:color w:val="000000"/>
                <w:sz w:val="22"/>
                <w:szCs w:val="22"/>
              </w:rPr>
              <w:t>1050</w:t>
            </w:r>
          </w:p>
        </w:tc>
        <w:tc>
          <w:tcPr>
            <w:tcW w:w="1300" w:type="dxa"/>
            <w:tcBorders>
              <w:top w:val="nil"/>
              <w:left w:val="nil"/>
              <w:bottom w:val="nil"/>
              <w:right w:val="nil"/>
            </w:tcBorders>
            <w:shd w:val="clear" w:color="auto" w:fill="auto"/>
            <w:noWrap/>
            <w:vAlign w:val="bottom"/>
            <w:hideMark/>
          </w:tcPr>
          <w:p w14:paraId="310A70E2" w14:textId="77777777" w:rsidR="002434FE" w:rsidRPr="008669FE" w:rsidRDefault="002434FE">
            <w:pPr>
              <w:jc w:val="right"/>
              <w:rPr>
                <w:color w:val="000000"/>
                <w:sz w:val="22"/>
                <w:szCs w:val="22"/>
              </w:rPr>
            </w:pPr>
            <w:r w:rsidRPr="008669FE">
              <w:rPr>
                <w:color w:val="000000"/>
                <w:sz w:val="22"/>
                <w:szCs w:val="22"/>
              </w:rPr>
              <w:t>49.81%</w:t>
            </w:r>
          </w:p>
        </w:tc>
      </w:tr>
      <w:tr w:rsidR="002434FE" w:rsidRPr="00BB280A" w14:paraId="28215F8D" w14:textId="77777777" w:rsidTr="008669FE">
        <w:trPr>
          <w:trHeight w:val="320"/>
        </w:trPr>
        <w:tc>
          <w:tcPr>
            <w:tcW w:w="3700" w:type="dxa"/>
            <w:tcBorders>
              <w:top w:val="nil"/>
              <w:left w:val="nil"/>
              <w:bottom w:val="nil"/>
              <w:right w:val="nil"/>
            </w:tcBorders>
            <w:shd w:val="clear" w:color="auto" w:fill="auto"/>
            <w:noWrap/>
            <w:vAlign w:val="bottom"/>
            <w:hideMark/>
          </w:tcPr>
          <w:p w14:paraId="2FEA9D9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AC54F0"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2C436609" w14:textId="77777777" w:rsidR="002434FE" w:rsidRPr="008669FE" w:rsidRDefault="002434FE">
            <w:pPr>
              <w:jc w:val="right"/>
              <w:rPr>
                <w:color w:val="000000"/>
                <w:sz w:val="22"/>
                <w:szCs w:val="22"/>
              </w:rPr>
            </w:pPr>
            <w:r w:rsidRPr="008669FE">
              <w:rPr>
                <w:color w:val="000000"/>
                <w:sz w:val="22"/>
                <w:szCs w:val="22"/>
              </w:rPr>
              <w:t>932</w:t>
            </w:r>
          </w:p>
        </w:tc>
        <w:tc>
          <w:tcPr>
            <w:tcW w:w="1300" w:type="dxa"/>
            <w:tcBorders>
              <w:top w:val="nil"/>
              <w:left w:val="nil"/>
              <w:bottom w:val="nil"/>
              <w:right w:val="nil"/>
            </w:tcBorders>
            <w:shd w:val="clear" w:color="auto" w:fill="auto"/>
            <w:noWrap/>
            <w:vAlign w:val="bottom"/>
            <w:hideMark/>
          </w:tcPr>
          <w:p w14:paraId="30AE41DC" w14:textId="77777777" w:rsidR="002434FE" w:rsidRPr="008669FE" w:rsidRDefault="002434FE">
            <w:pPr>
              <w:jc w:val="right"/>
              <w:rPr>
                <w:color w:val="000000"/>
                <w:sz w:val="22"/>
                <w:szCs w:val="22"/>
              </w:rPr>
            </w:pPr>
            <w:r w:rsidRPr="008669FE">
              <w:rPr>
                <w:color w:val="000000"/>
                <w:sz w:val="22"/>
                <w:szCs w:val="22"/>
              </w:rPr>
              <w:t>44.21%</w:t>
            </w:r>
          </w:p>
        </w:tc>
      </w:tr>
      <w:tr w:rsidR="002434FE" w:rsidRPr="00BB280A" w14:paraId="7419A586" w14:textId="77777777" w:rsidTr="008669FE">
        <w:trPr>
          <w:trHeight w:val="320"/>
        </w:trPr>
        <w:tc>
          <w:tcPr>
            <w:tcW w:w="3700" w:type="dxa"/>
            <w:tcBorders>
              <w:top w:val="nil"/>
              <w:left w:val="nil"/>
              <w:bottom w:val="nil"/>
              <w:right w:val="nil"/>
            </w:tcBorders>
            <w:shd w:val="clear" w:color="auto" w:fill="auto"/>
            <w:noWrap/>
            <w:vAlign w:val="bottom"/>
            <w:hideMark/>
          </w:tcPr>
          <w:p w14:paraId="235B7AC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81832E" w14:textId="68AA01F7"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0E922440" w14:textId="77777777" w:rsidR="002434FE" w:rsidRPr="008669FE" w:rsidRDefault="002434FE">
            <w:pPr>
              <w:jc w:val="right"/>
              <w:rPr>
                <w:color w:val="000000"/>
                <w:sz w:val="22"/>
                <w:szCs w:val="22"/>
              </w:rPr>
            </w:pPr>
            <w:r w:rsidRPr="008669FE">
              <w:rPr>
                <w:color w:val="000000"/>
                <w:sz w:val="22"/>
                <w:szCs w:val="22"/>
              </w:rPr>
              <w:t>126</w:t>
            </w:r>
          </w:p>
        </w:tc>
        <w:tc>
          <w:tcPr>
            <w:tcW w:w="1300" w:type="dxa"/>
            <w:tcBorders>
              <w:top w:val="nil"/>
              <w:left w:val="nil"/>
              <w:bottom w:val="nil"/>
              <w:right w:val="nil"/>
            </w:tcBorders>
            <w:shd w:val="clear" w:color="auto" w:fill="auto"/>
            <w:noWrap/>
            <w:vAlign w:val="bottom"/>
            <w:hideMark/>
          </w:tcPr>
          <w:p w14:paraId="178568FE" w14:textId="77777777" w:rsidR="002434FE" w:rsidRPr="008669FE" w:rsidRDefault="002434FE">
            <w:pPr>
              <w:jc w:val="right"/>
              <w:rPr>
                <w:color w:val="000000"/>
                <w:sz w:val="22"/>
                <w:szCs w:val="22"/>
              </w:rPr>
            </w:pPr>
            <w:r w:rsidRPr="008669FE">
              <w:rPr>
                <w:color w:val="000000"/>
                <w:sz w:val="22"/>
                <w:szCs w:val="22"/>
              </w:rPr>
              <w:t>5.98%</w:t>
            </w:r>
          </w:p>
        </w:tc>
      </w:tr>
      <w:tr w:rsidR="002434FE" w:rsidRPr="00BB280A" w14:paraId="2825DDFA" w14:textId="77777777" w:rsidTr="008669FE">
        <w:trPr>
          <w:trHeight w:val="320"/>
        </w:trPr>
        <w:tc>
          <w:tcPr>
            <w:tcW w:w="3700" w:type="dxa"/>
            <w:tcBorders>
              <w:top w:val="nil"/>
              <w:left w:val="nil"/>
              <w:bottom w:val="nil"/>
              <w:right w:val="nil"/>
            </w:tcBorders>
            <w:shd w:val="clear" w:color="auto" w:fill="auto"/>
            <w:noWrap/>
            <w:vAlign w:val="bottom"/>
            <w:hideMark/>
          </w:tcPr>
          <w:p w14:paraId="16EFE9F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CEE512A"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2DAC7BD8"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4D17E12A" w14:textId="77777777" w:rsidR="002434FE" w:rsidRPr="008669FE" w:rsidRDefault="002434FE">
            <w:pPr>
              <w:rPr>
                <w:sz w:val="22"/>
                <w:szCs w:val="22"/>
              </w:rPr>
            </w:pPr>
          </w:p>
        </w:tc>
      </w:tr>
      <w:tr w:rsidR="002434FE" w:rsidRPr="00BB280A" w14:paraId="1816B716" w14:textId="77777777" w:rsidTr="002434FE">
        <w:trPr>
          <w:trHeight w:val="320"/>
        </w:trPr>
        <w:tc>
          <w:tcPr>
            <w:tcW w:w="3700" w:type="dxa"/>
            <w:vMerge w:val="restart"/>
            <w:tcBorders>
              <w:top w:val="nil"/>
              <w:left w:val="nil"/>
              <w:bottom w:val="nil"/>
              <w:right w:val="nil"/>
            </w:tcBorders>
            <w:shd w:val="clear" w:color="auto" w:fill="auto"/>
            <w:vAlign w:val="bottom"/>
            <w:hideMark/>
          </w:tcPr>
          <w:p w14:paraId="4FC191DE" w14:textId="77777777" w:rsidR="002434FE" w:rsidRPr="008669FE" w:rsidRDefault="002434FE">
            <w:pPr>
              <w:rPr>
                <w:color w:val="000000"/>
                <w:sz w:val="22"/>
                <w:szCs w:val="22"/>
              </w:rPr>
            </w:pPr>
            <w:r w:rsidRPr="008669FE">
              <w:rPr>
                <w:color w:val="000000"/>
                <w:sz w:val="22"/>
                <w:szCs w:val="22"/>
              </w:rPr>
              <w:t>Cohort (interview wave when attention was assessed)</w:t>
            </w:r>
          </w:p>
        </w:tc>
        <w:tc>
          <w:tcPr>
            <w:tcW w:w="3140" w:type="dxa"/>
            <w:tcBorders>
              <w:top w:val="nil"/>
              <w:left w:val="nil"/>
              <w:bottom w:val="nil"/>
              <w:right w:val="nil"/>
            </w:tcBorders>
            <w:shd w:val="clear" w:color="auto" w:fill="auto"/>
            <w:noWrap/>
            <w:vAlign w:val="bottom"/>
            <w:hideMark/>
          </w:tcPr>
          <w:p w14:paraId="5005C784" w14:textId="77777777" w:rsidR="002434FE" w:rsidRPr="008669FE" w:rsidRDefault="002434FE">
            <w:pPr>
              <w:rPr>
                <w:color w:val="000000"/>
                <w:sz w:val="22"/>
                <w:szCs w:val="22"/>
              </w:rPr>
            </w:pPr>
            <w:r w:rsidRPr="008669FE">
              <w:rPr>
                <w:color w:val="000000"/>
                <w:sz w:val="22"/>
                <w:szCs w:val="22"/>
              </w:rPr>
              <w:t>1996</w:t>
            </w:r>
          </w:p>
        </w:tc>
        <w:tc>
          <w:tcPr>
            <w:tcW w:w="900" w:type="dxa"/>
            <w:tcBorders>
              <w:top w:val="nil"/>
              <w:left w:val="nil"/>
              <w:bottom w:val="nil"/>
              <w:right w:val="nil"/>
            </w:tcBorders>
            <w:shd w:val="clear" w:color="auto" w:fill="auto"/>
            <w:noWrap/>
            <w:vAlign w:val="bottom"/>
            <w:hideMark/>
          </w:tcPr>
          <w:p w14:paraId="08C3F2F1" w14:textId="77777777" w:rsidR="002434FE" w:rsidRPr="008669FE" w:rsidRDefault="002434FE">
            <w:pPr>
              <w:jc w:val="right"/>
              <w:rPr>
                <w:color w:val="000000"/>
                <w:sz w:val="22"/>
                <w:szCs w:val="22"/>
              </w:rPr>
            </w:pPr>
            <w:r w:rsidRPr="008669FE">
              <w:rPr>
                <w:color w:val="000000"/>
                <w:sz w:val="22"/>
                <w:szCs w:val="22"/>
              </w:rPr>
              <w:t>829</w:t>
            </w:r>
          </w:p>
        </w:tc>
        <w:tc>
          <w:tcPr>
            <w:tcW w:w="1300" w:type="dxa"/>
            <w:tcBorders>
              <w:top w:val="nil"/>
              <w:left w:val="nil"/>
              <w:bottom w:val="nil"/>
              <w:right w:val="nil"/>
            </w:tcBorders>
            <w:shd w:val="clear" w:color="auto" w:fill="auto"/>
            <w:noWrap/>
            <w:vAlign w:val="bottom"/>
            <w:hideMark/>
          </w:tcPr>
          <w:p w14:paraId="604BAED0" w14:textId="77777777" w:rsidR="002434FE" w:rsidRPr="008669FE" w:rsidRDefault="002434FE">
            <w:pPr>
              <w:jc w:val="right"/>
              <w:rPr>
                <w:color w:val="000000"/>
                <w:sz w:val="22"/>
                <w:szCs w:val="22"/>
              </w:rPr>
            </w:pPr>
            <w:r w:rsidRPr="008669FE">
              <w:rPr>
                <w:color w:val="000000"/>
                <w:sz w:val="22"/>
                <w:szCs w:val="22"/>
              </w:rPr>
              <w:t>39.33%</w:t>
            </w:r>
          </w:p>
        </w:tc>
      </w:tr>
      <w:tr w:rsidR="002434FE" w:rsidRPr="00BB280A" w14:paraId="7B9AA2C0" w14:textId="77777777" w:rsidTr="008669FE">
        <w:trPr>
          <w:trHeight w:val="320"/>
        </w:trPr>
        <w:tc>
          <w:tcPr>
            <w:tcW w:w="3700" w:type="dxa"/>
            <w:vMerge/>
            <w:tcBorders>
              <w:top w:val="nil"/>
              <w:left w:val="nil"/>
              <w:bottom w:val="nil"/>
              <w:right w:val="nil"/>
            </w:tcBorders>
            <w:vAlign w:val="center"/>
            <w:hideMark/>
          </w:tcPr>
          <w:p w14:paraId="50C22431"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42F349B0" w14:textId="77777777" w:rsidR="002434FE" w:rsidRPr="008669FE" w:rsidRDefault="002434FE">
            <w:pPr>
              <w:rPr>
                <w:color w:val="000000"/>
                <w:sz w:val="22"/>
                <w:szCs w:val="22"/>
              </w:rPr>
            </w:pPr>
            <w:r w:rsidRPr="008669FE">
              <w:rPr>
                <w:color w:val="000000"/>
                <w:sz w:val="22"/>
                <w:szCs w:val="22"/>
              </w:rPr>
              <w:t>1998</w:t>
            </w:r>
          </w:p>
        </w:tc>
        <w:tc>
          <w:tcPr>
            <w:tcW w:w="900" w:type="dxa"/>
            <w:tcBorders>
              <w:top w:val="nil"/>
              <w:left w:val="nil"/>
              <w:bottom w:val="nil"/>
              <w:right w:val="nil"/>
            </w:tcBorders>
            <w:shd w:val="clear" w:color="auto" w:fill="auto"/>
            <w:noWrap/>
            <w:vAlign w:val="bottom"/>
            <w:hideMark/>
          </w:tcPr>
          <w:p w14:paraId="0A5EAF45" w14:textId="77777777" w:rsidR="002434FE" w:rsidRPr="008669FE" w:rsidRDefault="002434FE">
            <w:pPr>
              <w:jc w:val="right"/>
              <w:rPr>
                <w:color w:val="000000"/>
                <w:sz w:val="22"/>
                <w:szCs w:val="22"/>
              </w:rPr>
            </w:pPr>
            <w:r w:rsidRPr="008669FE">
              <w:rPr>
                <w:color w:val="000000"/>
                <w:sz w:val="22"/>
                <w:szCs w:val="22"/>
              </w:rPr>
              <w:t>796</w:t>
            </w:r>
          </w:p>
        </w:tc>
        <w:tc>
          <w:tcPr>
            <w:tcW w:w="1300" w:type="dxa"/>
            <w:tcBorders>
              <w:top w:val="nil"/>
              <w:left w:val="nil"/>
              <w:bottom w:val="nil"/>
              <w:right w:val="nil"/>
            </w:tcBorders>
            <w:shd w:val="clear" w:color="auto" w:fill="auto"/>
            <w:noWrap/>
            <w:vAlign w:val="bottom"/>
            <w:hideMark/>
          </w:tcPr>
          <w:p w14:paraId="6D76A4BC" w14:textId="77777777" w:rsidR="002434FE" w:rsidRPr="008669FE" w:rsidRDefault="002434FE">
            <w:pPr>
              <w:jc w:val="right"/>
              <w:rPr>
                <w:color w:val="000000"/>
                <w:sz w:val="22"/>
                <w:szCs w:val="22"/>
              </w:rPr>
            </w:pPr>
            <w:r w:rsidRPr="008669FE">
              <w:rPr>
                <w:color w:val="000000"/>
                <w:sz w:val="22"/>
                <w:szCs w:val="22"/>
              </w:rPr>
              <w:t>37.76%</w:t>
            </w:r>
          </w:p>
        </w:tc>
      </w:tr>
      <w:tr w:rsidR="002434FE" w:rsidRPr="00BB280A" w14:paraId="003CD27C" w14:textId="77777777" w:rsidTr="008669FE">
        <w:trPr>
          <w:trHeight w:val="320"/>
        </w:trPr>
        <w:tc>
          <w:tcPr>
            <w:tcW w:w="3700" w:type="dxa"/>
            <w:tcBorders>
              <w:top w:val="nil"/>
              <w:left w:val="nil"/>
              <w:bottom w:val="nil"/>
              <w:right w:val="nil"/>
            </w:tcBorders>
            <w:shd w:val="clear" w:color="auto" w:fill="auto"/>
            <w:noWrap/>
            <w:vAlign w:val="bottom"/>
            <w:hideMark/>
          </w:tcPr>
          <w:p w14:paraId="766293A9"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EC7BA99" w14:textId="77777777" w:rsidR="002434FE" w:rsidRPr="008669FE" w:rsidRDefault="002434FE">
            <w:pPr>
              <w:rPr>
                <w:color w:val="000000"/>
                <w:sz w:val="22"/>
                <w:szCs w:val="22"/>
              </w:rPr>
            </w:pPr>
            <w:r w:rsidRPr="008669FE">
              <w:rPr>
                <w:color w:val="000000"/>
                <w:sz w:val="22"/>
                <w:szCs w:val="22"/>
              </w:rPr>
              <w:t>2000</w:t>
            </w:r>
          </w:p>
        </w:tc>
        <w:tc>
          <w:tcPr>
            <w:tcW w:w="900" w:type="dxa"/>
            <w:tcBorders>
              <w:top w:val="nil"/>
              <w:left w:val="nil"/>
              <w:bottom w:val="nil"/>
              <w:right w:val="nil"/>
            </w:tcBorders>
            <w:shd w:val="clear" w:color="auto" w:fill="auto"/>
            <w:noWrap/>
            <w:vAlign w:val="bottom"/>
            <w:hideMark/>
          </w:tcPr>
          <w:p w14:paraId="0F4E5155" w14:textId="77777777" w:rsidR="002434FE" w:rsidRPr="008669FE" w:rsidRDefault="002434FE">
            <w:pPr>
              <w:jc w:val="right"/>
              <w:rPr>
                <w:color w:val="000000"/>
                <w:sz w:val="22"/>
                <w:szCs w:val="22"/>
              </w:rPr>
            </w:pPr>
            <w:r w:rsidRPr="008669FE">
              <w:rPr>
                <w:color w:val="000000"/>
                <w:sz w:val="22"/>
                <w:szCs w:val="22"/>
              </w:rPr>
              <w:t>483</w:t>
            </w:r>
          </w:p>
        </w:tc>
        <w:tc>
          <w:tcPr>
            <w:tcW w:w="1300" w:type="dxa"/>
            <w:tcBorders>
              <w:top w:val="nil"/>
              <w:left w:val="nil"/>
              <w:bottom w:val="nil"/>
              <w:right w:val="nil"/>
            </w:tcBorders>
            <w:shd w:val="clear" w:color="auto" w:fill="auto"/>
            <w:noWrap/>
            <w:vAlign w:val="bottom"/>
            <w:hideMark/>
          </w:tcPr>
          <w:p w14:paraId="4A92E3E0" w14:textId="77777777" w:rsidR="002434FE" w:rsidRPr="008669FE" w:rsidRDefault="002434FE">
            <w:pPr>
              <w:jc w:val="right"/>
              <w:rPr>
                <w:color w:val="000000"/>
                <w:sz w:val="22"/>
                <w:szCs w:val="22"/>
              </w:rPr>
            </w:pPr>
            <w:r w:rsidRPr="008669FE">
              <w:rPr>
                <w:color w:val="000000"/>
                <w:sz w:val="22"/>
                <w:szCs w:val="22"/>
              </w:rPr>
              <w:t>22.91%</w:t>
            </w:r>
          </w:p>
        </w:tc>
      </w:tr>
      <w:tr w:rsidR="002434FE" w:rsidRPr="00BB280A" w14:paraId="55284E94" w14:textId="77777777" w:rsidTr="008669FE">
        <w:trPr>
          <w:trHeight w:val="320"/>
        </w:trPr>
        <w:tc>
          <w:tcPr>
            <w:tcW w:w="3700" w:type="dxa"/>
            <w:tcBorders>
              <w:top w:val="nil"/>
              <w:left w:val="nil"/>
              <w:bottom w:val="nil"/>
              <w:right w:val="nil"/>
            </w:tcBorders>
            <w:shd w:val="clear" w:color="auto" w:fill="auto"/>
            <w:noWrap/>
            <w:vAlign w:val="bottom"/>
            <w:hideMark/>
          </w:tcPr>
          <w:p w14:paraId="386384D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CEAE805"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AD3E27B"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DA45A47" w14:textId="77777777" w:rsidR="002434FE" w:rsidRPr="008669FE" w:rsidRDefault="002434FE">
            <w:pPr>
              <w:rPr>
                <w:sz w:val="22"/>
                <w:szCs w:val="22"/>
              </w:rPr>
            </w:pPr>
          </w:p>
        </w:tc>
      </w:tr>
      <w:tr w:rsidR="002434FE" w:rsidRPr="00BB280A" w14:paraId="05A3D637" w14:textId="77777777" w:rsidTr="008669FE">
        <w:trPr>
          <w:trHeight w:val="320"/>
        </w:trPr>
        <w:tc>
          <w:tcPr>
            <w:tcW w:w="3700" w:type="dxa"/>
            <w:tcBorders>
              <w:top w:val="nil"/>
              <w:left w:val="nil"/>
              <w:bottom w:val="nil"/>
              <w:right w:val="nil"/>
            </w:tcBorders>
            <w:shd w:val="clear" w:color="auto" w:fill="auto"/>
            <w:noWrap/>
            <w:vAlign w:val="bottom"/>
            <w:hideMark/>
          </w:tcPr>
          <w:p w14:paraId="065B561E" w14:textId="77777777" w:rsidR="002434FE" w:rsidRPr="008669FE" w:rsidRDefault="002434FE">
            <w:pPr>
              <w:rPr>
                <w:color w:val="000000"/>
                <w:sz w:val="22"/>
                <w:szCs w:val="22"/>
              </w:rPr>
            </w:pPr>
            <w:r w:rsidRPr="008669FE">
              <w:rPr>
                <w:color w:val="000000"/>
                <w:sz w:val="22"/>
                <w:szCs w:val="22"/>
              </w:rPr>
              <w:t>Father absent from household</w:t>
            </w:r>
          </w:p>
        </w:tc>
        <w:tc>
          <w:tcPr>
            <w:tcW w:w="3140" w:type="dxa"/>
            <w:tcBorders>
              <w:top w:val="nil"/>
              <w:left w:val="nil"/>
              <w:bottom w:val="nil"/>
              <w:right w:val="nil"/>
            </w:tcBorders>
            <w:shd w:val="clear" w:color="auto" w:fill="auto"/>
            <w:noWrap/>
            <w:vAlign w:val="bottom"/>
            <w:hideMark/>
          </w:tcPr>
          <w:p w14:paraId="790361E9"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11D01D83" w14:textId="77777777" w:rsidR="002434FE" w:rsidRPr="008669FE" w:rsidRDefault="002434FE">
            <w:pPr>
              <w:jc w:val="right"/>
              <w:rPr>
                <w:color w:val="000000"/>
                <w:sz w:val="22"/>
                <w:szCs w:val="22"/>
              </w:rPr>
            </w:pPr>
            <w:r w:rsidRPr="008669FE">
              <w:rPr>
                <w:color w:val="000000"/>
                <w:sz w:val="22"/>
                <w:szCs w:val="22"/>
              </w:rPr>
              <w:t>1681</w:t>
            </w:r>
          </w:p>
        </w:tc>
        <w:tc>
          <w:tcPr>
            <w:tcW w:w="1300" w:type="dxa"/>
            <w:tcBorders>
              <w:top w:val="nil"/>
              <w:left w:val="nil"/>
              <w:bottom w:val="nil"/>
              <w:right w:val="nil"/>
            </w:tcBorders>
            <w:shd w:val="clear" w:color="auto" w:fill="auto"/>
            <w:noWrap/>
            <w:vAlign w:val="bottom"/>
            <w:hideMark/>
          </w:tcPr>
          <w:p w14:paraId="7808D36C" w14:textId="77777777" w:rsidR="002434FE" w:rsidRPr="008669FE" w:rsidRDefault="002434FE">
            <w:pPr>
              <w:jc w:val="right"/>
              <w:rPr>
                <w:color w:val="000000"/>
                <w:sz w:val="22"/>
                <w:szCs w:val="22"/>
              </w:rPr>
            </w:pPr>
            <w:r w:rsidRPr="008669FE">
              <w:rPr>
                <w:color w:val="000000"/>
                <w:sz w:val="22"/>
                <w:szCs w:val="22"/>
              </w:rPr>
              <w:t>79.74%</w:t>
            </w:r>
          </w:p>
        </w:tc>
      </w:tr>
      <w:tr w:rsidR="002434FE" w:rsidRPr="00BB280A" w14:paraId="1AFDC5C2" w14:textId="77777777" w:rsidTr="008669FE">
        <w:trPr>
          <w:trHeight w:val="320"/>
        </w:trPr>
        <w:tc>
          <w:tcPr>
            <w:tcW w:w="3700" w:type="dxa"/>
            <w:tcBorders>
              <w:top w:val="nil"/>
              <w:left w:val="nil"/>
              <w:bottom w:val="nil"/>
              <w:right w:val="nil"/>
            </w:tcBorders>
            <w:shd w:val="clear" w:color="auto" w:fill="auto"/>
            <w:noWrap/>
            <w:vAlign w:val="bottom"/>
            <w:hideMark/>
          </w:tcPr>
          <w:p w14:paraId="795DB8B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B855D24"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652FB54" w14:textId="77777777" w:rsidR="002434FE" w:rsidRPr="008669FE" w:rsidRDefault="002434FE">
            <w:pPr>
              <w:jc w:val="right"/>
              <w:rPr>
                <w:color w:val="000000"/>
                <w:sz w:val="22"/>
                <w:szCs w:val="22"/>
              </w:rPr>
            </w:pPr>
            <w:r w:rsidRPr="008669FE">
              <w:rPr>
                <w:color w:val="000000"/>
                <w:sz w:val="22"/>
                <w:szCs w:val="22"/>
              </w:rPr>
              <w:t>399</w:t>
            </w:r>
          </w:p>
        </w:tc>
        <w:tc>
          <w:tcPr>
            <w:tcW w:w="1300" w:type="dxa"/>
            <w:tcBorders>
              <w:top w:val="nil"/>
              <w:left w:val="nil"/>
              <w:bottom w:val="nil"/>
              <w:right w:val="nil"/>
            </w:tcBorders>
            <w:shd w:val="clear" w:color="auto" w:fill="auto"/>
            <w:noWrap/>
            <w:vAlign w:val="bottom"/>
            <w:hideMark/>
          </w:tcPr>
          <w:p w14:paraId="1880A9C6" w14:textId="77777777" w:rsidR="002434FE" w:rsidRPr="008669FE" w:rsidRDefault="002434FE">
            <w:pPr>
              <w:jc w:val="right"/>
              <w:rPr>
                <w:color w:val="000000"/>
                <w:sz w:val="22"/>
                <w:szCs w:val="22"/>
              </w:rPr>
            </w:pPr>
            <w:r w:rsidRPr="008669FE">
              <w:rPr>
                <w:color w:val="000000"/>
                <w:sz w:val="22"/>
                <w:szCs w:val="22"/>
              </w:rPr>
              <w:t>18.93%</w:t>
            </w:r>
          </w:p>
        </w:tc>
      </w:tr>
      <w:tr w:rsidR="002434FE" w:rsidRPr="00BB280A" w14:paraId="3467DD9A" w14:textId="77777777" w:rsidTr="008669FE">
        <w:trPr>
          <w:trHeight w:val="320"/>
        </w:trPr>
        <w:tc>
          <w:tcPr>
            <w:tcW w:w="3700" w:type="dxa"/>
            <w:tcBorders>
              <w:top w:val="nil"/>
              <w:left w:val="nil"/>
              <w:bottom w:val="nil"/>
              <w:right w:val="nil"/>
            </w:tcBorders>
            <w:shd w:val="clear" w:color="auto" w:fill="auto"/>
            <w:noWrap/>
            <w:vAlign w:val="bottom"/>
            <w:hideMark/>
          </w:tcPr>
          <w:p w14:paraId="14985921"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39FFC90" w14:textId="317462BE"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1BA8F549" w14:textId="77777777" w:rsidR="002434FE" w:rsidRPr="008669FE" w:rsidRDefault="002434FE">
            <w:pPr>
              <w:jc w:val="right"/>
              <w:rPr>
                <w:color w:val="000000"/>
                <w:sz w:val="22"/>
                <w:szCs w:val="22"/>
              </w:rPr>
            </w:pPr>
            <w:r w:rsidRPr="008669FE">
              <w:rPr>
                <w:color w:val="000000"/>
                <w:sz w:val="22"/>
                <w:szCs w:val="22"/>
              </w:rPr>
              <w:t>28</w:t>
            </w:r>
          </w:p>
        </w:tc>
        <w:tc>
          <w:tcPr>
            <w:tcW w:w="1300" w:type="dxa"/>
            <w:tcBorders>
              <w:top w:val="nil"/>
              <w:left w:val="nil"/>
              <w:bottom w:val="nil"/>
              <w:right w:val="nil"/>
            </w:tcBorders>
            <w:shd w:val="clear" w:color="auto" w:fill="auto"/>
            <w:noWrap/>
            <w:vAlign w:val="bottom"/>
            <w:hideMark/>
          </w:tcPr>
          <w:p w14:paraId="3BD6A43F" w14:textId="77777777" w:rsidR="002434FE" w:rsidRPr="008669FE" w:rsidRDefault="002434FE">
            <w:pPr>
              <w:jc w:val="right"/>
              <w:rPr>
                <w:color w:val="000000"/>
                <w:sz w:val="22"/>
                <w:szCs w:val="22"/>
              </w:rPr>
            </w:pPr>
            <w:r w:rsidRPr="008669FE">
              <w:rPr>
                <w:color w:val="000000"/>
                <w:sz w:val="22"/>
                <w:szCs w:val="22"/>
              </w:rPr>
              <w:t>1.33%</w:t>
            </w:r>
          </w:p>
        </w:tc>
      </w:tr>
      <w:tr w:rsidR="002434FE" w:rsidRPr="00BB280A" w14:paraId="0783D39B" w14:textId="77777777" w:rsidTr="008669FE">
        <w:trPr>
          <w:trHeight w:val="320"/>
        </w:trPr>
        <w:tc>
          <w:tcPr>
            <w:tcW w:w="3700" w:type="dxa"/>
            <w:tcBorders>
              <w:top w:val="nil"/>
              <w:left w:val="nil"/>
              <w:bottom w:val="nil"/>
              <w:right w:val="nil"/>
            </w:tcBorders>
            <w:shd w:val="clear" w:color="auto" w:fill="auto"/>
            <w:noWrap/>
            <w:vAlign w:val="bottom"/>
            <w:hideMark/>
          </w:tcPr>
          <w:p w14:paraId="0FAD392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3778A8F"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1C0B323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74915C03" w14:textId="77777777" w:rsidR="002434FE" w:rsidRPr="008669FE" w:rsidRDefault="002434FE">
            <w:pPr>
              <w:rPr>
                <w:sz w:val="22"/>
                <w:szCs w:val="22"/>
              </w:rPr>
            </w:pPr>
          </w:p>
        </w:tc>
      </w:tr>
      <w:tr w:rsidR="002434FE" w:rsidRPr="00BB280A" w14:paraId="62B9B359" w14:textId="77777777" w:rsidTr="008669FE">
        <w:trPr>
          <w:trHeight w:val="320"/>
        </w:trPr>
        <w:tc>
          <w:tcPr>
            <w:tcW w:w="3700" w:type="dxa"/>
            <w:tcBorders>
              <w:top w:val="nil"/>
              <w:left w:val="nil"/>
              <w:bottom w:val="nil"/>
              <w:right w:val="nil"/>
            </w:tcBorders>
            <w:shd w:val="clear" w:color="auto" w:fill="auto"/>
            <w:noWrap/>
            <w:vAlign w:val="bottom"/>
            <w:hideMark/>
          </w:tcPr>
          <w:p w14:paraId="6759A62A" w14:textId="77777777" w:rsidR="002434FE" w:rsidRPr="008669FE" w:rsidRDefault="002434FE">
            <w:pPr>
              <w:rPr>
                <w:color w:val="000000"/>
                <w:sz w:val="22"/>
                <w:szCs w:val="22"/>
              </w:rPr>
            </w:pPr>
            <w:r w:rsidRPr="008669FE">
              <w:rPr>
                <w:color w:val="000000"/>
                <w:sz w:val="22"/>
                <w:szCs w:val="22"/>
              </w:rPr>
              <w:t>Child sex</w:t>
            </w:r>
          </w:p>
        </w:tc>
        <w:tc>
          <w:tcPr>
            <w:tcW w:w="3140" w:type="dxa"/>
            <w:tcBorders>
              <w:top w:val="nil"/>
              <w:left w:val="nil"/>
              <w:bottom w:val="nil"/>
              <w:right w:val="nil"/>
            </w:tcBorders>
            <w:shd w:val="clear" w:color="auto" w:fill="auto"/>
            <w:noWrap/>
            <w:vAlign w:val="bottom"/>
            <w:hideMark/>
          </w:tcPr>
          <w:p w14:paraId="754896AF" w14:textId="77777777" w:rsidR="002434FE" w:rsidRPr="008669FE" w:rsidRDefault="002434FE">
            <w:pPr>
              <w:rPr>
                <w:color w:val="000000"/>
                <w:sz w:val="22"/>
                <w:szCs w:val="22"/>
              </w:rPr>
            </w:pPr>
            <w:r w:rsidRPr="008669FE">
              <w:rPr>
                <w:color w:val="000000"/>
                <w:sz w:val="22"/>
                <w:szCs w:val="22"/>
              </w:rPr>
              <w:t>Female</w:t>
            </w:r>
          </w:p>
        </w:tc>
        <w:tc>
          <w:tcPr>
            <w:tcW w:w="900" w:type="dxa"/>
            <w:tcBorders>
              <w:top w:val="nil"/>
              <w:left w:val="nil"/>
              <w:bottom w:val="nil"/>
              <w:right w:val="nil"/>
            </w:tcBorders>
            <w:shd w:val="clear" w:color="auto" w:fill="auto"/>
            <w:noWrap/>
            <w:vAlign w:val="bottom"/>
            <w:hideMark/>
          </w:tcPr>
          <w:p w14:paraId="7CC9BA52" w14:textId="77777777" w:rsidR="002434FE" w:rsidRPr="008669FE" w:rsidRDefault="002434FE">
            <w:pPr>
              <w:jc w:val="right"/>
              <w:rPr>
                <w:color w:val="000000"/>
                <w:sz w:val="22"/>
                <w:szCs w:val="22"/>
              </w:rPr>
            </w:pPr>
            <w:r w:rsidRPr="008669FE">
              <w:rPr>
                <w:color w:val="000000"/>
                <w:sz w:val="22"/>
                <w:szCs w:val="22"/>
              </w:rPr>
              <w:t>1034</w:t>
            </w:r>
          </w:p>
        </w:tc>
        <w:tc>
          <w:tcPr>
            <w:tcW w:w="1300" w:type="dxa"/>
            <w:tcBorders>
              <w:top w:val="nil"/>
              <w:left w:val="nil"/>
              <w:bottom w:val="nil"/>
              <w:right w:val="nil"/>
            </w:tcBorders>
            <w:shd w:val="clear" w:color="auto" w:fill="auto"/>
            <w:noWrap/>
            <w:vAlign w:val="bottom"/>
            <w:hideMark/>
          </w:tcPr>
          <w:p w14:paraId="61FDDAA4" w14:textId="77777777" w:rsidR="002434FE" w:rsidRPr="008669FE" w:rsidRDefault="002434FE">
            <w:pPr>
              <w:jc w:val="right"/>
              <w:rPr>
                <w:color w:val="000000"/>
                <w:sz w:val="22"/>
                <w:szCs w:val="22"/>
              </w:rPr>
            </w:pPr>
            <w:r w:rsidRPr="008669FE">
              <w:rPr>
                <w:color w:val="000000"/>
                <w:sz w:val="22"/>
                <w:szCs w:val="22"/>
              </w:rPr>
              <w:t>49.05%</w:t>
            </w:r>
          </w:p>
        </w:tc>
      </w:tr>
      <w:tr w:rsidR="002434FE" w:rsidRPr="00BB280A" w14:paraId="5442AFAD" w14:textId="77777777" w:rsidTr="008669FE">
        <w:trPr>
          <w:trHeight w:val="320"/>
        </w:trPr>
        <w:tc>
          <w:tcPr>
            <w:tcW w:w="3700" w:type="dxa"/>
            <w:tcBorders>
              <w:top w:val="nil"/>
              <w:left w:val="nil"/>
              <w:bottom w:val="nil"/>
              <w:right w:val="nil"/>
            </w:tcBorders>
            <w:shd w:val="clear" w:color="auto" w:fill="auto"/>
            <w:noWrap/>
            <w:vAlign w:val="bottom"/>
            <w:hideMark/>
          </w:tcPr>
          <w:p w14:paraId="09223B25"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143BDCE" w14:textId="77777777" w:rsidR="002434FE" w:rsidRPr="008669FE" w:rsidRDefault="002434FE">
            <w:pPr>
              <w:rPr>
                <w:color w:val="000000"/>
                <w:sz w:val="22"/>
                <w:szCs w:val="22"/>
              </w:rPr>
            </w:pPr>
            <w:r w:rsidRPr="008669FE">
              <w:rPr>
                <w:color w:val="000000"/>
                <w:sz w:val="22"/>
                <w:szCs w:val="22"/>
              </w:rPr>
              <w:t>Male</w:t>
            </w:r>
          </w:p>
        </w:tc>
        <w:tc>
          <w:tcPr>
            <w:tcW w:w="900" w:type="dxa"/>
            <w:tcBorders>
              <w:top w:val="nil"/>
              <w:left w:val="nil"/>
              <w:bottom w:val="nil"/>
              <w:right w:val="nil"/>
            </w:tcBorders>
            <w:shd w:val="clear" w:color="auto" w:fill="auto"/>
            <w:noWrap/>
            <w:vAlign w:val="bottom"/>
            <w:hideMark/>
          </w:tcPr>
          <w:p w14:paraId="1ED546A1" w14:textId="77777777" w:rsidR="002434FE" w:rsidRPr="008669FE" w:rsidRDefault="002434FE">
            <w:pPr>
              <w:jc w:val="right"/>
              <w:rPr>
                <w:color w:val="000000"/>
                <w:sz w:val="22"/>
                <w:szCs w:val="22"/>
              </w:rPr>
            </w:pPr>
            <w:r w:rsidRPr="008669FE">
              <w:rPr>
                <w:color w:val="000000"/>
                <w:sz w:val="22"/>
                <w:szCs w:val="22"/>
              </w:rPr>
              <w:t>1074</w:t>
            </w:r>
          </w:p>
        </w:tc>
        <w:tc>
          <w:tcPr>
            <w:tcW w:w="1300" w:type="dxa"/>
            <w:tcBorders>
              <w:top w:val="nil"/>
              <w:left w:val="nil"/>
              <w:bottom w:val="nil"/>
              <w:right w:val="nil"/>
            </w:tcBorders>
            <w:shd w:val="clear" w:color="auto" w:fill="auto"/>
            <w:noWrap/>
            <w:vAlign w:val="bottom"/>
            <w:hideMark/>
          </w:tcPr>
          <w:p w14:paraId="77034A34" w14:textId="77777777" w:rsidR="002434FE" w:rsidRPr="008669FE" w:rsidRDefault="002434FE">
            <w:pPr>
              <w:jc w:val="right"/>
              <w:rPr>
                <w:color w:val="000000"/>
                <w:sz w:val="22"/>
                <w:szCs w:val="22"/>
              </w:rPr>
            </w:pPr>
            <w:r w:rsidRPr="008669FE">
              <w:rPr>
                <w:color w:val="000000"/>
                <w:sz w:val="22"/>
                <w:szCs w:val="22"/>
              </w:rPr>
              <w:t>50.95%</w:t>
            </w:r>
          </w:p>
        </w:tc>
      </w:tr>
      <w:tr w:rsidR="002434FE" w:rsidRPr="00BB280A" w14:paraId="599C442E" w14:textId="77777777" w:rsidTr="008669FE">
        <w:trPr>
          <w:trHeight w:val="320"/>
        </w:trPr>
        <w:tc>
          <w:tcPr>
            <w:tcW w:w="3700" w:type="dxa"/>
            <w:tcBorders>
              <w:top w:val="nil"/>
              <w:left w:val="nil"/>
              <w:bottom w:val="nil"/>
              <w:right w:val="nil"/>
            </w:tcBorders>
            <w:shd w:val="clear" w:color="auto" w:fill="auto"/>
            <w:noWrap/>
            <w:vAlign w:val="bottom"/>
            <w:hideMark/>
          </w:tcPr>
          <w:p w14:paraId="1D5A6EF8"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15FE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6696102"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53BB759F" w14:textId="77777777" w:rsidR="002434FE" w:rsidRPr="008669FE" w:rsidRDefault="002434FE">
            <w:pPr>
              <w:rPr>
                <w:sz w:val="22"/>
                <w:szCs w:val="22"/>
              </w:rPr>
            </w:pPr>
          </w:p>
        </w:tc>
      </w:tr>
      <w:tr w:rsidR="002434FE" w:rsidRPr="00BB280A" w14:paraId="3EE376B5" w14:textId="77777777" w:rsidTr="008669FE">
        <w:trPr>
          <w:trHeight w:val="320"/>
        </w:trPr>
        <w:tc>
          <w:tcPr>
            <w:tcW w:w="3700" w:type="dxa"/>
            <w:tcBorders>
              <w:top w:val="nil"/>
              <w:left w:val="nil"/>
              <w:bottom w:val="nil"/>
              <w:right w:val="nil"/>
            </w:tcBorders>
            <w:shd w:val="clear" w:color="auto" w:fill="auto"/>
            <w:noWrap/>
            <w:vAlign w:val="bottom"/>
            <w:hideMark/>
          </w:tcPr>
          <w:p w14:paraId="5AF0765F" w14:textId="77777777" w:rsidR="002434FE" w:rsidRPr="008669FE" w:rsidRDefault="002434FE">
            <w:pPr>
              <w:rPr>
                <w:color w:val="000000"/>
                <w:sz w:val="22"/>
                <w:szCs w:val="22"/>
              </w:rPr>
            </w:pPr>
            <w:r w:rsidRPr="008669FE">
              <w:rPr>
                <w:color w:val="000000"/>
                <w:sz w:val="22"/>
                <w:szCs w:val="22"/>
              </w:rPr>
              <w:t>Low birth weight (&lt; 2500g)</w:t>
            </w:r>
          </w:p>
        </w:tc>
        <w:tc>
          <w:tcPr>
            <w:tcW w:w="3140" w:type="dxa"/>
            <w:tcBorders>
              <w:top w:val="nil"/>
              <w:left w:val="nil"/>
              <w:bottom w:val="nil"/>
              <w:right w:val="nil"/>
            </w:tcBorders>
            <w:shd w:val="clear" w:color="auto" w:fill="auto"/>
            <w:noWrap/>
            <w:vAlign w:val="bottom"/>
            <w:hideMark/>
          </w:tcPr>
          <w:p w14:paraId="55F9F64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716AAF01" w14:textId="77777777" w:rsidR="002434FE" w:rsidRPr="008669FE" w:rsidRDefault="002434FE">
            <w:pPr>
              <w:jc w:val="right"/>
              <w:rPr>
                <w:color w:val="000000"/>
                <w:sz w:val="22"/>
                <w:szCs w:val="22"/>
              </w:rPr>
            </w:pPr>
            <w:r w:rsidRPr="008669FE">
              <w:rPr>
                <w:color w:val="000000"/>
                <w:sz w:val="22"/>
                <w:szCs w:val="22"/>
              </w:rPr>
              <w:t>1812</w:t>
            </w:r>
          </w:p>
        </w:tc>
        <w:tc>
          <w:tcPr>
            <w:tcW w:w="1300" w:type="dxa"/>
            <w:tcBorders>
              <w:top w:val="nil"/>
              <w:left w:val="nil"/>
              <w:bottom w:val="nil"/>
              <w:right w:val="nil"/>
            </w:tcBorders>
            <w:shd w:val="clear" w:color="auto" w:fill="auto"/>
            <w:noWrap/>
            <w:vAlign w:val="bottom"/>
            <w:hideMark/>
          </w:tcPr>
          <w:p w14:paraId="24C89AB2" w14:textId="77777777" w:rsidR="002434FE" w:rsidRPr="008669FE" w:rsidRDefault="002434FE">
            <w:pPr>
              <w:jc w:val="right"/>
              <w:rPr>
                <w:color w:val="000000"/>
                <w:sz w:val="22"/>
                <w:szCs w:val="22"/>
              </w:rPr>
            </w:pPr>
            <w:r w:rsidRPr="008669FE">
              <w:rPr>
                <w:color w:val="000000"/>
                <w:sz w:val="22"/>
                <w:szCs w:val="22"/>
              </w:rPr>
              <w:t>85.96%</w:t>
            </w:r>
          </w:p>
        </w:tc>
      </w:tr>
      <w:tr w:rsidR="002434FE" w:rsidRPr="00BB280A" w14:paraId="0188FAAE" w14:textId="77777777" w:rsidTr="008669FE">
        <w:trPr>
          <w:trHeight w:val="320"/>
        </w:trPr>
        <w:tc>
          <w:tcPr>
            <w:tcW w:w="3700" w:type="dxa"/>
            <w:tcBorders>
              <w:top w:val="nil"/>
              <w:left w:val="nil"/>
              <w:bottom w:val="nil"/>
              <w:right w:val="nil"/>
            </w:tcBorders>
            <w:shd w:val="clear" w:color="auto" w:fill="auto"/>
            <w:noWrap/>
            <w:vAlign w:val="bottom"/>
            <w:hideMark/>
          </w:tcPr>
          <w:p w14:paraId="374DC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D0A79C9"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55EED941" w14:textId="77777777" w:rsidR="002434FE" w:rsidRPr="008669FE" w:rsidRDefault="002434FE">
            <w:pPr>
              <w:jc w:val="right"/>
              <w:rPr>
                <w:color w:val="000000"/>
                <w:sz w:val="22"/>
                <w:szCs w:val="22"/>
              </w:rPr>
            </w:pPr>
            <w:r w:rsidRPr="008669FE">
              <w:rPr>
                <w:color w:val="000000"/>
                <w:sz w:val="22"/>
                <w:szCs w:val="22"/>
              </w:rPr>
              <w:t>138</w:t>
            </w:r>
          </w:p>
        </w:tc>
        <w:tc>
          <w:tcPr>
            <w:tcW w:w="1300" w:type="dxa"/>
            <w:tcBorders>
              <w:top w:val="nil"/>
              <w:left w:val="nil"/>
              <w:bottom w:val="nil"/>
              <w:right w:val="nil"/>
            </w:tcBorders>
            <w:shd w:val="clear" w:color="auto" w:fill="auto"/>
            <w:noWrap/>
            <w:vAlign w:val="bottom"/>
            <w:hideMark/>
          </w:tcPr>
          <w:p w14:paraId="47116629" w14:textId="77777777" w:rsidR="002434FE" w:rsidRPr="008669FE" w:rsidRDefault="002434FE">
            <w:pPr>
              <w:jc w:val="right"/>
              <w:rPr>
                <w:color w:val="000000"/>
                <w:sz w:val="22"/>
                <w:szCs w:val="22"/>
              </w:rPr>
            </w:pPr>
            <w:r w:rsidRPr="008669FE">
              <w:rPr>
                <w:color w:val="000000"/>
                <w:sz w:val="22"/>
                <w:szCs w:val="22"/>
              </w:rPr>
              <w:t>6.55%</w:t>
            </w:r>
          </w:p>
        </w:tc>
      </w:tr>
      <w:tr w:rsidR="002434FE" w:rsidRPr="00BB280A" w14:paraId="007585C4" w14:textId="77777777" w:rsidTr="008669FE">
        <w:trPr>
          <w:trHeight w:val="320"/>
        </w:trPr>
        <w:tc>
          <w:tcPr>
            <w:tcW w:w="3700" w:type="dxa"/>
            <w:tcBorders>
              <w:top w:val="nil"/>
              <w:left w:val="nil"/>
              <w:bottom w:val="nil"/>
              <w:right w:val="nil"/>
            </w:tcBorders>
            <w:shd w:val="clear" w:color="auto" w:fill="auto"/>
            <w:noWrap/>
            <w:vAlign w:val="bottom"/>
            <w:hideMark/>
          </w:tcPr>
          <w:p w14:paraId="7F059922"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4D0A8D6" w14:textId="5A16EE0B"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3E9E5F2" w14:textId="77777777" w:rsidR="002434FE" w:rsidRPr="008669FE" w:rsidRDefault="002434FE">
            <w:pPr>
              <w:jc w:val="right"/>
              <w:rPr>
                <w:color w:val="000000"/>
                <w:sz w:val="22"/>
                <w:szCs w:val="22"/>
              </w:rPr>
            </w:pPr>
            <w:r w:rsidRPr="008669FE">
              <w:rPr>
                <w:color w:val="000000"/>
                <w:sz w:val="22"/>
                <w:szCs w:val="22"/>
              </w:rPr>
              <w:t>158</w:t>
            </w:r>
          </w:p>
        </w:tc>
        <w:tc>
          <w:tcPr>
            <w:tcW w:w="1300" w:type="dxa"/>
            <w:tcBorders>
              <w:top w:val="nil"/>
              <w:left w:val="nil"/>
              <w:bottom w:val="nil"/>
              <w:right w:val="nil"/>
            </w:tcBorders>
            <w:shd w:val="clear" w:color="auto" w:fill="auto"/>
            <w:noWrap/>
            <w:vAlign w:val="bottom"/>
            <w:hideMark/>
          </w:tcPr>
          <w:p w14:paraId="5F274456" w14:textId="77777777" w:rsidR="002434FE" w:rsidRPr="008669FE" w:rsidRDefault="002434FE">
            <w:pPr>
              <w:jc w:val="right"/>
              <w:rPr>
                <w:color w:val="000000"/>
                <w:sz w:val="22"/>
                <w:szCs w:val="22"/>
              </w:rPr>
            </w:pPr>
            <w:r w:rsidRPr="008669FE">
              <w:rPr>
                <w:color w:val="000000"/>
                <w:sz w:val="22"/>
                <w:szCs w:val="22"/>
              </w:rPr>
              <w:t>7.50%</w:t>
            </w:r>
          </w:p>
        </w:tc>
      </w:tr>
      <w:tr w:rsidR="002434FE" w:rsidRPr="00BB280A" w14:paraId="30BC7CE5" w14:textId="77777777" w:rsidTr="008669FE">
        <w:trPr>
          <w:trHeight w:val="320"/>
        </w:trPr>
        <w:tc>
          <w:tcPr>
            <w:tcW w:w="3700" w:type="dxa"/>
            <w:tcBorders>
              <w:top w:val="nil"/>
              <w:left w:val="nil"/>
              <w:bottom w:val="nil"/>
              <w:right w:val="nil"/>
            </w:tcBorders>
            <w:shd w:val="clear" w:color="auto" w:fill="auto"/>
            <w:noWrap/>
            <w:vAlign w:val="bottom"/>
            <w:hideMark/>
          </w:tcPr>
          <w:p w14:paraId="3799609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21C0130"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57665C70"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CF511E7" w14:textId="77777777" w:rsidR="002434FE" w:rsidRPr="008669FE" w:rsidRDefault="002434FE">
            <w:pPr>
              <w:rPr>
                <w:sz w:val="22"/>
                <w:szCs w:val="22"/>
              </w:rPr>
            </w:pPr>
          </w:p>
        </w:tc>
      </w:tr>
      <w:tr w:rsidR="002434FE" w:rsidRPr="00BB280A" w14:paraId="2A663069" w14:textId="77777777" w:rsidTr="002434FE">
        <w:trPr>
          <w:trHeight w:val="320"/>
        </w:trPr>
        <w:tc>
          <w:tcPr>
            <w:tcW w:w="3700" w:type="dxa"/>
            <w:vMerge w:val="restart"/>
            <w:tcBorders>
              <w:top w:val="nil"/>
              <w:left w:val="nil"/>
              <w:bottom w:val="nil"/>
              <w:right w:val="nil"/>
            </w:tcBorders>
            <w:shd w:val="clear" w:color="auto" w:fill="auto"/>
            <w:hideMark/>
          </w:tcPr>
          <w:p w14:paraId="4A103CF3" w14:textId="77777777" w:rsidR="002434FE" w:rsidRPr="008669FE" w:rsidRDefault="002434FE">
            <w:pPr>
              <w:rPr>
                <w:color w:val="000000"/>
                <w:sz w:val="22"/>
                <w:szCs w:val="22"/>
              </w:rPr>
            </w:pPr>
            <w:r w:rsidRPr="008669FE">
              <w:rPr>
                <w:color w:val="000000"/>
                <w:sz w:val="22"/>
                <w:szCs w:val="22"/>
              </w:rPr>
              <w:t>Health condition that limits school or play</w:t>
            </w:r>
          </w:p>
        </w:tc>
        <w:tc>
          <w:tcPr>
            <w:tcW w:w="3140" w:type="dxa"/>
            <w:tcBorders>
              <w:top w:val="nil"/>
              <w:left w:val="nil"/>
              <w:bottom w:val="nil"/>
              <w:right w:val="nil"/>
            </w:tcBorders>
            <w:shd w:val="clear" w:color="auto" w:fill="auto"/>
            <w:noWrap/>
            <w:vAlign w:val="bottom"/>
            <w:hideMark/>
          </w:tcPr>
          <w:p w14:paraId="6BFF155C"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33E35785" w14:textId="77777777" w:rsidR="002434FE" w:rsidRPr="008669FE" w:rsidRDefault="002434FE">
            <w:pPr>
              <w:jc w:val="right"/>
              <w:rPr>
                <w:color w:val="000000"/>
                <w:sz w:val="22"/>
                <w:szCs w:val="22"/>
              </w:rPr>
            </w:pPr>
            <w:r w:rsidRPr="008669FE">
              <w:rPr>
                <w:color w:val="000000"/>
                <w:sz w:val="22"/>
                <w:szCs w:val="22"/>
              </w:rPr>
              <w:t>1917</w:t>
            </w:r>
          </w:p>
        </w:tc>
        <w:tc>
          <w:tcPr>
            <w:tcW w:w="1300" w:type="dxa"/>
            <w:tcBorders>
              <w:top w:val="nil"/>
              <w:left w:val="nil"/>
              <w:bottom w:val="nil"/>
              <w:right w:val="nil"/>
            </w:tcBorders>
            <w:shd w:val="clear" w:color="auto" w:fill="auto"/>
            <w:noWrap/>
            <w:vAlign w:val="bottom"/>
            <w:hideMark/>
          </w:tcPr>
          <w:p w14:paraId="33A14EC7" w14:textId="77777777" w:rsidR="002434FE" w:rsidRPr="008669FE" w:rsidRDefault="002434FE">
            <w:pPr>
              <w:jc w:val="right"/>
              <w:rPr>
                <w:color w:val="000000"/>
                <w:sz w:val="22"/>
                <w:szCs w:val="22"/>
              </w:rPr>
            </w:pPr>
            <w:r w:rsidRPr="008669FE">
              <w:rPr>
                <w:color w:val="000000"/>
                <w:sz w:val="22"/>
                <w:szCs w:val="22"/>
              </w:rPr>
              <w:t>90.94%</w:t>
            </w:r>
          </w:p>
        </w:tc>
      </w:tr>
      <w:tr w:rsidR="002434FE" w:rsidRPr="00BB280A" w14:paraId="3E01EA44" w14:textId="77777777" w:rsidTr="002434FE">
        <w:trPr>
          <w:trHeight w:val="320"/>
        </w:trPr>
        <w:tc>
          <w:tcPr>
            <w:tcW w:w="3700" w:type="dxa"/>
            <w:vMerge/>
            <w:tcBorders>
              <w:top w:val="nil"/>
              <w:left w:val="nil"/>
              <w:bottom w:val="nil"/>
              <w:right w:val="nil"/>
            </w:tcBorders>
            <w:vAlign w:val="center"/>
            <w:hideMark/>
          </w:tcPr>
          <w:p w14:paraId="1DC76D06"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06AE343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41685FC" w14:textId="77777777" w:rsidR="002434FE" w:rsidRPr="008669FE" w:rsidRDefault="002434FE">
            <w:pPr>
              <w:jc w:val="right"/>
              <w:rPr>
                <w:color w:val="000000"/>
                <w:sz w:val="22"/>
                <w:szCs w:val="22"/>
              </w:rPr>
            </w:pPr>
            <w:r w:rsidRPr="008669FE">
              <w:rPr>
                <w:color w:val="000000"/>
                <w:sz w:val="22"/>
                <w:szCs w:val="22"/>
              </w:rPr>
              <w:t>122</w:t>
            </w:r>
          </w:p>
        </w:tc>
        <w:tc>
          <w:tcPr>
            <w:tcW w:w="1300" w:type="dxa"/>
            <w:tcBorders>
              <w:top w:val="nil"/>
              <w:left w:val="nil"/>
              <w:bottom w:val="nil"/>
              <w:right w:val="nil"/>
            </w:tcBorders>
            <w:shd w:val="clear" w:color="auto" w:fill="auto"/>
            <w:noWrap/>
            <w:vAlign w:val="bottom"/>
            <w:hideMark/>
          </w:tcPr>
          <w:p w14:paraId="4F1F0A7C" w14:textId="77777777" w:rsidR="002434FE" w:rsidRPr="008669FE" w:rsidRDefault="002434FE">
            <w:pPr>
              <w:jc w:val="right"/>
              <w:rPr>
                <w:color w:val="000000"/>
                <w:sz w:val="22"/>
                <w:szCs w:val="22"/>
              </w:rPr>
            </w:pPr>
            <w:r w:rsidRPr="008669FE">
              <w:rPr>
                <w:color w:val="000000"/>
                <w:sz w:val="22"/>
                <w:szCs w:val="22"/>
              </w:rPr>
              <w:t>5.79%</w:t>
            </w:r>
          </w:p>
        </w:tc>
      </w:tr>
      <w:tr w:rsidR="002434FE" w:rsidRPr="00BB280A" w14:paraId="0A3F911E" w14:textId="77777777" w:rsidTr="002434FE">
        <w:trPr>
          <w:trHeight w:val="160"/>
        </w:trPr>
        <w:tc>
          <w:tcPr>
            <w:tcW w:w="3700" w:type="dxa"/>
            <w:tcBorders>
              <w:top w:val="nil"/>
              <w:left w:val="nil"/>
              <w:bottom w:val="nil"/>
              <w:right w:val="nil"/>
            </w:tcBorders>
            <w:shd w:val="clear" w:color="auto" w:fill="auto"/>
            <w:noWrap/>
            <w:vAlign w:val="bottom"/>
            <w:hideMark/>
          </w:tcPr>
          <w:p w14:paraId="1F1EEC9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67B793" w14:textId="5E97AB1A" w:rsidR="002434FE" w:rsidRPr="008669FE" w:rsidRDefault="00053464">
            <w:pPr>
              <w:rPr>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5FA3DE6" w14:textId="77777777" w:rsidR="002434FE" w:rsidRPr="008669FE" w:rsidRDefault="002434FE">
            <w:pPr>
              <w:jc w:val="right"/>
              <w:rPr>
                <w:color w:val="000000"/>
                <w:sz w:val="22"/>
                <w:szCs w:val="22"/>
              </w:rPr>
            </w:pPr>
            <w:r w:rsidRPr="008669FE">
              <w:rPr>
                <w:color w:val="000000"/>
                <w:sz w:val="22"/>
                <w:szCs w:val="22"/>
              </w:rPr>
              <w:t>69</w:t>
            </w:r>
          </w:p>
        </w:tc>
        <w:tc>
          <w:tcPr>
            <w:tcW w:w="1300" w:type="dxa"/>
            <w:tcBorders>
              <w:top w:val="nil"/>
              <w:left w:val="nil"/>
              <w:bottom w:val="nil"/>
              <w:right w:val="nil"/>
            </w:tcBorders>
            <w:shd w:val="clear" w:color="auto" w:fill="auto"/>
            <w:noWrap/>
            <w:vAlign w:val="bottom"/>
            <w:hideMark/>
          </w:tcPr>
          <w:p w14:paraId="0C255C94" w14:textId="77777777" w:rsidR="002434FE" w:rsidRPr="008669FE" w:rsidRDefault="002434FE">
            <w:pPr>
              <w:jc w:val="right"/>
              <w:rPr>
                <w:color w:val="000000"/>
                <w:sz w:val="22"/>
                <w:szCs w:val="22"/>
              </w:rPr>
            </w:pPr>
            <w:r w:rsidRPr="008669FE">
              <w:rPr>
                <w:color w:val="000000"/>
                <w:sz w:val="22"/>
                <w:szCs w:val="22"/>
              </w:rPr>
              <w:t>3.27%</w:t>
            </w:r>
          </w:p>
        </w:tc>
      </w:tr>
      <w:tr w:rsidR="002434FE" w:rsidRPr="00BB280A" w14:paraId="53D67CAC" w14:textId="77777777" w:rsidTr="008669FE">
        <w:trPr>
          <w:trHeight w:val="160"/>
        </w:trPr>
        <w:tc>
          <w:tcPr>
            <w:tcW w:w="3700" w:type="dxa"/>
            <w:tcBorders>
              <w:top w:val="nil"/>
              <w:left w:val="nil"/>
              <w:bottom w:val="nil"/>
              <w:right w:val="nil"/>
            </w:tcBorders>
            <w:shd w:val="clear" w:color="auto" w:fill="auto"/>
            <w:noWrap/>
            <w:vAlign w:val="bottom"/>
            <w:hideMark/>
          </w:tcPr>
          <w:p w14:paraId="65A87DDC"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BF141E2"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179303A"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13BF297" w14:textId="77777777" w:rsidR="002434FE" w:rsidRPr="008669FE" w:rsidRDefault="002434FE">
            <w:pPr>
              <w:rPr>
                <w:sz w:val="22"/>
                <w:szCs w:val="22"/>
              </w:rPr>
            </w:pPr>
          </w:p>
        </w:tc>
      </w:tr>
      <w:tr w:rsidR="002434FE" w:rsidRPr="00BB280A" w14:paraId="0F9987EF" w14:textId="77777777" w:rsidTr="008669FE">
        <w:trPr>
          <w:trHeight w:val="320"/>
        </w:trPr>
        <w:tc>
          <w:tcPr>
            <w:tcW w:w="3700" w:type="dxa"/>
            <w:tcBorders>
              <w:top w:val="nil"/>
              <w:left w:val="nil"/>
              <w:bottom w:val="nil"/>
              <w:right w:val="nil"/>
            </w:tcBorders>
            <w:shd w:val="clear" w:color="auto" w:fill="auto"/>
            <w:noWrap/>
            <w:vAlign w:val="bottom"/>
            <w:hideMark/>
          </w:tcPr>
          <w:p w14:paraId="6679A8F3" w14:textId="77777777" w:rsidR="002434FE" w:rsidRPr="008669FE" w:rsidRDefault="002434FE">
            <w:pPr>
              <w:rPr>
                <w:color w:val="000000"/>
                <w:sz w:val="22"/>
                <w:szCs w:val="22"/>
              </w:rPr>
            </w:pPr>
            <w:r w:rsidRPr="008669FE">
              <w:rPr>
                <w:color w:val="000000"/>
                <w:sz w:val="22"/>
                <w:szCs w:val="22"/>
              </w:rPr>
              <w:t>Premature birth</w:t>
            </w:r>
          </w:p>
        </w:tc>
        <w:tc>
          <w:tcPr>
            <w:tcW w:w="3140" w:type="dxa"/>
            <w:tcBorders>
              <w:top w:val="nil"/>
              <w:left w:val="nil"/>
              <w:bottom w:val="nil"/>
              <w:right w:val="nil"/>
            </w:tcBorders>
            <w:shd w:val="clear" w:color="auto" w:fill="auto"/>
            <w:noWrap/>
            <w:vAlign w:val="bottom"/>
            <w:hideMark/>
          </w:tcPr>
          <w:p w14:paraId="645363A4"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E2283F6" w14:textId="77777777" w:rsidR="002434FE" w:rsidRPr="008669FE" w:rsidRDefault="002434FE">
            <w:pPr>
              <w:jc w:val="right"/>
              <w:rPr>
                <w:color w:val="000000"/>
                <w:sz w:val="22"/>
                <w:szCs w:val="22"/>
              </w:rPr>
            </w:pPr>
            <w:r w:rsidRPr="008669FE">
              <w:rPr>
                <w:color w:val="000000"/>
                <w:sz w:val="22"/>
                <w:szCs w:val="22"/>
              </w:rPr>
              <w:t>1744</w:t>
            </w:r>
          </w:p>
        </w:tc>
        <w:tc>
          <w:tcPr>
            <w:tcW w:w="1300" w:type="dxa"/>
            <w:tcBorders>
              <w:top w:val="nil"/>
              <w:left w:val="nil"/>
              <w:bottom w:val="nil"/>
              <w:right w:val="nil"/>
            </w:tcBorders>
            <w:shd w:val="clear" w:color="auto" w:fill="auto"/>
            <w:noWrap/>
            <w:vAlign w:val="bottom"/>
            <w:hideMark/>
          </w:tcPr>
          <w:p w14:paraId="3D2D5819" w14:textId="77777777" w:rsidR="002434FE" w:rsidRPr="008669FE" w:rsidRDefault="002434FE">
            <w:pPr>
              <w:jc w:val="right"/>
              <w:rPr>
                <w:color w:val="000000"/>
                <w:sz w:val="22"/>
                <w:szCs w:val="22"/>
              </w:rPr>
            </w:pPr>
            <w:r w:rsidRPr="008669FE">
              <w:rPr>
                <w:color w:val="000000"/>
                <w:sz w:val="22"/>
                <w:szCs w:val="22"/>
              </w:rPr>
              <w:t>82.73%</w:t>
            </w:r>
          </w:p>
        </w:tc>
      </w:tr>
      <w:tr w:rsidR="002434FE" w:rsidRPr="00BB280A" w14:paraId="116D1E39" w14:textId="77777777" w:rsidTr="008669FE">
        <w:trPr>
          <w:trHeight w:val="320"/>
        </w:trPr>
        <w:tc>
          <w:tcPr>
            <w:tcW w:w="3700" w:type="dxa"/>
            <w:tcBorders>
              <w:top w:val="nil"/>
              <w:left w:val="nil"/>
              <w:bottom w:val="nil"/>
              <w:right w:val="nil"/>
            </w:tcBorders>
            <w:shd w:val="clear" w:color="auto" w:fill="auto"/>
            <w:noWrap/>
            <w:vAlign w:val="bottom"/>
            <w:hideMark/>
          </w:tcPr>
          <w:p w14:paraId="10008EEE"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077EF4C"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1423D7E1" w14:textId="77777777" w:rsidR="002434FE" w:rsidRPr="008669FE" w:rsidRDefault="002434FE">
            <w:pPr>
              <w:jc w:val="right"/>
              <w:rPr>
                <w:color w:val="000000"/>
                <w:sz w:val="22"/>
                <w:szCs w:val="22"/>
              </w:rPr>
            </w:pPr>
            <w:r w:rsidRPr="008669FE">
              <w:rPr>
                <w:color w:val="000000"/>
                <w:sz w:val="22"/>
                <w:szCs w:val="22"/>
              </w:rPr>
              <w:t>216</w:t>
            </w:r>
          </w:p>
        </w:tc>
        <w:tc>
          <w:tcPr>
            <w:tcW w:w="1300" w:type="dxa"/>
            <w:tcBorders>
              <w:top w:val="nil"/>
              <w:left w:val="nil"/>
              <w:bottom w:val="nil"/>
              <w:right w:val="nil"/>
            </w:tcBorders>
            <w:shd w:val="clear" w:color="auto" w:fill="auto"/>
            <w:noWrap/>
            <w:vAlign w:val="bottom"/>
            <w:hideMark/>
          </w:tcPr>
          <w:p w14:paraId="3E1D9F18" w14:textId="77777777" w:rsidR="002434FE" w:rsidRPr="008669FE" w:rsidRDefault="002434FE">
            <w:pPr>
              <w:jc w:val="right"/>
              <w:rPr>
                <w:color w:val="000000"/>
                <w:sz w:val="22"/>
                <w:szCs w:val="22"/>
              </w:rPr>
            </w:pPr>
            <w:r w:rsidRPr="008669FE">
              <w:rPr>
                <w:color w:val="000000"/>
                <w:sz w:val="22"/>
                <w:szCs w:val="22"/>
              </w:rPr>
              <w:t>10.25%</w:t>
            </w:r>
          </w:p>
        </w:tc>
      </w:tr>
      <w:tr w:rsidR="002434FE" w:rsidRPr="00BB280A" w14:paraId="4D3EB95A" w14:textId="77777777" w:rsidTr="008669FE">
        <w:trPr>
          <w:trHeight w:val="320"/>
        </w:trPr>
        <w:tc>
          <w:tcPr>
            <w:tcW w:w="3700" w:type="dxa"/>
            <w:tcBorders>
              <w:top w:val="nil"/>
              <w:left w:val="nil"/>
              <w:bottom w:val="nil"/>
              <w:right w:val="nil"/>
            </w:tcBorders>
            <w:shd w:val="clear" w:color="auto" w:fill="auto"/>
            <w:noWrap/>
            <w:vAlign w:val="bottom"/>
            <w:hideMark/>
          </w:tcPr>
          <w:p w14:paraId="222D18DF"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371FE446" w14:textId="73F72B34"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5D853349" w14:textId="77777777" w:rsidR="002434FE" w:rsidRPr="008669FE" w:rsidRDefault="002434FE">
            <w:pPr>
              <w:jc w:val="right"/>
              <w:rPr>
                <w:color w:val="000000"/>
                <w:sz w:val="22"/>
                <w:szCs w:val="22"/>
              </w:rPr>
            </w:pPr>
            <w:r w:rsidRPr="008669FE">
              <w:rPr>
                <w:color w:val="000000"/>
                <w:sz w:val="22"/>
                <w:szCs w:val="22"/>
              </w:rPr>
              <w:t>148</w:t>
            </w:r>
          </w:p>
        </w:tc>
        <w:tc>
          <w:tcPr>
            <w:tcW w:w="1300" w:type="dxa"/>
            <w:tcBorders>
              <w:top w:val="nil"/>
              <w:left w:val="nil"/>
              <w:bottom w:val="nil"/>
              <w:right w:val="nil"/>
            </w:tcBorders>
            <w:shd w:val="clear" w:color="auto" w:fill="auto"/>
            <w:noWrap/>
            <w:vAlign w:val="bottom"/>
            <w:hideMark/>
          </w:tcPr>
          <w:p w14:paraId="5A0D59E6" w14:textId="77777777" w:rsidR="002434FE" w:rsidRPr="008669FE" w:rsidRDefault="002434FE">
            <w:pPr>
              <w:jc w:val="right"/>
              <w:rPr>
                <w:color w:val="000000"/>
                <w:sz w:val="22"/>
                <w:szCs w:val="22"/>
              </w:rPr>
            </w:pPr>
            <w:r w:rsidRPr="008669FE">
              <w:rPr>
                <w:color w:val="000000"/>
                <w:sz w:val="22"/>
                <w:szCs w:val="22"/>
              </w:rPr>
              <w:t>7.02%</w:t>
            </w:r>
          </w:p>
        </w:tc>
      </w:tr>
      <w:tr w:rsidR="002434FE" w:rsidRPr="00BB280A" w14:paraId="09D11FC6" w14:textId="77777777" w:rsidTr="008669FE">
        <w:trPr>
          <w:trHeight w:val="320"/>
        </w:trPr>
        <w:tc>
          <w:tcPr>
            <w:tcW w:w="3700" w:type="dxa"/>
            <w:tcBorders>
              <w:top w:val="nil"/>
              <w:left w:val="nil"/>
              <w:bottom w:val="nil"/>
              <w:right w:val="nil"/>
            </w:tcBorders>
            <w:shd w:val="clear" w:color="auto" w:fill="auto"/>
            <w:noWrap/>
            <w:vAlign w:val="bottom"/>
            <w:hideMark/>
          </w:tcPr>
          <w:p w14:paraId="7A5981A4"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6CF6983"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6E0FA705"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69876240" w14:textId="77777777" w:rsidR="002434FE" w:rsidRPr="008669FE" w:rsidRDefault="002434FE">
            <w:pPr>
              <w:rPr>
                <w:sz w:val="22"/>
                <w:szCs w:val="22"/>
              </w:rPr>
            </w:pPr>
          </w:p>
        </w:tc>
      </w:tr>
      <w:tr w:rsidR="002434FE" w:rsidRPr="00BB280A" w14:paraId="66EA3F79" w14:textId="77777777" w:rsidTr="008669FE">
        <w:trPr>
          <w:trHeight w:val="320"/>
        </w:trPr>
        <w:tc>
          <w:tcPr>
            <w:tcW w:w="3700" w:type="dxa"/>
            <w:tcBorders>
              <w:top w:val="nil"/>
              <w:left w:val="nil"/>
              <w:bottom w:val="nil"/>
              <w:right w:val="nil"/>
            </w:tcBorders>
            <w:shd w:val="clear" w:color="auto" w:fill="auto"/>
            <w:noWrap/>
            <w:vAlign w:val="bottom"/>
            <w:hideMark/>
          </w:tcPr>
          <w:p w14:paraId="36BC9F56" w14:textId="77777777" w:rsidR="002434FE" w:rsidRPr="008669FE" w:rsidRDefault="002434FE">
            <w:pPr>
              <w:rPr>
                <w:color w:val="000000"/>
                <w:sz w:val="22"/>
                <w:szCs w:val="22"/>
              </w:rPr>
            </w:pPr>
            <w:r w:rsidRPr="008669FE">
              <w:rPr>
                <w:color w:val="000000"/>
                <w:sz w:val="22"/>
                <w:szCs w:val="22"/>
              </w:rPr>
              <w:t>Child race</w:t>
            </w:r>
          </w:p>
        </w:tc>
        <w:tc>
          <w:tcPr>
            <w:tcW w:w="3140" w:type="dxa"/>
            <w:tcBorders>
              <w:top w:val="nil"/>
              <w:left w:val="nil"/>
              <w:bottom w:val="nil"/>
              <w:right w:val="nil"/>
            </w:tcBorders>
            <w:shd w:val="clear" w:color="auto" w:fill="auto"/>
            <w:noWrap/>
            <w:vAlign w:val="bottom"/>
            <w:hideMark/>
          </w:tcPr>
          <w:p w14:paraId="7D3966C1" w14:textId="77777777" w:rsidR="002434FE" w:rsidRPr="008669FE" w:rsidRDefault="002434FE">
            <w:pPr>
              <w:rPr>
                <w:color w:val="000000"/>
                <w:sz w:val="22"/>
                <w:szCs w:val="22"/>
              </w:rPr>
            </w:pPr>
            <w:r w:rsidRPr="008669FE">
              <w:rPr>
                <w:color w:val="000000"/>
                <w:sz w:val="22"/>
                <w:szCs w:val="22"/>
              </w:rPr>
              <w:t>Black</w:t>
            </w:r>
          </w:p>
        </w:tc>
        <w:tc>
          <w:tcPr>
            <w:tcW w:w="900" w:type="dxa"/>
            <w:tcBorders>
              <w:top w:val="nil"/>
              <w:left w:val="nil"/>
              <w:bottom w:val="nil"/>
              <w:right w:val="nil"/>
            </w:tcBorders>
            <w:shd w:val="clear" w:color="auto" w:fill="auto"/>
            <w:noWrap/>
            <w:vAlign w:val="bottom"/>
            <w:hideMark/>
          </w:tcPr>
          <w:p w14:paraId="1E27E304" w14:textId="77777777" w:rsidR="002434FE" w:rsidRPr="008669FE" w:rsidRDefault="002434FE">
            <w:pPr>
              <w:jc w:val="right"/>
              <w:rPr>
                <w:color w:val="000000"/>
                <w:sz w:val="22"/>
                <w:szCs w:val="22"/>
              </w:rPr>
            </w:pPr>
            <w:r w:rsidRPr="008669FE">
              <w:rPr>
                <w:color w:val="000000"/>
                <w:sz w:val="22"/>
                <w:szCs w:val="22"/>
              </w:rPr>
              <w:t>572</w:t>
            </w:r>
          </w:p>
        </w:tc>
        <w:tc>
          <w:tcPr>
            <w:tcW w:w="1300" w:type="dxa"/>
            <w:tcBorders>
              <w:top w:val="nil"/>
              <w:left w:val="nil"/>
              <w:bottom w:val="nil"/>
              <w:right w:val="nil"/>
            </w:tcBorders>
            <w:shd w:val="clear" w:color="auto" w:fill="auto"/>
            <w:noWrap/>
            <w:vAlign w:val="bottom"/>
            <w:hideMark/>
          </w:tcPr>
          <w:p w14:paraId="7B3CCF51" w14:textId="77777777" w:rsidR="002434FE" w:rsidRPr="008669FE" w:rsidRDefault="002434FE">
            <w:pPr>
              <w:jc w:val="right"/>
              <w:rPr>
                <w:color w:val="000000"/>
                <w:sz w:val="22"/>
                <w:szCs w:val="22"/>
              </w:rPr>
            </w:pPr>
            <w:r w:rsidRPr="008669FE">
              <w:rPr>
                <w:color w:val="000000"/>
                <w:sz w:val="22"/>
                <w:szCs w:val="22"/>
              </w:rPr>
              <w:t>27.13%</w:t>
            </w:r>
          </w:p>
        </w:tc>
      </w:tr>
      <w:tr w:rsidR="002434FE" w:rsidRPr="00BB280A" w14:paraId="282D50B4" w14:textId="77777777" w:rsidTr="008669FE">
        <w:trPr>
          <w:trHeight w:val="320"/>
        </w:trPr>
        <w:tc>
          <w:tcPr>
            <w:tcW w:w="3700" w:type="dxa"/>
            <w:tcBorders>
              <w:top w:val="nil"/>
              <w:left w:val="nil"/>
              <w:bottom w:val="nil"/>
              <w:right w:val="nil"/>
            </w:tcBorders>
            <w:shd w:val="clear" w:color="auto" w:fill="auto"/>
            <w:noWrap/>
            <w:vAlign w:val="bottom"/>
            <w:hideMark/>
          </w:tcPr>
          <w:p w14:paraId="4391F846"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1EE5DCF" w14:textId="77777777" w:rsidR="002434FE" w:rsidRPr="008669FE" w:rsidRDefault="002434FE">
            <w:pPr>
              <w:rPr>
                <w:color w:val="000000"/>
                <w:sz w:val="22"/>
                <w:szCs w:val="22"/>
              </w:rPr>
            </w:pPr>
            <w:r w:rsidRPr="008669FE">
              <w:rPr>
                <w:color w:val="000000"/>
                <w:sz w:val="22"/>
                <w:szCs w:val="22"/>
              </w:rPr>
              <w:t>Hispanic</w:t>
            </w:r>
          </w:p>
        </w:tc>
        <w:tc>
          <w:tcPr>
            <w:tcW w:w="900" w:type="dxa"/>
            <w:tcBorders>
              <w:top w:val="nil"/>
              <w:left w:val="nil"/>
              <w:bottom w:val="nil"/>
              <w:right w:val="nil"/>
            </w:tcBorders>
            <w:shd w:val="clear" w:color="auto" w:fill="auto"/>
            <w:noWrap/>
            <w:vAlign w:val="bottom"/>
            <w:hideMark/>
          </w:tcPr>
          <w:p w14:paraId="4091B9DF" w14:textId="77777777" w:rsidR="002434FE" w:rsidRPr="008669FE" w:rsidRDefault="002434FE">
            <w:pPr>
              <w:jc w:val="right"/>
              <w:rPr>
                <w:color w:val="000000"/>
                <w:sz w:val="22"/>
                <w:szCs w:val="22"/>
              </w:rPr>
            </w:pPr>
            <w:r w:rsidRPr="008669FE">
              <w:rPr>
                <w:color w:val="000000"/>
                <w:sz w:val="22"/>
                <w:szCs w:val="22"/>
              </w:rPr>
              <w:t>397</w:t>
            </w:r>
          </w:p>
        </w:tc>
        <w:tc>
          <w:tcPr>
            <w:tcW w:w="1300" w:type="dxa"/>
            <w:tcBorders>
              <w:top w:val="nil"/>
              <w:left w:val="nil"/>
              <w:bottom w:val="nil"/>
              <w:right w:val="nil"/>
            </w:tcBorders>
            <w:shd w:val="clear" w:color="auto" w:fill="auto"/>
            <w:noWrap/>
            <w:vAlign w:val="bottom"/>
            <w:hideMark/>
          </w:tcPr>
          <w:p w14:paraId="31947A87" w14:textId="77777777" w:rsidR="002434FE" w:rsidRPr="008669FE" w:rsidRDefault="002434FE">
            <w:pPr>
              <w:jc w:val="right"/>
              <w:rPr>
                <w:color w:val="000000"/>
                <w:sz w:val="22"/>
                <w:szCs w:val="22"/>
              </w:rPr>
            </w:pPr>
            <w:r w:rsidRPr="008669FE">
              <w:rPr>
                <w:color w:val="000000"/>
                <w:sz w:val="22"/>
                <w:szCs w:val="22"/>
              </w:rPr>
              <w:t>18.83%</w:t>
            </w:r>
          </w:p>
        </w:tc>
      </w:tr>
      <w:tr w:rsidR="002434FE" w:rsidRPr="00BB280A" w14:paraId="6E9739D0" w14:textId="77777777" w:rsidTr="008669FE">
        <w:trPr>
          <w:trHeight w:val="320"/>
        </w:trPr>
        <w:tc>
          <w:tcPr>
            <w:tcW w:w="3700" w:type="dxa"/>
            <w:tcBorders>
              <w:top w:val="nil"/>
              <w:left w:val="nil"/>
              <w:bottom w:val="nil"/>
              <w:right w:val="nil"/>
            </w:tcBorders>
            <w:shd w:val="clear" w:color="auto" w:fill="auto"/>
            <w:noWrap/>
            <w:vAlign w:val="bottom"/>
            <w:hideMark/>
          </w:tcPr>
          <w:p w14:paraId="6D7DE40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1A2BEB0" w14:textId="77777777" w:rsidR="002434FE" w:rsidRPr="008669FE" w:rsidRDefault="002434FE">
            <w:pPr>
              <w:rPr>
                <w:color w:val="000000"/>
                <w:sz w:val="22"/>
                <w:szCs w:val="22"/>
              </w:rPr>
            </w:pPr>
            <w:r w:rsidRPr="008669FE">
              <w:rPr>
                <w:color w:val="000000"/>
                <w:sz w:val="22"/>
                <w:szCs w:val="22"/>
              </w:rPr>
              <w:t>White</w:t>
            </w:r>
          </w:p>
        </w:tc>
        <w:tc>
          <w:tcPr>
            <w:tcW w:w="900" w:type="dxa"/>
            <w:tcBorders>
              <w:top w:val="nil"/>
              <w:left w:val="nil"/>
              <w:bottom w:val="nil"/>
              <w:right w:val="nil"/>
            </w:tcBorders>
            <w:shd w:val="clear" w:color="auto" w:fill="auto"/>
            <w:noWrap/>
            <w:vAlign w:val="bottom"/>
            <w:hideMark/>
          </w:tcPr>
          <w:p w14:paraId="2B7A1212" w14:textId="77777777" w:rsidR="002434FE" w:rsidRPr="008669FE" w:rsidRDefault="002434FE">
            <w:pPr>
              <w:jc w:val="right"/>
              <w:rPr>
                <w:color w:val="000000"/>
                <w:sz w:val="22"/>
                <w:szCs w:val="22"/>
              </w:rPr>
            </w:pPr>
            <w:r w:rsidRPr="008669FE">
              <w:rPr>
                <w:color w:val="000000"/>
                <w:sz w:val="22"/>
                <w:szCs w:val="22"/>
              </w:rPr>
              <w:t>1139</w:t>
            </w:r>
          </w:p>
        </w:tc>
        <w:tc>
          <w:tcPr>
            <w:tcW w:w="1300" w:type="dxa"/>
            <w:tcBorders>
              <w:top w:val="nil"/>
              <w:left w:val="nil"/>
              <w:bottom w:val="nil"/>
              <w:right w:val="nil"/>
            </w:tcBorders>
            <w:shd w:val="clear" w:color="auto" w:fill="auto"/>
            <w:noWrap/>
            <w:vAlign w:val="bottom"/>
            <w:hideMark/>
          </w:tcPr>
          <w:p w14:paraId="051415DC" w14:textId="77777777" w:rsidR="002434FE" w:rsidRPr="008669FE" w:rsidRDefault="002434FE">
            <w:pPr>
              <w:jc w:val="right"/>
              <w:rPr>
                <w:color w:val="000000"/>
                <w:sz w:val="22"/>
                <w:szCs w:val="22"/>
              </w:rPr>
            </w:pPr>
            <w:r w:rsidRPr="008669FE">
              <w:rPr>
                <w:color w:val="000000"/>
                <w:sz w:val="22"/>
                <w:szCs w:val="22"/>
              </w:rPr>
              <w:t>54.03%</w:t>
            </w:r>
          </w:p>
        </w:tc>
      </w:tr>
      <w:tr w:rsidR="002434FE" w:rsidRPr="00BB280A" w14:paraId="1264670C" w14:textId="77777777" w:rsidTr="008669FE">
        <w:trPr>
          <w:trHeight w:val="320"/>
        </w:trPr>
        <w:tc>
          <w:tcPr>
            <w:tcW w:w="3700" w:type="dxa"/>
            <w:tcBorders>
              <w:top w:val="nil"/>
              <w:left w:val="nil"/>
              <w:bottom w:val="nil"/>
              <w:right w:val="nil"/>
            </w:tcBorders>
            <w:shd w:val="clear" w:color="auto" w:fill="auto"/>
            <w:noWrap/>
            <w:vAlign w:val="bottom"/>
            <w:hideMark/>
          </w:tcPr>
          <w:p w14:paraId="3A91D6C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07EA423B"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40FB770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0A12E83F" w14:textId="77777777" w:rsidR="002434FE" w:rsidRPr="008669FE" w:rsidRDefault="002434FE">
            <w:pPr>
              <w:rPr>
                <w:sz w:val="22"/>
                <w:szCs w:val="22"/>
              </w:rPr>
            </w:pPr>
          </w:p>
        </w:tc>
      </w:tr>
      <w:tr w:rsidR="002434FE" w:rsidRPr="00BB280A" w14:paraId="53C4E49D" w14:textId="77777777" w:rsidTr="008669FE">
        <w:trPr>
          <w:trHeight w:val="320"/>
        </w:trPr>
        <w:tc>
          <w:tcPr>
            <w:tcW w:w="3700" w:type="dxa"/>
            <w:tcBorders>
              <w:top w:val="nil"/>
              <w:left w:val="nil"/>
              <w:bottom w:val="nil"/>
              <w:right w:val="nil"/>
            </w:tcBorders>
            <w:shd w:val="clear" w:color="auto" w:fill="auto"/>
            <w:noWrap/>
            <w:vAlign w:val="bottom"/>
            <w:hideMark/>
          </w:tcPr>
          <w:p w14:paraId="30D1E6A4" w14:textId="77777777" w:rsidR="002434FE" w:rsidRPr="008669FE" w:rsidRDefault="002434FE">
            <w:pPr>
              <w:rPr>
                <w:color w:val="000000"/>
                <w:sz w:val="22"/>
                <w:szCs w:val="22"/>
              </w:rPr>
            </w:pPr>
            <w:r w:rsidRPr="008669FE">
              <w:rPr>
                <w:color w:val="000000"/>
                <w:sz w:val="22"/>
                <w:szCs w:val="22"/>
              </w:rPr>
              <w:t>Maternal smoking in pregnancy</w:t>
            </w:r>
          </w:p>
        </w:tc>
        <w:tc>
          <w:tcPr>
            <w:tcW w:w="3140" w:type="dxa"/>
            <w:tcBorders>
              <w:top w:val="nil"/>
              <w:left w:val="nil"/>
              <w:bottom w:val="nil"/>
              <w:right w:val="nil"/>
            </w:tcBorders>
            <w:shd w:val="clear" w:color="auto" w:fill="auto"/>
            <w:noWrap/>
            <w:vAlign w:val="bottom"/>
            <w:hideMark/>
          </w:tcPr>
          <w:p w14:paraId="7F89ECA7" w14:textId="77777777" w:rsidR="002434FE" w:rsidRPr="008669FE" w:rsidRDefault="002434FE">
            <w:pPr>
              <w:rPr>
                <w:color w:val="000000"/>
                <w:sz w:val="22"/>
                <w:szCs w:val="22"/>
              </w:rPr>
            </w:pPr>
            <w:r w:rsidRPr="008669FE">
              <w:rPr>
                <w:color w:val="000000"/>
                <w:sz w:val="22"/>
                <w:szCs w:val="22"/>
              </w:rPr>
              <w:t>No</w:t>
            </w:r>
          </w:p>
        </w:tc>
        <w:tc>
          <w:tcPr>
            <w:tcW w:w="900" w:type="dxa"/>
            <w:tcBorders>
              <w:top w:val="nil"/>
              <w:left w:val="nil"/>
              <w:bottom w:val="nil"/>
              <w:right w:val="nil"/>
            </w:tcBorders>
            <w:shd w:val="clear" w:color="auto" w:fill="auto"/>
            <w:noWrap/>
            <w:vAlign w:val="bottom"/>
            <w:hideMark/>
          </w:tcPr>
          <w:p w14:paraId="6948C305" w14:textId="77777777" w:rsidR="002434FE" w:rsidRPr="008669FE" w:rsidRDefault="002434FE">
            <w:pPr>
              <w:jc w:val="right"/>
              <w:rPr>
                <w:color w:val="000000"/>
                <w:sz w:val="22"/>
                <w:szCs w:val="22"/>
              </w:rPr>
            </w:pPr>
            <w:r w:rsidRPr="008669FE">
              <w:rPr>
                <w:color w:val="000000"/>
                <w:sz w:val="22"/>
                <w:szCs w:val="22"/>
              </w:rPr>
              <w:t>1447</w:t>
            </w:r>
          </w:p>
        </w:tc>
        <w:tc>
          <w:tcPr>
            <w:tcW w:w="1300" w:type="dxa"/>
            <w:tcBorders>
              <w:top w:val="nil"/>
              <w:left w:val="nil"/>
              <w:bottom w:val="nil"/>
              <w:right w:val="nil"/>
            </w:tcBorders>
            <w:shd w:val="clear" w:color="auto" w:fill="auto"/>
            <w:noWrap/>
            <w:vAlign w:val="bottom"/>
            <w:hideMark/>
          </w:tcPr>
          <w:p w14:paraId="276E7680" w14:textId="77777777" w:rsidR="002434FE" w:rsidRPr="008669FE" w:rsidRDefault="002434FE">
            <w:pPr>
              <w:jc w:val="right"/>
              <w:rPr>
                <w:color w:val="000000"/>
                <w:sz w:val="22"/>
                <w:szCs w:val="22"/>
              </w:rPr>
            </w:pPr>
            <w:r w:rsidRPr="008669FE">
              <w:rPr>
                <w:color w:val="000000"/>
                <w:sz w:val="22"/>
                <w:szCs w:val="22"/>
              </w:rPr>
              <w:t>68.64%</w:t>
            </w:r>
          </w:p>
        </w:tc>
      </w:tr>
      <w:tr w:rsidR="002434FE" w:rsidRPr="00BB280A" w14:paraId="28BF14B4" w14:textId="77777777" w:rsidTr="008669FE">
        <w:trPr>
          <w:trHeight w:val="320"/>
        </w:trPr>
        <w:tc>
          <w:tcPr>
            <w:tcW w:w="3700" w:type="dxa"/>
            <w:tcBorders>
              <w:top w:val="nil"/>
              <w:left w:val="nil"/>
              <w:bottom w:val="nil"/>
              <w:right w:val="nil"/>
            </w:tcBorders>
            <w:shd w:val="clear" w:color="auto" w:fill="auto"/>
            <w:noWrap/>
            <w:vAlign w:val="bottom"/>
            <w:hideMark/>
          </w:tcPr>
          <w:p w14:paraId="43834C4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1F111EB3" w14:textId="77777777" w:rsidR="002434FE" w:rsidRPr="008669FE" w:rsidRDefault="002434FE">
            <w:pPr>
              <w:rPr>
                <w:color w:val="000000"/>
                <w:sz w:val="22"/>
                <w:szCs w:val="22"/>
              </w:rPr>
            </w:pPr>
            <w:r w:rsidRPr="008669FE">
              <w:rPr>
                <w:color w:val="000000"/>
                <w:sz w:val="22"/>
                <w:szCs w:val="22"/>
              </w:rPr>
              <w:t>Yes</w:t>
            </w:r>
          </w:p>
        </w:tc>
        <w:tc>
          <w:tcPr>
            <w:tcW w:w="900" w:type="dxa"/>
            <w:tcBorders>
              <w:top w:val="nil"/>
              <w:left w:val="nil"/>
              <w:bottom w:val="nil"/>
              <w:right w:val="nil"/>
            </w:tcBorders>
            <w:shd w:val="clear" w:color="auto" w:fill="auto"/>
            <w:noWrap/>
            <w:vAlign w:val="bottom"/>
            <w:hideMark/>
          </w:tcPr>
          <w:p w14:paraId="6ED37EA2" w14:textId="77777777" w:rsidR="002434FE" w:rsidRPr="008669FE" w:rsidRDefault="002434FE">
            <w:pPr>
              <w:jc w:val="right"/>
              <w:rPr>
                <w:color w:val="000000"/>
                <w:sz w:val="22"/>
                <w:szCs w:val="22"/>
              </w:rPr>
            </w:pPr>
            <w:r w:rsidRPr="008669FE">
              <w:rPr>
                <w:color w:val="000000"/>
                <w:sz w:val="22"/>
                <w:szCs w:val="22"/>
              </w:rPr>
              <w:t>528</w:t>
            </w:r>
          </w:p>
        </w:tc>
        <w:tc>
          <w:tcPr>
            <w:tcW w:w="1300" w:type="dxa"/>
            <w:tcBorders>
              <w:top w:val="nil"/>
              <w:left w:val="nil"/>
              <w:bottom w:val="nil"/>
              <w:right w:val="nil"/>
            </w:tcBorders>
            <w:shd w:val="clear" w:color="auto" w:fill="auto"/>
            <w:noWrap/>
            <w:vAlign w:val="bottom"/>
            <w:hideMark/>
          </w:tcPr>
          <w:p w14:paraId="42AE033D" w14:textId="77777777" w:rsidR="002434FE" w:rsidRPr="008669FE" w:rsidRDefault="002434FE">
            <w:pPr>
              <w:jc w:val="right"/>
              <w:rPr>
                <w:color w:val="000000"/>
                <w:sz w:val="22"/>
                <w:szCs w:val="22"/>
              </w:rPr>
            </w:pPr>
            <w:r w:rsidRPr="008669FE">
              <w:rPr>
                <w:color w:val="000000"/>
                <w:sz w:val="22"/>
                <w:szCs w:val="22"/>
              </w:rPr>
              <w:t>25.05%</w:t>
            </w:r>
          </w:p>
        </w:tc>
      </w:tr>
      <w:tr w:rsidR="002434FE" w:rsidRPr="00BB280A" w14:paraId="0E155A62" w14:textId="77777777" w:rsidTr="008669FE">
        <w:trPr>
          <w:trHeight w:val="320"/>
        </w:trPr>
        <w:tc>
          <w:tcPr>
            <w:tcW w:w="3700" w:type="dxa"/>
            <w:tcBorders>
              <w:top w:val="nil"/>
              <w:left w:val="nil"/>
              <w:bottom w:val="nil"/>
              <w:right w:val="nil"/>
            </w:tcBorders>
            <w:shd w:val="clear" w:color="auto" w:fill="auto"/>
            <w:noWrap/>
            <w:vAlign w:val="bottom"/>
            <w:hideMark/>
          </w:tcPr>
          <w:p w14:paraId="4589F33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5843624F" w14:textId="59BC2099" w:rsidR="002434FE" w:rsidRPr="008669FE" w:rsidRDefault="00BB280A">
            <w:pPr>
              <w:rPr>
                <w:sz w:val="22"/>
                <w:szCs w:val="22"/>
              </w:rPr>
            </w:pPr>
            <w:r w:rsidRPr="008669FE">
              <w:rPr>
                <w:sz w:val="22"/>
                <w:szCs w:val="22"/>
              </w:rPr>
              <w:t>(missing)</w:t>
            </w:r>
          </w:p>
        </w:tc>
        <w:tc>
          <w:tcPr>
            <w:tcW w:w="900" w:type="dxa"/>
            <w:tcBorders>
              <w:top w:val="nil"/>
              <w:left w:val="nil"/>
              <w:bottom w:val="nil"/>
              <w:right w:val="nil"/>
            </w:tcBorders>
            <w:shd w:val="clear" w:color="auto" w:fill="auto"/>
            <w:noWrap/>
            <w:vAlign w:val="bottom"/>
            <w:hideMark/>
          </w:tcPr>
          <w:p w14:paraId="2C1F63CA" w14:textId="77777777" w:rsidR="002434FE" w:rsidRPr="008669FE" w:rsidRDefault="002434FE">
            <w:pPr>
              <w:jc w:val="right"/>
              <w:rPr>
                <w:color w:val="000000"/>
                <w:sz w:val="22"/>
                <w:szCs w:val="22"/>
              </w:rPr>
            </w:pPr>
            <w:r w:rsidRPr="008669FE">
              <w:rPr>
                <w:color w:val="000000"/>
                <w:sz w:val="22"/>
                <w:szCs w:val="22"/>
              </w:rPr>
              <w:t>133</w:t>
            </w:r>
          </w:p>
        </w:tc>
        <w:tc>
          <w:tcPr>
            <w:tcW w:w="1300" w:type="dxa"/>
            <w:tcBorders>
              <w:top w:val="nil"/>
              <w:left w:val="nil"/>
              <w:bottom w:val="nil"/>
              <w:right w:val="nil"/>
            </w:tcBorders>
            <w:shd w:val="clear" w:color="auto" w:fill="auto"/>
            <w:noWrap/>
            <w:vAlign w:val="bottom"/>
            <w:hideMark/>
          </w:tcPr>
          <w:p w14:paraId="4B441639" w14:textId="77777777" w:rsidR="002434FE" w:rsidRPr="008669FE" w:rsidRDefault="002434FE">
            <w:pPr>
              <w:jc w:val="right"/>
              <w:rPr>
                <w:color w:val="000000"/>
                <w:sz w:val="22"/>
                <w:szCs w:val="22"/>
              </w:rPr>
            </w:pPr>
            <w:r w:rsidRPr="008669FE">
              <w:rPr>
                <w:color w:val="000000"/>
                <w:sz w:val="22"/>
                <w:szCs w:val="22"/>
              </w:rPr>
              <w:t>6.31%</w:t>
            </w:r>
          </w:p>
        </w:tc>
      </w:tr>
      <w:tr w:rsidR="002434FE" w:rsidRPr="00BB280A" w14:paraId="4F2763AF" w14:textId="77777777" w:rsidTr="008669FE">
        <w:trPr>
          <w:trHeight w:val="320"/>
        </w:trPr>
        <w:tc>
          <w:tcPr>
            <w:tcW w:w="3700" w:type="dxa"/>
            <w:tcBorders>
              <w:top w:val="nil"/>
              <w:left w:val="nil"/>
              <w:bottom w:val="nil"/>
              <w:right w:val="nil"/>
            </w:tcBorders>
            <w:shd w:val="clear" w:color="auto" w:fill="auto"/>
            <w:noWrap/>
            <w:vAlign w:val="bottom"/>
            <w:hideMark/>
          </w:tcPr>
          <w:p w14:paraId="643914A0"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CD932B6" w14:textId="77777777" w:rsidR="002434FE" w:rsidRPr="008669FE" w:rsidRDefault="002434FE">
            <w:pPr>
              <w:rPr>
                <w:sz w:val="22"/>
                <w:szCs w:val="22"/>
              </w:rPr>
            </w:pPr>
          </w:p>
        </w:tc>
        <w:tc>
          <w:tcPr>
            <w:tcW w:w="900" w:type="dxa"/>
            <w:tcBorders>
              <w:top w:val="nil"/>
              <w:left w:val="nil"/>
              <w:bottom w:val="nil"/>
              <w:right w:val="nil"/>
            </w:tcBorders>
            <w:shd w:val="clear" w:color="auto" w:fill="auto"/>
            <w:noWrap/>
            <w:vAlign w:val="bottom"/>
            <w:hideMark/>
          </w:tcPr>
          <w:p w14:paraId="337B623C" w14:textId="77777777" w:rsidR="002434FE" w:rsidRPr="008669FE" w:rsidRDefault="002434FE">
            <w:pPr>
              <w:rPr>
                <w:sz w:val="22"/>
                <w:szCs w:val="22"/>
              </w:rPr>
            </w:pPr>
          </w:p>
        </w:tc>
        <w:tc>
          <w:tcPr>
            <w:tcW w:w="1300" w:type="dxa"/>
            <w:tcBorders>
              <w:top w:val="nil"/>
              <w:left w:val="nil"/>
              <w:bottom w:val="nil"/>
              <w:right w:val="nil"/>
            </w:tcBorders>
            <w:shd w:val="clear" w:color="auto" w:fill="auto"/>
            <w:noWrap/>
            <w:vAlign w:val="bottom"/>
            <w:hideMark/>
          </w:tcPr>
          <w:p w14:paraId="1F7463DA" w14:textId="77777777" w:rsidR="002434FE" w:rsidRPr="008669FE" w:rsidRDefault="002434FE">
            <w:pPr>
              <w:rPr>
                <w:sz w:val="22"/>
                <w:szCs w:val="22"/>
              </w:rPr>
            </w:pPr>
          </w:p>
        </w:tc>
      </w:tr>
      <w:tr w:rsidR="002434FE" w:rsidRPr="00BB280A" w14:paraId="1CBC8C7A" w14:textId="77777777" w:rsidTr="002434FE">
        <w:trPr>
          <w:trHeight w:val="320"/>
        </w:trPr>
        <w:tc>
          <w:tcPr>
            <w:tcW w:w="3700" w:type="dxa"/>
            <w:vMerge w:val="restart"/>
            <w:tcBorders>
              <w:top w:val="nil"/>
              <w:left w:val="nil"/>
              <w:bottom w:val="nil"/>
              <w:right w:val="nil"/>
            </w:tcBorders>
            <w:shd w:val="clear" w:color="auto" w:fill="auto"/>
            <w:hideMark/>
          </w:tcPr>
          <w:p w14:paraId="352800F9" w14:textId="77777777" w:rsidR="002434FE" w:rsidRPr="008669FE" w:rsidRDefault="002434FE">
            <w:pPr>
              <w:rPr>
                <w:color w:val="000000"/>
                <w:sz w:val="22"/>
                <w:szCs w:val="22"/>
              </w:rPr>
            </w:pPr>
            <w:r w:rsidRPr="008669FE">
              <w:rPr>
                <w:color w:val="000000"/>
                <w:sz w:val="22"/>
                <w:szCs w:val="22"/>
              </w:rPr>
              <w:lastRenderedPageBreak/>
              <w:t>Standard metropolitan statistical area (urbanicty)</w:t>
            </w:r>
          </w:p>
        </w:tc>
        <w:tc>
          <w:tcPr>
            <w:tcW w:w="3140" w:type="dxa"/>
            <w:tcBorders>
              <w:top w:val="nil"/>
              <w:left w:val="nil"/>
              <w:bottom w:val="nil"/>
              <w:right w:val="nil"/>
            </w:tcBorders>
            <w:shd w:val="clear" w:color="auto" w:fill="auto"/>
            <w:noWrap/>
            <w:vAlign w:val="bottom"/>
            <w:hideMark/>
          </w:tcPr>
          <w:p w14:paraId="5ABA2679" w14:textId="77777777" w:rsidR="002434FE" w:rsidRPr="008669FE" w:rsidRDefault="002434FE">
            <w:pPr>
              <w:rPr>
                <w:color w:val="000000"/>
                <w:sz w:val="22"/>
                <w:szCs w:val="22"/>
              </w:rPr>
            </w:pPr>
            <w:r w:rsidRPr="008669FE">
              <w:rPr>
                <w:color w:val="000000"/>
                <w:sz w:val="22"/>
                <w:szCs w:val="22"/>
              </w:rPr>
              <w:t>Not in SMSA</w:t>
            </w:r>
          </w:p>
        </w:tc>
        <w:tc>
          <w:tcPr>
            <w:tcW w:w="900" w:type="dxa"/>
            <w:tcBorders>
              <w:top w:val="nil"/>
              <w:left w:val="nil"/>
              <w:bottom w:val="nil"/>
              <w:right w:val="nil"/>
            </w:tcBorders>
            <w:shd w:val="clear" w:color="auto" w:fill="auto"/>
            <w:noWrap/>
            <w:vAlign w:val="bottom"/>
            <w:hideMark/>
          </w:tcPr>
          <w:p w14:paraId="3262DDE1" w14:textId="77777777" w:rsidR="002434FE" w:rsidRPr="008669FE" w:rsidRDefault="002434FE">
            <w:pPr>
              <w:jc w:val="right"/>
              <w:rPr>
                <w:color w:val="000000"/>
                <w:sz w:val="22"/>
                <w:szCs w:val="22"/>
              </w:rPr>
            </w:pPr>
            <w:r w:rsidRPr="008669FE">
              <w:rPr>
                <w:color w:val="000000"/>
                <w:sz w:val="22"/>
                <w:szCs w:val="22"/>
              </w:rPr>
              <w:t>382</w:t>
            </w:r>
          </w:p>
        </w:tc>
        <w:tc>
          <w:tcPr>
            <w:tcW w:w="1300" w:type="dxa"/>
            <w:tcBorders>
              <w:top w:val="nil"/>
              <w:left w:val="nil"/>
              <w:bottom w:val="nil"/>
              <w:right w:val="nil"/>
            </w:tcBorders>
            <w:shd w:val="clear" w:color="auto" w:fill="auto"/>
            <w:noWrap/>
            <w:vAlign w:val="bottom"/>
            <w:hideMark/>
          </w:tcPr>
          <w:p w14:paraId="15E6C620" w14:textId="77777777" w:rsidR="002434FE" w:rsidRPr="008669FE" w:rsidRDefault="002434FE">
            <w:pPr>
              <w:jc w:val="right"/>
              <w:rPr>
                <w:color w:val="000000"/>
                <w:sz w:val="22"/>
                <w:szCs w:val="22"/>
              </w:rPr>
            </w:pPr>
            <w:r w:rsidRPr="008669FE">
              <w:rPr>
                <w:color w:val="000000"/>
                <w:sz w:val="22"/>
                <w:szCs w:val="22"/>
              </w:rPr>
              <w:t>18.12%</w:t>
            </w:r>
          </w:p>
        </w:tc>
      </w:tr>
      <w:tr w:rsidR="002434FE" w:rsidRPr="00BB280A" w14:paraId="1EB9B689" w14:textId="77777777" w:rsidTr="008669FE">
        <w:trPr>
          <w:trHeight w:val="320"/>
        </w:trPr>
        <w:tc>
          <w:tcPr>
            <w:tcW w:w="3700" w:type="dxa"/>
            <w:vMerge/>
            <w:tcBorders>
              <w:top w:val="nil"/>
              <w:left w:val="nil"/>
              <w:bottom w:val="nil"/>
              <w:right w:val="nil"/>
            </w:tcBorders>
            <w:vAlign w:val="center"/>
            <w:hideMark/>
          </w:tcPr>
          <w:p w14:paraId="56CA82ED" w14:textId="77777777" w:rsidR="002434FE" w:rsidRPr="008669FE" w:rsidRDefault="002434FE">
            <w:pPr>
              <w:rPr>
                <w:color w:val="000000"/>
                <w:sz w:val="22"/>
                <w:szCs w:val="22"/>
              </w:rPr>
            </w:pPr>
          </w:p>
        </w:tc>
        <w:tc>
          <w:tcPr>
            <w:tcW w:w="3140" w:type="dxa"/>
            <w:tcBorders>
              <w:top w:val="nil"/>
              <w:left w:val="nil"/>
              <w:bottom w:val="nil"/>
              <w:right w:val="nil"/>
            </w:tcBorders>
            <w:shd w:val="clear" w:color="auto" w:fill="auto"/>
            <w:noWrap/>
            <w:vAlign w:val="bottom"/>
            <w:hideMark/>
          </w:tcPr>
          <w:p w14:paraId="320D9923" w14:textId="77777777" w:rsidR="002434FE" w:rsidRPr="008669FE" w:rsidRDefault="002434FE">
            <w:pPr>
              <w:rPr>
                <w:color w:val="000000"/>
                <w:sz w:val="22"/>
                <w:szCs w:val="22"/>
              </w:rPr>
            </w:pPr>
            <w:r w:rsidRPr="008669FE">
              <w:rPr>
                <w:color w:val="000000"/>
                <w:sz w:val="22"/>
                <w:szCs w:val="22"/>
              </w:rPr>
              <w:t>SMSA; central city unknown</w:t>
            </w:r>
          </w:p>
        </w:tc>
        <w:tc>
          <w:tcPr>
            <w:tcW w:w="900" w:type="dxa"/>
            <w:tcBorders>
              <w:top w:val="nil"/>
              <w:left w:val="nil"/>
              <w:bottom w:val="nil"/>
              <w:right w:val="nil"/>
            </w:tcBorders>
            <w:shd w:val="clear" w:color="auto" w:fill="auto"/>
            <w:noWrap/>
            <w:vAlign w:val="bottom"/>
            <w:hideMark/>
          </w:tcPr>
          <w:p w14:paraId="4EB8A1CA" w14:textId="77777777" w:rsidR="002434FE" w:rsidRPr="008669FE" w:rsidRDefault="002434FE">
            <w:pPr>
              <w:jc w:val="right"/>
              <w:rPr>
                <w:color w:val="000000"/>
                <w:sz w:val="22"/>
                <w:szCs w:val="22"/>
              </w:rPr>
            </w:pPr>
            <w:r w:rsidRPr="008669FE">
              <w:rPr>
                <w:color w:val="000000"/>
                <w:sz w:val="22"/>
                <w:szCs w:val="22"/>
              </w:rPr>
              <w:t>680</w:t>
            </w:r>
          </w:p>
        </w:tc>
        <w:tc>
          <w:tcPr>
            <w:tcW w:w="1300" w:type="dxa"/>
            <w:tcBorders>
              <w:top w:val="nil"/>
              <w:left w:val="nil"/>
              <w:bottom w:val="nil"/>
              <w:right w:val="nil"/>
            </w:tcBorders>
            <w:shd w:val="clear" w:color="auto" w:fill="auto"/>
            <w:noWrap/>
            <w:vAlign w:val="bottom"/>
            <w:hideMark/>
          </w:tcPr>
          <w:p w14:paraId="1C23A690" w14:textId="77777777" w:rsidR="002434FE" w:rsidRPr="008669FE" w:rsidRDefault="002434FE">
            <w:pPr>
              <w:jc w:val="right"/>
              <w:rPr>
                <w:color w:val="000000"/>
                <w:sz w:val="22"/>
                <w:szCs w:val="22"/>
              </w:rPr>
            </w:pPr>
            <w:r w:rsidRPr="008669FE">
              <w:rPr>
                <w:color w:val="000000"/>
                <w:sz w:val="22"/>
                <w:szCs w:val="22"/>
              </w:rPr>
              <w:t>32.26%</w:t>
            </w:r>
          </w:p>
        </w:tc>
      </w:tr>
      <w:tr w:rsidR="002434FE" w:rsidRPr="00BB280A" w14:paraId="490B0F13" w14:textId="77777777" w:rsidTr="008669FE">
        <w:trPr>
          <w:trHeight w:val="320"/>
        </w:trPr>
        <w:tc>
          <w:tcPr>
            <w:tcW w:w="3700" w:type="dxa"/>
            <w:tcBorders>
              <w:top w:val="nil"/>
              <w:left w:val="nil"/>
              <w:bottom w:val="nil"/>
              <w:right w:val="nil"/>
            </w:tcBorders>
            <w:shd w:val="clear" w:color="auto" w:fill="auto"/>
            <w:noWrap/>
            <w:vAlign w:val="bottom"/>
            <w:hideMark/>
          </w:tcPr>
          <w:p w14:paraId="559C5F8A"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6B0A0CB1" w14:textId="77777777" w:rsidR="002434FE" w:rsidRPr="008669FE" w:rsidRDefault="002434FE">
            <w:pPr>
              <w:rPr>
                <w:color w:val="000000"/>
                <w:sz w:val="22"/>
                <w:szCs w:val="22"/>
              </w:rPr>
            </w:pPr>
            <w:r w:rsidRPr="008669FE">
              <w:rPr>
                <w:color w:val="000000"/>
                <w:sz w:val="22"/>
                <w:szCs w:val="22"/>
              </w:rPr>
              <w:t>SMSA; in central city</w:t>
            </w:r>
          </w:p>
        </w:tc>
        <w:tc>
          <w:tcPr>
            <w:tcW w:w="900" w:type="dxa"/>
            <w:tcBorders>
              <w:top w:val="nil"/>
              <w:left w:val="nil"/>
              <w:bottom w:val="nil"/>
              <w:right w:val="nil"/>
            </w:tcBorders>
            <w:shd w:val="clear" w:color="auto" w:fill="auto"/>
            <w:noWrap/>
            <w:vAlign w:val="bottom"/>
            <w:hideMark/>
          </w:tcPr>
          <w:p w14:paraId="7B95E127" w14:textId="77777777" w:rsidR="002434FE" w:rsidRPr="008669FE" w:rsidRDefault="002434FE">
            <w:pPr>
              <w:jc w:val="right"/>
              <w:rPr>
                <w:color w:val="000000"/>
                <w:sz w:val="22"/>
                <w:szCs w:val="22"/>
              </w:rPr>
            </w:pPr>
            <w:r w:rsidRPr="008669FE">
              <w:rPr>
                <w:color w:val="000000"/>
                <w:sz w:val="22"/>
                <w:szCs w:val="22"/>
              </w:rPr>
              <w:t>302</w:t>
            </w:r>
          </w:p>
        </w:tc>
        <w:tc>
          <w:tcPr>
            <w:tcW w:w="1300" w:type="dxa"/>
            <w:tcBorders>
              <w:top w:val="nil"/>
              <w:left w:val="nil"/>
              <w:bottom w:val="nil"/>
              <w:right w:val="nil"/>
            </w:tcBorders>
            <w:shd w:val="clear" w:color="auto" w:fill="auto"/>
            <w:noWrap/>
            <w:vAlign w:val="bottom"/>
            <w:hideMark/>
          </w:tcPr>
          <w:p w14:paraId="3FEB82F0" w14:textId="77777777" w:rsidR="002434FE" w:rsidRPr="008669FE" w:rsidRDefault="002434FE">
            <w:pPr>
              <w:jc w:val="right"/>
              <w:rPr>
                <w:color w:val="000000"/>
                <w:sz w:val="22"/>
                <w:szCs w:val="22"/>
              </w:rPr>
            </w:pPr>
            <w:r w:rsidRPr="008669FE">
              <w:rPr>
                <w:color w:val="000000"/>
                <w:sz w:val="22"/>
                <w:szCs w:val="22"/>
              </w:rPr>
              <w:t>14.33%</w:t>
            </w:r>
          </w:p>
        </w:tc>
      </w:tr>
      <w:tr w:rsidR="002434FE" w:rsidRPr="00BB280A" w14:paraId="24082B2D" w14:textId="77777777" w:rsidTr="008669FE">
        <w:trPr>
          <w:trHeight w:val="320"/>
        </w:trPr>
        <w:tc>
          <w:tcPr>
            <w:tcW w:w="3700" w:type="dxa"/>
            <w:tcBorders>
              <w:top w:val="nil"/>
              <w:left w:val="nil"/>
              <w:bottom w:val="nil"/>
              <w:right w:val="nil"/>
            </w:tcBorders>
            <w:shd w:val="clear" w:color="auto" w:fill="auto"/>
            <w:noWrap/>
            <w:vAlign w:val="bottom"/>
            <w:hideMark/>
          </w:tcPr>
          <w:p w14:paraId="484E163B"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76B7B676" w14:textId="77777777" w:rsidR="002434FE" w:rsidRPr="008669FE" w:rsidRDefault="002434FE">
            <w:pPr>
              <w:rPr>
                <w:color w:val="000000"/>
                <w:sz w:val="22"/>
                <w:szCs w:val="22"/>
              </w:rPr>
            </w:pPr>
            <w:r w:rsidRPr="008669FE">
              <w:rPr>
                <w:color w:val="000000"/>
                <w:sz w:val="22"/>
                <w:szCs w:val="22"/>
              </w:rPr>
              <w:t>SMSA; not central city</w:t>
            </w:r>
          </w:p>
        </w:tc>
        <w:tc>
          <w:tcPr>
            <w:tcW w:w="900" w:type="dxa"/>
            <w:tcBorders>
              <w:top w:val="nil"/>
              <w:left w:val="nil"/>
              <w:bottom w:val="nil"/>
              <w:right w:val="nil"/>
            </w:tcBorders>
            <w:shd w:val="clear" w:color="auto" w:fill="auto"/>
            <w:noWrap/>
            <w:vAlign w:val="bottom"/>
            <w:hideMark/>
          </w:tcPr>
          <w:p w14:paraId="00DFD5B1" w14:textId="77777777" w:rsidR="002434FE" w:rsidRPr="008669FE" w:rsidRDefault="002434FE">
            <w:pPr>
              <w:jc w:val="right"/>
              <w:rPr>
                <w:color w:val="000000"/>
                <w:sz w:val="22"/>
                <w:szCs w:val="22"/>
              </w:rPr>
            </w:pPr>
            <w:r w:rsidRPr="008669FE">
              <w:rPr>
                <w:color w:val="000000"/>
                <w:sz w:val="22"/>
                <w:szCs w:val="22"/>
              </w:rPr>
              <w:t>639</w:t>
            </w:r>
          </w:p>
        </w:tc>
        <w:tc>
          <w:tcPr>
            <w:tcW w:w="1300" w:type="dxa"/>
            <w:tcBorders>
              <w:top w:val="nil"/>
              <w:left w:val="nil"/>
              <w:bottom w:val="nil"/>
              <w:right w:val="nil"/>
            </w:tcBorders>
            <w:shd w:val="clear" w:color="auto" w:fill="auto"/>
            <w:noWrap/>
            <w:vAlign w:val="bottom"/>
            <w:hideMark/>
          </w:tcPr>
          <w:p w14:paraId="26158E7D" w14:textId="77777777" w:rsidR="002434FE" w:rsidRPr="008669FE" w:rsidRDefault="002434FE">
            <w:pPr>
              <w:jc w:val="right"/>
              <w:rPr>
                <w:color w:val="000000"/>
                <w:sz w:val="22"/>
                <w:szCs w:val="22"/>
              </w:rPr>
            </w:pPr>
            <w:r w:rsidRPr="008669FE">
              <w:rPr>
                <w:color w:val="000000"/>
                <w:sz w:val="22"/>
                <w:szCs w:val="22"/>
              </w:rPr>
              <w:t>30.31%</w:t>
            </w:r>
          </w:p>
        </w:tc>
      </w:tr>
      <w:tr w:rsidR="002434FE" w:rsidRPr="00BB280A" w14:paraId="57E2DCAF" w14:textId="77777777" w:rsidTr="002434FE">
        <w:trPr>
          <w:trHeight w:val="320"/>
        </w:trPr>
        <w:tc>
          <w:tcPr>
            <w:tcW w:w="3700" w:type="dxa"/>
            <w:tcBorders>
              <w:top w:val="nil"/>
              <w:left w:val="nil"/>
              <w:bottom w:val="nil"/>
              <w:right w:val="nil"/>
            </w:tcBorders>
            <w:shd w:val="clear" w:color="auto" w:fill="auto"/>
            <w:noWrap/>
            <w:vAlign w:val="bottom"/>
            <w:hideMark/>
          </w:tcPr>
          <w:p w14:paraId="686D338D" w14:textId="77777777" w:rsidR="002434FE" w:rsidRPr="008669FE" w:rsidRDefault="002434FE">
            <w:pPr>
              <w:jc w:val="right"/>
              <w:rPr>
                <w:color w:val="000000"/>
                <w:sz w:val="22"/>
                <w:szCs w:val="22"/>
              </w:rPr>
            </w:pPr>
          </w:p>
        </w:tc>
        <w:tc>
          <w:tcPr>
            <w:tcW w:w="3140" w:type="dxa"/>
            <w:tcBorders>
              <w:top w:val="nil"/>
              <w:left w:val="nil"/>
              <w:bottom w:val="nil"/>
              <w:right w:val="nil"/>
            </w:tcBorders>
            <w:shd w:val="clear" w:color="auto" w:fill="auto"/>
            <w:noWrap/>
            <w:vAlign w:val="bottom"/>
            <w:hideMark/>
          </w:tcPr>
          <w:p w14:paraId="405F9462" w14:textId="7379D680" w:rsidR="002434FE" w:rsidRPr="008669FE" w:rsidRDefault="00BB280A">
            <w:pPr>
              <w:rPr>
                <w:color w:val="000000"/>
                <w:sz w:val="22"/>
                <w:szCs w:val="22"/>
              </w:rPr>
            </w:pPr>
            <w:r w:rsidRPr="0069431E">
              <w:rPr>
                <w:sz w:val="22"/>
                <w:szCs w:val="22"/>
              </w:rPr>
              <w:t>(missing)</w:t>
            </w:r>
          </w:p>
        </w:tc>
        <w:tc>
          <w:tcPr>
            <w:tcW w:w="900" w:type="dxa"/>
            <w:tcBorders>
              <w:top w:val="nil"/>
              <w:left w:val="nil"/>
              <w:bottom w:val="nil"/>
              <w:right w:val="nil"/>
            </w:tcBorders>
            <w:shd w:val="clear" w:color="auto" w:fill="auto"/>
            <w:noWrap/>
            <w:vAlign w:val="bottom"/>
            <w:hideMark/>
          </w:tcPr>
          <w:p w14:paraId="2DCC41D4" w14:textId="77777777" w:rsidR="002434FE" w:rsidRPr="008669FE" w:rsidRDefault="002434FE">
            <w:pPr>
              <w:jc w:val="right"/>
              <w:rPr>
                <w:color w:val="000000"/>
                <w:sz w:val="22"/>
                <w:szCs w:val="22"/>
              </w:rPr>
            </w:pPr>
            <w:r w:rsidRPr="008669FE">
              <w:rPr>
                <w:color w:val="000000"/>
                <w:sz w:val="22"/>
                <w:szCs w:val="22"/>
              </w:rPr>
              <w:t>105</w:t>
            </w:r>
          </w:p>
        </w:tc>
        <w:tc>
          <w:tcPr>
            <w:tcW w:w="1300" w:type="dxa"/>
            <w:tcBorders>
              <w:top w:val="nil"/>
              <w:left w:val="nil"/>
              <w:bottom w:val="nil"/>
              <w:right w:val="nil"/>
            </w:tcBorders>
            <w:shd w:val="clear" w:color="auto" w:fill="auto"/>
            <w:noWrap/>
            <w:vAlign w:val="bottom"/>
            <w:hideMark/>
          </w:tcPr>
          <w:p w14:paraId="10062DC5" w14:textId="77777777" w:rsidR="002434FE" w:rsidRPr="008669FE" w:rsidRDefault="002434FE">
            <w:pPr>
              <w:jc w:val="right"/>
              <w:rPr>
                <w:color w:val="000000"/>
                <w:sz w:val="22"/>
                <w:szCs w:val="22"/>
              </w:rPr>
            </w:pPr>
            <w:r w:rsidRPr="008669FE">
              <w:rPr>
                <w:color w:val="000000"/>
                <w:sz w:val="22"/>
                <w:szCs w:val="22"/>
              </w:rPr>
              <w:t>4.98%</w:t>
            </w:r>
          </w:p>
        </w:tc>
      </w:tr>
      <w:tr w:rsidR="002434FE" w:rsidRPr="00BB280A" w14:paraId="069AB399" w14:textId="77777777" w:rsidTr="008669FE">
        <w:trPr>
          <w:trHeight w:val="160"/>
        </w:trPr>
        <w:tc>
          <w:tcPr>
            <w:tcW w:w="3700" w:type="dxa"/>
            <w:tcBorders>
              <w:top w:val="nil"/>
              <w:left w:val="nil"/>
              <w:bottom w:val="single" w:sz="4" w:space="0" w:color="auto"/>
              <w:right w:val="nil"/>
            </w:tcBorders>
            <w:shd w:val="clear" w:color="auto" w:fill="auto"/>
            <w:noWrap/>
            <w:vAlign w:val="bottom"/>
            <w:hideMark/>
          </w:tcPr>
          <w:p w14:paraId="78997760" w14:textId="77777777" w:rsidR="002434FE" w:rsidRPr="008669FE" w:rsidRDefault="002434FE">
            <w:pPr>
              <w:rPr>
                <w:color w:val="000000"/>
                <w:sz w:val="22"/>
                <w:szCs w:val="22"/>
              </w:rPr>
            </w:pPr>
            <w:r w:rsidRPr="008669FE">
              <w:rPr>
                <w:color w:val="000000"/>
                <w:sz w:val="22"/>
                <w:szCs w:val="22"/>
              </w:rPr>
              <w:t> </w:t>
            </w:r>
          </w:p>
        </w:tc>
        <w:tc>
          <w:tcPr>
            <w:tcW w:w="3140" w:type="dxa"/>
            <w:tcBorders>
              <w:top w:val="nil"/>
              <w:left w:val="nil"/>
              <w:bottom w:val="single" w:sz="4" w:space="0" w:color="auto"/>
              <w:right w:val="nil"/>
            </w:tcBorders>
            <w:shd w:val="clear" w:color="auto" w:fill="auto"/>
            <w:noWrap/>
            <w:vAlign w:val="bottom"/>
            <w:hideMark/>
          </w:tcPr>
          <w:p w14:paraId="328598C2" w14:textId="77777777" w:rsidR="002434FE" w:rsidRPr="008669FE" w:rsidRDefault="002434FE">
            <w:pPr>
              <w:rPr>
                <w:color w:val="000000"/>
                <w:sz w:val="22"/>
                <w:szCs w:val="22"/>
              </w:rPr>
            </w:pPr>
            <w:r w:rsidRPr="008669FE">
              <w:rPr>
                <w:color w:val="000000"/>
                <w:sz w:val="22"/>
                <w:szCs w:val="22"/>
              </w:rPr>
              <w:t> </w:t>
            </w:r>
          </w:p>
        </w:tc>
        <w:tc>
          <w:tcPr>
            <w:tcW w:w="900" w:type="dxa"/>
            <w:tcBorders>
              <w:top w:val="nil"/>
              <w:left w:val="nil"/>
              <w:bottom w:val="single" w:sz="4" w:space="0" w:color="auto"/>
              <w:right w:val="nil"/>
            </w:tcBorders>
            <w:shd w:val="clear" w:color="auto" w:fill="auto"/>
            <w:noWrap/>
            <w:vAlign w:val="bottom"/>
            <w:hideMark/>
          </w:tcPr>
          <w:p w14:paraId="4A42201F" w14:textId="77777777" w:rsidR="002434FE" w:rsidRPr="008669FE" w:rsidRDefault="002434FE">
            <w:pPr>
              <w:rPr>
                <w:color w:val="000000"/>
                <w:sz w:val="22"/>
                <w:szCs w:val="22"/>
              </w:rPr>
            </w:pPr>
            <w:r w:rsidRPr="008669FE">
              <w:rPr>
                <w:color w:val="000000"/>
                <w:sz w:val="22"/>
                <w:szCs w:val="22"/>
              </w:rPr>
              <w:t> </w:t>
            </w:r>
          </w:p>
        </w:tc>
        <w:tc>
          <w:tcPr>
            <w:tcW w:w="1300" w:type="dxa"/>
            <w:tcBorders>
              <w:top w:val="nil"/>
              <w:left w:val="nil"/>
              <w:bottom w:val="single" w:sz="4" w:space="0" w:color="auto"/>
              <w:right w:val="nil"/>
            </w:tcBorders>
            <w:shd w:val="clear" w:color="auto" w:fill="auto"/>
            <w:noWrap/>
            <w:vAlign w:val="bottom"/>
            <w:hideMark/>
          </w:tcPr>
          <w:p w14:paraId="65D71056" w14:textId="77777777" w:rsidR="002434FE" w:rsidRPr="008669FE" w:rsidRDefault="002434FE">
            <w:pPr>
              <w:rPr>
                <w:color w:val="000000"/>
                <w:sz w:val="22"/>
                <w:szCs w:val="22"/>
              </w:rPr>
            </w:pPr>
            <w:r w:rsidRPr="008669FE">
              <w:rPr>
                <w:color w:val="000000"/>
                <w:sz w:val="22"/>
                <w:szCs w:val="22"/>
              </w:rPr>
              <w:t> </w:t>
            </w:r>
          </w:p>
        </w:tc>
      </w:tr>
    </w:tbl>
    <w:p w14:paraId="08BC9555" w14:textId="77777777" w:rsidR="002434FE" w:rsidRDefault="002434FE" w:rsidP="00854C26">
      <w:pPr>
        <w:rPr>
          <w:sz w:val="20"/>
          <w:szCs w:val="20"/>
        </w:rPr>
      </w:pPr>
    </w:p>
    <w:p w14:paraId="0724194A" w14:textId="77777777" w:rsidR="002434FE" w:rsidRDefault="002434FE" w:rsidP="00854C26">
      <w:pPr>
        <w:rPr>
          <w:sz w:val="20"/>
          <w:szCs w:val="20"/>
        </w:rPr>
      </w:pPr>
    </w:p>
    <w:p w14:paraId="23162198" w14:textId="77777777" w:rsidR="00891C9C" w:rsidRDefault="00891C9C">
      <w:r>
        <w:br w:type="page"/>
      </w:r>
    </w:p>
    <w:p w14:paraId="076D693F" w14:textId="38B2078A" w:rsidR="004C75BC" w:rsidRDefault="004E594B" w:rsidP="004C75BC">
      <w:r>
        <w:lastRenderedPageBreak/>
        <w:t xml:space="preserve">Table </w:t>
      </w:r>
      <w:r w:rsidR="00B83882">
        <w:t>4</w:t>
      </w:r>
    </w:p>
    <w:p w14:paraId="2A8DBBF4" w14:textId="7FA3C9B7" w:rsidR="004E594B" w:rsidRDefault="00327795" w:rsidP="004C75BC">
      <w:r>
        <w:t>Inverse probability of treatment weighted (IPTW)</w:t>
      </w:r>
      <w:r w:rsidR="004E594B">
        <w:t xml:space="preserve"> propensity score model results by TV cutpoint</w:t>
      </w:r>
    </w:p>
    <w:p w14:paraId="585DF994" w14:textId="081F86F7" w:rsidR="004E594B" w:rsidRDefault="004E594B" w:rsidP="004C75B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1"/>
        <w:gridCol w:w="1079"/>
        <w:gridCol w:w="540"/>
        <w:gridCol w:w="1710"/>
      </w:tblGrid>
      <w:tr w:rsidR="008D058A" w14:paraId="1B47FE0A" w14:textId="77777777" w:rsidTr="008D058A">
        <w:trPr>
          <w:tblCellSpacing w:w="15" w:type="dxa"/>
        </w:trPr>
        <w:tc>
          <w:tcPr>
            <w:tcW w:w="5610" w:type="dxa"/>
            <w:gridSpan w:val="4"/>
            <w:tcBorders>
              <w:top w:val="nil"/>
              <w:left w:val="nil"/>
              <w:bottom w:val="nil"/>
              <w:right w:val="nil"/>
            </w:tcBorders>
            <w:vAlign w:val="center"/>
            <w:hideMark/>
          </w:tcPr>
          <w:p w14:paraId="020880F6" w14:textId="6B791DE5" w:rsidR="008D058A" w:rsidRDefault="008D058A">
            <w:pPr>
              <w:jc w:val="center"/>
              <w:rPr>
                <w:color w:val="000000"/>
              </w:rPr>
            </w:pPr>
          </w:p>
        </w:tc>
      </w:tr>
      <w:tr w:rsidR="008D058A" w14:paraId="1FF782EB" w14:textId="77777777" w:rsidTr="008D058A">
        <w:trPr>
          <w:tblCellSpacing w:w="15" w:type="dxa"/>
        </w:trPr>
        <w:tc>
          <w:tcPr>
            <w:tcW w:w="5610" w:type="dxa"/>
            <w:gridSpan w:val="4"/>
            <w:tcBorders>
              <w:bottom w:val="single" w:sz="6" w:space="0" w:color="000000"/>
            </w:tcBorders>
            <w:vAlign w:val="center"/>
            <w:hideMark/>
          </w:tcPr>
          <w:p w14:paraId="33E9809B" w14:textId="77777777" w:rsidR="008D058A" w:rsidRDefault="008D058A">
            <w:pPr>
              <w:jc w:val="center"/>
              <w:rPr>
                <w:color w:val="000000"/>
              </w:rPr>
            </w:pPr>
          </w:p>
        </w:tc>
      </w:tr>
      <w:tr w:rsidR="008D058A" w14:paraId="00965199" w14:textId="77777777" w:rsidTr="002A7A06">
        <w:trPr>
          <w:trHeight w:val="429"/>
          <w:tblCellSpacing w:w="15" w:type="dxa"/>
        </w:trPr>
        <w:tc>
          <w:tcPr>
            <w:tcW w:w="0" w:type="auto"/>
            <w:vAlign w:val="center"/>
            <w:hideMark/>
          </w:tcPr>
          <w:p w14:paraId="75662538" w14:textId="77777777" w:rsidR="008D058A" w:rsidRDefault="008D058A">
            <w:pPr>
              <w:rPr>
                <w:color w:val="000000"/>
              </w:rPr>
            </w:pPr>
            <w:r>
              <w:rPr>
                <w:color w:val="000000"/>
              </w:rPr>
              <w:t>TV cutpoint percentiles</w:t>
            </w:r>
          </w:p>
        </w:tc>
        <w:tc>
          <w:tcPr>
            <w:tcW w:w="1049" w:type="dxa"/>
            <w:vAlign w:val="center"/>
            <w:hideMark/>
          </w:tcPr>
          <w:p w14:paraId="6AAEC9DB" w14:textId="77777777" w:rsidR="008D058A" w:rsidRDefault="008D058A">
            <w:pPr>
              <w:jc w:val="center"/>
              <w:rPr>
                <w:color w:val="000000"/>
              </w:rPr>
            </w:pPr>
            <w:r>
              <w:rPr>
                <w:color w:val="000000"/>
              </w:rPr>
              <w:t>Non-sig</w:t>
            </w:r>
          </w:p>
        </w:tc>
        <w:tc>
          <w:tcPr>
            <w:tcW w:w="510" w:type="dxa"/>
            <w:vAlign w:val="center"/>
            <w:hideMark/>
          </w:tcPr>
          <w:p w14:paraId="4E82C1C8" w14:textId="77777777" w:rsidR="008D058A" w:rsidRDefault="008D058A">
            <w:pPr>
              <w:jc w:val="center"/>
              <w:rPr>
                <w:color w:val="000000"/>
              </w:rPr>
            </w:pPr>
            <w:r>
              <w:rPr>
                <w:color w:val="000000"/>
              </w:rPr>
              <w:t>Sig</w:t>
            </w:r>
          </w:p>
        </w:tc>
        <w:tc>
          <w:tcPr>
            <w:tcW w:w="1665" w:type="dxa"/>
            <w:vAlign w:val="center"/>
            <w:hideMark/>
          </w:tcPr>
          <w:p w14:paraId="0950ECBA" w14:textId="77777777" w:rsidR="008D058A" w:rsidRDefault="008D058A">
            <w:pPr>
              <w:jc w:val="center"/>
              <w:rPr>
                <w:color w:val="000000"/>
              </w:rPr>
            </w:pPr>
            <w:r>
              <w:rPr>
                <w:color w:val="000000"/>
              </w:rPr>
              <w:t>Proportion sig</w:t>
            </w:r>
          </w:p>
        </w:tc>
      </w:tr>
      <w:tr w:rsidR="008D058A" w14:paraId="1F828995" w14:textId="77777777" w:rsidTr="008D058A">
        <w:trPr>
          <w:tblCellSpacing w:w="15" w:type="dxa"/>
        </w:trPr>
        <w:tc>
          <w:tcPr>
            <w:tcW w:w="5610" w:type="dxa"/>
            <w:gridSpan w:val="4"/>
            <w:tcBorders>
              <w:bottom w:val="single" w:sz="6" w:space="0" w:color="000000"/>
            </w:tcBorders>
            <w:vAlign w:val="center"/>
            <w:hideMark/>
          </w:tcPr>
          <w:p w14:paraId="21C50CA3" w14:textId="77777777" w:rsidR="008D058A" w:rsidRDefault="008D058A">
            <w:pPr>
              <w:jc w:val="center"/>
              <w:rPr>
                <w:color w:val="000000"/>
              </w:rPr>
            </w:pPr>
          </w:p>
        </w:tc>
      </w:tr>
      <w:tr w:rsidR="008D058A" w14:paraId="519BF69F" w14:textId="77777777" w:rsidTr="008D058A">
        <w:trPr>
          <w:tblCellSpacing w:w="15" w:type="dxa"/>
        </w:trPr>
        <w:tc>
          <w:tcPr>
            <w:tcW w:w="0" w:type="auto"/>
            <w:vAlign w:val="center"/>
            <w:hideMark/>
          </w:tcPr>
          <w:p w14:paraId="6DE4D93A" w14:textId="77777777" w:rsidR="008D058A" w:rsidRDefault="008D058A">
            <w:pPr>
              <w:rPr>
                <w:color w:val="000000"/>
              </w:rPr>
            </w:pPr>
            <w:r>
              <w:rPr>
                <w:color w:val="000000"/>
              </w:rPr>
              <w:t>20/80</w:t>
            </w:r>
          </w:p>
        </w:tc>
        <w:tc>
          <w:tcPr>
            <w:tcW w:w="1049" w:type="dxa"/>
            <w:vAlign w:val="center"/>
            <w:hideMark/>
          </w:tcPr>
          <w:p w14:paraId="7F6E822F" w14:textId="77777777" w:rsidR="008D058A" w:rsidRDefault="008D058A">
            <w:pPr>
              <w:jc w:val="center"/>
              <w:rPr>
                <w:color w:val="000000"/>
              </w:rPr>
            </w:pPr>
            <w:r>
              <w:rPr>
                <w:color w:val="000000"/>
              </w:rPr>
              <w:t>21</w:t>
            </w:r>
          </w:p>
        </w:tc>
        <w:tc>
          <w:tcPr>
            <w:tcW w:w="510" w:type="dxa"/>
            <w:vAlign w:val="center"/>
            <w:hideMark/>
          </w:tcPr>
          <w:p w14:paraId="4D855443" w14:textId="77777777" w:rsidR="008D058A" w:rsidRDefault="008D058A">
            <w:pPr>
              <w:jc w:val="center"/>
              <w:rPr>
                <w:color w:val="000000"/>
              </w:rPr>
            </w:pPr>
            <w:r>
              <w:rPr>
                <w:color w:val="000000"/>
              </w:rPr>
              <w:t>11</w:t>
            </w:r>
          </w:p>
        </w:tc>
        <w:tc>
          <w:tcPr>
            <w:tcW w:w="1665" w:type="dxa"/>
            <w:vAlign w:val="center"/>
            <w:hideMark/>
          </w:tcPr>
          <w:p w14:paraId="0EFE6CAE" w14:textId="77777777" w:rsidR="008D058A" w:rsidRDefault="008D058A">
            <w:pPr>
              <w:jc w:val="center"/>
              <w:rPr>
                <w:color w:val="000000"/>
              </w:rPr>
            </w:pPr>
            <w:r>
              <w:rPr>
                <w:color w:val="000000"/>
              </w:rPr>
              <w:t>0.344</w:t>
            </w:r>
          </w:p>
        </w:tc>
      </w:tr>
      <w:tr w:rsidR="008D058A" w14:paraId="78139E01" w14:textId="77777777" w:rsidTr="008D058A">
        <w:trPr>
          <w:tblCellSpacing w:w="15" w:type="dxa"/>
        </w:trPr>
        <w:tc>
          <w:tcPr>
            <w:tcW w:w="0" w:type="auto"/>
            <w:vAlign w:val="center"/>
            <w:hideMark/>
          </w:tcPr>
          <w:p w14:paraId="6751206E" w14:textId="77777777" w:rsidR="008D058A" w:rsidRDefault="008D058A">
            <w:pPr>
              <w:rPr>
                <w:color w:val="000000"/>
              </w:rPr>
            </w:pPr>
            <w:r>
              <w:rPr>
                <w:color w:val="000000"/>
              </w:rPr>
              <w:t>30/70</w:t>
            </w:r>
          </w:p>
        </w:tc>
        <w:tc>
          <w:tcPr>
            <w:tcW w:w="1049" w:type="dxa"/>
            <w:vAlign w:val="center"/>
            <w:hideMark/>
          </w:tcPr>
          <w:p w14:paraId="2E5600AA" w14:textId="77777777" w:rsidR="008D058A" w:rsidRDefault="008D058A">
            <w:pPr>
              <w:jc w:val="center"/>
              <w:rPr>
                <w:color w:val="000000"/>
              </w:rPr>
            </w:pPr>
            <w:r>
              <w:rPr>
                <w:color w:val="000000"/>
              </w:rPr>
              <w:t>22</w:t>
            </w:r>
          </w:p>
        </w:tc>
        <w:tc>
          <w:tcPr>
            <w:tcW w:w="510" w:type="dxa"/>
            <w:vAlign w:val="center"/>
            <w:hideMark/>
          </w:tcPr>
          <w:p w14:paraId="34645865" w14:textId="77777777" w:rsidR="008D058A" w:rsidRDefault="008D058A">
            <w:pPr>
              <w:jc w:val="center"/>
              <w:rPr>
                <w:color w:val="000000"/>
              </w:rPr>
            </w:pPr>
            <w:r>
              <w:rPr>
                <w:color w:val="000000"/>
              </w:rPr>
              <w:t>10</w:t>
            </w:r>
          </w:p>
        </w:tc>
        <w:tc>
          <w:tcPr>
            <w:tcW w:w="1665" w:type="dxa"/>
            <w:vAlign w:val="center"/>
            <w:hideMark/>
          </w:tcPr>
          <w:p w14:paraId="089FDDFB" w14:textId="77777777" w:rsidR="008D058A" w:rsidRDefault="008D058A">
            <w:pPr>
              <w:jc w:val="center"/>
              <w:rPr>
                <w:color w:val="000000"/>
              </w:rPr>
            </w:pPr>
            <w:r>
              <w:rPr>
                <w:color w:val="000000"/>
              </w:rPr>
              <w:t>0.312</w:t>
            </w:r>
          </w:p>
        </w:tc>
      </w:tr>
      <w:tr w:rsidR="008D058A" w14:paraId="2D627B09" w14:textId="77777777" w:rsidTr="008D058A">
        <w:trPr>
          <w:tblCellSpacing w:w="15" w:type="dxa"/>
        </w:trPr>
        <w:tc>
          <w:tcPr>
            <w:tcW w:w="0" w:type="auto"/>
            <w:vAlign w:val="center"/>
            <w:hideMark/>
          </w:tcPr>
          <w:p w14:paraId="23A17291" w14:textId="77777777" w:rsidR="008D058A" w:rsidRDefault="008D058A">
            <w:pPr>
              <w:rPr>
                <w:color w:val="000000"/>
              </w:rPr>
            </w:pPr>
            <w:r>
              <w:rPr>
                <w:color w:val="000000"/>
              </w:rPr>
              <w:t>40/60</w:t>
            </w:r>
          </w:p>
        </w:tc>
        <w:tc>
          <w:tcPr>
            <w:tcW w:w="1049" w:type="dxa"/>
            <w:vAlign w:val="center"/>
            <w:hideMark/>
          </w:tcPr>
          <w:p w14:paraId="03B4F53A" w14:textId="77777777" w:rsidR="008D058A" w:rsidRDefault="008D058A">
            <w:pPr>
              <w:jc w:val="center"/>
              <w:rPr>
                <w:color w:val="000000"/>
              </w:rPr>
            </w:pPr>
            <w:r>
              <w:rPr>
                <w:color w:val="000000"/>
              </w:rPr>
              <w:t>15</w:t>
            </w:r>
          </w:p>
        </w:tc>
        <w:tc>
          <w:tcPr>
            <w:tcW w:w="510" w:type="dxa"/>
            <w:vAlign w:val="center"/>
            <w:hideMark/>
          </w:tcPr>
          <w:p w14:paraId="50306FA9" w14:textId="77777777" w:rsidR="008D058A" w:rsidRDefault="008D058A">
            <w:pPr>
              <w:jc w:val="center"/>
              <w:rPr>
                <w:color w:val="000000"/>
              </w:rPr>
            </w:pPr>
            <w:r>
              <w:rPr>
                <w:color w:val="000000"/>
              </w:rPr>
              <w:t>17</w:t>
            </w:r>
          </w:p>
        </w:tc>
        <w:tc>
          <w:tcPr>
            <w:tcW w:w="1665" w:type="dxa"/>
            <w:vAlign w:val="center"/>
            <w:hideMark/>
          </w:tcPr>
          <w:p w14:paraId="6D388C12" w14:textId="77777777" w:rsidR="008D058A" w:rsidRDefault="008D058A">
            <w:pPr>
              <w:jc w:val="center"/>
              <w:rPr>
                <w:color w:val="000000"/>
              </w:rPr>
            </w:pPr>
            <w:r>
              <w:rPr>
                <w:color w:val="000000"/>
              </w:rPr>
              <w:t>0.531</w:t>
            </w:r>
          </w:p>
        </w:tc>
      </w:tr>
      <w:tr w:rsidR="008D058A" w14:paraId="2482E683" w14:textId="77777777" w:rsidTr="008D058A">
        <w:trPr>
          <w:tblCellSpacing w:w="15" w:type="dxa"/>
        </w:trPr>
        <w:tc>
          <w:tcPr>
            <w:tcW w:w="0" w:type="auto"/>
            <w:vAlign w:val="center"/>
            <w:hideMark/>
          </w:tcPr>
          <w:p w14:paraId="3616E2B5" w14:textId="77777777" w:rsidR="008D058A" w:rsidRDefault="008D058A">
            <w:pPr>
              <w:rPr>
                <w:color w:val="000000"/>
              </w:rPr>
            </w:pPr>
            <w:r>
              <w:rPr>
                <w:color w:val="000000"/>
              </w:rPr>
              <w:t>50</w:t>
            </w:r>
          </w:p>
        </w:tc>
        <w:tc>
          <w:tcPr>
            <w:tcW w:w="1049" w:type="dxa"/>
            <w:vAlign w:val="center"/>
            <w:hideMark/>
          </w:tcPr>
          <w:p w14:paraId="27041CD0" w14:textId="77777777" w:rsidR="008D058A" w:rsidRDefault="008D058A">
            <w:pPr>
              <w:jc w:val="center"/>
              <w:rPr>
                <w:color w:val="000000"/>
              </w:rPr>
            </w:pPr>
            <w:r>
              <w:rPr>
                <w:color w:val="000000"/>
              </w:rPr>
              <w:t>12</w:t>
            </w:r>
          </w:p>
        </w:tc>
        <w:tc>
          <w:tcPr>
            <w:tcW w:w="510" w:type="dxa"/>
            <w:vAlign w:val="center"/>
            <w:hideMark/>
          </w:tcPr>
          <w:p w14:paraId="63D20FFB" w14:textId="77777777" w:rsidR="008D058A" w:rsidRDefault="008D058A">
            <w:pPr>
              <w:jc w:val="center"/>
              <w:rPr>
                <w:color w:val="000000"/>
              </w:rPr>
            </w:pPr>
            <w:r>
              <w:rPr>
                <w:color w:val="000000"/>
              </w:rPr>
              <w:t>20</w:t>
            </w:r>
          </w:p>
        </w:tc>
        <w:tc>
          <w:tcPr>
            <w:tcW w:w="1665" w:type="dxa"/>
            <w:vAlign w:val="center"/>
            <w:hideMark/>
          </w:tcPr>
          <w:p w14:paraId="0CBC07C6" w14:textId="77777777" w:rsidR="008D058A" w:rsidRDefault="008D058A">
            <w:pPr>
              <w:jc w:val="center"/>
              <w:rPr>
                <w:color w:val="000000"/>
              </w:rPr>
            </w:pPr>
            <w:r>
              <w:rPr>
                <w:color w:val="000000"/>
              </w:rPr>
              <w:t>0.625</w:t>
            </w:r>
          </w:p>
        </w:tc>
      </w:tr>
      <w:tr w:rsidR="008D058A" w14:paraId="549DC026" w14:textId="77777777" w:rsidTr="008D058A">
        <w:trPr>
          <w:tblCellSpacing w:w="15" w:type="dxa"/>
        </w:trPr>
        <w:tc>
          <w:tcPr>
            <w:tcW w:w="0" w:type="auto"/>
            <w:vAlign w:val="center"/>
            <w:hideMark/>
          </w:tcPr>
          <w:p w14:paraId="4CD1F02D" w14:textId="77777777" w:rsidR="008D058A" w:rsidRDefault="008D058A">
            <w:pPr>
              <w:rPr>
                <w:color w:val="000000"/>
              </w:rPr>
            </w:pPr>
            <w:r>
              <w:rPr>
                <w:color w:val="000000"/>
              </w:rPr>
              <w:t>60</w:t>
            </w:r>
          </w:p>
        </w:tc>
        <w:tc>
          <w:tcPr>
            <w:tcW w:w="1049" w:type="dxa"/>
            <w:vAlign w:val="center"/>
            <w:hideMark/>
          </w:tcPr>
          <w:p w14:paraId="2CF7DE38" w14:textId="77777777" w:rsidR="008D058A" w:rsidRDefault="008D058A">
            <w:pPr>
              <w:jc w:val="center"/>
              <w:rPr>
                <w:color w:val="000000"/>
              </w:rPr>
            </w:pPr>
            <w:r>
              <w:rPr>
                <w:color w:val="000000"/>
              </w:rPr>
              <w:t>6</w:t>
            </w:r>
          </w:p>
        </w:tc>
        <w:tc>
          <w:tcPr>
            <w:tcW w:w="510" w:type="dxa"/>
            <w:vAlign w:val="center"/>
            <w:hideMark/>
          </w:tcPr>
          <w:p w14:paraId="3C14C517" w14:textId="77777777" w:rsidR="008D058A" w:rsidRDefault="008D058A">
            <w:pPr>
              <w:jc w:val="center"/>
              <w:rPr>
                <w:color w:val="000000"/>
              </w:rPr>
            </w:pPr>
            <w:r>
              <w:rPr>
                <w:color w:val="000000"/>
              </w:rPr>
              <w:t>26</w:t>
            </w:r>
          </w:p>
        </w:tc>
        <w:tc>
          <w:tcPr>
            <w:tcW w:w="1665" w:type="dxa"/>
            <w:vAlign w:val="center"/>
            <w:hideMark/>
          </w:tcPr>
          <w:p w14:paraId="03D9C66C" w14:textId="77777777" w:rsidR="008D058A" w:rsidRDefault="008D058A">
            <w:pPr>
              <w:jc w:val="center"/>
              <w:rPr>
                <w:color w:val="000000"/>
              </w:rPr>
            </w:pPr>
            <w:r>
              <w:rPr>
                <w:color w:val="000000"/>
              </w:rPr>
              <w:t>0.812</w:t>
            </w:r>
          </w:p>
        </w:tc>
      </w:tr>
      <w:tr w:rsidR="008D058A" w14:paraId="2A281353" w14:textId="77777777" w:rsidTr="008D058A">
        <w:trPr>
          <w:tblCellSpacing w:w="15" w:type="dxa"/>
        </w:trPr>
        <w:tc>
          <w:tcPr>
            <w:tcW w:w="0" w:type="auto"/>
            <w:vAlign w:val="center"/>
            <w:hideMark/>
          </w:tcPr>
          <w:p w14:paraId="42E1645F" w14:textId="77777777" w:rsidR="008D058A" w:rsidRDefault="008D058A">
            <w:pPr>
              <w:rPr>
                <w:color w:val="000000"/>
              </w:rPr>
            </w:pPr>
            <w:r>
              <w:rPr>
                <w:color w:val="000000"/>
              </w:rPr>
              <w:t>70</w:t>
            </w:r>
          </w:p>
        </w:tc>
        <w:tc>
          <w:tcPr>
            <w:tcW w:w="1049" w:type="dxa"/>
            <w:vAlign w:val="center"/>
            <w:hideMark/>
          </w:tcPr>
          <w:p w14:paraId="5BD45FEF" w14:textId="77777777" w:rsidR="008D058A" w:rsidRDefault="008D058A">
            <w:pPr>
              <w:jc w:val="center"/>
              <w:rPr>
                <w:color w:val="000000"/>
              </w:rPr>
            </w:pPr>
            <w:r>
              <w:rPr>
                <w:color w:val="000000"/>
              </w:rPr>
              <w:t>18</w:t>
            </w:r>
          </w:p>
        </w:tc>
        <w:tc>
          <w:tcPr>
            <w:tcW w:w="510" w:type="dxa"/>
            <w:vAlign w:val="center"/>
            <w:hideMark/>
          </w:tcPr>
          <w:p w14:paraId="7D714257" w14:textId="77777777" w:rsidR="008D058A" w:rsidRDefault="008D058A">
            <w:pPr>
              <w:jc w:val="center"/>
              <w:rPr>
                <w:color w:val="000000"/>
              </w:rPr>
            </w:pPr>
            <w:r>
              <w:rPr>
                <w:color w:val="000000"/>
              </w:rPr>
              <w:t>14</w:t>
            </w:r>
          </w:p>
        </w:tc>
        <w:tc>
          <w:tcPr>
            <w:tcW w:w="1665" w:type="dxa"/>
            <w:vAlign w:val="center"/>
            <w:hideMark/>
          </w:tcPr>
          <w:p w14:paraId="7D0B00BB" w14:textId="77777777" w:rsidR="008D058A" w:rsidRDefault="008D058A">
            <w:pPr>
              <w:jc w:val="center"/>
              <w:rPr>
                <w:color w:val="000000"/>
              </w:rPr>
            </w:pPr>
            <w:r>
              <w:rPr>
                <w:color w:val="000000"/>
              </w:rPr>
              <w:t>0.438</w:t>
            </w:r>
          </w:p>
        </w:tc>
      </w:tr>
      <w:tr w:rsidR="008D058A" w14:paraId="0F51E1FC" w14:textId="77777777" w:rsidTr="008D058A">
        <w:trPr>
          <w:tblCellSpacing w:w="15" w:type="dxa"/>
        </w:trPr>
        <w:tc>
          <w:tcPr>
            <w:tcW w:w="5610" w:type="dxa"/>
            <w:gridSpan w:val="4"/>
            <w:tcBorders>
              <w:bottom w:val="single" w:sz="6" w:space="0" w:color="000000"/>
            </w:tcBorders>
            <w:vAlign w:val="center"/>
            <w:hideMark/>
          </w:tcPr>
          <w:p w14:paraId="5E7A27B3" w14:textId="77777777" w:rsidR="008D058A" w:rsidRDefault="008D058A">
            <w:pPr>
              <w:jc w:val="center"/>
              <w:rPr>
                <w:color w:val="000000"/>
              </w:rPr>
            </w:pPr>
          </w:p>
        </w:tc>
      </w:tr>
    </w:tbl>
    <w:p w14:paraId="10815C9E" w14:textId="77777777" w:rsidR="00DA5C2F" w:rsidRDefault="00DA5C2F" w:rsidP="003B7909">
      <w:pPr>
        <w:rPr>
          <w:i/>
          <w:iCs/>
        </w:rPr>
      </w:pPr>
    </w:p>
    <w:p w14:paraId="03894196" w14:textId="39D08B6B" w:rsidR="003B7909" w:rsidRDefault="004E594B" w:rsidP="003B7909">
      <w:r w:rsidRPr="008669FE">
        <w:rPr>
          <w:i/>
          <w:iCs/>
        </w:rPr>
        <w:t>Note:</w:t>
      </w:r>
      <w:r>
        <w:t xml:space="preserve"> </w:t>
      </w:r>
      <w:r w:rsidR="00DA0DCC">
        <w:t xml:space="preserve">Table included only models measuring TV use at age ~3. </w:t>
      </w:r>
      <w:r>
        <w:t>When two numbers are given for the cutpoint percentile, this implies that TV use between those percentiles were dropped. So 20/80 means that the low-TV group was defined as the 20</w:t>
      </w:r>
      <w:r w:rsidRPr="008669FE">
        <w:rPr>
          <w:vertAlign w:val="superscript"/>
        </w:rPr>
        <w:t>th</w:t>
      </w:r>
      <w:r>
        <w:t xml:space="preserve"> percentile or lower and the high-TV group as the 80</w:t>
      </w:r>
      <w:r w:rsidRPr="008669FE">
        <w:rPr>
          <w:vertAlign w:val="superscript"/>
        </w:rPr>
        <w:t>th</w:t>
      </w:r>
      <w:r>
        <w:t xml:space="preserve"> percentile or higher. When a single value is given, it means TV use below that percentile was categorized low-TV, and TV use above it was categorized as high-TV. </w:t>
      </w:r>
      <w:r w:rsidR="003B7909" w:rsidRPr="0069431E">
        <w:rPr>
          <w:i/>
          <w:iCs/>
        </w:rPr>
        <w:t>Non-sig</w:t>
      </w:r>
      <w:r w:rsidR="003B7909">
        <w:t xml:space="preserve">: the number of models using the specified attention cutpoint. </w:t>
      </w:r>
      <w:r w:rsidR="003B7909" w:rsidRPr="0069431E">
        <w:rPr>
          <w:i/>
          <w:iCs/>
        </w:rPr>
        <w:t>Sig</w:t>
      </w:r>
      <w:r w:rsidR="003B7909">
        <w:t>: the number of models that yielded statistical significance.</w:t>
      </w:r>
      <w:r w:rsidR="002C1E16">
        <w:t xml:space="preserve"> </w:t>
      </w:r>
    </w:p>
    <w:p w14:paraId="10F24922" w14:textId="43A5D3A9" w:rsidR="004E594B" w:rsidRDefault="004E594B">
      <w:r>
        <w:br w:type="page"/>
      </w:r>
    </w:p>
    <w:p w14:paraId="37EF29ED" w14:textId="20D7FE72" w:rsidR="00F024F2" w:rsidRDefault="00F024F2" w:rsidP="008669FE">
      <w:r>
        <w:lastRenderedPageBreak/>
        <w:t xml:space="preserve">Table </w:t>
      </w:r>
      <w:r w:rsidR="00B83882">
        <w:t>5</w:t>
      </w:r>
    </w:p>
    <w:p w14:paraId="1C5E8E65" w14:textId="7F44D4C6" w:rsidR="00F024F2" w:rsidRDefault="00F024F2" w:rsidP="00FA5F0A">
      <w:r>
        <w:t xml:space="preserve">Logistic regression results by </w:t>
      </w:r>
      <w:r w:rsidR="00891C9C">
        <w:t xml:space="preserve">attention </w:t>
      </w:r>
      <w:r>
        <w:t>cutpoint and missing data treatment</w:t>
      </w:r>
    </w:p>
    <w:p w14:paraId="6F26DDC7" w14:textId="77777777" w:rsidR="00FA5F0A" w:rsidRDefault="00FA5F0A" w:rsidP="008669FE"/>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
        <w:gridCol w:w="1260"/>
        <w:gridCol w:w="959"/>
        <w:gridCol w:w="381"/>
        <w:gridCol w:w="1355"/>
        <w:gridCol w:w="1535"/>
        <w:gridCol w:w="1039"/>
        <w:gridCol w:w="381"/>
        <w:gridCol w:w="1370"/>
      </w:tblGrid>
      <w:tr w:rsidR="00B83D5C" w14:paraId="35E85606" w14:textId="77777777" w:rsidTr="00B83D5C">
        <w:trPr>
          <w:tblCellSpacing w:w="15" w:type="dxa"/>
        </w:trPr>
        <w:tc>
          <w:tcPr>
            <w:tcW w:w="0" w:type="auto"/>
            <w:gridSpan w:val="9"/>
            <w:tcBorders>
              <w:bottom w:val="single" w:sz="6" w:space="0" w:color="000000"/>
            </w:tcBorders>
            <w:vAlign w:val="center"/>
            <w:hideMark/>
          </w:tcPr>
          <w:p w14:paraId="61EC00D2" w14:textId="77777777" w:rsidR="00B83D5C" w:rsidRDefault="00B83D5C">
            <w:pPr>
              <w:jc w:val="center"/>
              <w:rPr>
                <w:color w:val="000000"/>
              </w:rPr>
            </w:pPr>
          </w:p>
        </w:tc>
      </w:tr>
      <w:tr w:rsidR="00B83D5C" w14:paraId="4FE861B1" w14:textId="77777777" w:rsidTr="00B66462">
        <w:trPr>
          <w:trHeight w:val="663"/>
          <w:tblCellSpacing w:w="15" w:type="dxa"/>
        </w:trPr>
        <w:tc>
          <w:tcPr>
            <w:tcW w:w="1035" w:type="dxa"/>
            <w:vAlign w:val="center"/>
            <w:hideMark/>
          </w:tcPr>
          <w:p w14:paraId="2D3906F0" w14:textId="77777777" w:rsidR="00B83D5C" w:rsidRDefault="00B83D5C">
            <w:pPr>
              <w:rPr>
                <w:color w:val="000000"/>
              </w:rPr>
            </w:pPr>
            <w:r>
              <w:rPr>
                <w:color w:val="000000"/>
              </w:rPr>
              <w:t>Attention cutpoint</w:t>
            </w:r>
          </w:p>
        </w:tc>
        <w:tc>
          <w:tcPr>
            <w:tcW w:w="1230" w:type="dxa"/>
            <w:vAlign w:val="center"/>
            <w:hideMark/>
          </w:tcPr>
          <w:p w14:paraId="7FCBE818" w14:textId="77777777" w:rsidR="00B83D5C" w:rsidRDefault="00B83D5C">
            <w:pPr>
              <w:jc w:val="center"/>
              <w:rPr>
                <w:color w:val="000000"/>
              </w:rPr>
            </w:pPr>
            <w:r>
              <w:rPr>
                <w:color w:val="000000"/>
              </w:rPr>
              <w:t>Listwise</w:t>
            </w:r>
          </w:p>
        </w:tc>
        <w:tc>
          <w:tcPr>
            <w:tcW w:w="929" w:type="dxa"/>
            <w:vAlign w:val="center"/>
            <w:hideMark/>
          </w:tcPr>
          <w:p w14:paraId="4C93E8CA" w14:textId="77777777" w:rsidR="00B83D5C" w:rsidRDefault="00B83D5C">
            <w:pPr>
              <w:jc w:val="center"/>
              <w:rPr>
                <w:color w:val="000000"/>
              </w:rPr>
            </w:pPr>
            <w:r>
              <w:rPr>
                <w:color w:val="000000"/>
              </w:rPr>
              <w:t>Non-sig</w:t>
            </w:r>
          </w:p>
        </w:tc>
        <w:tc>
          <w:tcPr>
            <w:tcW w:w="0" w:type="auto"/>
            <w:vAlign w:val="center"/>
            <w:hideMark/>
          </w:tcPr>
          <w:p w14:paraId="615661D3" w14:textId="77777777" w:rsidR="00B83D5C" w:rsidRDefault="00B83D5C">
            <w:pPr>
              <w:jc w:val="center"/>
              <w:rPr>
                <w:color w:val="000000"/>
              </w:rPr>
            </w:pPr>
            <w:r>
              <w:rPr>
                <w:color w:val="000000"/>
              </w:rPr>
              <w:t>Sig</w:t>
            </w:r>
          </w:p>
        </w:tc>
        <w:tc>
          <w:tcPr>
            <w:tcW w:w="0" w:type="auto"/>
            <w:vAlign w:val="center"/>
            <w:hideMark/>
          </w:tcPr>
          <w:p w14:paraId="49F3D0B1" w14:textId="77777777" w:rsidR="00B83D5C" w:rsidRDefault="00B83D5C">
            <w:pPr>
              <w:jc w:val="center"/>
              <w:rPr>
                <w:color w:val="000000"/>
              </w:rPr>
            </w:pPr>
            <w:r>
              <w:rPr>
                <w:color w:val="000000"/>
              </w:rPr>
              <w:t>Proportion sig</w:t>
            </w:r>
          </w:p>
        </w:tc>
        <w:tc>
          <w:tcPr>
            <w:tcW w:w="1505" w:type="dxa"/>
            <w:vAlign w:val="center"/>
            <w:hideMark/>
          </w:tcPr>
          <w:p w14:paraId="2999E580" w14:textId="77777777" w:rsidR="00B83D5C" w:rsidRDefault="00B83D5C">
            <w:pPr>
              <w:jc w:val="center"/>
              <w:rPr>
                <w:color w:val="000000"/>
              </w:rPr>
            </w:pPr>
            <w:r>
              <w:rPr>
                <w:color w:val="000000"/>
              </w:rPr>
              <w:t>Multiple imputation</w:t>
            </w:r>
          </w:p>
        </w:tc>
        <w:tc>
          <w:tcPr>
            <w:tcW w:w="1009" w:type="dxa"/>
            <w:vAlign w:val="center"/>
            <w:hideMark/>
          </w:tcPr>
          <w:p w14:paraId="1006391E" w14:textId="7EE09DFC" w:rsidR="00B83D5C" w:rsidRDefault="00B83D5C">
            <w:pPr>
              <w:jc w:val="center"/>
              <w:rPr>
                <w:color w:val="000000"/>
              </w:rPr>
            </w:pPr>
            <w:r>
              <w:rPr>
                <w:color w:val="000000"/>
              </w:rPr>
              <w:t>Non-sig</w:t>
            </w:r>
          </w:p>
        </w:tc>
        <w:tc>
          <w:tcPr>
            <w:tcW w:w="0" w:type="auto"/>
            <w:vAlign w:val="center"/>
            <w:hideMark/>
          </w:tcPr>
          <w:p w14:paraId="59C9F0AA" w14:textId="1C0165CA" w:rsidR="00B83D5C" w:rsidRDefault="00B83D5C">
            <w:pPr>
              <w:jc w:val="center"/>
              <w:rPr>
                <w:color w:val="000000"/>
              </w:rPr>
            </w:pPr>
            <w:r>
              <w:rPr>
                <w:color w:val="000000"/>
              </w:rPr>
              <w:t>Sig</w:t>
            </w:r>
          </w:p>
        </w:tc>
        <w:tc>
          <w:tcPr>
            <w:tcW w:w="0" w:type="auto"/>
            <w:vAlign w:val="center"/>
            <w:hideMark/>
          </w:tcPr>
          <w:p w14:paraId="33228F83" w14:textId="3EC3DABC" w:rsidR="00B83D5C" w:rsidRDefault="00B83D5C">
            <w:pPr>
              <w:jc w:val="center"/>
              <w:rPr>
                <w:color w:val="000000"/>
              </w:rPr>
            </w:pPr>
            <w:r>
              <w:rPr>
                <w:color w:val="000000"/>
              </w:rPr>
              <w:t>Proportion sig</w:t>
            </w:r>
          </w:p>
        </w:tc>
      </w:tr>
      <w:tr w:rsidR="00B83D5C" w14:paraId="7C2A25D3" w14:textId="77777777" w:rsidTr="00B83D5C">
        <w:trPr>
          <w:trHeight w:val="159"/>
          <w:tblCellSpacing w:w="15" w:type="dxa"/>
        </w:trPr>
        <w:tc>
          <w:tcPr>
            <w:tcW w:w="0" w:type="auto"/>
            <w:gridSpan w:val="9"/>
            <w:tcBorders>
              <w:bottom w:val="single" w:sz="6" w:space="0" w:color="000000"/>
            </w:tcBorders>
            <w:vAlign w:val="center"/>
            <w:hideMark/>
          </w:tcPr>
          <w:p w14:paraId="20F8999F" w14:textId="77777777" w:rsidR="00B83D5C" w:rsidRDefault="00B83D5C">
            <w:pPr>
              <w:jc w:val="center"/>
              <w:rPr>
                <w:color w:val="000000"/>
              </w:rPr>
            </w:pPr>
          </w:p>
        </w:tc>
      </w:tr>
      <w:tr w:rsidR="00B83D5C" w14:paraId="4ED21D58" w14:textId="77777777" w:rsidTr="00B83D5C">
        <w:trPr>
          <w:tblCellSpacing w:w="15" w:type="dxa"/>
        </w:trPr>
        <w:tc>
          <w:tcPr>
            <w:tcW w:w="1035" w:type="dxa"/>
            <w:vAlign w:val="center"/>
            <w:hideMark/>
          </w:tcPr>
          <w:p w14:paraId="77FA1146" w14:textId="77777777" w:rsidR="00B83D5C" w:rsidRDefault="00B83D5C">
            <w:pPr>
              <w:rPr>
                <w:color w:val="000000"/>
              </w:rPr>
            </w:pPr>
            <w:r>
              <w:rPr>
                <w:color w:val="000000"/>
              </w:rPr>
              <w:t>110</w:t>
            </w:r>
          </w:p>
        </w:tc>
        <w:tc>
          <w:tcPr>
            <w:tcW w:w="1230" w:type="dxa"/>
            <w:vAlign w:val="center"/>
            <w:hideMark/>
          </w:tcPr>
          <w:p w14:paraId="4F75B3EC" w14:textId="77777777" w:rsidR="00B83D5C" w:rsidRDefault="00B83D5C">
            <w:pPr>
              <w:rPr>
                <w:color w:val="000000"/>
              </w:rPr>
            </w:pPr>
          </w:p>
        </w:tc>
        <w:tc>
          <w:tcPr>
            <w:tcW w:w="929" w:type="dxa"/>
            <w:vAlign w:val="center"/>
            <w:hideMark/>
          </w:tcPr>
          <w:p w14:paraId="71844A8F" w14:textId="77777777" w:rsidR="00B83D5C" w:rsidRDefault="00B83D5C">
            <w:pPr>
              <w:jc w:val="center"/>
              <w:rPr>
                <w:color w:val="000000"/>
              </w:rPr>
            </w:pPr>
            <w:r>
              <w:rPr>
                <w:color w:val="000000"/>
              </w:rPr>
              <w:t>8</w:t>
            </w:r>
          </w:p>
        </w:tc>
        <w:tc>
          <w:tcPr>
            <w:tcW w:w="0" w:type="auto"/>
            <w:vAlign w:val="center"/>
            <w:hideMark/>
          </w:tcPr>
          <w:p w14:paraId="7B2D4A61" w14:textId="77777777" w:rsidR="00B83D5C" w:rsidRDefault="00B83D5C">
            <w:pPr>
              <w:jc w:val="center"/>
              <w:rPr>
                <w:color w:val="000000"/>
              </w:rPr>
            </w:pPr>
            <w:r>
              <w:rPr>
                <w:color w:val="000000"/>
              </w:rPr>
              <w:t>0</w:t>
            </w:r>
          </w:p>
        </w:tc>
        <w:tc>
          <w:tcPr>
            <w:tcW w:w="0" w:type="auto"/>
            <w:vAlign w:val="center"/>
            <w:hideMark/>
          </w:tcPr>
          <w:p w14:paraId="138B63F3" w14:textId="77777777" w:rsidR="00B83D5C" w:rsidRDefault="00B83D5C">
            <w:pPr>
              <w:jc w:val="center"/>
              <w:rPr>
                <w:color w:val="000000"/>
              </w:rPr>
            </w:pPr>
            <w:r>
              <w:rPr>
                <w:color w:val="000000"/>
              </w:rPr>
              <w:t>0.000</w:t>
            </w:r>
          </w:p>
        </w:tc>
        <w:tc>
          <w:tcPr>
            <w:tcW w:w="1505" w:type="dxa"/>
            <w:vAlign w:val="center"/>
            <w:hideMark/>
          </w:tcPr>
          <w:p w14:paraId="65862CBA" w14:textId="77777777" w:rsidR="00B83D5C" w:rsidRDefault="00B83D5C">
            <w:pPr>
              <w:jc w:val="center"/>
              <w:rPr>
                <w:color w:val="000000"/>
              </w:rPr>
            </w:pPr>
          </w:p>
        </w:tc>
        <w:tc>
          <w:tcPr>
            <w:tcW w:w="1009" w:type="dxa"/>
            <w:vAlign w:val="center"/>
            <w:hideMark/>
          </w:tcPr>
          <w:p w14:paraId="676ED866" w14:textId="77777777" w:rsidR="00B83D5C" w:rsidRDefault="00B83D5C">
            <w:pPr>
              <w:jc w:val="center"/>
              <w:rPr>
                <w:color w:val="000000"/>
              </w:rPr>
            </w:pPr>
            <w:r>
              <w:rPr>
                <w:color w:val="000000"/>
              </w:rPr>
              <w:t>4</w:t>
            </w:r>
          </w:p>
        </w:tc>
        <w:tc>
          <w:tcPr>
            <w:tcW w:w="0" w:type="auto"/>
            <w:vAlign w:val="center"/>
            <w:hideMark/>
          </w:tcPr>
          <w:p w14:paraId="2270B26C" w14:textId="77777777" w:rsidR="00B83D5C" w:rsidRDefault="00B83D5C">
            <w:pPr>
              <w:jc w:val="center"/>
              <w:rPr>
                <w:color w:val="000000"/>
              </w:rPr>
            </w:pPr>
            <w:r>
              <w:rPr>
                <w:color w:val="000000"/>
              </w:rPr>
              <w:t>0</w:t>
            </w:r>
          </w:p>
        </w:tc>
        <w:tc>
          <w:tcPr>
            <w:tcW w:w="0" w:type="auto"/>
            <w:vAlign w:val="center"/>
            <w:hideMark/>
          </w:tcPr>
          <w:p w14:paraId="5879AC41" w14:textId="77777777" w:rsidR="00B83D5C" w:rsidRDefault="00B83D5C">
            <w:pPr>
              <w:jc w:val="center"/>
              <w:rPr>
                <w:color w:val="000000"/>
              </w:rPr>
            </w:pPr>
            <w:r>
              <w:rPr>
                <w:color w:val="000000"/>
              </w:rPr>
              <w:t>0.000</w:t>
            </w:r>
          </w:p>
        </w:tc>
      </w:tr>
      <w:tr w:rsidR="00B83D5C" w14:paraId="12352BAE" w14:textId="77777777" w:rsidTr="00B83D5C">
        <w:trPr>
          <w:tblCellSpacing w:w="15" w:type="dxa"/>
        </w:trPr>
        <w:tc>
          <w:tcPr>
            <w:tcW w:w="1035" w:type="dxa"/>
            <w:vAlign w:val="center"/>
            <w:hideMark/>
          </w:tcPr>
          <w:p w14:paraId="6DBC89BD" w14:textId="77777777" w:rsidR="00B83D5C" w:rsidRDefault="00B83D5C">
            <w:pPr>
              <w:rPr>
                <w:color w:val="000000"/>
              </w:rPr>
            </w:pPr>
            <w:r>
              <w:rPr>
                <w:color w:val="000000"/>
              </w:rPr>
              <w:t>111</w:t>
            </w:r>
          </w:p>
        </w:tc>
        <w:tc>
          <w:tcPr>
            <w:tcW w:w="1230" w:type="dxa"/>
            <w:vAlign w:val="center"/>
            <w:hideMark/>
          </w:tcPr>
          <w:p w14:paraId="74FD1084" w14:textId="77777777" w:rsidR="00B83D5C" w:rsidRDefault="00B83D5C">
            <w:pPr>
              <w:rPr>
                <w:color w:val="000000"/>
              </w:rPr>
            </w:pPr>
          </w:p>
        </w:tc>
        <w:tc>
          <w:tcPr>
            <w:tcW w:w="929" w:type="dxa"/>
            <w:vAlign w:val="center"/>
            <w:hideMark/>
          </w:tcPr>
          <w:p w14:paraId="2B6F97B5" w14:textId="77777777" w:rsidR="00B83D5C" w:rsidRDefault="00B83D5C">
            <w:pPr>
              <w:jc w:val="center"/>
              <w:rPr>
                <w:color w:val="000000"/>
              </w:rPr>
            </w:pPr>
            <w:r>
              <w:rPr>
                <w:color w:val="000000"/>
              </w:rPr>
              <w:t>8</w:t>
            </w:r>
          </w:p>
        </w:tc>
        <w:tc>
          <w:tcPr>
            <w:tcW w:w="0" w:type="auto"/>
            <w:vAlign w:val="center"/>
            <w:hideMark/>
          </w:tcPr>
          <w:p w14:paraId="731BC90D" w14:textId="77777777" w:rsidR="00B83D5C" w:rsidRDefault="00B83D5C">
            <w:pPr>
              <w:jc w:val="center"/>
              <w:rPr>
                <w:color w:val="000000"/>
              </w:rPr>
            </w:pPr>
            <w:r>
              <w:rPr>
                <w:color w:val="000000"/>
              </w:rPr>
              <w:t>0</w:t>
            </w:r>
          </w:p>
        </w:tc>
        <w:tc>
          <w:tcPr>
            <w:tcW w:w="0" w:type="auto"/>
            <w:vAlign w:val="center"/>
            <w:hideMark/>
          </w:tcPr>
          <w:p w14:paraId="0BFCF0CF" w14:textId="77777777" w:rsidR="00B83D5C" w:rsidRDefault="00B83D5C">
            <w:pPr>
              <w:jc w:val="center"/>
              <w:rPr>
                <w:color w:val="000000"/>
              </w:rPr>
            </w:pPr>
            <w:r>
              <w:rPr>
                <w:color w:val="000000"/>
              </w:rPr>
              <w:t>0.000</w:t>
            </w:r>
          </w:p>
        </w:tc>
        <w:tc>
          <w:tcPr>
            <w:tcW w:w="1505" w:type="dxa"/>
            <w:vAlign w:val="center"/>
            <w:hideMark/>
          </w:tcPr>
          <w:p w14:paraId="01AEFD0F" w14:textId="77777777" w:rsidR="00B83D5C" w:rsidRDefault="00B83D5C">
            <w:pPr>
              <w:jc w:val="center"/>
              <w:rPr>
                <w:color w:val="000000"/>
              </w:rPr>
            </w:pPr>
          </w:p>
        </w:tc>
        <w:tc>
          <w:tcPr>
            <w:tcW w:w="1009" w:type="dxa"/>
            <w:vAlign w:val="center"/>
            <w:hideMark/>
          </w:tcPr>
          <w:p w14:paraId="312EE358" w14:textId="77777777" w:rsidR="00B83D5C" w:rsidRDefault="00B83D5C">
            <w:pPr>
              <w:jc w:val="center"/>
              <w:rPr>
                <w:color w:val="000000"/>
              </w:rPr>
            </w:pPr>
            <w:r>
              <w:rPr>
                <w:color w:val="000000"/>
              </w:rPr>
              <w:t>4</w:t>
            </w:r>
          </w:p>
        </w:tc>
        <w:tc>
          <w:tcPr>
            <w:tcW w:w="0" w:type="auto"/>
            <w:vAlign w:val="center"/>
            <w:hideMark/>
          </w:tcPr>
          <w:p w14:paraId="6ED477F7" w14:textId="77777777" w:rsidR="00B83D5C" w:rsidRDefault="00B83D5C">
            <w:pPr>
              <w:jc w:val="center"/>
              <w:rPr>
                <w:color w:val="000000"/>
              </w:rPr>
            </w:pPr>
            <w:r>
              <w:rPr>
                <w:color w:val="000000"/>
              </w:rPr>
              <w:t>0</w:t>
            </w:r>
          </w:p>
        </w:tc>
        <w:tc>
          <w:tcPr>
            <w:tcW w:w="0" w:type="auto"/>
            <w:vAlign w:val="center"/>
            <w:hideMark/>
          </w:tcPr>
          <w:p w14:paraId="680B3D22" w14:textId="77777777" w:rsidR="00B83D5C" w:rsidRDefault="00B83D5C">
            <w:pPr>
              <w:jc w:val="center"/>
              <w:rPr>
                <w:color w:val="000000"/>
              </w:rPr>
            </w:pPr>
            <w:r>
              <w:rPr>
                <w:color w:val="000000"/>
              </w:rPr>
              <w:t>0.000</w:t>
            </w:r>
          </w:p>
        </w:tc>
      </w:tr>
      <w:tr w:rsidR="00B83D5C" w14:paraId="1973724A" w14:textId="77777777" w:rsidTr="00B83D5C">
        <w:trPr>
          <w:tblCellSpacing w:w="15" w:type="dxa"/>
        </w:trPr>
        <w:tc>
          <w:tcPr>
            <w:tcW w:w="1035" w:type="dxa"/>
            <w:vAlign w:val="center"/>
            <w:hideMark/>
          </w:tcPr>
          <w:p w14:paraId="1CD95C06" w14:textId="77777777" w:rsidR="00B83D5C" w:rsidRDefault="00B83D5C">
            <w:pPr>
              <w:rPr>
                <w:color w:val="000000"/>
              </w:rPr>
            </w:pPr>
            <w:r>
              <w:rPr>
                <w:color w:val="000000"/>
              </w:rPr>
              <w:t>112</w:t>
            </w:r>
          </w:p>
        </w:tc>
        <w:tc>
          <w:tcPr>
            <w:tcW w:w="1230" w:type="dxa"/>
            <w:vAlign w:val="center"/>
            <w:hideMark/>
          </w:tcPr>
          <w:p w14:paraId="59AC134B" w14:textId="77777777" w:rsidR="00B83D5C" w:rsidRDefault="00B83D5C">
            <w:pPr>
              <w:rPr>
                <w:color w:val="000000"/>
              </w:rPr>
            </w:pPr>
          </w:p>
        </w:tc>
        <w:tc>
          <w:tcPr>
            <w:tcW w:w="929" w:type="dxa"/>
            <w:vAlign w:val="center"/>
            <w:hideMark/>
          </w:tcPr>
          <w:p w14:paraId="396CF82B" w14:textId="77777777" w:rsidR="00B83D5C" w:rsidRDefault="00B83D5C">
            <w:pPr>
              <w:jc w:val="center"/>
              <w:rPr>
                <w:color w:val="000000"/>
              </w:rPr>
            </w:pPr>
            <w:r>
              <w:rPr>
                <w:color w:val="000000"/>
              </w:rPr>
              <w:t>8</w:t>
            </w:r>
          </w:p>
        </w:tc>
        <w:tc>
          <w:tcPr>
            <w:tcW w:w="0" w:type="auto"/>
            <w:vAlign w:val="center"/>
            <w:hideMark/>
          </w:tcPr>
          <w:p w14:paraId="24794DE2" w14:textId="77777777" w:rsidR="00B83D5C" w:rsidRDefault="00B83D5C">
            <w:pPr>
              <w:jc w:val="center"/>
              <w:rPr>
                <w:color w:val="000000"/>
              </w:rPr>
            </w:pPr>
            <w:r>
              <w:rPr>
                <w:color w:val="000000"/>
              </w:rPr>
              <w:t>0</w:t>
            </w:r>
          </w:p>
        </w:tc>
        <w:tc>
          <w:tcPr>
            <w:tcW w:w="0" w:type="auto"/>
            <w:vAlign w:val="center"/>
            <w:hideMark/>
          </w:tcPr>
          <w:p w14:paraId="5CAD9CC9" w14:textId="77777777" w:rsidR="00B83D5C" w:rsidRDefault="00B83D5C">
            <w:pPr>
              <w:jc w:val="center"/>
              <w:rPr>
                <w:color w:val="000000"/>
              </w:rPr>
            </w:pPr>
            <w:r>
              <w:rPr>
                <w:color w:val="000000"/>
              </w:rPr>
              <w:t>0.000</w:t>
            </w:r>
          </w:p>
        </w:tc>
        <w:tc>
          <w:tcPr>
            <w:tcW w:w="1505" w:type="dxa"/>
            <w:vAlign w:val="center"/>
            <w:hideMark/>
          </w:tcPr>
          <w:p w14:paraId="0B64A204" w14:textId="77777777" w:rsidR="00B83D5C" w:rsidRDefault="00B83D5C">
            <w:pPr>
              <w:jc w:val="center"/>
              <w:rPr>
                <w:color w:val="000000"/>
              </w:rPr>
            </w:pPr>
          </w:p>
        </w:tc>
        <w:tc>
          <w:tcPr>
            <w:tcW w:w="1009" w:type="dxa"/>
            <w:vAlign w:val="center"/>
            <w:hideMark/>
          </w:tcPr>
          <w:p w14:paraId="2EA82282" w14:textId="77777777" w:rsidR="00B83D5C" w:rsidRDefault="00B83D5C">
            <w:pPr>
              <w:jc w:val="center"/>
              <w:rPr>
                <w:color w:val="000000"/>
              </w:rPr>
            </w:pPr>
            <w:r>
              <w:rPr>
                <w:color w:val="000000"/>
              </w:rPr>
              <w:t>4</w:t>
            </w:r>
          </w:p>
        </w:tc>
        <w:tc>
          <w:tcPr>
            <w:tcW w:w="0" w:type="auto"/>
            <w:vAlign w:val="center"/>
            <w:hideMark/>
          </w:tcPr>
          <w:p w14:paraId="0340B1C4" w14:textId="77777777" w:rsidR="00B83D5C" w:rsidRDefault="00B83D5C">
            <w:pPr>
              <w:jc w:val="center"/>
              <w:rPr>
                <w:color w:val="000000"/>
              </w:rPr>
            </w:pPr>
            <w:r>
              <w:rPr>
                <w:color w:val="000000"/>
              </w:rPr>
              <w:t>0</w:t>
            </w:r>
          </w:p>
        </w:tc>
        <w:tc>
          <w:tcPr>
            <w:tcW w:w="0" w:type="auto"/>
            <w:vAlign w:val="center"/>
            <w:hideMark/>
          </w:tcPr>
          <w:p w14:paraId="63F06C31" w14:textId="77777777" w:rsidR="00B83D5C" w:rsidRDefault="00B83D5C">
            <w:pPr>
              <w:jc w:val="center"/>
              <w:rPr>
                <w:color w:val="000000"/>
              </w:rPr>
            </w:pPr>
            <w:r>
              <w:rPr>
                <w:color w:val="000000"/>
              </w:rPr>
              <w:t>0.000</w:t>
            </w:r>
          </w:p>
        </w:tc>
      </w:tr>
      <w:tr w:rsidR="00B83D5C" w14:paraId="4898CD05" w14:textId="77777777" w:rsidTr="00B83D5C">
        <w:trPr>
          <w:tblCellSpacing w:w="15" w:type="dxa"/>
        </w:trPr>
        <w:tc>
          <w:tcPr>
            <w:tcW w:w="1035" w:type="dxa"/>
            <w:vAlign w:val="center"/>
            <w:hideMark/>
          </w:tcPr>
          <w:p w14:paraId="7CF44D3B" w14:textId="77777777" w:rsidR="00B83D5C" w:rsidRDefault="00B83D5C">
            <w:pPr>
              <w:rPr>
                <w:color w:val="000000"/>
              </w:rPr>
            </w:pPr>
            <w:r>
              <w:rPr>
                <w:color w:val="000000"/>
              </w:rPr>
              <w:t>113</w:t>
            </w:r>
          </w:p>
        </w:tc>
        <w:tc>
          <w:tcPr>
            <w:tcW w:w="1230" w:type="dxa"/>
            <w:vAlign w:val="center"/>
            <w:hideMark/>
          </w:tcPr>
          <w:p w14:paraId="4343D428" w14:textId="77777777" w:rsidR="00B83D5C" w:rsidRDefault="00B83D5C">
            <w:pPr>
              <w:rPr>
                <w:color w:val="000000"/>
              </w:rPr>
            </w:pPr>
          </w:p>
        </w:tc>
        <w:tc>
          <w:tcPr>
            <w:tcW w:w="929" w:type="dxa"/>
            <w:vAlign w:val="center"/>
            <w:hideMark/>
          </w:tcPr>
          <w:p w14:paraId="1C2EE8F6" w14:textId="77777777" w:rsidR="00B83D5C" w:rsidRDefault="00B83D5C">
            <w:pPr>
              <w:jc w:val="center"/>
              <w:rPr>
                <w:color w:val="000000"/>
              </w:rPr>
            </w:pPr>
            <w:r>
              <w:rPr>
                <w:color w:val="000000"/>
              </w:rPr>
              <w:t>8</w:t>
            </w:r>
          </w:p>
        </w:tc>
        <w:tc>
          <w:tcPr>
            <w:tcW w:w="0" w:type="auto"/>
            <w:vAlign w:val="center"/>
            <w:hideMark/>
          </w:tcPr>
          <w:p w14:paraId="4EABE475" w14:textId="77777777" w:rsidR="00B83D5C" w:rsidRDefault="00B83D5C">
            <w:pPr>
              <w:jc w:val="center"/>
              <w:rPr>
                <w:color w:val="000000"/>
              </w:rPr>
            </w:pPr>
            <w:r>
              <w:rPr>
                <w:color w:val="000000"/>
              </w:rPr>
              <w:t>0</w:t>
            </w:r>
          </w:p>
        </w:tc>
        <w:tc>
          <w:tcPr>
            <w:tcW w:w="0" w:type="auto"/>
            <w:vAlign w:val="center"/>
            <w:hideMark/>
          </w:tcPr>
          <w:p w14:paraId="33683419" w14:textId="77777777" w:rsidR="00B83D5C" w:rsidRDefault="00B83D5C">
            <w:pPr>
              <w:jc w:val="center"/>
              <w:rPr>
                <w:color w:val="000000"/>
              </w:rPr>
            </w:pPr>
            <w:r>
              <w:rPr>
                <w:color w:val="000000"/>
              </w:rPr>
              <w:t>0.000</w:t>
            </w:r>
          </w:p>
        </w:tc>
        <w:tc>
          <w:tcPr>
            <w:tcW w:w="1505" w:type="dxa"/>
            <w:vAlign w:val="center"/>
            <w:hideMark/>
          </w:tcPr>
          <w:p w14:paraId="3FA36385" w14:textId="77777777" w:rsidR="00B83D5C" w:rsidRDefault="00B83D5C">
            <w:pPr>
              <w:jc w:val="center"/>
              <w:rPr>
                <w:color w:val="000000"/>
              </w:rPr>
            </w:pPr>
          </w:p>
        </w:tc>
        <w:tc>
          <w:tcPr>
            <w:tcW w:w="1009" w:type="dxa"/>
            <w:vAlign w:val="center"/>
            <w:hideMark/>
          </w:tcPr>
          <w:p w14:paraId="7A2DC73F" w14:textId="77777777" w:rsidR="00B83D5C" w:rsidRDefault="00B83D5C">
            <w:pPr>
              <w:jc w:val="center"/>
              <w:rPr>
                <w:color w:val="000000"/>
              </w:rPr>
            </w:pPr>
            <w:r>
              <w:rPr>
                <w:color w:val="000000"/>
              </w:rPr>
              <w:t>4</w:t>
            </w:r>
          </w:p>
        </w:tc>
        <w:tc>
          <w:tcPr>
            <w:tcW w:w="0" w:type="auto"/>
            <w:vAlign w:val="center"/>
            <w:hideMark/>
          </w:tcPr>
          <w:p w14:paraId="4941A53C" w14:textId="77777777" w:rsidR="00B83D5C" w:rsidRDefault="00B83D5C">
            <w:pPr>
              <w:jc w:val="center"/>
              <w:rPr>
                <w:color w:val="000000"/>
              </w:rPr>
            </w:pPr>
            <w:r>
              <w:rPr>
                <w:color w:val="000000"/>
              </w:rPr>
              <w:t>0</w:t>
            </w:r>
          </w:p>
        </w:tc>
        <w:tc>
          <w:tcPr>
            <w:tcW w:w="0" w:type="auto"/>
            <w:vAlign w:val="center"/>
            <w:hideMark/>
          </w:tcPr>
          <w:p w14:paraId="766CD79E" w14:textId="77777777" w:rsidR="00B83D5C" w:rsidRDefault="00B83D5C">
            <w:pPr>
              <w:jc w:val="center"/>
              <w:rPr>
                <w:color w:val="000000"/>
              </w:rPr>
            </w:pPr>
            <w:r>
              <w:rPr>
                <w:color w:val="000000"/>
              </w:rPr>
              <w:t>0.000</w:t>
            </w:r>
          </w:p>
        </w:tc>
      </w:tr>
      <w:tr w:rsidR="00B83D5C" w14:paraId="324D7CB8" w14:textId="77777777" w:rsidTr="00B83D5C">
        <w:trPr>
          <w:tblCellSpacing w:w="15" w:type="dxa"/>
        </w:trPr>
        <w:tc>
          <w:tcPr>
            <w:tcW w:w="1035" w:type="dxa"/>
            <w:vAlign w:val="center"/>
            <w:hideMark/>
          </w:tcPr>
          <w:p w14:paraId="28FE2623" w14:textId="77777777" w:rsidR="00B83D5C" w:rsidRDefault="00B83D5C">
            <w:pPr>
              <w:rPr>
                <w:color w:val="000000"/>
              </w:rPr>
            </w:pPr>
            <w:r>
              <w:rPr>
                <w:color w:val="000000"/>
              </w:rPr>
              <w:t>114</w:t>
            </w:r>
          </w:p>
        </w:tc>
        <w:tc>
          <w:tcPr>
            <w:tcW w:w="1230" w:type="dxa"/>
            <w:vAlign w:val="center"/>
            <w:hideMark/>
          </w:tcPr>
          <w:p w14:paraId="3909E714" w14:textId="77777777" w:rsidR="00B83D5C" w:rsidRDefault="00B83D5C">
            <w:pPr>
              <w:rPr>
                <w:color w:val="000000"/>
              </w:rPr>
            </w:pPr>
          </w:p>
        </w:tc>
        <w:tc>
          <w:tcPr>
            <w:tcW w:w="929" w:type="dxa"/>
            <w:vAlign w:val="center"/>
            <w:hideMark/>
          </w:tcPr>
          <w:p w14:paraId="4BF2C65A" w14:textId="77777777" w:rsidR="00B83D5C" w:rsidRDefault="00B83D5C">
            <w:pPr>
              <w:jc w:val="center"/>
              <w:rPr>
                <w:color w:val="000000"/>
              </w:rPr>
            </w:pPr>
            <w:r>
              <w:rPr>
                <w:color w:val="000000"/>
              </w:rPr>
              <w:t>8</w:t>
            </w:r>
          </w:p>
        </w:tc>
        <w:tc>
          <w:tcPr>
            <w:tcW w:w="0" w:type="auto"/>
            <w:vAlign w:val="center"/>
            <w:hideMark/>
          </w:tcPr>
          <w:p w14:paraId="3BB04D9A" w14:textId="77777777" w:rsidR="00B83D5C" w:rsidRDefault="00B83D5C">
            <w:pPr>
              <w:jc w:val="center"/>
              <w:rPr>
                <w:color w:val="000000"/>
              </w:rPr>
            </w:pPr>
            <w:r>
              <w:rPr>
                <w:color w:val="000000"/>
              </w:rPr>
              <w:t>0</w:t>
            </w:r>
          </w:p>
        </w:tc>
        <w:tc>
          <w:tcPr>
            <w:tcW w:w="0" w:type="auto"/>
            <w:vAlign w:val="center"/>
            <w:hideMark/>
          </w:tcPr>
          <w:p w14:paraId="759DDDCA" w14:textId="77777777" w:rsidR="00B83D5C" w:rsidRDefault="00B83D5C">
            <w:pPr>
              <w:jc w:val="center"/>
              <w:rPr>
                <w:color w:val="000000"/>
              </w:rPr>
            </w:pPr>
            <w:r>
              <w:rPr>
                <w:color w:val="000000"/>
              </w:rPr>
              <w:t>0.000</w:t>
            </w:r>
          </w:p>
        </w:tc>
        <w:tc>
          <w:tcPr>
            <w:tcW w:w="1505" w:type="dxa"/>
            <w:vAlign w:val="center"/>
            <w:hideMark/>
          </w:tcPr>
          <w:p w14:paraId="44528E36" w14:textId="77777777" w:rsidR="00B83D5C" w:rsidRDefault="00B83D5C">
            <w:pPr>
              <w:jc w:val="center"/>
              <w:rPr>
                <w:color w:val="000000"/>
              </w:rPr>
            </w:pPr>
          </w:p>
        </w:tc>
        <w:tc>
          <w:tcPr>
            <w:tcW w:w="1009" w:type="dxa"/>
            <w:vAlign w:val="center"/>
            <w:hideMark/>
          </w:tcPr>
          <w:p w14:paraId="2E2682F6" w14:textId="77777777" w:rsidR="00B83D5C" w:rsidRDefault="00B83D5C">
            <w:pPr>
              <w:jc w:val="center"/>
              <w:rPr>
                <w:color w:val="000000"/>
              </w:rPr>
            </w:pPr>
            <w:r>
              <w:rPr>
                <w:color w:val="000000"/>
              </w:rPr>
              <w:t>4</w:t>
            </w:r>
          </w:p>
        </w:tc>
        <w:tc>
          <w:tcPr>
            <w:tcW w:w="0" w:type="auto"/>
            <w:vAlign w:val="center"/>
            <w:hideMark/>
          </w:tcPr>
          <w:p w14:paraId="167AECF0" w14:textId="77777777" w:rsidR="00B83D5C" w:rsidRDefault="00B83D5C">
            <w:pPr>
              <w:jc w:val="center"/>
              <w:rPr>
                <w:color w:val="000000"/>
              </w:rPr>
            </w:pPr>
            <w:r>
              <w:rPr>
                <w:color w:val="000000"/>
              </w:rPr>
              <w:t>0</w:t>
            </w:r>
          </w:p>
        </w:tc>
        <w:tc>
          <w:tcPr>
            <w:tcW w:w="0" w:type="auto"/>
            <w:vAlign w:val="center"/>
            <w:hideMark/>
          </w:tcPr>
          <w:p w14:paraId="04E0774D" w14:textId="77777777" w:rsidR="00B83D5C" w:rsidRDefault="00B83D5C">
            <w:pPr>
              <w:jc w:val="center"/>
              <w:rPr>
                <w:color w:val="000000"/>
              </w:rPr>
            </w:pPr>
            <w:r>
              <w:rPr>
                <w:color w:val="000000"/>
              </w:rPr>
              <w:t>0.000</w:t>
            </w:r>
          </w:p>
        </w:tc>
      </w:tr>
      <w:tr w:rsidR="00B83D5C" w14:paraId="7B75AC5A" w14:textId="77777777" w:rsidTr="00B83D5C">
        <w:trPr>
          <w:tblCellSpacing w:w="15" w:type="dxa"/>
        </w:trPr>
        <w:tc>
          <w:tcPr>
            <w:tcW w:w="1035" w:type="dxa"/>
            <w:vAlign w:val="center"/>
            <w:hideMark/>
          </w:tcPr>
          <w:p w14:paraId="61B67E13" w14:textId="77777777" w:rsidR="00B83D5C" w:rsidRDefault="00B83D5C">
            <w:pPr>
              <w:rPr>
                <w:color w:val="000000"/>
              </w:rPr>
            </w:pPr>
            <w:r>
              <w:rPr>
                <w:color w:val="000000"/>
              </w:rPr>
              <w:t>115</w:t>
            </w:r>
          </w:p>
        </w:tc>
        <w:tc>
          <w:tcPr>
            <w:tcW w:w="1230" w:type="dxa"/>
            <w:vAlign w:val="center"/>
            <w:hideMark/>
          </w:tcPr>
          <w:p w14:paraId="310F99F0" w14:textId="77777777" w:rsidR="00B83D5C" w:rsidRDefault="00B83D5C">
            <w:pPr>
              <w:rPr>
                <w:color w:val="000000"/>
              </w:rPr>
            </w:pPr>
          </w:p>
        </w:tc>
        <w:tc>
          <w:tcPr>
            <w:tcW w:w="929" w:type="dxa"/>
            <w:vAlign w:val="center"/>
            <w:hideMark/>
          </w:tcPr>
          <w:p w14:paraId="3E914968" w14:textId="77777777" w:rsidR="00B83D5C" w:rsidRDefault="00B83D5C">
            <w:pPr>
              <w:jc w:val="center"/>
              <w:rPr>
                <w:color w:val="000000"/>
              </w:rPr>
            </w:pPr>
            <w:r>
              <w:rPr>
                <w:color w:val="000000"/>
              </w:rPr>
              <w:t>7</w:t>
            </w:r>
          </w:p>
        </w:tc>
        <w:tc>
          <w:tcPr>
            <w:tcW w:w="0" w:type="auto"/>
            <w:vAlign w:val="center"/>
            <w:hideMark/>
          </w:tcPr>
          <w:p w14:paraId="66B9DD9E" w14:textId="77777777" w:rsidR="00B83D5C" w:rsidRDefault="00B83D5C">
            <w:pPr>
              <w:jc w:val="center"/>
              <w:rPr>
                <w:color w:val="000000"/>
              </w:rPr>
            </w:pPr>
            <w:r>
              <w:rPr>
                <w:color w:val="000000"/>
              </w:rPr>
              <w:t>1</w:t>
            </w:r>
          </w:p>
        </w:tc>
        <w:tc>
          <w:tcPr>
            <w:tcW w:w="0" w:type="auto"/>
            <w:vAlign w:val="center"/>
            <w:hideMark/>
          </w:tcPr>
          <w:p w14:paraId="0377D124" w14:textId="77777777" w:rsidR="00B83D5C" w:rsidRDefault="00B83D5C">
            <w:pPr>
              <w:jc w:val="center"/>
              <w:rPr>
                <w:color w:val="000000"/>
              </w:rPr>
            </w:pPr>
            <w:r>
              <w:rPr>
                <w:color w:val="000000"/>
              </w:rPr>
              <w:t>0.125</w:t>
            </w:r>
          </w:p>
        </w:tc>
        <w:tc>
          <w:tcPr>
            <w:tcW w:w="1505" w:type="dxa"/>
            <w:vAlign w:val="center"/>
            <w:hideMark/>
          </w:tcPr>
          <w:p w14:paraId="269F0448" w14:textId="77777777" w:rsidR="00B83D5C" w:rsidRDefault="00B83D5C">
            <w:pPr>
              <w:jc w:val="center"/>
              <w:rPr>
                <w:color w:val="000000"/>
              </w:rPr>
            </w:pPr>
          </w:p>
        </w:tc>
        <w:tc>
          <w:tcPr>
            <w:tcW w:w="1009" w:type="dxa"/>
            <w:vAlign w:val="center"/>
            <w:hideMark/>
          </w:tcPr>
          <w:p w14:paraId="3D740C75" w14:textId="77777777" w:rsidR="00B83D5C" w:rsidRDefault="00B83D5C">
            <w:pPr>
              <w:jc w:val="center"/>
              <w:rPr>
                <w:color w:val="000000"/>
              </w:rPr>
            </w:pPr>
            <w:r>
              <w:rPr>
                <w:color w:val="000000"/>
              </w:rPr>
              <w:t>4</w:t>
            </w:r>
          </w:p>
        </w:tc>
        <w:tc>
          <w:tcPr>
            <w:tcW w:w="0" w:type="auto"/>
            <w:vAlign w:val="center"/>
            <w:hideMark/>
          </w:tcPr>
          <w:p w14:paraId="280EB73A" w14:textId="77777777" w:rsidR="00B83D5C" w:rsidRDefault="00B83D5C">
            <w:pPr>
              <w:jc w:val="center"/>
              <w:rPr>
                <w:color w:val="000000"/>
              </w:rPr>
            </w:pPr>
            <w:r>
              <w:rPr>
                <w:color w:val="000000"/>
              </w:rPr>
              <w:t>0</w:t>
            </w:r>
          </w:p>
        </w:tc>
        <w:tc>
          <w:tcPr>
            <w:tcW w:w="0" w:type="auto"/>
            <w:vAlign w:val="center"/>
            <w:hideMark/>
          </w:tcPr>
          <w:p w14:paraId="5797F3ED" w14:textId="77777777" w:rsidR="00B83D5C" w:rsidRDefault="00B83D5C">
            <w:pPr>
              <w:jc w:val="center"/>
              <w:rPr>
                <w:color w:val="000000"/>
              </w:rPr>
            </w:pPr>
            <w:r>
              <w:rPr>
                <w:color w:val="000000"/>
              </w:rPr>
              <w:t>0.000</w:t>
            </w:r>
          </w:p>
        </w:tc>
      </w:tr>
      <w:tr w:rsidR="00B83D5C" w14:paraId="363BBFAE" w14:textId="77777777" w:rsidTr="00B83D5C">
        <w:trPr>
          <w:tblCellSpacing w:w="15" w:type="dxa"/>
        </w:trPr>
        <w:tc>
          <w:tcPr>
            <w:tcW w:w="1035" w:type="dxa"/>
            <w:vAlign w:val="center"/>
            <w:hideMark/>
          </w:tcPr>
          <w:p w14:paraId="6C61F00E" w14:textId="77777777" w:rsidR="00B83D5C" w:rsidRDefault="00B83D5C">
            <w:pPr>
              <w:rPr>
                <w:color w:val="000000"/>
              </w:rPr>
            </w:pPr>
            <w:r>
              <w:rPr>
                <w:color w:val="000000"/>
              </w:rPr>
              <w:t>116</w:t>
            </w:r>
          </w:p>
        </w:tc>
        <w:tc>
          <w:tcPr>
            <w:tcW w:w="1230" w:type="dxa"/>
            <w:vAlign w:val="center"/>
            <w:hideMark/>
          </w:tcPr>
          <w:p w14:paraId="04433091" w14:textId="77777777" w:rsidR="00B83D5C" w:rsidRDefault="00B83D5C">
            <w:pPr>
              <w:rPr>
                <w:color w:val="000000"/>
              </w:rPr>
            </w:pPr>
          </w:p>
        </w:tc>
        <w:tc>
          <w:tcPr>
            <w:tcW w:w="929" w:type="dxa"/>
            <w:vAlign w:val="center"/>
            <w:hideMark/>
          </w:tcPr>
          <w:p w14:paraId="20AAD84F" w14:textId="77777777" w:rsidR="00B83D5C" w:rsidRDefault="00B83D5C">
            <w:pPr>
              <w:jc w:val="center"/>
              <w:rPr>
                <w:color w:val="000000"/>
              </w:rPr>
            </w:pPr>
            <w:r>
              <w:rPr>
                <w:color w:val="000000"/>
              </w:rPr>
              <w:t>7</w:t>
            </w:r>
          </w:p>
        </w:tc>
        <w:tc>
          <w:tcPr>
            <w:tcW w:w="0" w:type="auto"/>
            <w:vAlign w:val="center"/>
            <w:hideMark/>
          </w:tcPr>
          <w:p w14:paraId="553919ED" w14:textId="77777777" w:rsidR="00B83D5C" w:rsidRDefault="00B83D5C">
            <w:pPr>
              <w:jc w:val="center"/>
              <w:rPr>
                <w:color w:val="000000"/>
              </w:rPr>
            </w:pPr>
            <w:r>
              <w:rPr>
                <w:color w:val="000000"/>
              </w:rPr>
              <w:t>1</w:t>
            </w:r>
          </w:p>
        </w:tc>
        <w:tc>
          <w:tcPr>
            <w:tcW w:w="0" w:type="auto"/>
            <w:vAlign w:val="center"/>
            <w:hideMark/>
          </w:tcPr>
          <w:p w14:paraId="0AA48107" w14:textId="77777777" w:rsidR="00B83D5C" w:rsidRDefault="00B83D5C">
            <w:pPr>
              <w:jc w:val="center"/>
              <w:rPr>
                <w:color w:val="000000"/>
              </w:rPr>
            </w:pPr>
            <w:r>
              <w:rPr>
                <w:color w:val="000000"/>
              </w:rPr>
              <w:t>0.125</w:t>
            </w:r>
          </w:p>
        </w:tc>
        <w:tc>
          <w:tcPr>
            <w:tcW w:w="1505" w:type="dxa"/>
            <w:vAlign w:val="center"/>
            <w:hideMark/>
          </w:tcPr>
          <w:p w14:paraId="63F69A8B" w14:textId="77777777" w:rsidR="00B83D5C" w:rsidRDefault="00B83D5C">
            <w:pPr>
              <w:jc w:val="center"/>
              <w:rPr>
                <w:color w:val="000000"/>
              </w:rPr>
            </w:pPr>
          </w:p>
        </w:tc>
        <w:tc>
          <w:tcPr>
            <w:tcW w:w="1009" w:type="dxa"/>
            <w:vAlign w:val="center"/>
            <w:hideMark/>
          </w:tcPr>
          <w:p w14:paraId="0693BEC3" w14:textId="77777777" w:rsidR="00B83D5C" w:rsidRDefault="00B83D5C">
            <w:pPr>
              <w:jc w:val="center"/>
              <w:rPr>
                <w:color w:val="000000"/>
              </w:rPr>
            </w:pPr>
            <w:r>
              <w:rPr>
                <w:color w:val="000000"/>
              </w:rPr>
              <w:t>4</w:t>
            </w:r>
          </w:p>
        </w:tc>
        <w:tc>
          <w:tcPr>
            <w:tcW w:w="0" w:type="auto"/>
            <w:vAlign w:val="center"/>
            <w:hideMark/>
          </w:tcPr>
          <w:p w14:paraId="6D09E068" w14:textId="77777777" w:rsidR="00B83D5C" w:rsidRDefault="00B83D5C">
            <w:pPr>
              <w:jc w:val="center"/>
              <w:rPr>
                <w:color w:val="000000"/>
              </w:rPr>
            </w:pPr>
            <w:r>
              <w:rPr>
                <w:color w:val="000000"/>
              </w:rPr>
              <w:t>0</w:t>
            </w:r>
          </w:p>
        </w:tc>
        <w:tc>
          <w:tcPr>
            <w:tcW w:w="0" w:type="auto"/>
            <w:vAlign w:val="center"/>
            <w:hideMark/>
          </w:tcPr>
          <w:p w14:paraId="2EF2DE02" w14:textId="77777777" w:rsidR="00B83D5C" w:rsidRDefault="00B83D5C">
            <w:pPr>
              <w:jc w:val="center"/>
              <w:rPr>
                <w:color w:val="000000"/>
              </w:rPr>
            </w:pPr>
            <w:r>
              <w:rPr>
                <w:color w:val="000000"/>
              </w:rPr>
              <w:t>0.000</w:t>
            </w:r>
          </w:p>
        </w:tc>
      </w:tr>
      <w:tr w:rsidR="00B83D5C" w14:paraId="3231B6FE" w14:textId="77777777" w:rsidTr="00B83D5C">
        <w:trPr>
          <w:tblCellSpacing w:w="15" w:type="dxa"/>
        </w:trPr>
        <w:tc>
          <w:tcPr>
            <w:tcW w:w="1035" w:type="dxa"/>
            <w:vAlign w:val="center"/>
            <w:hideMark/>
          </w:tcPr>
          <w:p w14:paraId="2D353E98" w14:textId="77777777" w:rsidR="00B83D5C" w:rsidRDefault="00B83D5C">
            <w:pPr>
              <w:rPr>
                <w:color w:val="000000"/>
              </w:rPr>
            </w:pPr>
            <w:r>
              <w:rPr>
                <w:color w:val="000000"/>
              </w:rPr>
              <w:t>117</w:t>
            </w:r>
          </w:p>
        </w:tc>
        <w:tc>
          <w:tcPr>
            <w:tcW w:w="1230" w:type="dxa"/>
            <w:vAlign w:val="center"/>
            <w:hideMark/>
          </w:tcPr>
          <w:p w14:paraId="6EAF1286" w14:textId="77777777" w:rsidR="00B83D5C" w:rsidRDefault="00B83D5C">
            <w:pPr>
              <w:rPr>
                <w:color w:val="000000"/>
              </w:rPr>
            </w:pPr>
          </w:p>
        </w:tc>
        <w:tc>
          <w:tcPr>
            <w:tcW w:w="929" w:type="dxa"/>
            <w:vAlign w:val="center"/>
            <w:hideMark/>
          </w:tcPr>
          <w:p w14:paraId="4D669F8E" w14:textId="77777777" w:rsidR="00B83D5C" w:rsidRDefault="00B83D5C">
            <w:pPr>
              <w:jc w:val="center"/>
              <w:rPr>
                <w:color w:val="000000"/>
              </w:rPr>
            </w:pPr>
            <w:r>
              <w:rPr>
                <w:color w:val="000000"/>
              </w:rPr>
              <w:t>6</w:t>
            </w:r>
          </w:p>
        </w:tc>
        <w:tc>
          <w:tcPr>
            <w:tcW w:w="0" w:type="auto"/>
            <w:vAlign w:val="center"/>
            <w:hideMark/>
          </w:tcPr>
          <w:p w14:paraId="7503F49B" w14:textId="77777777" w:rsidR="00B83D5C" w:rsidRDefault="00B83D5C">
            <w:pPr>
              <w:jc w:val="center"/>
              <w:rPr>
                <w:color w:val="000000"/>
              </w:rPr>
            </w:pPr>
            <w:r>
              <w:rPr>
                <w:color w:val="000000"/>
              </w:rPr>
              <w:t>2</w:t>
            </w:r>
          </w:p>
        </w:tc>
        <w:tc>
          <w:tcPr>
            <w:tcW w:w="0" w:type="auto"/>
            <w:vAlign w:val="center"/>
            <w:hideMark/>
          </w:tcPr>
          <w:p w14:paraId="33CBDF56" w14:textId="77777777" w:rsidR="00B83D5C" w:rsidRDefault="00B83D5C">
            <w:pPr>
              <w:jc w:val="center"/>
              <w:rPr>
                <w:color w:val="000000"/>
              </w:rPr>
            </w:pPr>
            <w:r>
              <w:rPr>
                <w:color w:val="000000"/>
              </w:rPr>
              <w:t>0.250</w:t>
            </w:r>
          </w:p>
        </w:tc>
        <w:tc>
          <w:tcPr>
            <w:tcW w:w="1505" w:type="dxa"/>
            <w:vAlign w:val="center"/>
            <w:hideMark/>
          </w:tcPr>
          <w:p w14:paraId="2F43B7FE" w14:textId="77777777" w:rsidR="00B83D5C" w:rsidRDefault="00B83D5C">
            <w:pPr>
              <w:jc w:val="center"/>
              <w:rPr>
                <w:color w:val="000000"/>
              </w:rPr>
            </w:pPr>
          </w:p>
        </w:tc>
        <w:tc>
          <w:tcPr>
            <w:tcW w:w="1009" w:type="dxa"/>
            <w:vAlign w:val="center"/>
            <w:hideMark/>
          </w:tcPr>
          <w:p w14:paraId="53F64544" w14:textId="77777777" w:rsidR="00B83D5C" w:rsidRDefault="00B83D5C">
            <w:pPr>
              <w:jc w:val="center"/>
              <w:rPr>
                <w:color w:val="000000"/>
              </w:rPr>
            </w:pPr>
            <w:r>
              <w:rPr>
                <w:color w:val="000000"/>
              </w:rPr>
              <w:t>4</w:t>
            </w:r>
          </w:p>
        </w:tc>
        <w:tc>
          <w:tcPr>
            <w:tcW w:w="0" w:type="auto"/>
            <w:vAlign w:val="center"/>
            <w:hideMark/>
          </w:tcPr>
          <w:p w14:paraId="29CC322C" w14:textId="77777777" w:rsidR="00B83D5C" w:rsidRDefault="00B83D5C">
            <w:pPr>
              <w:jc w:val="center"/>
              <w:rPr>
                <w:color w:val="000000"/>
              </w:rPr>
            </w:pPr>
            <w:r>
              <w:rPr>
                <w:color w:val="000000"/>
              </w:rPr>
              <w:t>0</w:t>
            </w:r>
          </w:p>
        </w:tc>
        <w:tc>
          <w:tcPr>
            <w:tcW w:w="0" w:type="auto"/>
            <w:vAlign w:val="center"/>
            <w:hideMark/>
          </w:tcPr>
          <w:p w14:paraId="19AD8E1D" w14:textId="77777777" w:rsidR="00B83D5C" w:rsidRDefault="00B83D5C">
            <w:pPr>
              <w:jc w:val="center"/>
              <w:rPr>
                <w:color w:val="000000"/>
              </w:rPr>
            </w:pPr>
            <w:r>
              <w:rPr>
                <w:color w:val="000000"/>
              </w:rPr>
              <w:t>0.000</w:t>
            </w:r>
          </w:p>
        </w:tc>
      </w:tr>
      <w:tr w:rsidR="00B83D5C" w14:paraId="46B8F0C9" w14:textId="77777777" w:rsidTr="00B83D5C">
        <w:trPr>
          <w:tblCellSpacing w:w="15" w:type="dxa"/>
        </w:trPr>
        <w:tc>
          <w:tcPr>
            <w:tcW w:w="1035" w:type="dxa"/>
            <w:vAlign w:val="center"/>
            <w:hideMark/>
          </w:tcPr>
          <w:p w14:paraId="3845FA8D" w14:textId="77777777" w:rsidR="00B83D5C" w:rsidRDefault="00B83D5C">
            <w:pPr>
              <w:rPr>
                <w:color w:val="000000"/>
              </w:rPr>
            </w:pPr>
            <w:r>
              <w:rPr>
                <w:color w:val="000000"/>
              </w:rPr>
              <w:t>118</w:t>
            </w:r>
          </w:p>
        </w:tc>
        <w:tc>
          <w:tcPr>
            <w:tcW w:w="1230" w:type="dxa"/>
            <w:vAlign w:val="center"/>
            <w:hideMark/>
          </w:tcPr>
          <w:p w14:paraId="6FA9C99D" w14:textId="77777777" w:rsidR="00B83D5C" w:rsidRDefault="00B83D5C">
            <w:pPr>
              <w:rPr>
                <w:color w:val="000000"/>
              </w:rPr>
            </w:pPr>
          </w:p>
        </w:tc>
        <w:tc>
          <w:tcPr>
            <w:tcW w:w="929" w:type="dxa"/>
            <w:vAlign w:val="center"/>
            <w:hideMark/>
          </w:tcPr>
          <w:p w14:paraId="5FA8766F" w14:textId="77777777" w:rsidR="00B83D5C" w:rsidRDefault="00B83D5C">
            <w:pPr>
              <w:jc w:val="center"/>
              <w:rPr>
                <w:color w:val="000000"/>
              </w:rPr>
            </w:pPr>
            <w:r>
              <w:rPr>
                <w:color w:val="000000"/>
              </w:rPr>
              <w:t>6</w:t>
            </w:r>
          </w:p>
        </w:tc>
        <w:tc>
          <w:tcPr>
            <w:tcW w:w="0" w:type="auto"/>
            <w:vAlign w:val="center"/>
            <w:hideMark/>
          </w:tcPr>
          <w:p w14:paraId="5CD45777" w14:textId="77777777" w:rsidR="00B83D5C" w:rsidRDefault="00B83D5C">
            <w:pPr>
              <w:jc w:val="center"/>
              <w:rPr>
                <w:color w:val="000000"/>
              </w:rPr>
            </w:pPr>
            <w:r>
              <w:rPr>
                <w:color w:val="000000"/>
              </w:rPr>
              <w:t>2</w:t>
            </w:r>
          </w:p>
        </w:tc>
        <w:tc>
          <w:tcPr>
            <w:tcW w:w="0" w:type="auto"/>
            <w:vAlign w:val="center"/>
            <w:hideMark/>
          </w:tcPr>
          <w:p w14:paraId="592C5396" w14:textId="77777777" w:rsidR="00B83D5C" w:rsidRDefault="00B83D5C">
            <w:pPr>
              <w:jc w:val="center"/>
              <w:rPr>
                <w:color w:val="000000"/>
              </w:rPr>
            </w:pPr>
            <w:r>
              <w:rPr>
                <w:color w:val="000000"/>
              </w:rPr>
              <w:t>0.250</w:t>
            </w:r>
          </w:p>
        </w:tc>
        <w:tc>
          <w:tcPr>
            <w:tcW w:w="1505" w:type="dxa"/>
            <w:vAlign w:val="center"/>
            <w:hideMark/>
          </w:tcPr>
          <w:p w14:paraId="148F75CA" w14:textId="77777777" w:rsidR="00B83D5C" w:rsidRDefault="00B83D5C">
            <w:pPr>
              <w:jc w:val="center"/>
              <w:rPr>
                <w:color w:val="000000"/>
              </w:rPr>
            </w:pPr>
          </w:p>
        </w:tc>
        <w:tc>
          <w:tcPr>
            <w:tcW w:w="1009" w:type="dxa"/>
            <w:vAlign w:val="center"/>
            <w:hideMark/>
          </w:tcPr>
          <w:p w14:paraId="5EA6871F" w14:textId="77777777" w:rsidR="00B83D5C" w:rsidRDefault="00B83D5C">
            <w:pPr>
              <w:jc w:val="center"/>
              <w:rPr>
                <w:color w:val="000000"/>
              </w:rPr>
            </w:pPr>
            <w:r>
              <w:rPr>
                <w:color w:val="000000"/>
              </w:rPr>
              <w:t>4</w:t>
            </w:r>
          </w:p>
        </w:tc>
        <w:tc>
          <w:tcPr>
            <w:tcW w:w="0" w:type="auto"/>
            <w:vAlign w:val="center"/>
            <w:hideMark/>
          </w:tcPr>
          <w:p w14:paraId="359A87B4" w14:textId="77777777" w:rsidR="00B83D5C" w:rsidRDefault="00B83D5C">
            <w:pPr>
              <w:jc w:val="center"/>
              <w:rPr>
                <w:color w:val="000000"/>
              </w:rPr>
            </w:pPr>
            <w:r>
              <w:rPr>
                <w:color w:val="000000"/>
              </w:rPr>
              <w:t>0</w:t>
            </w:r>
          </w:p>
        </w:tc>
        <w:tc>
          <w:tcPr>
            <w:tcW w:w="0" w:type="auto"/>
            <w:vAlign w:val="center"/>
            <w:hideMark/>
          </w:tcPr>
          <w:p w14:paraId="0454DD42" w14:textId="77777777" w:rsidR="00B83D5C" w:rsidRDefault="00B83D5C">
            <w:pPr>
              <w:jc w:val="center"/>
              <w:rPr>
                <w:color w:val="000000"/>
              </w:rPr>
            </w:pPr>
            <w:r>
              <w:rPr>
                <w:color w:val="000000"/>
              </w:rPr>
              <w:t>0.000</w:t>
            </w:r>
          </w:p>
        </w:tc>
      </w:tr>
      <w:tr w:rsidR="00B83D5C" w14:paraId="67BB3A5B" w14:textId="77777777" w:rsidTr="00B83D5C">
        <w:trPr>
          <w:tblCellSpacing w:w="15" w:type="dxa"/>
        </w:trPr>
        <w:tc>
          <w:tcPr>
            <w:tcW w:w="1035" w:type="dxa"/>
            <w:vAlign w:val="center"/>
            <w:hideMark/>
          </w:tcPr>
          <w:p w14:paraId="3FFA379F" w14:textId="77777777" w:rsidR="00B83D5C" w:rsidRDefault="00B83D5C">
            <w:pPr>
              <w:rPr>
                <w:color w:val="000000"/>
              </w:rPr>
            </w:pPr>
            <w:r>
              <w:rPr>
                <w:color w:val="000000"/>
              </w:rPr>
              <w:t>119</w:t>
            </w:r>
          </w:p>
        </w:tc>
        <w:tc>
          <w:tcPr>
            <w:tcW w:w="1230" w:type="dxa"/>
            <w:vAlign w:val="center"/>
            <w:hideMark/>
          </w:tcPr>
          <w:p w14:paraId="7D34981D" w14:textId="77777777" w:rsidR="00B83D5C" w:rsidRDefault="00B83D5C">
            <w:pPr>
              <w:rPr>
                <w:color w:val="000000"/>
              </w:rPr>
            </w:pPr>
          </w:p>
        </w:tc>
        <w:tc>
          <w:tcPr>
            <w:tcW w:w="929" w:type="dxa"/>
            <w:vAlign w:val="center"/>
            <w:hideMark/>
          </w:tcPr>
          <w:p w14:paraId="65BC8A11" w14:textId="77777777" w:rsidR="00B83D5C" w:rsidRDefault="00B83D5C">
            <w:pPr>
              <w:jc w:val="center"/>
              <w:rPr>
                <w:color w:val="000000"/>
              </w:rPr>
            </w:pPr>
            <w:r>
              <w:rPr>
                <w:color w:val="000000"/>
              </w:rPr>
              <w:t>5</w:t>
            </w:r>
          </w:p>
        </w:tc>
        <w:tc>
          <w:tcPr>
            <w:tcW w:w="0" w:type="auto"/>
            <w:vAlign w:val="center"/>
            <w:hideMark/>
          </w:tcPr>
          <w:p w14:paraId="0D099FFF" w14:textId="77777777" w:rsidR="00B83D5C" w:rsidRDefault="00B83D5C">
            <w:pPr>
              <w:jc w:val="center"/>
              <w:rPr>
                <w:color w:val="000000"/>
              </w:rPr>
            </w:pPr>
            <w:r>
              <w:rPr>
                <w:color w:val="000000"/>
              </w:rPr>
              <w:t>3</w:t>
            </w:r>
          </w:p>
        </w:tc>
        <w:tc>
          <w:tcPr>
            <w:tcW w:w="0" w:type="auto"/>
            <w:vAlign w:val="center"/>
            <w:hideMark/>
          </w:tcPr>
          <w:p w14:paraId="454BA9BE" w14:textId="77777777" w:rsidR="00B83D5C" w:rsidRDefault="00B83D5C">
            <w:pPr>
              <w:jc w:val="center"/>
              <w:rPr>
                <w:color w:val="000000"/>
              </w:rPr>
            </w:pPr>
            <w:r>
              <w:rPr>
                <w:color w:val="000000"/>
              </w:rPr>
              <w:t>0.375</w:t>
            </w:r>
          </w:p>
        </w:tc>
        <w:tc>
          <w:tcPr>
            <w:tcW w:w="1505" w:type="dxa"/>
            <w:vAlign w:val="center"/>
            <w:hideMark/>
          </w:tcPr>
          <w:p w14:paraId="02BBA908" w14:textId="77777777" w:rsidR="00B83D5C" w:rsidRDefault="00B83D5C">
            <w:pPr>
              <w:jc w:val="center"/>
              <w:rPr>
                <w:color w:val="000000"/>
              </w:rPr>
            </w:pPr>
          </w:p>
        </w:tc>
        <w:tc>
          <w:tcPr>
            <w:tcW w:w="1009" w:type="dxa"/>
            <w:vAlign w:val="center"/>
            <w:hideMark/>
          </w:tcPr>
          <w:p w14:paraId="74504490" w14:textId="77777777" w:rsidR="00B83D5C" w:rsidRDefault="00B83D5C">
            <w:pPr>
              <w:jc w:val="center"/>
              <w:rPr>
                <w:color w:val="000000"/>
              </w:rPr>
            </w:pPr>
            <w:r>
              <w:rPr>
                <w:color w:val="000000"/>
              </w:rPr>
              <w:t>4</w:t>
            </w:r>
          </w:p>
        </w:tc>
        <w:tc>
          <w:tcPr>
            <w:tcW w:w="0" w:type="auto"/>
            <w:vAlign w:val="center"/>
            <w:hideMark/>
          </w:tcPr>
          <w:p w14:paraId="46632C0B" w14:textId="77777777" w:rsidR="00B83D5C" w:rsidRDefault="00B83D5C">
            <w:pPr>
              <w:jc w:val="center"/>
              <w:rPr>
                <w:color w:val="000000"/>
              </w:rPr>
            </w:pPr>
            <w:r>
              <w:rPr>
                <w:color w:val="000000"/>
              </w:rPr>
              <w:t>0</w:t>
            </w:r>
          </w:p>
        </w:tc>
        <w:tc>
          <w:tcPr>
            <w:tcW w:w="0" w:type="auto"/>
            <w:vAlign w:val="center"/>
            <w:hideMark/>
          </w:tcPr>
          <w:p w14:paraId="659D89C5" w14:textId="77777777" w:rsidR="00B83D5C" w:rsidRDefault="00B83D5C">
            <w:pPr>
              <w:jc w:val="center"/>
              <w:rPr>
                <w:color w:val="000000"/>
              </w:rPr>
            </w:pPr>
            <w:r>
              <w:rPr>
                <w:color w:val="000000"/>
              </w:rPr>
              <w:t>0.000</w:t>
            </w:r>
          </w:p>
        </w:tc>
      </w:tr>
      <w:tr w:rsidR="00B83D5C" w14:paraId="5F78D04A" w14:textId="77777777" w:rsidTr="00B83D5C">
        <w:trPr>
          <w:tblCellSpacing w:w="15" w:type="dxa"/>
        </w:trPr>
        <w:tc>
          <w:tcPr>
            <w:tcW w:w="1035" w:type="dxa"/>
            <w:vAlign w:val="center"/>
            <w:hideMark/>
          </w:tcPr>
          <w:p w14:paraId="14BAB590" w14:textId="77777777" w:rsidR="00B83D5C" w:rsidRDefault="00B83D5C">
            <w:pPr>
              <w:rPr>
                <w:color w:val="000000"/>
              </w:rPr>
            </w:pPr>
            <w:r>
              <w:rPr>
                <w:color w:val="000000"/>
              </w:rPr>
              <w:t>120</w:t>
            </w:r>
          </w:p>
        </w:tc>
        <w:tc>
          <w:tcPr>
            <w:tcW w:w="1230" w:type="dxa"/>
            <w:vAlign w:val="center"/>
            <w:hideMark/>
          </w:tcPr>
          <w:p w14:paraId="59D41C7E" w14:textId="77777777" w:rsidR="00B83D5C" w:rsidRDefault="00B83D5C">
            <w:pPr>
              <w:rPr>
                <w:color w:val="000000"/>
              </w:rPr>
            </w:pPr>
          </w:p>
        </w:tc>
        <w:tc>
          <w:tcPr>
            <w:tcW w:w="929" w:type="dxa"/>
            <w:vAlign w:val="center"/>
            <w:hideMark/>
          </w:tcPr>
          <w:p w14:paraId="3955FD0B" w14:textId="77777777" w:rsidR="00B83D5C" w:rsidRDefault="00B83D5C">
            <w:pPr>
              <w:jc w:val="center"/>
              <w:rPr>
                <w:color w:val="000000"/>
              </w:rPr>
            </w:pPr>
            <w:r>
              <w:rPr>
                <w:color w:val="000000"/>
              </w:rPr>
              <w:t>3</w:t>
            </w:r>
          </w:p>
        </w:tc>
        <w:tc>
          <w:tcPr>
            <w:tcW w:w="0" w:type="auto"/>
            <w:vAlign w:val="center"/>
            <w:hideMark/>
          </w:tcPr>
          <w:p w14:paraId="32D95EB9" w14:textId="77777777" w:rsidR="00B83D5C" w:rsidRDefault="00B83D5C">
            <w:pPr>
              <w:jc w:val="center"/>
              <w:rPr>
                <w:color w:val="000000"/>
              </w:rPr>
            </w:pPr>
            <w:r>
              <w:rPr>
                <w:color w:val="000000"/>
              </w:rPr>
              <w:t>5</w:t>
            </w:r>
          </w:p>
        </w:tc>
        <w:tc>
          <w:tcPr>
            <w:tcW w:w="0" w:type="auto"/>
            <w:vAlign w:val="center"/>
            <w:hideMark/>
          </w:tcPr>
          <w:p w14:paraId="58139CDF" w14:textId="77777777" w:rsidR="00B83D5C" w:rsidRDefault="00B83D5C">
            <w:pPr>
              <w:jc w:val="center"/>
              <w:rPr>
                <w:color w:val="000000"/>
              </w:rPr>
            </w:pPr>
            <w:r>
              <w:rPr>
                <w:color w:val="000000"/>
              </w:rPr>
              <w:t>0.625</w:t>
            </w:r>
          </w:p>
        </w:tc>
        <w:tc>
          <w:tcPr>
            <w:tcW w:w="1505" w:type="dxa"/>
            <w:vAlign w:val="center"/>
            <w:hideMark/>
          </w:tcPr>
          <w:p w14:paraId="037603A9" w14:textId="77777777" w:rsidR="00B83D5C" w:rsidRDefault="00B83D5C">
            <w:pPr>
              <w:jc w:val="center"/>
              <w:rPr>
                <w:color w:val="000000"/>
              </w:rPr>
            </w:pPr>
          </w:p>
        </w:tc>
        <w:tc>
          <w:tcPr>
            <w:tcW w:w="1009" w:type="dxa"/>
            <w:vAlign w:val="center"/>
            <w:hideMark/>
          </w:tcPr>
          <w:p w14:paraId="61772C68" w14:textId="77777777" w:rsidR="00B83D5C" w:rsidRDefault="00B83D5C">
            <w:pPr>
              <w:jc w:val="center"/>
              <w:rPr>
                <w:color w:val="000000"/>
              </w:rPr>
            </w:pPr>
            <w:r>
              <w:rPr>
                <w:color w:val="000000"/>
              </w:rPr>
              <w:t>2</w:t>
            </w:r>
          </w:p>
        </w:tc>
        <w:tc>
          <w:tcPr>
            <w:tcW w:w="0" w:type="auto"/>
            <w:vAlign w:val="center"/>
            <w:hideMark/>
          </w:tcPr>
          <w:p w14:paraId="33EF6C98" w14:textId="77777777" w:rsidR="00B83D5C" w:rsidRDefault="00B83D5C">
            <w:pPr>
              <w:jc w:val="center"/>
              <w:rPr>
                <w:color w:val="000000"/>
              </w:rPr>
            </w:pPr>
            <w:r>
              <w:rPr>
                <w:color w:val="000000"/>
              </w:rPr>
              <w:t>2</w:t>
            </w:r>
          </w:p>
        </w:tc>
        <w:tc>
          <w:tcPr>
            <w:tcW w:w="0" w:type="auto"/>
            <w:vAlign w:val="center"/>
            <w:hideMark/>
          </w:tcPr>
          <w:p w14:paraId="0325E2C2" w14:textId="77777777" w:rsidR="00B83D5C" w:rsidRDefault="00B83D5C">
            <w:pPr>
              <w:jc w:val="center"/>
              <w:rPr>
                <w:color w:val="000000"/>
              </w:rPr>
            </w:pPr>
            <w:r>
              <w:rPr>
                <w:color w:val="000000"/>
              </w:rPr>
              <w:t>0.500</w:t>
            </w:r>
          </w:p>
        </w:tc>
      </w:tr>
      <w:tr w:rsidR="00B83D5C" w14:paraId="13D46F5E" w14:textId="77777777" w:rsidTr="00B83D5C">
        <w:trPr>
          <w:tblCellSpacing w:w="15" w:type="dxa"/>
        </w:trPr>
        <w:tc>
          <w:tcPr>
            <w:tcW w:w="1035" w:type="dxa"/>
            <w:vAlign w:val="center"/>
            <w:hideMark/>
          </w:tcPr>
          <w:p w14:paraId="38DBA058" w14:textId="77777777" w:rsidR="00B83D5C" w:rsidRDefault="00B83D5C">
            <w:pPr>
              <w:rPr>
                <w:color w:val="000000"/>
              </w:rPr>
            </w:pPr>
            <w:r>
              <w:rPr>
                <w:color w:val="000000"/>
              </w:rPr>
              <w:t>121</w:t>
            </w:r>
          </w:p>
        </w:tc>
        <w:tc>
          <w:tcPr>
            <w:tcW w:w="1230" w:type="dxa"/>
            <w:vAlign w:val="center"/>
            <w:hideMark/>
          </w:tcPr>
          <w:p w14:paraId="5CA32B4E" w14:textId="77777777" w:rsidR="00B83D5C" w:rsidRDefault="00B83D5C">
            <w:pPr>
              <w:rPr>
                <w:color w:val="000000"/>
              </w:rPr>
            </w:pPr>
          </w:p>
        </w:tc>
        <w:tc>
          <w:tcPr>
            <w:tcW w:w="929" w:type="dxa"/>
            <w:vAlign w:val="center"/>
            <w:hideMark/>
          </w:tcPr>
          <w:p w14:paraId="7AC13948" w14:textId="77777777" w:rsidR="00B83D5C" w:rsidRDefault="00B83D5C">
            <w:pPr>
              <w:jc w:val="center"/>
              <w:rPr>
                <w:color w:val="000000"/>
              </w:rPr>
            </w:pPr>
            <w:r>
              <w:rPr>
                <w:color w:val="000000"/>
              </w:rPr>
              <w:t>3</w:t>
            </w:r>
          </w:p>
        </w:tc>
        <w:tc>
          <w:tcPr>
            <w:tcW w:w="0" w:type="auto"/>
            <w:vAlign w:val="center"/>
            <w:hideMark/>
          </w:tcPr>
          <w:p w14:paraId="61BF7936" w14:textId="77777777" w:rsidR="00B83D5C" w:rsidRDefault="00B83D5C">
            <w:pPr>
              <w:jc w:val="center"/>
              <w:rPr>
                <w:color w:val="000000"/>
              </w:rPr>
            </w:pPr>
            <w:r>
              <w:rPr>
                <w:color w:val="000000"/>
              </w:rPr>
              <w:t>5</w:t>
            </w:r>
          </w:p>
        </w:tc>
        <w:tc>
          <w:tcPr>
            <w:tcW w:w="0" w:type="auto"/>
            <w:vAlign w:val="center"/>
            <w:hideMark/>
          </w:tcPr>
          <w:p w14:paraId="099A08C7" w14:textId="77777777" w:rsidR="00B83D5C" w:rsidRDefault="00B83D5C">
            <w:pPr>
              <w:jc w:val="center"/>
              <w:rPr>
                <w:color w:val="000000"/>
              </w:rPr>
            </w:pPr>
            <w:r>
              <w:rPr>
                <w:color w:val="000000"/>
              </w:rPr>
              <w:t>0.625</w:t>
            </w:r>
          </w:p>
        </w:tc>
        <w:tc>
          <w:tcPr>
            <w:tcW w:w="1505" w:type="dxa"/>
            <w:vAlign w:val="center"/>
            <w:hideMark/>
          </w:tcPr>
          <w:p w14:paraId="754F6CF1" w14:textId="77777777" w:rsidR="00B83D5C" w:rsidRDefault="00B83D5C">
            <w:pPr>
              <w:jc w:val="center"/>
              <w:rPr>
                <w:color w:val="000000"/>
              </w:rPr>
            </w:pPr>
          </w:p>
        </w:tc>
        <w:tc>
          <w:tcPr>
            <w:tcW w:w="1009" w:type="dxa"/>
            <w:vAlign w:val="center"/>
            <w:hideMark/>
          </w:tcPr>
          <w:p w14:paraId="031351AA" w14:textId="77777777" w:rsidR="00B83D5C" w:rsidRDefault="00B83D5C">
            <w:pPr>
              <w:jc w:val="center"/>
              <w:rPr>
                <w:color w:val="000000"/>
              </w:rPr>
            </w:pPr>
            <w:r>
              <w:rPr>
                <w:color w:val="000000"/>
              </w:rPr>
              <w:t>2</w:t>
            </w:r>
          </w:p>
        </w:tc>
        <w:tc>
          <w:tcPr>
            <w:tcW w:w="0" w:type="auto"/>
            <w:vAlign w:val="center"/>
            <w:hideMark/>
          </w:tcPr>
          <w:p w14:paraId="1730A0D4" w14:textId="77777777" w:rsidR="00B83D5C" w:rsidRDefault="00B83D5C">
            <w:pPr>
              <w:jc w:val="center"/>
              <w:rPr>
                <w:color w:val="000000"/>
              </w:rPr>
            </w:pPr>
            <w:r>
              <w:rPr>
                <w:color w:val="000000"/>
              </w:rPr>
              <w:t>2</w:t>
            </w:r>
          </w:p>
        </w:tc>
        <w:tc>
          <w:tcPr>
            <w:tcW w:w="0" w:type="auto"/>
            <w:vAlign w:val="center"/>
            <w:hideMark/>
          </w:tcPr>
          <w:p w14:paraId="3F96B617" w14:textId="77777777" w:rsidR="00B83D5C" w:rsidRDefault="00B83D5C">
            <w:pPr>
              <w:jc w:val="center"/>
              <w:rPr>
                <w:color w:val="000000"/>
              </w:rPr>
            </w:pPr>
            <w:r>
              <w:rPr>
                <w:color w:val="000000"/>
              </w:rPr>
              <w:t>0.500</w:t>
            </w:r>
          </w:p>
        </w:tc>
      </w:tr>
      <w:tr w:rsidR="00B83D5C" w14:paraId="7C174CC4" w14:textId="77777777" w:rsidTr="00B83D5C">
        <w:trPr>
          <w:tblCellSpacing w:w="15" w:type="dxa"/>
        </w:trPr>
        <w:tc>
          <w:tcPr>
            <w:tcW w:w="1035" w:type="dxa"/>
            <w:vAlign w:val="center"/>
            <w:hideMark/>
          </w:tcPr>
          <w:p w14:paraId="57C128E9" w14:textId="77777777" w:rsidR="00B83D5C" w:rsidRDefault="00B83D5C">
            <w:pPr>
              <w:rPr>
                <w:color w:val="000000"/>
              </w:rPr>
            </w:pPr>
            <w:r>
              <w:rPr>
                <w:color w:val="000000"/>
              </w:rPr>
              <w:t>122</w:t>
            </w:r>
          </w:p>
        </w:tc>
        <w:tc>
          <w:tcPr>
            <w:tcW w:w="1230" w:type="dxa"/>
            <w:vAlign w:val="center"/>
            <w:hideMark/>
          </w:tcPr>
          <w:p w14:paraId="284B6297" w14:textId="77777777" w:rsidR="00B83D5C" w:rsidRDefault="00B83D5C">
            <w:pPr>
              <w:rPr>
                <w:color w:val="000000"/>
              </w:rPr>
            </w:pPr>
          </w:p>
        </w:tc>
        <w:tc>
          <w:tcPr>
            <w:tcW w:w="929" w:type="dxa"/>
            <w:vAlign w:val="center"/>
            <w:hideMark/>
          </w:tcPr>
          <w:p w14:paraId="6F11FC91" w14:textId="77777777" w:rsidR="00B83D5C" w:rsidRDefault="00B83D5C">
            <w:pPr>
              <w:jc w:val="center"/>
              <w:rPr>
                <w:color w:val="000000"/>
              </w:rPr>
            </w:pPr>
            <w:r>
              <w:rPr>
                <w:color w:val="000000"/>
              </w:rPr>
              <w:t>3</w:t>
            </w:r>
          </w:p>
        </w:tc>
        <w:tc>
          <w:tcPr>
            <w:tcW w:w="0" w:type="auto"/>
            <w:vAlign w:val="center"/>
            <w:hideMark/>
          </w:tcPr>
          <w:p w14:paraId="20132BFB" w14:textId="77777777" w:rsidR="00B83D5C" w:rsidRDefault="00B83D5C">
            <w:pPr>
              <w:jc w:val="center"/>
              <w:rPr>
                <w:color w:val="000000"/>
              </w:rPr>
            </w:pPr>
            <w:r>
              <w:rPr>
                <w:color w:val="000000"/>
              </w:rPr>
              <w:t>5</w:t>
            </w:r>
          </w:p>
        </w:tc>
        <w:tc>
          <w:tcPr>
            <w:tcW w:w="0" w:type="auto"/>
            <w:vAlign w:val="center"/>
            <w:hideMark/>
          </w:tcPr>
          <w:p w14:paraId="1A8B05D7" w14:textId="77777777" w:rsidR="00B83D5C" w:rsidRDefault="00B83D5C">
            <w:pPr>
              <w:jc w:val="center"/>
              <w:rPr>
                <w:color w:val="000000"/>
              </w:rPr>
            </w:pPr>
            <w:r>
              <w:rPr>
                <w:color w:val="000000"/>
              </w:rPr>
              <w:t>0.625</w:t>
            </w:r>
          </w:p>
        </w:tc>
        <w:tc>
          <w:tcPr>
            <w:tcW w:w="1505" w:type="dxa"/>
            <w:vAlign w:val="center"/>
            <w:hideMark/>
          </w:tcPr>
          <w:p w14:paraId="626BD1C9" w14:textId="77777777" w:rsidR="00B83D5C" w:rsidRDefault="00B83D5C">
            <w:pPr>
              <w:jc w:val="center"/>
              <w:rPr>
                <w:color w:val="000000"/>
              </w:rPr>
            </w:pPr>
          </w:p>
        </w:tc>
        <w:tc>
          <w:tcPr>
            <w:tcW w:w="1009" w:type="dxa"/>
            <w:vAlign w:val="center"/>
            <w:hideMark/>
          </w:tcPr>
          <w:p w14:paraId="5D5BED33" w14:textId="77777777" w:rsidR="00B83D5C" w:rsidRDefault="00B83D5C">
            <w:pPr>
              <w:jc w:val="center"/>
              <w:rPr>
                <w:color w:val="000000"/>
              </w:rPr>
            </w:pPr>
            <w:r>
              <w:rPr>
                <w:color w:val="000000"/>
              </w:rPr>
              <w:t>2</w:t>
            </w:r>
          </w:p>
        </w:tc>
        <w:tc>
          <w:tcPr>
            <w:tcW w:w="0" w:type="auto"/>
            <w:vAlign w:val="center"/>
            <w:hideMark/>
          </w:tcPr>
          <w:p w14:paraId="2AA7ADEC" w14:textId="77777777" w:rsidR="00B83D5C" w:rsidRDefault="00B83D5C">
            <w:pPr>
              <w:jc w:val="center"/>
              <w:rPr>
                <w:color w:val="000000"/>
              </w:rPr>
            </w:pPr>
            <w:r>
              <w:rPr>
                <w:color w:val="000000"/>
              </w:rPr>
              <w:t>2</w:t>
            </w:r>
          </w:p>
        </w:tc>
        <w:tc>
          <w:tcPr>
            <w:tcW w:w="0" w:type="auto"/>
            <w:vAlign w:val="center"/>
            <w:hideMark/>
          </w:tcPr>
          <w:p w14:paraId="7DC7FBE4" w14:textId="77777777" w:rsidR="00B83D5C" w:rsidRDefault="00B83D5C">
            <w:pPr>
              <w:jc w:val="center"/>
              <w:rPr>
                <w:color w:val="000000"/>
              </w:rPr>
            </w:pPr>
            <w:r>
              <w:rPr>
                <w:color w:val="000000"/>
              </w:rPr>
              <w:t>0.500</w:t>
            </w:r>
          </w:p>
        </w:tc>
      </w:tr>
      <w:tr w:rsidR="00B83D5C" w14:paraId="5F00C4C7" w14:textId="77777777" w:rsidTr="00B83D5C">
        <w:trPr>
          <w:tblCellSpacing w:w="15" w:type="dxa"/>
        </w:trPr>
        <w:tc>
          <w:tcPr>
            <w:tcW w:w="1035" w:type="dxa"/>
            <w:vAlign w:val="center"/>
            <w:hideMark/>
          </w:tcPr>
          <w:p w14:paraId="24E8ED9F" w14:textId="77777777" w:rsidR="00B83D5C" w:rsidRDefault="00B83D5C">
            <w:pPr>
              <w:rPr>
                <w:color w:val="000000"/>
              </w:rPr>
            </w:pPr>
            <w:r>
              <w:rPr>
                <w:color w:val="000000"/>
              </w:rPr>
              <w:t>123</w:t>
            </w:r>
          </w:p>
        </w:tc>
        <w:tc>
          <w:tcPr>
            <w:tcW w:w="1230" w:type="dxa"/>
            <w:vAlign w:val="center"/>
            <w:hideMark/>
          </w:tcPr>
          <w:p w14:paraId="16F0AE54" w14:textId="77777777" w:rsidR="00B83D5C" w:rsidRDefault="00B83D5C">
            <w:pPr>
              <w:rPr>
                <w:color w:val="000000"/>
              </w:rPr>
            </w:pPr>
          </w:p>
        </w:tc>
        <w:tc>
          <w:tcPr>
            <w:tcW w:w="929" w:type="dxa"/>
            <w:vAlign w:val="center"/>
            <w:hideMark/>
          </w:tcPr>
          <w:p w14:paraId="2A5C7D85" w14:textId="77777777" w:rsidR="00B83D5C" w:rsidRDefault="00B83D5C">
            <w:pPr>
              <w:jc w:val="center"/>
              <w:rPr>
                <w:color w:val="000000"/>
              </w:rPr>
            </w:pPr>
            <w:r>
              <w:rPr>
                <w:color w:val="000000"/>
              </w:rPr>
              <w:t>1</w:t>
            </w:r>
          </w:p>
        </w:tc>
        <w:tc>
          <w:tcPr>
            <w:tcW w:w="0" w:type="auto"/>
            <w:vAlign w:val="center"/>
            <w:hideMark/>
          </w:tcPr>
          <w:p w14:paraId="39482937" w14:textId="77777777" w:rsidR="00B83D5C" w:rsidRDefault="00B83D5C">
            <w:pPr>
              <w:jc w:val="center"/>
              <w:rPr>
                <w:color w:val="000000"/>
              </w:rPr>
            </w:pPr>
            <w:r>
              <w:rPr>
                <w:color w:val="000000"/>
              </w:rPr>
              <w:t>7</w:t>
            </w:r>
          </w:p>
        </w:tc>
        <w:tc>
          <w:tcPr>
            <w:tcW w:w="0" w:type="auto"/>
            <w:vAlign w:val="center"/>
            <w:hideMark/>
          </w:tcPr>
          <w:p w14:paraId="2061EAEA" w14:textId="77777777" w:rsidR="00B83D5C" w:rsidRDefault="00B83D5C">
            <w:pPr>
              <w:jc w:val="center"/>
              <w:rPr>
                <w:color w:val="000000"/>
              </w:rPr>
            </w:pPr>
            <w:r>
              <w:rPr>
                <w:color w:val="000000"/>
              </w:rPr>
              <w:t>0.875</w:t>
            </w:r>
          </w:p>
        </w:tc>
        <w:tc>
          <w:tcPr>
            <w:tcW w:w="1505" w:type="dxa"/>
            <w:vAlign w:val="center"/>
            <w:hideMark/>
          </w:tcPr>
          <w:p w14:paraId="677DD4DE" w14:textId="77777777" w:rsidR="00B83D5C" w:rsidRDefault="00B83D5C">
            <w:pPr>
              <w:jc w:val="center"/>
              <w:rPr>
                <w:color w:val="000000"/>
              </w:rPr>
            </w:pPr>
          </w:p>
        </w:tc>
        <w:tc>
          <w:tcPr>
            <w:tcW w:w="1009" w:type="dxa"/>
            <w:vAlign w:val="center"/>
            <w:hideMark/>
          </w:tcPr>
          <w:p w14:paraId="615C3BE3" w14:textId="77777777" w:rsidR="00B83D5C" w:rsidRDefault="00B83D5C">
            <w:pPr>
              <w:jc w:val="center"/>
              <w:rPr>
                <w:color w:val="000000"/>
              </w:rPr>
            </w:pPr>
            <w:r>
              <w:rPr>
                <w:color w:val="000000"/>
              </w:rPr>
              <w:t>2</w:t>
            </w:r>
          </w:p>
        </w:tc>
        <w:tc>
          <w:tcPr>
            <w:tcW w:w="0" w:type="auto"/>
            <w:vAlign w:val="center"/>
            <w:hideMark/>
          </w:tcPr>
          <w:p w14:paraId="2A725B3E" w14:textId="77777777" w:rsidR="00B83D5C" w:rsidRDefault="00B83D5C">
            <w:pPr>
              <w:jc w:val="center"/>
              <w:rPr>
                <w:color w:val="000000"/>
              </w:rPr>
            </w:pPr>
            <w:r>
              <w:rPr>
                <w:color w:val="000000"/>
              </w:rPr>
              <w:t>2</w:t>
            </w:r>
          </w:p>
        </w:tc>
        <w:tc>
          <w:tcPr>
            <w:tcW w:w="0" w:type="auto"/>
            <w:vAlign w:val="center"/>
            <w:hideMark/>
          </w:tcPr>
          <w:p w14:paraId="002322F5" w14:textId="77777777" w:rsidR="00B83D5C" w:rsidRDefault="00B83D5C">
            <w:pPr>
              <w:jc w:val="center"/>
              <w:rPr>
                <w:color w:val="000000"/>
              </w:rPr>
            </w:pPr>
            <w:r>
              <w:rPr>
                <w:color w:val="000000"/>
              </w:rPr>
              <w:t>0.500</w:t>
            </w:r>
          </w:p>
        </w:tc>
      </w:tr>
      <w:tr w:rsidR="00B83D5C" w14:paraId="06F65F7F" w14:textId="77777777" w:rsidTr="00B83D5C">
        <w:trPr>
          <w:tblCellSpacing w:w="15" w:type="dxa"/>
        </w:trPr>
        <w:tc>
          <w:tcPr>
            <w:tcW w:w="1035" w:type="dxa"/>
            <w:vAlign w:val="center"/>
            <w:hideMark/>
          </w:tcPr>
          <w:p w14:paraId="3B89F3D7" w14:textId="77777777" w:rsidR="00B83D5C" w:rsidRDefault="00B83D5C">
            <w:pPr>
              <w:rPr>
                <w:color w:val="000000"/>
              </w:rPr>
            </w:pPr>
            <w:r>
              <w:rPr>
                <w:color w:val="000000"/>
              </w:rPr>
              <w:t>124</w:t>
            </w:r>
          </w:p>
        </w:tc>
        <w:tc>
          <w:tcPr>
            <w:tcW w:w="1230" w:type="dxa"/>
            <w:vAlign w:val="center"/>
            <w:hideMark/>
          </w:tcPr>
          <w:p w14:paraId="365C5666" w14:textId="77777777" w:rsidR="00B83D5C" w:rsidRDefault="00B83D5C">
            <w:pPr>
              <w:rPr>
                <w:color w:val="000000"/>
              </w:rPr>
            </w:pPr>
          </w:p>
        </w:tc>
        <w:tc>
          <w:tcPr>
            <w:tcW w:w="929" w:type="dxa"/>
            <w:vAlign w:val="center"/>
            <w:hideMark/>
          </w:tcPr>
          <w:p w14:paraId="0F6B51FC" w14:textId="77777777" w:rsidR="00B83D5C" w:rsidRDefault="00B83D5C">
            <w:pPr>
              <w:jc w:val="center"/>
              <w:rPr>
                <w:color w:val="000000"/>
              </w:rPr>
            </w:pPr>
            <w:r>
              <w:rPr>
                <w:color w:val="000000"/>
              </w:rPr>
              <w:t>1</w:t>
            </w:r>
          </w:p>
        </w:tc>
        <w:tc>
          <w:tcPr>
            <w:tcW w:w="0" w:type="auto"/>
            <w:vAlign w:val="center"/>
            <w:hideMark/>
          </w:tcPr>
          <w:p w14:paraId="2334FC9A" w14:textId="77777777" w:rsidR="00B83D5C" w:rsidRDefault="00B83D5C">
            <w:pPr>
              <w:jc w:val="center"/>
              <w:rPr>
                <w:color w:val="000000"/>
              </w:rPr>
            </w:pPr>
            <w:r>
              <w:rPr>
                <w:color w:val="000000"/>
              </w:rPr>
              <w:t>7</w:t>
            </w:r>
          </w:p>
        </w:tc>
        <w:tc>
          <w:tcPr>
            <w:tcW w:w="0" w:type="auto"/>
            <w:vAlign w:val="center"/>
            <w:hideMark/>
          </w:tcPr>
          <w:p w14:paraId="42CB616F" w14:textId="77777777" w:rsidR="00B83D5C" w:rsidRDefault="00B83D5C">
            <w:pPr>
              <w:jc w:val="center"/>
              <w:rPr>
                <w:color w:val="000000"/>
              </w:rPr>
            </w:pPr>
            <w:r>
              <w:rPr>
                <w:color w:val="000000"/>
              </w:rPr>
              <w:t>0.875</w:t>
            </w:r>
          </w:p>
        </w:tc>
        <w:tc>
          <w:tcPr>
            <w:tcW w:w="1505" w:type="dxa"/>
            <w:vAlign w:val="center"/>
            <w:hideMark/>
          </w:tcPr>
          <w:p w14:paraId="0F65AFBA" w14:textId="77777777" w:rsidR="00B83D5C" w:rsidRDefault="00B83D5C">
            <w:pPr>
              <w:jc w:val="center"/>
              <w:rPr>
                <w:color w:val="000000"/>
              </w:rPr>
            </w:pPr>
          </w:p>
        </w:tc>
        <w:tc>
          <w:tcPr>
            <w:tcW w:w="1009" w:type="dxa"/>
            <w:vAlign w:val="center"/>
            <w:hideMark/>
          </w:tcPr>
          <w:p w14:paraId="4B132239" w14:textId="77777777" w:rsidR="00B83D5C" w:rsidRDefault="00B83D5C">
            <w:pPr>
              <w:jc w:val="center"/>
              <w:rPr>
                <w:color w:val="000000"/>
              </w:rPr>
            </w:pPr>
            <w:r>
              <w:rPr>
                <w:color w:val="000000"/>
              </w:rPr>
              <w:t>2</w:t>
            </w:r>
          </w:p>
        </w:tc>
        <w:tc>
          <w:tcPr>
            <w:tcW w:w="0" w:type="auto"/>
            <w:vAlign w:val="center"/>
            <w:hideMark/>
          </w:tcPr>
          <w:p w14:paraId="3814D2A1" w14:textId="77777777" w:rsidR="00B83D5C" w:rsidRDefault="00B83D5C">
            <w:pPr>
              <w:jc w:val="center"/>
              <w:rPr>
                <w:color w:val="000000"/>
              </w:rPr>
            </w:pPr>
            <w:r>
              <w:rPr>
                <w:color w:val="000000"/>
              </w:rPr>
              <w:t>2</w:t>
            </w:r>
          </w:p>
        </w:tc>
        <w:tc>
          <w:tcPr>
            <w:tcW w:w="0" w:type="auto"/>
            <w:vAlign w:val="center"/>
            <w:hideMark/>
          </w:tcPr>
          <w:p w14:paraId="11E12FE0" w14:textId="77777777" w:rsidR="00B83D5C" w:rsidRDefault="00B83D5C">
            <w:pPr>
              <w:jc w:val="center"/>
              <w:rPr>
                <w:color w:val="000000"/>
              </w:rPr>
            </w:pPr>
            <w:r>
              <w:rPr>
                <w:color w:val="000000"/>
              </w:rPr>
              <w:t>0.500</w:t>
            </w:r>
          </w:p>
        </w:tc>
      </w:tr>
      <w:tr w:rsidR="00B83D5C" w14:paraId="2AF6B7E1" w14:textId="77777777" w:rsidTr="00B83D5C">
        <w:trPr>
          <w:tblCellSpacing w:w="15" w:type="dxa"/>
        </w:trPr>
        <w:tc>
          <w:tcPr>
            <w:tcW w:w="1035" w:type="dxa"/>
            <w:vAlign w:val="center"/>
            <w:hideMark/>
          </w:tcPr>
          <w:p w14:paraId="34BA4AAD" w14:textId="77777777" w:rsidR="00B83D5C" w:rsidRDefault="00B83D5C">
            <w:pPr>
              <w:rPr>
                <w:color w:val="000000"/>
              </w:rPr>
            </w:pPr>
            <w:r>
              <w:rPr>
                <w:color w:val="000000"/>
              </w:rPr>
              <w:t>125</w:t>
            </w:r>
          </w:p>
        </w:tc>
        <w:tc>
          <w:tcPr>
            <w:tcW w:w="1230" w:type="dxa"/>
            <w:vAlign w:val="center"/>
            <w:hideMark/>
          </w:tcPr>
          <w:p w14:paraId="69CFA9E2" w14:textId="77777777" w:rsidR="00B83D5C" w:rsidRDefault="00B83D5C">
            <w:pPr>
              <w:rPr>
                <w:color w:val="000000"/>
              </w:rPr>
            </w:pPr>
          </w:p>
        </w:tc>
        <w:tc>
          <w:tcPr>
            <w:tcW w:w="929" w:type="dxa"/>
            <w:vAlign w:val="center"/>
            <w:hideMark/>
          </w:tcPr>
          <w:p w14:paraId="5EB5378A" w14:textId="77777777" w:rsidR="00B83D5C" w:rsidRDefault="00B83D5C">
            <w:pPr>
              <w:jc w:val="center"/>
              <w:rPr>
                <w:color w:val="000000"/>
              </w:rPr>
            </w:pPr>
            <w:r>
              <w:rPr>
                <w:color w:val="000000"/>
              </w:rPr>
              <w:t>0</w:t>
            </w:r>
          </w:p>
        </w:tc>
        <w:tc>
          <w:tcPr>
            <w:tcW w:w="0" w:type="auto"/>
            <w:vAlign w:val="center"/>
            <w:hideMark/>
          </w:tcPr>
          <w:p w14:paraId="69208D4F" w14:textId="77777777" w:rsidR="00B83D5C" w:rsidRDefault="00B83D5C">
            <w:pPr>
              <w:jc w:val="center"/>
              <w:rPr>
                <w:color w:val="000000"/>
              </w:rPr>
            </w:pPr>
            <w:r>
              <w:rPr>
                <w:color w:val="000000"/>
              </w:rPr>
              <w:t>8</w:t>
            </w:r>
          </w:p>
        </w:tc>
        <w:tc>
          <w:tcPr>
            <w:tcW w:w="0" w:type="auto"/>
            <w:vAlign w:val="center"/>
            <w:hideMark/>
          </w:tcPr>
          <w:p w14:paraId="20DA0A49" w14:textId="77777777" w:rsidR="00B83D5C" w:rsidRDefault="00B83D5C">
            <w:pPr>
              <w:jc w:val="center"/>
              <w:rPr>
                <w:color w:val="000000"/>
              </w:rPr>
            </w:pPr>
            <w:r>
              <w:rPr>
                <w:color w:val="000000"/>
              </w:rPr>
              <w:t>1.000</w:t>
            </w:r>
          </w:p>
        </w:tc>
        <w:tc>
          <w:tcPr>
            <w:tcW w:w="1505" w:type="dxa"/>
            <w:vAlign w:val="center"/>
            <w:hideMark/>
          </w:tcPr>
          <w:p w14:paraId="67C94C4A" w14:textId="77777777" w:rsidR="00B83D5C" w:rsidRDefault="00B83D5C">
            <w:pPr>
              <w:jc w:val="center"/>
              <w:rPr>
                <w:color w:val="000000"/>
              </w:rPr>
            </w:pPr>
          </w:p>
        </w:tc>
        <w:tc>
          <w:tcPr>
            <w:tcW w:w="1009" w:type="dxa"/>
            <w:vAlign w:val="center"/>
            <w:hideMark/>
          </w:tcPr>
          <w:p w14:paraId="30808E72" w14:textId="77777777" w:rsidR="00B83D5C" w:rsidRDefault="00B83D5C">
            <w:pPr>
              <w:jc w:val="center"/>
              <w:rPr>
                <w:color w:val="000000"/>
              </w:rPr>
            </w:pPr>
            <w:r>
              <w:rPr>
                <w:color w:val="000000"/>
              </w:rPr>
              <w:t>2</w:t>
            </w:r>
          </w:p>
        </w:tc>
        <w:tc>
          <w:tcPr>
            <w:tcW w:w="0" w:type="auto"/>
            <w:vAlign w:val="center"/>
            <w:hideMark/>
          </w:tcPr>
          <w:p w14:paraId="4EE583E7" w14:textId="77777777" w:rsidR="00B83D5C" w:rsidRDefault="00B83D5C">
            <w:pPr>
              <w:jc w:val="center"/>
              <w:rPr>
                <w:color w:val="000000"/>
              </w:rPr>
            </w:pPr>
            <w:r>
              <w:rPr>
                <w:color w:val="000000"/>
              </w:rPr>
              <w:t>2</w:t>
            </w:r>
          </w:p>
        </w:tc>
        <w:tc>
          <w:tcPr>
            <w:tcW w:w="0" w:type="auto"/>
            <w:vAlign w:val="center"/>
            <w:hideMark/>
          </w:tcPr>
          <w:p w14:paraId="5602229D" w14:textId="77777777" w:rsidR="00B83D5C" w:rsidRDefault="00B83D5C">
            <w:pPr>
              <w:jc w:val="center"/>
              <w:rPr>
                <w:color w:val="000000"/>
              </w:rPr>
            </w:pPr>
            <w:r>
              <w:rPr>
                <w:color w:val="000000"/>
              </w:rPr>
              <w:t>0.500</w:t>
            </w:r>
          </w:p>
        </w:tc>
      </w:tr>
      <w:tr w:rsidR="00B83D5C" w14:paraId="6C98EB72" w14:textId="77777777" w:rsidTr="00B83D5C">
        <w:trPr>
          <w:tblCellSpacing w:w="15" w:type="dxa"/>
        </w:trPr>
        <w:tc>
          <w:tcPr>
            <w:tcW w:w="1035" w:type="dxa"/>
            <w:vAlign w:val="center"/>
            <w:hideMark/>
          </w:tcPr>
          <w:p w14:paraId="55F8FA38" w14:textId="77777777" w:rsidR="00B83D5C" w:rsidRDefault="00B83D5C">
            <w:pPr>
              <w:rPr>
                <w:color w:val="000000"/>
              </w:rPr>
            </w:pPr>
            <w:r>
              <w:rPr>
                <w:color w:val="000000"/>
              </w:rPr>
              <w:t>126</w:t>
            </w:r>
          </w:p>
        </w:tc>
        <w:tc>
          <w:tcPr>
            <w:tcW w:w="1230" w:type="dxa"/>
            <w:vAlign w:val="center"/>
            <w:hideMark/>
          </w:tcPr>
          <w:p w14:paraId="4BA41B1F" w14:textId="77777777" w:rsidR="00B83D5C" w:rsidRDefault="00B83D5C">
            <w:pPr>
              <w:rPr>
                <w:color w:val="000000"/>
              </w:rPr>
            </w:pPr>
          </w:p>
        </w:tc>
        <w:tc>
          <w:tcPr>
            <w:tcW w:w="929" w:type="dxa"/>
            <w:vAlign w:val="center"/>
            <w:hideMark/>
          </w:tcPr>
          <w:p w14:paraId="71B159DD" w14:textId="77777777" w:rsidR="00B83D5C" w:rsidRDefault="00B83D5C">
            <w:pPr>
              <w:jc w:val="center"/>
              <w:rPr>
                <w:color w:val="000000"/>
              </w:rPr>
            </w:pPr>
            <w:r>
              <w:rPr>
                <w:color w:val="000000"/>
              </w:rPr>
              <w:t>0</w:t>
            </w:r>
          </w:p>
        </w:tc>
        <w:tc>
          <w:tcPr>
            <w:tcW w:w="0" w:type="auto"/>
            <w:vAlign w:val="center"/>
            <w:hideMark/>
          </w:tcPr>
          <w:p w14:paraId="3BD158D0" w14:textId="77777777" w:rsidR="00B83D5C" w:rsidRDefault="00B83D5C">
            <w:pPr>
              <w:jc w:val="center"/>
              <w:rPr>
                <w:color w:val="000000"/>
              </w:rPr>
            </w:pPr>
            <w:r>
              <w:rPr>
                <w:color w:val="000000"/>
              </w:rPr>
              <w:t>8</w:t>
            </w:r>
          </w:p>
        </w:tc>
        <w:tc>
          <w:tcPr>
            <w:tcW w:w="0" w:type="auto"/>
            <w:vAlign w:val="center"/>
            <w:hideMark/>
          </w:tcPr>
          <w:p w14:paraId="69490232" w14:textId="77777777" w:rsidR="00B83D5C" w:rsidRDefault="00B83D5C">
            <w:pPr>
              <w:jc w:val="center"/>
              <w:rPr>
                <w:color w:val="000000"/>
              </w:rPr>
            </w:pPr>
            <w:r>
              <w:rPr>
                <w:color w:val="000000"/>
              </w:rPr>
              <w:t>1.000</w:t>
            </w:r>
          </w:p>
        </w:tc>
        <w:tc>
          <w:tcPr>
            <w:tcW w:w="1505" w:type="dxa"/>
            <w:vAlign w:val="center"/>
            <w:hideMark/>
          </w:tcPr>
          <w:p w14:paraId="30E621D0" w14:textId="77777777" w:rsidR="00B83D5C" w:rsidRDefault="00B83D5C">
            <w:pPr>
              <w:jc w:val="center"/>
              <w:rPr>
                <w:color w:val="000000"/>
              </w:rPr>
            </w:pPr>
          </w:p>
        </w:tc>
        <w:tc>
          <w:tcPr>
            <w:tcW w:w="1009" w:type="dxa"/>
            <w:vAlign w:val="center"/>
            <w:hideMark/>
          </w:tcPr>
          <w:p w14:paraId="07AC06C0" w14:textId="77777777" w:rsidR="00B83D5C" w:rsidRDefault="00B83D5C">
            <w:pPr>
              <w:jc w:val="center"/>
              <w:rPr>
                <w:color w:val="000000"/>
              </w:rPr>
            </w:pPr>
            <w:r>
              <w:rPr>
                <w:color w:val="000000"/>
              </w:rPr>
              <w:t>2</w:t>
            </w:r>
          </w:p>
        </w:tc>
        <w:tc>
          <w:tcPr>
            <w:tcW w:w="0" w:type="auto"/>
            <w:vAlign w:val="center"/>
            <w:hideMark/>
          </w:tcPr>
          <w:p w14:paraId="6D8BB396" w14:textId="77777777" w:rsidR="00B83D5C" w:rsidRDefault="00B83D5C">
            <w:pPr>
              <w:jc w:val="center"/>
              <w:rPr>
                <w:color w:val="000000"/>
              </w:rPr>
            </w:pPr>
            <w:r>
              <w:rPr>
                <w:color w:val="000000"/>
              </w:rPr>
              <w:t>2</w:t>
            </w:r>
          </w:p>
        </w:tc>
        <w:tc>
          <w:tcPr>
            <w:tcW w:w="0" w:type="auto"/>
            <w:vAlign w:val="center"/>
            <w:hideMark/>
          </w:tcPr>
          <w:p w14:paraId="23757868" w14:textId="77777777" w:rsidR="00B83D5C" w:rsidRDefault="00B83D5C">
            <w:pPr>
              <w:jc w:val="center"/>
              <w:rPr>
                <w:color w:val="000000"/>
              </w:rPr>
            </w:pPr>
            <w:r>
              <w:rPr>
                <w:color w:val="000000"/>
              </w:rPr>
              <w:t>0.500</w:t>
            </w:r>
          </w:p>
        </w:tc>
      </w:tr>
      <w:tr w:rsidR="00B83D5C" w14:paraId="765A6956" w14:textId="77777777" w:rsidTr="00B83D5C">
        <w:trPr>
          <w:tblCellSpacing w:w="15" w:type="dxa"/>
        </w:trPr>
        <w:tc>
          <w:tcPr>
            <w:tcW w:w="1035" w:type="dxa"/>
            <w:vAlign w:val="center"/>
            <w:hideMark/>
          </w:tcPr>
          <w:p w14:paraId="418D610F" w14:textId="77777777" w:rsidR="00B83D5C" w:rsidRDefault="00B83D5C">
            <w:pPr>
              <w:rPr>
                <w:color w:val="000000"/>
              </w:rPr>
            </w:pPr>
            <w:r>
              <w:rPr>
                <w:color w:val="000000"/>
              </w:rPr>
              <w:t>127</w:t>
            </w:r>
          </w:p>
        </w:tc>
        <w:tc>
          <w:tcPr>
            <w:tcW w:w="1230" w:type="dxa"/>
            <w:vAlign w:val="center"/>
            <w:hideMark/>
          </w:tcPr>
          <w:p w14:paraId="67D164F9" w14:textId="77777777" w:rsidR="00B83D5C" w:rsidRDefault="00B83D5C">
            <w:pPr>
              <w:rPr>
                <w:color w:val="000000"/>
              </w:rPr>
            </w:pPr>
          </w:p>
        </w:tc>
        <w:tc>
          <w:tcPr>
            <w:tcW w:w="929" w:type="dxa"/>
            <w:vAlign w:val="center"/>
            <w:hideMark/>
          </w:tcPr>
          <w:p w14:paraId="671B8D34" w14:textId="77777777" w:rsidR="00B83D5C" w:rsidRDefault="00B83D5C">
            <w:pPr>
              <w:jc w:val="center"/>
              <w:rPr>
                <w:color w:val="000000"/>
              </w:rPr>
            </w:pPr>
            <w:r>
              <w:rPr>
                <w:color w:val="000000"/>
              </w:rPr>
              <w:t>0</w:t>
            </w:r>
          </w:p>
        </w:tc>
        <w:tc>
          <w:tcPr>
            <w:tcW w:w="0" w:type="auto"/>
            <w:vAlign w:val="center"/>
            <w:hideMark/>
          </w:tcPr>
          <w:p w14:paraId="2705018C" w14:textId="77777777" w:rsidR="00B83D5C" w:rsidRDefault="00B83D5C">
            <w:pPr>
              <w:jc w:val="center"/>
              <w:rPr>
                <w:color w:val="000000"/>
              </w:rPr>
            </w:pPr>
            <w:r>
              <w:rPr>
                <w:color w:val="000000"/>
              </w:rPr>
              <w:t>8</w:t>
            </w:r>
          </w:p>
        </w:tc>
        <w:tc>
          <w:tcPr>
            <w:tcW w:w="0" w:type="auto"/>
            <w:vAlign w:val="center"/>
            <w:hideMark/>
          </w:tcPr>
          <w:p w14:paraId="061922CB" w14:textId="77777777" w:rsidR="00B83D5C" w:rsidRDefault="00B83D5C">
            <w:pPr>
              <w:jc w:val="center"/>
              <w:rPr>
                <w:color w:val="000000"/>
              </w:rPr>
            </w:pPr>
            <w:r>
              <w:rPr>
                <w:color w:val="000000"/>
              </w:rPr>
              <w:t>1.000</w:t>
            </w:r>
          </w:p>
        </w:tc>
        <w:tc>
          <w:tcPr>
            <w:tcW w:w="1505" w:type="dxa"/>
            <w:vAlign w:val="center"/>
            <w:hideMark/>
          </w:tcPr>
          <w:p w14:paraId="0D586B70" w14:textId="77777777" w:rsidR="00B83D5C" w:rsidRDefault="00B83D5C">
            <w:pPr>
              <w:jc w:val="center"/>
              <w:rPr>
                <w:color w:val="000000"/>
              </w:rPr>
            </w:pPr>
          </w:p>
        </w:tc>
        <w:tc>
          <w:tcPr>
            <w:tcW w:w="1009" w:type="dxa"/>
            <w:vAlign w:val="center"/>
            <w:hideMark/>
          </w:tcPr>
          <w:p w14:paraId="141E692E" w14:textId="77777777" w:rsidR="00B83D5C" w:rsidRDefault="00B83D5C">
            <w:pPr>
              <w:jc w:val="center"/>
              <w:rPr>
                <w:color w:val="000000"/>
              </w:rPr>
            </w:pPr>
            <w:r>
              <w:rPr>
                <w:color w:val="000000"/>
              </w:rPr>
              <w:t>2</w:t>
            </w:r>
          </w:p>
        </w:tc>
        <w:tc>
          <w:tcPr>
            <w:tcW w:w="0" w:type="auto"/>
            <w:vAlign w:val="center"/>
            <w:hideMark/>
          </w:tcPr>
          <w:p w14:paraId="6DB5B3BE" w14:textId="77777777" w:rsidR="00B83D5C" w:rsidRDefault="00B83D5C">
            <w:pPr>
              <w:jc w:val="center"/>
              <w:rPr>
                <w:color w:val="000000"/>
              </w:rPr>
            </w:pPr>
            <w:r>
              <w:rPr>
                <w:color w:val="000000"/>
              </w:rPr>
              <w:t>2</w:t>
            </w:r>
          </w:p>
        </w:tc>
        <w:tc>
          <w:tcPr>
            <w:tcW w:w="0" w:type="auto"/>
            <w:vAlign w:val="center"/>
            <w:hideMark/>
          </w:tcPr>
          <w:p w14:paraId="6EBD7C67" w14:textId="77777777" w:rsidR="00B83D5C" w:rsidRDefault="00B83D5C">
            <w:pPr>
              <w:jc w:val="center"/>
              <w:rPr>
                <w:color w:val="000000"/>
              </w:rPr>
            </w:pPr>
            <w:r>
              <w:rPr>
                <w:color w:val="000000"/>
              </w:rPr>
              <w:t>0.500</w:t>
            </w:r>
          </w:p>
        </w:tc>
      </w:tr>
      <w:tr w:rsidR="00B83D5C" w14:paraId="08CEE341" w14:textId="77777777" w:rsidTr="00B83D5C">
        <w:trPr>
          <w:tblCellSpacing w:w="15" w:type="dxa"/>
        </w:trPr>
        <w:tc>
          <w:tcPr>
            <w:tcW w:w="1035" w:type="dxa"/>
            <w:vAlign w:val="center"/>
            <w:hideMark/>
          </w:tcPr>
          <w:p w14:paraId="0587F411" w14:textId="77777777" w:rsidR="00B83D5C" w:rsidRDefault="00B83D5C">
            <w:pPr>
              <w:rPr>
                <w:color w:val="000000"/>
              </w:rPr>
            </w:pPr>
            <w:r>
              <w:rPr>
                <w:color w:val="000000"/>
              </w:rPr>
              <w:t>128</w:t>
            </w:r>
          </w:p>
        </w:tc>
        <w:tc>
          <w:tcPr>
            <w:tcW w:w="1230" w:type="dxa"/>
            <w:vAlign w:val="center"/>
            <w:hideMark/>
          </w:tcPr>
          <w:p w14:paraId="4BAAF256" w14:textId="77777777" w:rsidR="00B83D5C" w:rsidRDefault="00B83D5C">
            <w:pPr>
              <w:rPr>
                <w:color w:val="000000"/>
              </w:rPr>
            </w:pPr>
          </w:p>
        </w:tc>
        <w:tc>
          <w:tcPr>
            <w:tcW w:w="929" w:type="dxa"/>
            <w:vAlign w:val="center"/>
            <w:hideMark/>
          </w:tcPr>
          <w:p w14:paraId="781FB5FD" w14:textId="77777777" w:rsidR="00B83D5C" w:rsidRDefault="00B83D5C">
            <w:pPr>
              <w:jc w:val="center"/>
              <w:rPr>
                <w:color w:val="000000"/>
              </w:rPr>
            </w:pPr>
            <w:r>
              <w:rPr>
                <w:color w:val="000000"/>
              </w:rPr>
              <w:t>0</w:t>
            </w:r>
          </w:p>
        </w:tc>
        <w:tc>
          <w:tcPr>
            <w:tcW w:w="0" w:type="auto"/>
            <w:vAlign w:val="center"/>
            <w:hideMark/>
          </w:tcPr>
          <w:p w14:paraId="7395A890" w14:textId="77777777" w:rsidR="00B83D5C" w:rsidRDefault="00B83D5C">
            <w:pPr>
              <w:jc w:val="center"/>
              <w:rPr>
                <w:color w:val="000000"/>
              </w:rPr>
            </w:pPr>
            <w:r>
              <w:rPr>
                <w:color w:val="000000"/>
              </w:rPr>
              <w:t>8</w:t>
            </w:r>
          </w:p>
        </w:tc>
        <w:tc>
          <w:tcPr>
            <w:tcW w:w="0" w:type="auto"/>
            <w:vAlign w:val="center"/>
            <w:hideMark/>
          </w:tcPr>
          <w:p w14:paraId="4F708DAE" w14:textId="77777777" w:rsidR="00B83D5C" w:rsidRDefault="00B83D5C">
            <w:pPr>
              <w:jc w:val="center"/>
              <w:rPr>
                <w:color w:val="000000"/>
              </w:rPr>
            </w:pPr>
            <w:r>
              <w:rPr>
                <w:color w:val="000000"/>
              </w:rPr>
              <w:t>1.000</w:t>
            </w:r>
          </w:p>
        </w:tc>
        <w:tc>
          <w:tcPr>
            <w:tcW w:w="1505" w:type="dxa"/>
            <w:vAlign w:val="center"/>
            <w:hideMark/>
          </w:tcPr>
          <w:p w14:paraId="2BF81F4F" w14:textId="77777777" w:rsidR="00B83D5C" w:rsidRDefault="00B83D5C">
            <w:pPr>
              <w:jc w:val="center"/>
              <w:rPr>
                <w:color w:val="000000"/>
              </w:rPr>
            </w:pPr>
          </w:p>
        </w:tc>
        <w:tc>
          <w:tcPr>
            <w:tcW w:w="1009" w:type="dxa"/>
            <w:vAlign w:val="center"/>
            <w:hideMark/>
          </w:tcPr>
          <w:p w14:paraId="68D5DE08" w14:textId="77777777" w:rsidR="00B83D5C" w:rsidRDefault="00B83D5C">
            <w:pPr>
              <w:jc w:val="center"/>
              <w:rPr>
                <w:color w:val="000000"/>
              </w:rPr>
            </w:pPr>
            <w:r>
              <w:rPr>
                <w:color w:val="000000"/>
              </w:rPr>
              <w:t>3</w:t>
            </w:r>
          </w:p>
        </w:tc>
        <w:tc>
          <w:tcPr>
            <w:tcW w:w="0" w:type="auto"/>
            <w:vAlign w:val="center"/>
            <w:hideMark/>
          </w:tcPr>
          <w:p w14:paraId="6FB3CBEB" w14:textId="77777777" w:rsidR="00B83D5C" w:rsidRDefault="00B83D5C">
            <w:pPr>
              <w:jc w:val="center"/>
              <w:rPr>
                <w:color w:val="000000"/>
              </w:rPr>
            </w:pPr>
            <w:r>
              <w:rPr>
                <w:color w:val="000000"/>
              </w:rPr>
              <w:t>1</w:t>
            </w:r>
          </w:p>
        </w:tc>
        <w:tc>
          <w:tcPr>
            <w:tcW w:w="0" w:type="auto"/>
            <w:vAlign w:val="center"/>
            <w:hideMark/>
          </w:tcPr>
          <w:p w14:paraId="5FA2EF9A" w14:textId="77777777" w:rsidR="00B83D5C" w:rsidRDefault="00B83D5C">
            <w:pPr>
              <w:jc w:val="center"/>
              <w:rPr>
                <w:color w:val="000000"/>
              </w:rPr>
            </w:pPr>
            <w:r>
              <w:rPr>
                <w:color w:val="000000"/>
              </w:rPr>
              <w:t>0.250</w:t>
            </w:r>
          </w:p>
        </w:tc>
      </w:tr>
      <w:tr w:rsidR="00B83D5C" w14:paraId="547D8F66" w14:textId="77777777" w:rsidTr="00B83D5C">
        <w:trPr>
          <w:tblCellSpacing w:w="15" w:type="dxa"/>
        </w:trPr>
        <w:tc>
          <w:tcPr>
            <w:tcW w:w="1035" w:type="dxa"/>
            <w:vAlign w:val="center"/>
            <w:hideMark/>
          </w:tcPr>
          <w:p w14:paraId="03F0F535" w14:textId="77777777" w:rsidR="00B83D5C" w:rsidRDefault="00B83D5C">
            <w:pPr>
              <w:rPr>
                <w:color w:val="000000"/>
              </w:rPr>
            </w:pPr>
            <w:r>
              <w:rPr>
                <w:color w:val="000000"/>
              </w:rPr>
              <w:t>129</w:t>
            </w:r>
          </w:p>
        </w:tc>
        <w:tc>
          <w:tcPr>
            <w:tcW w:w="1230" w:type="dxa"/>
            <w:vAlign w:val="center"/>
            <w:hideMark/>
          </w:tcPr>
          <w:p w14:paraId="4DFB9565" w14:textId="77777777" w:rsidR="00B83D5C" w:rsidRDefault="00B83D5C">
            <w:pPr>
              <w:rPr>
                <w:color w:val="000000"/>
              </w:rPr>
            </w:pPr>
          </w:p>
        </w:tc>
        <w:tc>
          <w:tcPr>
            <w:tcW w:w="929" w:type="dxa"/>
            <w:vAlign w:val="center"/>
            <w:hideMark/>
          </w:tcPr>
          <w:p w14:paraId="479F24CC" w14:textId="77777777" w:rsidR="00B83D5C" w:rsidRDefault="00B83D5C">
            <w:pPr>
              <w:jc w:val="center"/>
              <w:rPr>
                <w:color w:val="000000"/>
              </w:rPr>
            </w:pPr>
            <w:r>
              <w:rPr>
                <w:color w:val="000000"/>
              </w:rPr>
              <w:t>0</w:t>
            </w:r>
          </w:p>
        </w:tc>
        <w:tc>
          <w:tcPr>
            <w:tcW w:w="0" w:type="auto"/>
            <w:vAlign w:val="center"/>
            <w:hideMark/>
          </w:tcPr>
          <w:p w14:paraId="3F538F89" w14:textId="77777777" w:rsidR="00B83D5C" w:rsidRDefault="00B83D5C">
            <w:pPr>
              <w:jc w:val="center"/>
              <w:rPr>
                <w:color w:val="000000"/>
              </w:rPr>
            </w:pPr>
            <w:r>
              <w:rPr>
                <w:color w:val="000000"/>
              </w:rPr>
              <w:t>8</w:t>
            </w:r>
          </w:p>
        </w:tc>
        <w:tc>
          <w:tcPr>
            <w:tcW w:w="0" w:type="auto"/>
            <w:vAlign w:val="center"/>
            <w:hideMark/>
          </w:tcPr>
          <w:p w14:paraId="03B6440E" w14:textId="77777777" w:rsidR="00B83D5C" w:rsidRDefault="00B83D5C">
            <w:pPr>
              <w:jc w:val="center"/>
              <w:rPr>
                <w:color w:val="000000"/>
              </w:rPr>
            </w:pPr>
            <w:r>
              <w:rPr>
                <w:color w:val="000000"/>
              </w:rPr>
              <w:t>1.000</w:t>
            </w:r>
          </w:p>
        </w:tc>
        <w:tc>
          <w:tcPr>
            <w:tcW w:w="1505" w:type="dxa"/>
            <w:vAlign w:val="center"/>
            <w:hideMark/>
          </w:tcPr>
          <w:p w14:paraId="025D72EE" w14:textId="77777777" w:rsidR="00B83D5C" w:rsidRDefault="00B83D5C">
            <w:pPr>
              <w:jc w:val="center"/>
              <w:rPr>
                <w:color w:val="000000"/>
              </w:rPr>
            </w:pPr>
          </w:p>
        </w:tc>
        <w:tc>
          <w:tcPr>
            <w:tcW w:w="1009" w:type="dxa"/>
            <w:vAlign w:val="center"/>
            <w:hideMark/>
          </w:tcPr>
          <w:p w14:paraId="560EBD85" w14:textId="77777777" w:rsidR="00B83D5C" w:rsidRDefault="00B83D5C">
            <w:pPr>
              <w:jc w:val="center"/>
              <w:rPr>
                <w:color w:val="000000"/>
              </w:rPr>
            </w:pPr>
            <w:r>
              <w:rPr>
                <w:color w:val="000000"/>
              </w:rPr>
              <w:t>3</w:t>
            </w:r>
          </w:p>
        </w:tc>
        <w:tc>
          <w:tcPr>
            <w:tcW w:w="0" w:type="auto"/>
            <w:vAlign w:val="center"/>
            <w:hideMark/>
          </w:tcPr>
          <w:p w14:paraId="0E8985D7" w14:textId="77777777" w:rsidR="00B83D5C" w:rsidRDefault="00B83D5C">
            <w:pPr>
              <w:jc w:val="center"/>
              <w:rPr>
                <w:color w:val="000000"/>
              </w:rPr>
            </w:pPr>
            <w:r>
              <w:rPr>
                <w:color w:val="000000"/>
              </w:rPr>
              <w:t>1</w:t>
            </w:r>
          </w:p>
        </w:tc>
        <w:tc>
          <w:tcPr>
            <w:tcW w:w="0" w:type="auto"/>
            <w:vAlign w:val="center"/>
            <w:hideMark/>
          </w:tcPr>
          <w:p w14:paraId="4CE05083" w14:textId="77777777" w:rsidR="00B83D5C" w:rsidRDefault="00B83D5C">
            <w:pPr>
              <w:jc w:val="center"/>
              <w:rPr>
                <w:color w:val="000000"/>
              </w:rPr>
            </w:pPr>
            <w:r>
              <w:rPr>
                <w:color w:val="000000"/>
              </w:rPr>
              <w:t>0.250</w:t>
            </w:r>
          </w:p>
        </w:tc>
      </w:tr>
      <w:tr w:rsidR="00B83D5C" w14:paraId="552F635D" w14:textId="77777777" w:rsidTr="00B83D5C">
        <w:trPr>
          <w:tblCellSpacing w:w="15" w:type="dxa"/>
        </w:trPr>
        <w:tc>
          <w:tcPr>
            <w:tcW w:w="1035" w:type="dxa"/>
            <w:vAlign w:val="center"/>
            <w:hideMark/>
          </w:tcPr>
          <w:p w14:paraId="6FF325C7" w14:textId="77777777" w:rsidR="00B83D5C" w:rsidRDefault="00B83D5C">
            <w:pPr>
              <w:rPr>
                <w:color w:val="000000"/>
              </w:rPr>
            </w:pPr>
            <w:r>
              <w:rPr>
                <w:color w:val="000000"/>
              </w:rPr>
              <w:t>130</w:t>
            </w:r>
          </w:p>
        </w:tc>
        <w:tc>
          <w:tcPr>
            <w:tcW w:w="1230" w:type="dxa"/>
            <w:vAlign w:val="center"/>
            <w:hideMark/>
          </w:tcPr>
          <w:p w14:paraId="5DFD2872" w14:textId="77777777" w:rsidR="00B83D5C" w:rsidRDefault="00B83D5C">
            <w:pPr>
              <w:rPr>
                <w:color w:val="000000"/>
              </w:rPr>
            </w:pPr>
          </w:p>
        </w:tc>
        <w:tc>
          <w:tcPr>
            <w:tcW w:w="929" w:type="dxa"/>
            <w:vAlign w:val="center"/>
            <w:hideMark/>
          </w:tcPr>
          <w:p w14:paraId="54057FA5" w14:textId="77777777" w:rsidR="00B83D5C" w:rsidRDefault="00B83D5C">
            <w:pPr>
              <w:jc w:val="center"/>
              <w:rPr>
                <w:color w:val="000000"/>
              </w:rPr>
            </w:pPr>
            <w:r>
              <w:rPr>
                <w:color w:val="000000"/>
              </w:rPr>
              <w:t>0</w:t>
            </w:r>
          </w:p>
        </w:tc>
        <w:tc>
          <w:tcPr>
            <w:tcW w:w="0" w:type="auto"/>
            <w:vAlign w:val="center"/>
            <w:hideMark/>
          </w:tcPr>
          <w:p w14:paraId="71FEBBCC" w14:textId="77777777" w:rsidR="00B83D5C" w:rsidRDefault="00B83D5C">
            <w:pPr>
              <w:jc w:val="center"/>
              <w:rPr>
                <w:color w:val="000000"/>
              </w:rPr>
            </w:pPr>
            <w:r>
              <w:rPr>
                <w:color w:val="000000"/>
              </w:rPr>
              <w:t>8</w:t>
            </w:r>
          </w:p>
        </w:tc>
        <w:tc>
          <w:tcPr>
            <w:tcW w:w="0" w:type="auto"/>
            <w:vAlign w:val="center"/>
            <w:hideMark/>
          </w:tcPr>
          <w:p w14:paraId="54777FAA" w14:textId="77777777" w:rsidR="00B83D5C" w:rsidRDefault="00B83D5C">
            <w:pPr>
              <w:jc w:val="center"/>
              <w:rPr>
                <w:color w:val="000000"/>
              </w:rPr>
            </w:pPr>
            <w:r>
              <w:rPr>
                <w:color w:val="000000"/>
              </w:rPr>
              <w:t>1.000</w:t>
            </w:r>
          </w:p>
        </w:tc>
        <w:tc>
          <w:tcPr>
            <w:tcW w:w="1505" w:type="dxa"/>
            <w:vAlign w:val="center"/>
            <w:hideMark/>
          </w:tcPr>
          <w:p w14:paraId="07696EA9" w14:textId="77777777" w:rsidR="00B83D5C" w:rsidRDefault="00B83D5C">
            <w:pPr>
              <w:jc w:val="center"/>
              <w:rPr>
                <w:color w:val="000000"/>
              </w:rPr>
            </w:pPr>
          </w:p>
        </w:tc>
        <w:tc>
          <w:tcPr>
            <w:tcW w:w="1009" w:type="dxa"/>
            <w:vAlign w:val="center"/>
            <w:hideMark/>
          </w:tcPr>
          <w:p w14:paraId="72C6EAF6" w14:textId="77777777" w:rsidR="00B83D5C" w:rsidRDefault="00B83D5C">
            <w:pPr>
              <w:jc w:val="center"/>
              <w:rPr>
                <w:color w:val="000000"/>
              </w:rPr>
            </w:pPr>
            <w:r>
              <w:rPr>
                <w:color w:val="000000"/>
              </w:rPr>
              <w:t>3</w:t>
            </w:r>
          </w:p>
        </w:tc>
        <w:tc>
          <w:tcPr>
            <w:tcW w:w="0" w:type="auto"/>
            <w:vAlign w:val="center"/>
            <w:hideMark/>
          </w:tcPr>
          <w:p w14:paraId="5430C797" w14:textId="77777777" w:rsidR="00B83D5C" w:rsidRDefault="00B83D5C">
            <w:pPr>
              <w:jc w:val="center"/>
              <w:rPr>
                <w:color w:val="000000"/>
              </w:rPr>
            </w:pPr>
            <w:r>
              <w:rPr>
                <w:color w:val="000000"/>
              </w:rPr>
              <w:t>1</w:t>
            </w:r>
          </w:p>
        </w:tc>
        <w:tc>
          <w:tcPr>
            <w:tcW w:w="0" w:type="auto"/>
            <w:vAlign w:val="center"/>
            <w:hideMark/>
          </w:tcPr>
          <w:p w14:paraId="6E65DF2B" w14:textId="77777777" w:rsidR="00B83D5C" w:rsidRDefault="00B83D5C">
            <w:pPr>
              <w:jc w:val="center"/>
              <w:rPr>
                <w:color w:val="000000"/>
              </w:rPr>
            </w:pPr>
            <w:r>
              <w:rPr>
                <w:color w:val="000000"/>
              </w:rPr>
              <w:t>0.250</w:t>
            </w:r>
          </w:p>
        </w:tc>
      </w:tr>
      <w:tr w:rsidR="00B83D5C" w14:paraId="2BB36CC3" w14:textId="77777777" w:rsidTr="00B83D5C">
        <w:trPr>
          <w:tblCellSpacing w:w="15" w:type="dxa"/>
        </w:trPr>
        <w:tc>
          <w:tcPr>
            <w:tcW w:w="0" w:type="auto"/>
            <w:gridSpan w:val="9"/>
            <w:tcBorders>
              <w:bottom w:val="single" w:sz="6" w:space="0" w:color="000000"/>
            </w:tcBorders>
            <w:vAlign w:val="center"/>
            <w:hideMark/>
          </w:tcPr>
          <w:p w14:paraId="1603D29C" w14:textId="77777777" w:rsidR="00B83D5C" w:rsidRDefault="00B83D5C">
            <w:pPr>
              <w:jc w:val="center"/>
              <w:rPr>
                <w:color w:val="000000"/>
              </w:rPr>
            </w:pPr>
          </w:p>
        </w:tc>
      </w:tr>
    </w:tbl>
    <w:p w14:paraId="4B8F8FE2" w14:textId="77777777" w:rsidR="008F15FA" w:rsidRDefault="008F15FA" w:rsidP="008669FE"/>
    <w:p w14:paraId="4460768C" w14:textId="48765812" w:rsidR="00FA5F0A" w:rsidRDefault="00891C9C" w:rsidP="008669FE">
      <w:r>
        <w:t xml:space="preserve">Note: </w:t>
      </w:r>
      <w:r w:rsidRPr="008669FE">
        <w:rPr>
          <w:i/>
          <w:iCs/>
        </w:rPr>
        <w:t>Non-sig</w:t>
      </w:r>
      <w:r>
        <w:t xml:space="preserve">: the number of models using the specified attention cutpoint and missing data treatment that did not yield statistical significance. </w:t>
      </w:r>
      <w:r w:rsidRPr="008669FE">
        <w:rPr>
          <w:i/>
          <w:iCs/>
        </w:rPr>
        <w:t>Sig</w:t>
      </w:r>
      <w:r>
        <w:t>: the number of models that yielded statistical significance.</w:t>
      </w:r>
      <w:r w:rsidR="00B66462">
        <w:t xml:space="preserve"> </w:t>
      </w:r>
      <w:r w:rsidR="00A76A60">
        <w:t>Cutoffs are given for the within-sex standardized attention scores; p</w:t>
      </w:r>
      <w:r w:rsidR="00B66462">
        <w:t>ercentile-equivalent cutoffs were applied to the raw attention scores</w:t>
      </w:r>
      <w:r w:rsidR="00A76A60">
        <w:t>.</w:t>
      </w:r>
    </w:p>
    <w:p w14:paraId="4CAC284C" w14:textId="77777777" w:rsidR="00891C9C" w:rsidRDefault="00891C9C">
      <w:r>
        <w:br w:type="page"/>
      </w:r>
    </w:p>
    <w:p w14:paraId="5973BFEE" w14:textId="400E80D5" w:rsidR="006B1F40" w:rsidRDefault="006B1F40"/>
    <w:p w14:paraId="64D85EDB" w14:textId="59C45446" w:rsidR="00FA1DA9" w:rsidRDefault="000F7945" w:rsidP="004C75BC">
      <w:r w:rsidRPr="00F90D5D">
        <w:t xml:space="preserve">Figure </w:t>
      </w:r>
      <w:r w:rsidR="00165274" w:rsidRPr="00F90D5D">
        <w:t>1</w:t>
      </w:r>
    </w:p>
    <w:p w14:paraId="42E70D10" w14:textId="19ED7B23" w:rsidR="004C75BC" w:rsidRDefault="004C75BC" w:rsidP="004C75BC">
      <w:r>
        <w:t xml:space="preserve">Scatterplots </w:t>
      </w:r>
      <w:r w:rsidR="00165274">
        <w:t xml:space="preserve">of </w:t>
      </w:r>
      <w:r>
        <w:t>early childhood TV use</w:t>
      </w:r>
      <w:r w:rsidR="00BB280A">
        <w:t xml:space="preserve"> </w:t>
      </w:r>
      <w:r w:rsidR="00165274">
        <w:t>versus</w:t>
      </w:r>
      <w:r w:rsidR="00BB280A">
        <w:t xml:space="preserve"> standardized within-sex attention score at age 7. </w:t>
      </w:r>
    </w:p>
    <w:p w14:paraId="46999BA5" w14:textId="77777777" w:rsidR="00DA5C2F" w:rsidRDefault="00DA5C2F" w:rsidP="004C75BC"/>
    <w:p w14:paraId="48D8BDC7" w14:textId="3ADF0C73" w:rsidR="000B111F" w:rsidRDefault="00DA5C2F" w:rsidP="004C75BC">
      <w:r>
        <w:rPr>
          <w:noProof/>
        </w:rPr>
        <w:drawing>
          <wp:inline distT="0" distB="0" distL="0" distR="0" wp14:anchorId="57089B83" wp14:editId="63A1379A">
            <wp:extent cx="5935980" cy="5090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5090160"/>
                    </a:xfrm>
                    <a:prstGeom prst="rect">
                      <a:avLst/>
                    </a:prstGeom>
                    <a:noFill/>
                    <a:ln>
                      <a:noFill/>
                    </a:ln>
                  </pic:spPr>
                </pic:pic>
              </a:graphicData>
            </a:graphic>
          </wp:inline>
        </w:drawing>
      </w:r>
    </w:p>
    <w:p w14:paraId="08A9AD71" w14:textId="77777777" w:rsidR="00DA5C2F" w:rsidRDefault="00DA5C2F" w:rsidP="004C75BC"/>
    <w:p w14:paraId="048CF381" w14:textId="0DF4F00C" w:rsidR="004C75BC" w:rsidRDefault="00BB280A" w:rsidP="004C75BC">
      <w:r>
        <w:t xml:space="preserve">Note: </w:t>
      </w:r>
      <w:r w:rsidR="00D46D58" w:rsidRPr="008669FE">
        <w:rPr>
          <w:i/>
          <w:iCs/>
        </w:rPr>
        <w:t>Left column</w:t>
      </w:r>
      <w:r w:rsidR="00D46D58">
        <w:t xml:space="preserve">: TV measured at age ~1.5. </w:t>
      </w:r>
      <w:r w:rsidR="00D46D58" w:rsidRPr="008669FE">
        <w:rPr>
          <w:i/>
          <w:iCs/>
        </w:rPr>
        <w:t>Right column</w:t>
      </w:r>
      <w:r w:rsidR="00D46D58">
        <w:t xml:space="preserve">: TV measured at age ~3. </w:t>
      </w:r>
      <w:r w:rsidR="00D46D58" w:rsidRPr="0077366D">
        <w:rPr>
          <w:i/>
        </w:rPr>
        <w:t>Top row</w:t>
      </w:r>
      <w:r w:rsidR="00D46D58">
        <w:t xml:space="preserve">: raw data. </w:t>
      </w:r>
      <w:r w:rsidR="00D46D58" w:rsidRPr="0077366D">
        <w:rPr>
          <w:i/>
        </w:rPr>
        <w:t>Bottom row</w:t>
      </w:r>
      <w:r w:rsidR="00D46D58">
        <w:t>: adjusted (residualized) attention score with effect of covariates removed. Bottom panel: red ‘x’ points are adjusted based on imputed covariate values. Solid blue smoothing line fits to non-missing data only; red dashed smoothing line fit all data (including imputed values). P</w:t>
      </w:r>
      <w:r>
        <w:t>oint locations are slightly jittered to reduce overplotting</w:t>
      </w:r>
    </w:p>
    <w:p w14:paraId="51C5CA5B" w14:textId="77777777" w:rsidR="00053464" w:rsidRDefault="00053464">
      <w:pPr>
        <w:sectPr w:rsidR="00053464" w:rsidSect="00D2098F">
          <w:headerReference w:type="default" r:id="rId24"/>
          <w:footerReference w:type="even" r:id="rId25"/>
          <w:footerReference w:type="default" r:id="rId26"/>
          <w:pgSz w:w="12240" w:h="15840"/>
          <w:pgMar w:top="1440" w:right="1440" w:bottom="1440" w:left="1440" w:header="720" w:footer="720" w:gutter="0"/>
          <w:cols w:space="720"/>
          <w:docGrid w:linePitch="360"/>
        </w:sectPr>
      </w:pPr>
    </w:p>
    <w:p w14:paraId="7FC6708A" w14:textId="18B35639" w:rsidR="00225CD8" w:rsidRDefault="006B1F40" w:rsidP="00C4008A">
      <w:r w:rsidRPr="008669FE">
        <w:lastRenderedPageBreak/>
        <w:t xml:space="preserve">Figure </w:t>
      </w:r>
      <w:r w:rsidR="00165274">
        <w:t>2</w:t>
      </w:r>
    </w:p>
    <w:p w14:paraId="440F79B0" w14:textId="1D8B35C4" w:rsidR="00053464" w:rsidRDefault="00642782" w:rsidP="00C4008A">
      <w:r>
        <w:rPr>
          <w:noProof/>
        </w:rPr>
        <w:t>Multiverse I: Logistic regression results summary</w:t>
      </w:r>
    </w:p>
    <w:p w14:paraId="193CB9FC" w14:textId="77777777" w:rsidR="00642782" w:rsidRDefault="00642782" w:rsidP="00C4008A"/>
    <w:p w14:paraId="44DC17D8" w14:textId="4EA7C138" w:rsidR="006B1F40" w:rsidRDefault="008C6690" w:rsidP="00C4008A">
      <w:r>
        <w:rPr>
          <w:noProof/>
        </w:rPr>
        <w:drawing>
          <wp:inline distT="0" distB="0" distL="0" distR="0" wp14:anchorId="3AF790D7" wp14:editId="57C614FA">
            <wp:extent cx="7909560" cy="47457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18562" cy="4751137"/>
                    </a:xfrm>
                    <a:prstGeom prst="rect">
                      <a:avLst/>
                    </a:prstGeom>
                    <a:noFill/>
                    <a:ln>
                      <a:noFill/>
                    </a:ln>
                  </pic:spPr>
                </pic:pic>
              </a:graphicData>
            </a:graphic>
          </wp:inline>
        </w:drawing>
      </w:r>
    </w:p>
    <w:p w14:paraId="00BC5A4F" w14:textId="5236FDD9" w:rsidR="00053464" w:rsidRPr="00B60A48" w:rsidRDefault="002F2BD6" w:rsidP="00C4008A">
      <w:pPr>
        <w:rPr>
          <w:sz w:val="22"/>
          <w:szCs w:val="22"/>
        </w:rPr>
        <w:sectPr w:rsidR="00053464" w:rsidRPr="00B60A48" w:rsidSect="00053464">
          <w:headerReference w:type="even" r:id="rId28"/>
          <w:headerReference w:type="default" r:id="rId29"/>
          <w:pgSz w:w="15840" w:h="12240" w:orient="landscape"/>
          <w:pgMar w:top="1440" w:right="1440" w:bottom="1440" w:left="1440" w:header="720" w:footer="720" w:gutter="0"/>
          <w:cols w:space="720"/>
          <w:docGrid w:linePitch="360"/>
        </w:sectPr>
      </w:pPr>
      <w:r w:rsidRPr="00F71468">
        <w:rPr>
          <w:i/>
          <w:iCs/>
          <w:sz w:val="22"/>
          <w:szCs w:val="22"/>
        </w:rPr>
        <w:t>Note</w:t>
      </w:r>
      <w:r w:rsidRPr="00F71468">
        <w:rPr>
          <w:sz w:val="22"/>
          <w:szCs w:val="22"/>
        </w:rPr>
        <w:t xml:space="preserve">: </w:t>
      </w:r>
      <w:r w:rsidR="00642782" w:rsidRPr="00F71468">
        <w:rPr>
          <w:sz w:val="22"/>
          <w:szCs w:val="22"/>
        </w:rPr>
        <w:t xml:space="preserve">Odds ratio point estimate and 95% CI displayed for each model. Filled circles indicate </w:t>
      </w:r>
      <w:r w:rsidR="00642782" w:rsidRPr="00F71468">
        <w:rPr>
          <w:i/>
          <w:iCs/>
          <w:sz w:val="22"/>
          <w:szCs w:val="22"/>
        </w:rPr>
        <w:t>p</w:t>
      </w:r>
      <w:r w:rsidR="00642782" w:rsidRPr="00F71468">
        <w:rPr>
          <w:sz w:val="22"/>
          <w:szCs w:val="22"/>
        </w:rPr>
        <w:t xml:space="preserve"> &lt; .05. </w:t>
      </w:r>
      <w:r w:rsidR="00642782" w:rsidRPr="00F71468">
        <w:rPr>
          <w:i/>
          <w:iCs/>
          <w:sz w:val="22"/>
          <w:szCs w:val="22"/>
        </w:rPr>
        <w:t>Panel A</w:t>
      </w:r>
      <w:r w:rsidR="00642782" w:rsidRPr="00F71468">
        <w:rPr>
          <w:sz w:val="22"/>
          <w:szCs w:val="22"/>
        </w:rPr>
        <w:t xml:space="preserve">: Within-sex standardized attention outcome and TV measured at approximate age 3. </w:t>
      </w:r>
      <w:r w:rsidR="00642782" w:rsidRPr="00F71468">
        <w:rPr>
          <w:i/>
          <w:iCs/>
          <w:sz w:val="22"/>
          <w:szCs w:val="22"/>
        </w:rPr>
        <w:t xml:space="preserve">Panel </w:t>
      </w:r>
      <w:r w:rsidR="00642782">
        <w:rPr>
          <w:i/>
          <w:iCs/>
          <w:sz w:val="22"/>
          <w:szCs w:val="22"/>
        </w:rPr>
        <w:t>B</w:t>
      </w:r>
      <w:r w:rsidR="00642782" w:rsidRPr="00F71468">
        <w:rPr>
          <w:sz w:val="22"/>
          <w:szCs w:val="22"/>
        </w:rPr>
        <w:t xml:space="preserve">: Raw attention outcome and TV measured at approximate age 3. </w:t>
      </w:r>
      <w:r w:rsidR="00642782" w:rsidRPr="00E62B76">
        <w:rPr>
          <w:i/>
          <w:iCs/>
          <w:sz w:val="22"/>
          <w:szCs w:val="22"/>
        </w:rPr>
        <w:t xml:space="preserve">Panel </w:t>
      </w:r>
      <w:r w:rsidR="00642782">
        <w:rPr>
          <w:i/>
          <w:iCs/>
          <w:sz w:val="22"/>
          <w:szCs w:val="22"/>
        </w:rPr>
        <w:t>C</w:t>
      </w:r>
      <w:r w:rsidR="00642782" w:rsidRPr="00E62B76">
        <w:rPr>
          <w:sz w:val="22"/>
          <w:szCs w:val="22"/>
        </w:rPr>
        <w:t xml:space="preserve">: Within-sex standardized attention outcome and TV measured at approximate age 1.5. </w:t>
      </w:r>
      <w:r w:rsidR="00642782" w:rsidRPr="00F71468">
        <w:rPr>
          <w:i/>
          <w:iCs/>
          <w:sz w:val="22"/>
          <w:szCs w:val="22"/>
        </w:rPr>
        <w:t>Panel D</w:t>
      </w:r>
      <w:r w:rsidR="00642782" w:rsidRPr="00F71468">
        <w:rPr>
          <w:sz w:val="22"/>
          <w:szCs w:val="22"/>
        </w:rPr>
        <w:t>: Raw attention outcome and TV measured at approximate age 1.5.</w:t>
      </w:r>
      <w:r w:rsidR="00642782">
        <w:rPr>
          <w:sz w:val="22"/>
          <w:szCs w:val="22"/>
        </w:rPr>
        <w:t xml:space="preserve"> Y-axis of each panel shows the cutpoint defining problematic attention. The dashed vertical reference line represents no association</w:t>
      </w:r>
      <w:r w:rsidR="00B60A48">
        <w:rPr>
          <w:sz w:val="22"/>
          <w:szCs w:val="22"/>
        </w:rPr>
        <w:t xml:space="preserve"> (OR=1)</w:t>
      </w:r>
      <w:r w:rsidR="00DA5C2F">
        <w:rPr>
          <w:sz w:val="22"/>
          <w:szCs w:val="22"/>
        </w:rPr>
        <w:t>.</w:t>
      </w:r>
    </w:p>
    <w:p w14:paraId="44DE8858" w14:textId="7BD6F686" w:rsidR="00053464" w:rsidRDefault="00053464" w:rsidP="00C4008A"/>
    <w:p w14:paraId="3EA297D5" w14:textId="74265532" w:rsidR="006B1F40" w:rsidRDefault="006B1F40" w:rsidP="00C4008A">
      <w:r>
        <w:t xml:space="preserve">Figure </w:t>
      </w:r>
      <w:r w:rsidR="00165274">
        <w:t>3</w:t>
      </w:r>
      <w:r w:rsidR="00642782">
        <w:t>A</w:t>
      </w:r>
    </w:p>
    <w:p w14:paraId="2E04D808" w14:textId="1879CF6D" w:rsidR="00053464" w:rsidRDefault="00642782" w:rsidP="00053464">
      <w:r>
        <w:t>Multiverse II: Linear regression</w:t>
      </w:r>
      <w:r w:rsidR="00053464">
        <w:t xml:space="preserve"> </w:t>
      </w:r>
      <w:r>
        <w:t>model results summary</w:t>
      </w:r>
    </w:p>
    <w:p w14:paraId="1ED5CD1A" w14:textId="77777777" w:rsidR="00642782" w:rsidRDefault="00642782" w:rsidP="00053464"/>
    <w:p w14:paraId="19B2F1CF" w14:textId="0373A405" w:rsidR="00642782" w:rsidRDefault="00857ED3" w:rsidP="00053464">
      <w:r>
        <w:rPr>
          <w:noProof/>
        </w:rPr>
        <w:drawing>
          <wp:inline distT="0" distB="0" distL="0" distR="0" wp14:anchorId="493404DF" wp14:editId="58C472C4">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EAFD52" w14:textId="77777777" w:rsidR="00053464" w:rsidRDefault="00053464" w:rsidP="00C4008A"/>
    <w:p w14:paraId="58FF66AB" w14:textId="50DDECA3" w:rsidR="00642782" w:rsidRPr="00E62B76" w:rsidRDefault="00642782" w:rsidP="00642782">
      <w:pPr>
        <w:rPr>
          <w:sz w:val="22"/>
          <w:szCs w:val="22"/>
        </w:rPr>
      </w:pPr>
      <w:r w:rsidRPr="00E62B76">
        <w:rPr>
          <w:i/>
          <w:iCs/>
          <w:sz w:val="22"/>
          <w:szCs w:val="22"/>
        </w:rPr>
        <w:t>Note</w:t>
      </w:r>
      <w:r w:rsidRPr="00E62B76">
        <w:rPr>
          <w:sz w:val="22"/>
          <w:szCs w:val="22"/>
        </w:rPr>
        <w:t xml:space="preserve">: </w:t>
      </w:r>
      <w:r>
        <w:rPr>
          <w:sz w:val="22"/>
          <w:szCs w:val="22"/>
        </w:rPr>
        <w:t>The standardized regression slope for TV</w:t>
      </w:r>
      <w:r w:rsidRPr="00E62B76">
        <w:rPr>
          <w:sz w:val="22"/>
          <w:szCs w:val="22"/>
        </w:rPr>
        <w:t xml:space="preserve"> and 95% CI displayed for each model. Filled circles indicate </w:t>
      </w:r>
      <w:r w:rsidRPr="00E62B76">
        <w:rPr>
          <w:i/>
          <w:iCs/>
          <w:sz w:val="22"/>
          <w:szCs w:val="22"/>
        </w:rPr>
        <w:t>p</w:t>
      </w:r>
      <w:r w:rsidRPr="00E62B76">
        <w:rPr>
          <w:sz w:val="22"/>
          <w:szCs w:val="22"/>
        </w:rPr>
        <w:t xml:space="preserve"> &lt; .05. </w:t>
      </w:r>
      <w:r w:rsidRPr="00E62B76">
        <w:rPr>
          <w:i/>
          <w:iCs/>
          <w:sz w:val="22"/>
          <w:szCs w:val="22"/>
        </w:rPr>
        <w:t>Panel A</w:t>
      </w:r>
      <w:r w:rsidRPr="00E62B76">
        <w:rPr>
          <w:sz w:val="22"/>
          <w:szCs w:val="22"/>
        </w:rPr>
        <w:t>: Within-sex standardized attention outcome</w:t>
      </w:r>
      <w:r>
        <w:rPr>
          <w:sz w:val="22"/>
          <w:szCs w:val="22"/>
        </w:rPr>
        <w:t xml:space="preserve">. </w:t>
      </w:r>
      <w:r w:rsidRPr="00E62B76">
        <w:rPr>
          <w:i/>
          <w:iCs/>
          <w:sz w:val="22"/>
          <w:szCs w:val="22"/>
        </w:rPr>
        <w:t>Panel B</w:t>
      </w:r>
      <w:r w:rsidRPr="00E62B76">
        <w:rPr>
          <w:sz w:val="22"/>
          <w:szCs w:val="22"/>
        </w:rPr>
        <w:t xml:space="preserve">: </w:t>
      </w:r>
      <w:r>
        <w:rPr>
          <w:sz w:val="22"/>
          <w:szCs w:val="22"/>
        </w:rPr>
        <w:t>Raw</w:t>
      </w:r>
      <w:r w:rsidRPr="00E62B76">
        <w:rPr>
          <w:sz w:val="22"/>
          <w:szCs w:val="22"/>
        </w:rPr>
        <w:t xml:space="preserve"> attention outcome</w:t>
      </w:r>
      <w:r>
        <w:rPr>
          <w:sz w:val="22"/>
          <w:szCs w:val="22"/>
        </w:rPr>
        <w:t>. Y-axis of each panel shows the covariate set. Other model features are listed in the header to each pane. The outcomes are scaled such that higher scores indicate worse attention.</w:t>
      </w:r>
      <w:r w:rsidR="004F212F">
        <w:rPr>
          <w:sz w:val="22"/>
          <w:szCs w:val="22"/>
        </w:rPr>
        <w:t xml:space="preserve"> </w:t>
      </w:r>
      <w:r w:rsidR="009B6CBC">
        <w:rPr>
          <w:sz w:val="22"/>
          <w:szCs w:val="22"/>
        </w:rPr>
        <w:t xml:space="preserve">The estimates describe the expected </w:t>
      </w:r>
      <w:r w:rsidR="001D1E3A">
        <w:rPr>
          <w:sz w:val="22"/>
          <w:szCs w:val="22"/>
        </w:rPr>
        <w:t xml:space="preserve">in </w:t>
      </w:r>
      <w:r w:rsidR="009B6CBC">
        <w:rPr>
          <w:sz w:val="22"/>
          <w:szCs w:val="22"/>
        </w:rPr>
        <w:t>attention</w:t>
      </w:r>
      <w:r w:rsidR="001D1E3A">
        <w:rPr>
          <w:sz w:val="22"/>
          <w:szCs w:val="22"/>
        </w:rPr>
        <w:t>, measured in standard deviation</w:t>
      </w:r>
      <w:r w:rsidR="001F3FB2">
        <w:rPr>
          <w:sz w:val="22"/>
          <w:szCs w:val="22"/>
        </w:rPr>
        <w:t xml:space="preserve"> units</w:t>
      </w:r>
      <w:r w:rsidR="001D1E3A">
        <w:rPr>
          <w:sz w:val="22"/>
          <w:szCs w:val="22"/>
        </w:rPr>
        <w:t xml:space="preserve">, </w:t>
      </w:r>
      <w:r w:rsidR="009B6CBC">
        <w:rPr>
          <w:sz w:val="22"/>
          <w:szCs w:val="22"/>
        </w:rPr>
        <w:t>for a one-hour increase in TV use. The dashed vertical reference line represents no association (</w:t>
      </w:r>
      <w:r w:rsidR="009B6CBC" w:rsidRPr="001D1E3A">
        <w:rPr>
          <w:i/>
          <w:iCs/>
          <w:sz w:val="22"/>
          <w:szCs w:val="22"/>
        </w:rPr>
        <w:t>b</w:t>
      </w:r>
      <w:r w:rsidR="009B6CBC">
        <w:rPr>
          <w:sz w:val="22"/>
          <w:szCs w:val="22"/>
        </w:rPr>
        <w:t>=0).</w:t>
      </w:r>
    </w:p>
    <w:p w14:paraId="431FB684" w14:textId="60E911B6" w:rsidR="006B1F40" w:rsidRDefault="006B1F40" w:rsidP="00C4008A"/>
    <w:p w14:paraId="790FC372" w14:textId="77777777" w:rsidR="002F28B4" w:rsidRDefault="002F28B4" w:rsidP="00642782">
      <w:pPr>
        <w:sectPr w:rsidR="002F28B4" w:rsidSect="00053464">
          <w:pgSz w:w="12240" w:h="15840"/>
          <w:pgMar w:top="1440" w:right="1440" w:bottom="1440" w:left="1440" w:header="720" w:footer="720" w:gutter="0"/>
          <w:cols w:space="720"/>
          <w:docGrid w:linePitch="360"/>
        </w:sectPr>
      </w:pPr>
    </w:p>
    <w:p w14:paraId="754A0000" w14:textId="6C6BA7C3" w:rsidR="00642782" w:rsidRDefault="00642782" w:rsidP="00642782">
      <w:r>
        <w:lastRenderedPageBreak/>
        <w:t>Figure 3B</w:t>
      </w:r>
    </w:p>
    <w:p w14:paraId="52C65FBB" w14:textId="1B538737" w:rsidR="00642782" w:rsidRDefault="00642782" w:rsidP="00642782">
      <w:r>
        <w:t>Multiverse II: IPTW weighting propensity score analysis results</w:t>
      </w:r>
    </w:p>
    <w:p w14:paraId="5C464002" w14:textId="56010FB0" w:rsidR="00642782" w:rsidRDefault="00DF1DF6" w:rsidP="00BD0F27">
      <w:r>
        <w:rPr>
          <w:noProof/>
        </w:rPr>
        <w:drawing>
          <wp:inline distT="0" distB="0" distL="0" distR="0" wp14:anchorId="30D040F3" wp14:editId="585BA9D4">
            <wp:extent cx="7635240" cy="4581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51201" cy="4590721"/>
                    </a:xfrm>
                    <a:prstGeom prst="rect">
                      <a:avLst/>
                    </a:prstGeom>
                    <a:noFill/>
                    <a:ln>
                      <a:noFill/>
                    </a:ln>
                  </pic:spPr>
                </pic:pic>
              </a:graphicData>
            </a:graphic>
          </wp:inline>
        </w:drawing>
      </w:r>
    </w:p>
    <w:p w14:paraId="6A32543D" w14:textId="7104F4D8" w:rsidR="006B1F40" w:rsidRDefault="00642782">
      <w:r w:rsidRPr="00F71468">
        <w:rPr>
          <w:i/>
          <w:iCs/>
          <w:sz w:val="20"/>
          <w:szCs w:val="20"/>
        </w:rPr>
        <w:t>Note</w:t>
      </w:r>
      <w:r w:rsidRPr="00F71468">
        <w:rPr>
          <w:sz w:val="20"/>
          <w:szCs w:val="20"/>
        </w:rPr>
        <w:t>:</w:t>
      </w:r>
      <w:r w:rsidRPr="00F71468">
        <w:rPr>
          <w:sz w:val="22"/>
          <w:szCs w:val="22"/>
        </w:rPr>
        <w:t xml:space="preserve"> </w:t>
      </w:r>
      <w:r>
        <w:rPr>
          <w:sz w:val="22"/>
          <w:szCs w:val="22"/>
        </w:rPr>
        <w:t xml:space="preserve">Standardized </w:t>
      </w:r>
      <w:r w:rsidRPr="00F71468">
        <w:rPr>
          <w:sz w:val="22"/>
          <w:szCs w:val="22"/>
        </w:rPr>
        <w:t xml:space="preserve">effect </w:t>
      </w:r>
      <w:r>
        <w:rPr>
          <w:sz w:val="22"/>
          <w:szCs w:val="22"/>
        </w:rPr>
        <w:t>size</w:t>
      </w:r>
      <w:r w:rsidR="001D1E3A">
        <w:rPr>
          <w:sz w:val="22"/>
          <w:szCs w:val="22"/>
        </w:rPr>
        <w:t xml:space="preserve"> (Cohen’s </w:t>
      </w:r>
      <w:r w:rsidR="001D1E3A">
        <w:rPr>
          <w:i/>
          <w:iCs/>
          <w:sz w:val="22"/>
          <w:szCs w:val="22"/>
        </w:rPr>
        <w:t>d</w:t>
      </w:r>
      <w:r w:rsidR="001D1E3A">
        <w:rPr>
          <w:sz w:val="22"/>
          <w:szCs w:val="22"/>
        </w:rPr>
        <w:t>)</w:t>
      </w:r>
      <w:r>
        <w:rPr>
          <w:sz w:val="22"/>
          <w:szCs w:val="22"/>
        </w:rPr>
        <w:t xml:space="preserve"> </w:t>
      </w:r>
      <w:r w:rsidRPr="00F71468">
        <w:rPr>
          <w:sz w:val="22"/>
          <w:szCs w:val="22"/>
        </w:rPr>
        <w:t>estimate and 95% CI</w:t>
      </w:r>
      <w:r>
        <w:rPr>
          <w:sz w:val="22"/>
          <w:szCs w:val="22"/>
        </w:rPr>
        <w:t xml:space="preserve"> presented for each model.</w:t>
      </w:r>
      <w:r w:rsidR="00131F3E" w:rsidRPr="00E62B76">
        <w:rPr>
          <w:sz w:val="22"/>
          <w:szCs w:val="22"/>
        </w:rPr>
        <w:t xml:space="preserve"> Filled circles indicate </w:t>
      </w:r>
      <w:r w:rsidR="00131F3E" w:rsidRPr="00E62B76">
        <w:rPr>
          <w:i/>
          <w:iCs/>
          <w:sz w:val="22"/>
          <w:szCs w:val="22"/>
        </w:rPr>
        <w:t>p</w:t>
      </w:r>
      <w:r w:rsidR="00131F3E" w:rsidRPr="00E62B76">
        <w:rPr>
          <w:sz w:val="22"/>
          <w:szCs w:val="22"/>
        </w:rPr>
        <w:t xml:space="preserve"> &lt; .05.</w:t>
      </w:r>
      <w:r>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ATE = average treatment effect. ATT = average treatment effect for the treated. The outcomes are scaled such that higher scores indicate worse attention.</w:t>
      </w:r>
      <w:r w:rsidR="001D1E3A">
        <w:rPr>
          <w:sz w:val="22"/>
          <w:szCs w:val="22"/>
        </w:rPr>
        <w:t xml:space="preserve"> The dashed vertical reference line represents no association (</w:t>
      </w:r>
      <w:r w:rsidR="001D1E3A">
        <w:rPr>
          <w:i/>
          <w:iCs/>
          <w:sz w:val="22"/>
          <w:szCs w:val="22"/>
        </w:rPr>
        <w:t>d</w:t>
      </w:r>
      <w:r w:rsidR="001D1E3A">
        <w:rPr>
          <w:sz w:val="22"/>
          <w:szCs w:val="22"/>
        </w:rPr>
        <w:t>=0).</w:t>
      </w:r>
      <w:r w:rsidR="006B1F40">
        <w:br w:type="page"/>
      </w:r>
    </w:p>
    <w:p w14:paraId="3020EBEA" w14:textId="344E5945" w:rsidR="00642782" w:rsidRDefault="00642782" w:rsidP="00642782">
      <w:r>
        <w:lastRenderedPageBreak/>
        <w:t>Figure 3C</w:t>
      </w:r>
    </w:p>
    <w:p w14:paraId="7809D18E" w14:textId="5DB29E9A" w:rsidR="00642782" w:rsidRDefault="00642782" w:rsidP="00C4008A">
      <w:r>
        <w:t>Multiverse II: Stratification propensity score analysis results</w:t>
      </w:r>
    </w:p>
    <w:p w14:paraId="60E7470B" w14:textId="3ADF239D" w:rsidR="00642782" w:rsidRDefault="000874CF" w:rsidP="00642782">
      <w:r>
        <w:rPr>
          <w:noProof/>
        </w:rPr>
        <w:drawing>
          <wp:inline distT="0" distB="0" distL="0" distR="0" wp14:anchorId="699A90E3" wp14:editId="142BF10A">
            <wp:extent cx="7677726" cy="46066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04283" cy="4622570"/>
                    </a:xfrm>
                    <a:prstGeom prst="rect">
                      <a:avLst/>
                    </a:prstGeom>
                    <a:noFill/>
                    <a:ln>
                      <a:noFill/>
                    </a:ln>
                  </pic:spPr>
                </pic:pic>
              </a:graphicData>
            </a:graphic>
          </wp:inline>
        </w:drawing>
      </w:r>
    </w:p>
    <w:p w14:paraId="2F763CE4" w14:textId="085F9987" w:rsidR="000320C1" w:rsidRDefault="00642782">
      <w:pPr>
        <w:sectPr w:rsidR="000320C1" w:rsidSect="000320C1">
          <w:pgSz w:w="15840" w:h="12240" w:orient="landscape"/>
          <w:pgMar w:top="1440" w:right="1440" w:bottom="1440" w:left="1440" w:header="720" w:footer="720" w:gutter="0"/>
          <w:cols w:space="720"/>
          <w:docGrid w:linePitch="360"/>
        </w:sectPr>
      </w:pPr>
      <w:r w:rsidRPr="00E62B76">
        <w:rPr>
          <w:i/>
          <w:iCs/>
          <w:sz w:val="20"/>
          <w:szCs w:val="20"/>
        </w:rPr>
        <w:t>Note</w:t>
      </w:r>
      <w:r w:rsidRPr="00E62B76">
        <w:rPr>
          <w:sz w:val="20"/>
          <w:szCs w:val="20"/>
        </w:rPr>
        <w:t>:</w:t>
      </w:r>
      <w:r w:rsidRPr="00E62B76">
        <w:rPr>
          <w:sz w:val="22"/>
          <w:szCs w:val="22"/>
        </w:rPr>
        <w:t xml:space="preserve"> </w:t>
      </w:r>
      <w:r>
        <w:rPr>
          <w:sz w:val="22"/>
          <w:szCs w:val="22"/>
        </w:rPr>
        <w:t xml:space="preserve">Standardized </w:t>
      </w:r>
      <w:r w:rsidRPr="00E62B76">
        <w:rPr>
          <w:sz w:val="22"/>
          <w:szCs w:val="22"/>
        </w:rPr>
        <w:t xml:space="preserve">effect </w:t>
      </w:r>
      <w:r>
        <w:rPr>
          <w:sz w:val="22"/>
          <w:szCs w:val="22"/>
        </w:rPr>
        <w:t xml:space="preserve">size </w:t>
      </w:r>
      <w:r w:rsidR="001F3FB2">
        <w:rPr>
          <w:sz w:val="22"/>
          <w:szCs w:val="22"/>
        </w:rPr>
        <w:t xml:space="preserve">(Cohen’s </w:t>
      </w:r>
      <w:r w:rsidR="001F3FB2" w:rsidRPr="001F3FB2">
        <w:rPr>
          <w:i/>
          <w:iCs/>
          <w:sz w:val="22"/>
          <w:szCs w:val="22"/>
        </w:rPr>
        <w:t>d</w:t>
      </w:r>
      <w:r w:rsidR="001F3FB2">
        <w:rPr>
          <w:sz w:val="22"/>
          <w:szCs w:val="22"/>
        </w:rPr>
        <w:t xml:space="preserve">) </w:t>
      </w:r>
      <w:r w:rsidRPr="00E62B76">
        <w:rPr>
          <w:sz w:val="22"/>
          <w:szCs w:val="22"/>
        </w:rPr>
        <w:t>estimate and 95% CI</w:t>
      </w:r>
      <w:r>
        <w:rPr>
          <w:sz w:val="22"/>
          <w:szCs w:val="22"/>
        </w:rPr>
        <w:t xml:space="preserve"> presented for each model. </w:t>
      </w:r>
      <w:r w:rsidR="004530C8" w:rsidRPr="00E62B76">
        <w:rPr>
          <w:sz w:val="22"/>
          <w:szCs w:val="22"/>
        </w:rPr>
        <w:t xml:space="preserve">Filled circles indicate </w:t>
      </w:r>
      <w:r w:rsidR="004530C8" w:rsidRPr="00E62B76">
        <w:rPr>
          <w:i/>
          <w:iCs/>
          <w:sz w:val="22"/>
          <w:szCs w:val="22"/>
        </w:rPr>
        <w:t>p</w:t>
      </w:r>
      <w:r w:rsidR="004530C8" w:rsidRPr="00E62B76">
        <w:rPr>
          <w:sz w:val="22"/>
          <w:szCs w:val="22"/>
        </w:rPr>
        <w:t xml:space="preserve"> &lt; .05.</w:t>
      </w:r>
      <w:r w:rsidR="004530C8">
        <w:rPr>
          <w:sz w:val="22"/>
          <w:szCs w:val="22"/>
        </w:rPr>
        <w:t xml:space="preserve"> </w:t>
      </w:r>
      <w:r w:rsidRPr="00E62B76">
        <w:rPr>
          <w:i/>
          <w:iCs/>
          <w:sz w:val="22"/>
          <w:szCs w:val="22"/>
        </w:rPr>
        <w:t>Panel A</w:t>
      </w:r>
      <w:r w:rsidRPr="00E62B76">
        <w:rPr>
          <w:sz w:val="22"/>
          <w:szCs w:val="22"/>
        </w:rPr>
        <w:t xml:space="preserve">: Within-sex standardized attention outcome and TV measured at approximate age 3. </w:t>
      </w:r>
      <w:r w:rsidRPr="00E62B76">
        <w:rPr>
          <w:i/>
          <w:iCs/>
          <w:sz w:val="22"/>
          <w:szCs w:val="22"/>
        </w:rPr>
        <w:t xml:space="preserve">Panel </w:t>
      </w:r>
      <w:r>
        <w:rPr>
          <w:i/>
          <w:iCs/>
          <w:sz w:val="22"/>
          <w:szCs w:val="22"/>
        </w:rPr>
        <w:t>B</w:t>
      </w:r>
      <w:r w:rsidRPr="00E62B76">
        <w:rPr>
          <w:sz w:val="22"/>
          <w:szCs w:val="22"/>
        </w:rPr>
        <w:t xml:space="preserve">: Raw attention outcome and TV measured at approximate age 3. </w:t>
      </w:r>
      <w:r w:rsidRPr="00E62B76">
        <w:rPr>
          <w:i/>
          <w:iCs/>
          <w:sz w:val="22"/>
          <w:szCs w:val="22"/>
        </w:rPr>
        <w:t xml:space="preserve">Panel </w:t>
      </w:r>
      <w:r>
        <w:rPr>
          <w:i/>
          <w:iCs/>
          <w:sz w:val="22"/>
          <w:szCs w:val="22"/>
        </w:rPr>
        <w:t>C</w:t>
      </w:r>
      <w:r w:rsidRPr="00E62B76">
        <w:rPr>
          <w:sz w:val="22"/>
          <w:szCs w:val="22"/>
        </w:rPr>
        <w:t xml:space="preserve">: Within-sex standardized attention outcome and TV measured at approximate age 1.5. </w:t>
      </w:r>
      <w:r w:rsidRPr="00E62B76">
        <w:rPr>
          <w:i/>
          <w:iCs/>
          <w:sz w:val="22"/>
          <w:szCs w:val="22"/>
        </w:rPr>
        <w:t>Panel D</w:t>
      </w:r>
      <w:r w:rsidRPr="00E62B76">
        <w:rPr>
          <w:sz w:val="22"/>
          <w:szCs w:val="22"/>
        </w:rPr>
        <w:t>: Raw attention outcome and TV measured at approximate age 1.5.</w:t>
      </w:r>
      <w:r>
        <w:rPr>
          <w:sz w:val="22"/>
          <w:szCs w:val="22"/>
        </w:rPr>
        <w:t xml:space="preserve"> Y-axis of each panel shows the percentile cutpoint(s) defining the high- and low-TV groups. Other model features are listed in the header to each pane. The outcomes are scaled such that higher scores indicate worse attention.</w:t>
      </w:r>
      <w:r w:rsidR="001F3FB2">
        <w:rPr>
          <w:sz w:val="22"/>
          <w:szCs w:val="22"/>
        </w:rPr>
        <w:t xml:space="preserve"> The dashed vertical reference line represents no association (</w:t>
      </w:r>
      <w:r w:rsidR="001F3FB2">
        <w:rPr>
          <w:i/>
          <w:iCs/>
          <w:sz w:val="22"/>
          <w:szCs w:val="22"/>
        </w:rPr>
        <w:t>d</w:t>
      </w:r>
      <w:r w:rsidR="001F3FB2">
        <w:rPr>
          <w:sz w:val="22"/>
          <w:szCs w:val="22"/>
        </w:rPr>
        <w:t>=0).</w:t>
      </w:r>
    </w:p>
    <w:p w14:paraId="4576F226" w14:textId="598C8A57" w:rsidR="005B6601" w:rsidRDefault="005B6601" w:rsidP="00C4008A">
      <w:r>
        <w:lastRenderedPageBreak/>
        <w:t xml:space="preserve">Figure </w:t>
      </w:r>
      <w:r w:rsidR="00642782">
        <w:t>4</w:t>
      </w:r>
    </w:p>
    <w:p w14:paraId="4BDFB6CE" w14:textId="691456D0" w:rsidR="005B6601" w:rsidRDefault="005B6601" w:rsidP="00C4008A">
      <w:r>
        <w:t>IPTW propensity score model post-mortem</w:t>
      </w:r>
    </w:p>
    <w:p w14:paraId="4C535F33" w14:textId="77777777" w:rsidR="00DA5C2F" w:rsidRDefault="00DA5C2F" w:rsidP="00C4008A"/>
    <w:p w14:paraId="465FC439" w14:textId="217CFE88" w:rsidR="005B6601" w:rsidRDefault="000874CF" w:rsidP="00C4008A">
      <w:r>
        <w:rPr>
          <w:noProof/>
        </w:rPr>
        <w:drawing>
          <wp:inline distT="0" distB="0" distL="0" distR="0" wp14:anchorId="0593B5E0" wp14:editId="0AEF82E3">
            <wp:extent cx="5935980" cy="3390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526FD709" w14:textId="77777777" w:rsidR="005B6601" w:rsidRDefault="005B6601" w:rsidP="00C4008A"/>
    <w:p w14:paraId="061CB359" w14:textId="6A2FFAE6" w:rsidR="005B6601" w:rsidRPr="00A64A40" w:rsidRDefault="00913124" w:rsidP="00C4008A">
      <w:pPr>
        <w:rPr>
          <w:sz w:val="22"/>
          <w:szCs w:val="22"/>
        </w:rPr>
      </w:pPr>
      <w:r w:rsidRPr="00A64A40">
        <w:rPr>
          <w:i/>
          <w:iCs/>
          <w:sz w:val="22"/>
          <w:szCs w:val="22"/>
        </w:rPr>
        <w:t>Note</w:t>
      </w:r>
      <w:r w:rsidRPr="00A64A40">
        <w:rPr>
          <w:sz w:val="22"/>
          <w:szCs w:val="22"/>
        </w:rPr>
        <w:t>: Panels display the zoomed-in residualized attention outcome (e.g., controlling for covariates</w:t>
      </w:r>
      <w:r w:rsidR="005D0830">
        <w:rPr>
          <w:sz w:val="22"/>
          <w:szCs w:val="22"/>
        </w:rPr>
        <w:t>)</w:t>
      </w:r>
      <w:r w:rsidRPr="00A64A40">
        <w:rPr>
          <w:sz w:val="22"/>
          <w:szCs w:val="22"/>
        </w:rPr>
        <w:t xml:space="preserve"> versus TV measured at age ~3. Each panel depicts a different set of TV percentile cutpoints for defining the low- and high-TV groups; which are displayed as dark vertical lines</w:t>
      </w:r>
      <w:r w:rsidR="00DA5C2F">
        <w:rPr>
          <w:sz w:val="22"/>
          <w:szCs w:val="22"/>
        </w:rPr>
        <w:t xml:space="preserve"> and in the label for each panel</w:t>
      </w:r>
      <w:r w:rsidRPr="00A64A40">
        <w:rPr>
          <w:sz w:val="22"/>
          <w:szCs w:val="22"/>
        </w:rPr>
        <w:t>. The blue curve on each plot is the loess smoother, illustrating the location and scale of the nonlinear feature. The red horizontal lines and their shaded uncertainty regions display the conditional mean attention in the low- and high-TV categories.</w:t>
      </w:r>
    </w:p>
    <w:p w14:paraId="599E32C5" w14:textId="77777777" w:rsidR="005B6601" w:rsidRDefault="005B6601" w:rsidP="00C4008A"/>
    <w:p w14:paraId="516FEFD7" w14:textId="5B7BB15E" w:rsidR="005B6601" w:rsidRDefault="005B6601">
      <w:r>
        <w:br w:type="page"/>
      </w:r>
    </w:p>
    <w:p w14:paraId="335056FD" w14:textId="7FA41C12" w:rsidR="005B6601" w:rsidRDefault="005B6601" w:rsidP="00C4008A">
      <w:r>
        <w:lastRenderedPageBreak/>
        <w:t xml:space="preserve">Figure </w:t>
      </w:r>
      <w:r w:rsidR="00642782">
        <w:t>5</w:t>
      </w:r>
    </w:p>
    <w:p w14:paraId="43431FEE" w14:textId="1296B072" w:rsidR="005B6601" w:rsidRDefault="005B6601" w:rsidP="00C4008A">
      <w:r>
        <w:t>Logistic regression post-mortem</w:t>
      </w:r>
    </w:p>
    <w:p w14:paraId="39FBBBF6" w14:textId="533D667F" w:rsidR="00DA5C2F" w:rsidRDefault="00DA5C2F" w:rsidP="00C4008A"/>
    <w:p w14:paraId="51680749" w14:textId="2A0291BF" w:rsidR="005B6601" w:rsidRDefault="000874CF" w:rsidP="00C4008A">
      <w:r>
        <w:rPr>
          <w:noProof/>
        </w:rPr>
        <w:drawing>
          <wp:inline distT="0" distB="0" distL="0" distR="0" wp14:anchorId="79707299" wp14:editId="08651C7D">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8E1E405" w14:textId="73E9FAA5" w:rsidR="00913124" w:rsidRDefault="00913124" w:rsidP="00C4008A"/>
    <w:p w14:paraId="6CB00F4A" w14:textId="4C7ADA4F" w:rsidR="005B6601" w:rsidRPr="00F71468" w:rsidRDefault="00913124" w:rsidP="00C4008A">
      <w:pPr>
        <w:rPr>
          <w:sz w:val="22"/>
          <w:szCs w:val="22"/>
        </w:rPr>
      </w:pPr>
      <w:r w:rsidRPr="00F71468">
        <w:rPr>
          <w:i/>
          <w:iCs/>
          <w:sz w:val="22"/>
          <w:szCs w:val="22"/>
        </w:rPr>
        <w:t>Note</w:t>
      </w:r>
      <w:r w:rsidRPr="00F71468">
        <w:rPr>
          <w:sz w:val="22"/>
          <w:szCs w:val="22"/>
        </w:rPr>
        <w:t>: Panels display the probability of impaired attention (</w:t>
      </w:r>
      <w:r w:rsidRPr="00F71468">
        <w:rPr>
          <w:i/>
          <w:iCs/>
          <w:sz w:val="22"/>
          <w:szCs w:val="22"/>
        </w:rPr>
        <w:t>y</w:t>
      </w:r>
      <w:r w:rsidRPr="00F71468">
        <w:rPr>
          <w:sz w:val="22"/>
          <w:szCs w:val="22"/>
        </w:rPr>
        <w:t>-axis), as defined by the attention cutpoint displayed on each panel, versus TV measured at age ~3 (</w:t>
      </w:r>
      <w:r w:rsidRPr="00F71468">
        <w:rPr>
          <w:i/>
          <w:iCs/>
          <w:sz w:val="22"/>
          <w:szCs w:val="22"/>
        </w:rPr>
        <w:t>x</w:t>
      </w:r>
      <w:r w:rsidRPr="00F71468">
        <w:rPr>
          <w:sz w:val="22"/>
          <w:szCs w:val="22"/>
        </w:rPr>
        <w:t xml:space="preserve">-axis). The size of each point is proportional to the number of cases in that level of TV consumption. A fitted regression line (weighted by the sample size within each TV grouping) and its slope </w:t>
      </w:r>
      <w:r w:rsidRPr="00F71468">
        <w:rPr>
          <w:i/>
          <w:iCs/>
          <w:sz w:val="22"/>
          <w:szCs w:val="22"/>
        </w:rPr>
        <w:t>p</w:t>
      </w:r>
      <w:r w:rsidRPr="00F71468">
        <w:rPr>
          <w:sz w:val="22"/>
          <w:szCs w:val="22"/>
        </w:rPr>
        <w:t xml:space="preserve">-value are depicted on each plot; these </w:t>
      </w:r>
      <w:r w:rsidR="00535FAD">
        <w:rPr>
          <w:sz w:val="22"/>
          <w:szCs w:val="22"/>
        </w:rPr>
        <w:t>represent</w:t>
      </w:r>
      <w:r w:rsidRPr="00F71468">
        <w:rPr>
          <w:sz w:val="22"/>
          <w:szCs w:val="22"/>
        </w:rPr>
        <w:t xml:space="preserve"> the performance of the logistic regression model in each situation. As the cutoff rise</w:t>
      </w:r>
      <w:r w:rsidR="00535FAD">
        <w:rPr>
          <w:sz w:val="22"/>
          <w:szCs w:val="22"/>
        </w:rPr>
        <w:t>s</w:t>
      </w:r>
      <w:r w:rsidRPr="00F71468">
        <w:rPr>
          <w:sz w:val="22"/>
          <w:szCs w:val="22"/>
        </w:rPr>
        <w:t>, the association between TV and the probability of impaired attention seems to increase.</w:t>
      </w:r>
    </w:p>
    <w:p w14:paraId="43F53BAB" w14:textId="31FEF985" w:rsidR="00F70E6B" w:rsidRDefault="00F70E6B" w:rsidP="00C4008A"/>
    <w:p w14:paraId="1DB73A76" w14:textId="3BD4BC6E" w:rsidR="00B14C89" w:rsidRDefault="00B14C89">
      <w:r>
        <w:br w:type="page"/>
      </w:r>
    </w:p>
    <w:p w14:paraId="6B4D9D14" w14:textId="14B25874" w:rsidR="00F70E6B" w:rsidRPr="00F71468" w:rsidRDefault="00B14C89" w:rsidP="00C4008A">
      <w:pPr>
        <w:rPr>
          <w:b/>
          <w:bCs/>
          <w:sz w:val="22"/>
          <w:szCs w:val="22"/>
        </w:rPr>
      </w:pPr>
      <w:r w:rsidRPr="00F71468">
        <w:rPr>
          <w:b/>
          <w:bCs/>
          <w:sz w:val="22"/>
          <w:szCs w:val="22"/>
        </w:rPr>
        <w:lastRenderedPageBreak/>
        <w:t>Appendix</w:t>
      </w:r>
    </w:p>
    <w:p w14:paraId="18F80DD8" w14:textId="179F852C" w:rsidR="00B14C89" w:rsidRDefault="00B14C89" w:rsidP="00C4008A">
      <w:pPr>
        <w:rPr>
          <w:sz w:val="22"/>
          <w:szCs w:val="22"/>
        </w:rPr>
      </w:pPr>
      <w:r w:rsidRPr="00F71468">
        <w:rPr>
          <w:sz w:val="22"/>
          <w:szCs w:val="22"/>
        </w:rPr>
        <w:t>Guide for reproducing this analysis using the Docker image</w:t>
      </w:r>
    </w:p>
    <w:p w14:paraId="5DC4A0E1" w14:textId="5B5CC4E8" w:rsidR="00642782" w:rsidRDefault="00642782" w:rsidP="00C4008A">
      <w:pPr>
        <w:rPr>
          <w:sz w:val="22"/>
          <w:szCs w:val="22"/>
        </w:rPr>
      </w:pPr>
    </w:p>
    <w:p w14:paraId="10FAEB13" w14:textId="7EB03349" w:rsidR="00642782" w:rsidRPr="00F71468" w:rsidRDefault="00642782" w:rsidP="00C4008A">
      <w:pPr>
        <w:rPr>
          <w:sz w:val="22"/>
          <w:szCs w:val="22"/>
        </w:rPr>
      </w:pPr>
      <w:r>
        <w:rPr>
          <w:sz w:val="22"/>
          <w:szCs w:val="22"/>
        </w:rPr>
        <w:t>The Docker container is preloaded with the versions of R, RStudio, and all the R packages that were used to perform the analyses reported in this paper.</w:t>
      </w:r>
    </w:p>
    <w:p w14:paraId="27D870DF" w14:textId="77777777" w:rsidR="00642782" w:rsidRPr="00F71468" w:rsidRDefault="00642782" w:rsidP="00642782">
      <w:pPr>
        <w:rPr>
          <w:sz w:val="22"/>
          <w:szCs w:val="22"/>
        </w:rPr>
      </w:pPr>
    </w:p>
    <w:p w14:paraId="0E510876" w14:textId="74A2BDDE" w:rsidR="00642782" w:rsidRPr="00F71468" w:rsidRDefault="00642782" w:rsidP="00F71468">
      <w:pPr>
        <w:spacing w:after="120"/>
        <w:rPr>
          <w:sz w:val="22"/>
          <w:szCs w:val="22"/>
        </w:rPr>
      </w:pPr>
      <w:r w:rsidRPr="00F71468">
        <w:rPr>
          <w:sz w:val="22"/>
          <w:szCs w:val="22"/>
        </w:rPr>
        <w:t>1) Make a Docker account</w:t>
      </w:r>
      <w:r>
        <w:rPr>
          <w:sz w:val="22"/>
          <w:szCs w:val="22"/>
        </w:rPr>
        <w:t xml:space="preserve"> at </w:t>
      </w:r>
      <w:hyperlink r:id="rId35" w:history="1">
        <w:r w:rsidRPr="00332E11">
          <w:rPr>
            <w:rStyle w:val="Hyperlink"/>
            <w:sz w:val="22"/>
            <w:szCs w:val="22"/>
          </w:rPr>
          <w:t>http://www.docker.com</w:t>
        </w:r>
      </w:hyperlink>
      <w:r>
        <w:rPr>
          <w:sz w:val="22"/>
          <w:szCs w:val="22"/>
        </w:rPr>
        <w:t xml:space="preserve"> </w:t>
      </w:r>
    </w:p>
    <w:p w14:paraId="55BE61B8" w14:textId="4515D934" w:rsidR="00642782" w:rsidRPr="00F71468" w:rsidRDefault="00642782" w:rsidP="00F71468">
      <w:pPr>
        <w:spacing w:after="120"/>
        <w:rPr>
          <w:sz w:val="22"/>
          <w:szCs w:val="22"/>
        </w:rPr>
      </w:pPr>
      <w:r w:rsidRPr="00F71468">
        <w:rPr>
          <w:sz w:val="22"/>
          <w:szCs w:val="22"/>
        </w:rPr>
        <w:t>2) Log in and download Docker Desktop</w:t>
      </w:r>
      <w:r>
        <w:rPr>
          <w:sz w:val="22"/>
          <w:szCs w:val="22"/>
        </w:rPr>
        <w:t>. If prompted, make sure Docker is set to use Linux containers.</w:t>
      </w:r>
    </w:p>
    <w:p w14:paraId="03B7BB4C" w14:textId="25039730" w:rsidR="00642782" w:rsidRPr="00F71468" w:rsidRDefault="00642782" w:rsidP="00E356E8">
      <w:pPr>
        <w:spacing w:after="120"/>
        <w:ind w:left="270" w:hanging="270"/>
        <w:rPr>
          <w:sz w:val="22"/>
          <w:szCs w:val="22"/>
        </w:rPr>
      </w:pPr>
      <w:r w:rsidRPr="00F71468">
        <w:rPr>
          <w:sz w:val="22"/>
          <w:szCs w:val="22"/>
        </w:rPr>
        <w:t>3)</w:t>
      </w:r>
      <w:r>
        <w:rPr>
          <w:sz w:val="22"/>
          <w:szCs w:val="22"/>
        </w:rPr>
        <w:t xml:space="preserve"> S</w:t>
      </w:r>
      <w:r w:rsidRPr="00F71468">
        <w:rPr>
          <w:sz w:val="22"/>
          <w:szCs w:val="22"/>
        </w:rPr>
        <w:t>tart Docker</w:t>
      </w:r>
      <w:r>
        <w:rPr>
          <w:sz w:val="22"/>
          <w:szCs w:val="22"/>
        </w:rPr>
        <w:t xml:space="preserve"> Desktop</w:t>
      </w:r>
      <w:r w:rsidRPr="00F71468">
        <w:rPr>
          <w:sz w:val="22"/>
          <w:szCs w:val="22"/>
        </w:rPr>
        <w:t>, logging in to your account</w:t>
      </w:r>
      <w:r w:rsidR="008A2076">
        <w:rPr>
          <w:sz w:val="22"/>
          <w:szCs w:val="22"/>
        </w:rPr>
        <w:t xml:space="preserve">. Under </w:t>
      </w:r>
      <w:r w:rsidR="000B5ABD">
        <w:rPr>
          <w:sz w:val="22"/>
          <w:szCs w:val="22"/>
        </w:rPr>
        <w:t xml:space="preserve">Docker Desktop – Settings – Advanced, make sure </w:t>
      </w:r>
      <w:r w:rsidR="005B6D80">
        <w:rPr>
          <w:sz w:val="22"/>
          <w:szCs w:val="22"/>
        </w:rPr>
        <w:t xml:space="preserve">that the Docker Engine can use at least 6 GB of memory. Insufficient resources can cause the </w:t>
      </w:r>
      <w:r w:rsidR="00E356E8">
        <w:rPr>
          <w:sz w:val="22"/>
          <w:szCs w:val="22"/>
        </w:rPr>
        <w:t>code to hang.</w:t>
      </w:r>
      <w:r w:rsidR="00EB0B5F">
        <w:rPr>
          <w:sz w:val="22"/>
          <w:szCs w:val="22"/>
        </w:rPr>
        <w:t xml:space="preserve"> Under Settings – Shared Drives, grant access to one of your local drives so you can copy the generated files out of the container to your local machine.</w:t>
      </w:r>
    </w:p>
    <w:p w14:paraId="3A98F1DB" w14:textId="177E9E57" w:rsidR="00642782" w:rsidRPr="00F71468" w:rsidRDefault="00642782" w:rsidP="00F71468">
      <w:pPr>
        <w:spacing w:after="120"/>
        <w:rPr>
          <w:sz w:val="22"/>
          <w:szCs w:val="22"/>
        </w:rPr>
      </w:pPr>
      <w:r w:rsidRPr="00F71468">
        <w:rPr>
          <w:sz w:val="22"/>
          <w:szCs w:val="22"/>
        </w:rPr>
        <w:t xml:space="preserve">4) </w:t>
      </w:r>
      <w:r>
        <w:rPr>
          <w:sz w:val="22"/>
          <w:szCs w:val="22"/>
        </w:rPr>
        <w:t>O</w:t>
      </w:r>
      <w:r w:rsidRPr="00F71468">
        <w:rPr>
          <w:sz w:val="22"/>
          <w:szCs w:val="22"/>
        </w:rPr>
        <w:t xml:space="preserve">pen a </w:t>
      </w:r>
      <w:r w:rsidR="00490869">
        <w:rPr>
          <w:sz w:val="22"/>
          <w:szCs w:val="22"/>
        </w:rPr>
        <w:t>T</w:t>
      </w:r>
      <w:r w:rsidRPr="00F71468">
        <w:rPr>
          <w:sz w:val="22"/>
          <w:szCs w:val="22"/>
        </w:rPr>
        <w:t>erminal (Mac</w:t>
      </w:r>
      <w:r w:rsidR="00490869">
        <w:rPr>
          <w:sz w:val="22"/>
          <w:szCs w:val="22"/>
        </w:rPr>
        <w:t xml:space="preserve"> / Linux</w:t>
      </w:r>
      <w:r w:rsidRPr="00F71468">
        <w:rPr>
          <w:sz w:val="22"/>
          <w:szCs w:val="22"/>
        </w:rPr>
        <w:t xml:space="preserve">) or </w:t>
      </w:r>
      <w:r w:rsidR="00490869">
        <w:rPr>
          <w:sz w:val="22"/>
          <w:szCs w:val="22"/>
        </w:rPr>
        <w:t>C</w:t>
      </w:r>
      <w:r w:rsidRPr="00F71468">
        <w:rPr>
          <w:sz w:val="22"/>
          <w:szCs w:val="22"/>
        </w:rPr>
        <w:t xml:space="preserve">ommand </w:t>
      </w:r>
      <w:r w:rsidR="00490869">
        <w:rPr>
          <w:sz w:val="22"/>
          <w:szCs w:val="22"/>
        </w:rPr>
        <w:t>P</w:t>
      </w:r>
      <w:r w:rsidRPr="00F71468">
        <w:rPr>
          <w:sz w:val="22"/>
          <w:szCs w:val="22"/>
        </w:rPr>
        <w:t xml:space="preserve">rompt (Windows) </w:t>
      </w:r>
    </w:p>
    <w:p w14:paraId="7E19AB51" w14:textId="77777777" w:rsidR="00642782" w:rsidRDefault="00642782" w:rsidP="00F71468">
      <w:pPr>
        <w:rPr>
          <w:rFonts w:ascii="Consolas" w:hAnsi="Consolas"/>
          <w:sz w:val="18"/>
          <w:szCs w:val="18"/>
        </w:rPr>
      </w:pPr>
      <w:r w:rsidRPr="00F71468">
        <w:rPr>
          <w:sz w:val="22"/>
          <w:szCs w:val="22"/>
        </w:rPr>
        <w:t xml:space="preserve">5) </w:t>
      </w:r>
      <w:r>
        <w:rPr>
          <w:sz w:val="22"/>
          <w:szCs w:val="22"/>
        </w:rPr>
        <w:t>T</w:t>
      </w:r>
      <w:r w:rsidRPr="00F71468">
        <w:rPr>
          <w:sz w:val="22"/>
          <w:szCs w:val="22"/>
        </w:rPr>
        <w:t xml:space="preserve">ype </w:t>
      </w:r>
      <w:r w:rsidRPr="00F71468">
        <w:rPr>
          <w:rFonts w:ascii="Consolas" w:hAnsi="Consolas"/>
          <w:sz w:val="18"/>
          <w:szCs w:val="18"/>
          <w:highlight w:val="lightGray"/>
        </w:rPr>
        <w:t>docker run --rm -e PASSWORD=TV -p 8787:8787 mmcbee/rstudio_tvattention:psychscience</w:t>
      </w:r>
    </w:p>
    <w:p w14:paraId="7B9EE3AA" w14:textId="0F857DD5" w:rsidR="00642782" w:rsidRDefault="00642782" w:rsidP="0072791A">
      <w:pPr>
        <w:spacing w:after="120"/>
        <w:ind w:firstLine="270"/>
        <w:rPr>
          <w:sz w:val="22"/>
          <w:szCs w:val="22"/>
        </w:rPr>
      </w:pPr>
      <w:r>
        <w:rPr>
          <w:sz w:val="22"/>
          <w:szCs w:val="22"/>
        </w:rPr>
        <w:t>(I</w:t>
      </w:r>
      <w:r w:rsidRPr="00F71468">
        <w:rPr>
          <w:sz w:val="22"/>
          <w:szCs w:val="22"/>
        </w:rPr>
        <w:t>f this image isn't found on the local machine,</w:t>
      </w:r>
      <w:r>
        <w:rPr>
          <w:sz w:val="22"/>
          <w:szCs w:val="22"/>
        </w:rPr>
        <w:t xml:space="preserve"> </w:t>
      </w:r>
      <w:r w:rsidRPr="00F71468">
        <w:rPr>
          <w:sz w:val="22"/>
          <w:szCs w:val="22"/>
        </w:rPr>
        <w:t>it will be downloaded automatically from Docker Hub</w:t>
      </w:r>
      <w:r>
        <w:rPr>
          <w:sz w:val="22"/>
          <w:szCs w:val="22"/>
        </w:rPr>
        <w:t>)</w:t>
      </w:r>
    </w:p>
    <w:p w14:paraId="618ED714" w14:textId="2FF7FDCD" w:rsidR="00642782" w:rsidRDefault="00642782" w:rsidP="00F71468">
      <w:pPr>
        <w:rPr>
          <w:sz w:val="22"/>
          <w:szCs w:val="22"/>
        </w:rPr>
      </w:pPr>
      <w:r w:rsidRPr="00F71468">
        <w:rPr>
          <w:sz w:val="22"/>
          <w:szCs w:val="22"/>
        </w:rPr>
        <w:t xml:space="preserve">6) </w:t>
      </w:r>
      <w:r>
        <w:rPr>
          <w:sz w:val="22"/>
          <w:szCs w:val="22"/>
        </w:rPr>
        <w:t>O</w:t>
      </w:r>
      <w:r w:rsidRPr="00F71468">
        <w:rPr>
          <w:sz w:val="22"/>
          <w:szCs w:val="22"/>
        </w:rPr>
        <w:t>pen a browser tab and navigate to</w:t>
      </w:r>
      <w:r>
        <w:rPr>
          <w:sz w:val="22"/>
          <w:szCs w:val="22"/>
        </w:rPr>
        <w:t xml:space="preserve"> this url:</w:t>
      </w:r>
      <w:r w:rsidRPr="00F71468">
        <w:rPr>
          <w:sz w:val="22"/>
          <w:szCs w:val="22"/>
        </w:rPr>
        <w:t xml:space="preserve"> </w:t>
      </w:r>
      <w:hyperlink r:id="rId36" w:history="1">
        <w:r w:rsidRPr="00F71468">
          <w:rPr>
            <w:rStyle w:val="Hyperlink"/>
            <w:sz w:val="22"/>
            <w:szCs w:val="22"/>
          </w:rPr>
          <w:t>localhost:8787</w:t>
        </w:r>
      </w:hyperlink>
    </w:p>
    <w:p w14:paraId="4E6EB661" w14:textId="1D585A59" w:rsidR="00642782" w:rsidRPr="00F71468" w:rsidRDefault="00642782" w:rsidP="0072791A">
      <w:pPr>
        <w:tabs>
          <w:tab w:val="left" w:pos="270"/>
        </w:tabs>
        <w:spacing w:after="120"/>
        <w:ind w:left="270"/>
        <w:rPr>
          <w:sz w:val="22"/>
          <w:szCs w:val="22"/>
        </w:rPr>
      </w:pPr>
      <w:r>
        <w:rPr>
          <w:sz w:val="22"/>
          <w:szCs w:val="22"/>
        </w:rPr>
        <w:t>RStudio will begin running in your browser.</w:t>
      </w:r>
    </w:p>
    <w:p w14:paraId="08577997" w14:textId="09420756" w:rsidR="00642782" w:rsidRPr="00F71468" w:rsidRDefault="00642782" w:rsidP="00F71468">
      <w:pPr>
        <w:spacing w:after="120"/>
        <w:rPr>
          <w:sz w:val="18"/>
          <w:szCs w:val="18"/>
        </w:rPr>
      </w:pPr>
      <w:r w:rsidRPr="00F71468">
        <w:rPr>
          <w:sz w:val="22"/>
          <w:szCs w:val="22"/>
        </w:rPr>
        <w:t xml:space="preserve">7) </w:t>
      </w:r>
      <w:r>
        <w:rPr>
          <w:sz w:val="22"/>
          <w:szCs w:val="22"/>
        </w:rPr>
        <w:t>L</w:t>
      </w:r>
      <w:r w:rsidRPr="00F71468">
        <w:rPr>
          <w:sz w:val="22"/>
          <w:szCs w:val="22"/>
        </w:rPr>
        <w:t xml:space="preserve">og in </w:t>
      </w:r>
      <w:r>
        <w:rPr>
          <w:sz w:val="22"/>
          <w:szCs w:val="22"/>
        </w:rPr>
        <w:t xml:space="preserve">to RStudio </w:t>
      </w:r>
      <w:r w:rsidRPr="00F71468">
        <w:rPr>
          <w:sz w:val="22"/>
          <w:szCs w:val="22"/>
        </w:rPr>
        <w:t xml:space="preserve">with username </w:t>
      </w:r>
      <w:r w:rsidRPr="00F71468">
        <w:rPr>
          <w:rFonts w:ascii="Consolas" w:hAnsi="Consolas"/>
          <w:sz w:val="18"/>
          <w:szCs w:val="18"/>
        </w:rPr>
        <w:t>rstudio</w:t>
      </w:r>
      <w:r w:rsidRPr="00F71468">
        <w:rPr>
          <w:sz w:val="22"/>
          <w:szCs w:val="22"/>
        </w:rPr>
        <w:t xml:space="preserve">, password </w:t>
      </w:r>
      <w:r w:rsidRPr="00F71468">
        <w:rPr>
          <w:rFonts w:ascii="Consolas" w:hAnsi="Consolas"/>
          <w:sz w:val="18"/>
          <w:szCs w:val="18"/>
        </w:rPr>
        <w:t>TV</w:t>
      </w:r>
    </w:p>
    <w:p w14:paraId="1EE03ADF" w14:textId="18B8B6AA" w:rsidR="00642782" w:rsidRPr="00F71468" w:rsidRDefault="00642782" w:rsidP="00F71468">
      <w:pPr>
        <w:spacing w:after="120"/>
        <w:rPr>
          <w:sz w:val="22"/>
          <w:szCs w:val="22"/>
        </w:rPr>
      </w:pPr>
      <w:r w:rsidRPr="00F71468">
        <w:rPr>
          <w:sz w:val="22"/>
          <w:szCs w:val="22"/>
        </w:rPr>
        <w:t xml:space="preserve">8) </w:t>
      </w:r>
      <w:r>
        <w:rPr>
          <w:sz w:val="22"/>
          <w:szCs w:val="22"/>
        </w:rPr>
        <w:t xml:space="preserve">In RStudio, </w:t>
      </w:r>
      <w:r w:rsidRPr="00F71468">
        <w:rPr>
          <w:sz w:val="22"/>
          <w:szCs w:val="22"/>
        </w:rPr>
        <w:t>open the file</w:t>
      </w:r>
      <w:r w:rsidRPr="0053259C">
        <w:rPr>
          <w:rFonts w:ascii="Consolas" w:hAnsi="Consolas"/>
          <w:sz w:val="18"/>
          <w:szCs w:val="18"/>
        </w:rPr>
        <w:t xml:space="preserve"> /Code/analysis.r</w:t>
      </w:r>
      <w:r w:rsidR="00FE352C">
        <w:rPr>
          <w:sz w:val="22"/>
          <w:szCs w:val="22"/>
        </w:rPr>
        <w:t xml:space="preserve"> in the Files pane</w:t>
      </w:r>
    </w:p>
    <w:p w14:paraId="1B3F4C83" w14:textId="49C6A624" w:rsidR="00642782" w:rsidRPr="00F71468" w:rsidRDefault="00642782" w:rsidP="0072791A">
      <w:pPr>
        <w:spacing w:after="120"/>
        <w:ind w:left="270" w:hanging="270"/>
        <w:rPr>
          <w:sz w:val="22"/>
          <w:szCs w:val="22"/>
        </w:rPr>
      </w:pPr>
      <w:r w:rsidRPr="00F71468">
        <w:rPr>
          <w:sz w:val="22"/>
          <w:szCs w:val="22"/>
        </w:rPr>
        <w:t xml:space="preserve">9) </w:t>
      </w:r>
      <w:r>
        <w:rPr>
          <w:sz w:val="22"/>
          <w:szCs w:val="22"/>
        </w:rPr>
        <w:t>Run the code</w:t>
      </w:r>
      <w:r w:rsidR="00AF55F8">
        <w:rPr>
          <w:sz w:val="22"/>
          <w:szCs w:val="22"/>
        </w:rPr>
        <w:t xml:space="preserve"> by highlighting it all (Ctrl-A or Cmd-A) and then </w:t>
      </w:r>
      <w:r w:rsidR="004F3C2F">
        <w:rPr>
          <w:sz w:val="22"/>
          <w:szCs w:val="22"/>
        </w:rPr>
        <w:t>Ctrl-Enter or Cmd-Enter</w:t>
      </w:r>
      <w:r>
        <w:rPr>
          <w:sz w:val="22"/>
          <w:szCs w:val="22"/>
        </w:rPr>
        <w:t xml:space="preserve"> (Note: it will take several hours</w:t>
      </w:r>
      <w:r w:rsidR="00BD61B5">
        <w:rPr>
          <w:sz w:val="22"/>
          <w:szCs w:val="22"/>
        </w:rPr>
        <w:t xml:space="preserve"> to run</w:t>
      </w:r>
      <w:r>
        <w:rPr>
          <w:sz w:val="22"/>
          <w:szCs w:val="22"/>
        </w:rPr>
        <w:t>)</w:t>
      </w:r>
      <w:r w:rsidR="00BD61B5">
        <w:rPr>
          <w:sz w:val="22"/>
          <w:szCs w:val="22"/>
        </w:rPr>
        <w:t>.</w:t>
      </w:r>
    </w:p>
    <w:p w14:paraId="66670CB6" w14:textId="6ACA46C1" w:rsidR="00642782" w:rsidRPr="00F71468" w:rsidRDefault="00642782" w:rsidP="00F71468">
      <w:pPr>
        <w:spacing w:after="120"/>
        <w:rPr>
          <w:sz w:val="22"/>
          <w:szCs w:val="22"/>
        </w:rPr>
      </w:pPr>
      <w:r w:rsidRPr="00F71468">
        <w:rPr>
          <w:sz w:val="22"/>
          <w:szCs w:val="22"/>
        </w:rPr>
        <w:t xml:space="preserve">10) </w:t>
      </w:r>
      <w:r>
        <w:rPr>
          <w:sz w:val="22"/>
          <w:szCs w:val="22"/>
        </w:rPr>
        <w:t>I</w:t>
      </w:r>
      <w:r w:rsidRPr="00F71468">
        <w:rPr>
          <w:sz w:val="22"/>
          <w:szCs w:val="22"/>
        </w:rPr>
        <w:t>nspect the results in the</w:t>
      </w:r>
      <w:r w:rsidRPr="00B51408">
        <w:rPr>
          <w:rFonts w:ascii="Consolas" w:hAnsi="Consolas"/>
          <w:sz w:val="18"/>
          <w:szCs w:val="18"/>
        </w:rPr>
        <w:t xml:space="preserve"> /Results</w:t>
      </w:r>
      <w:r w:rsidRPr="00F71468">
        <w:rPr>
          <w:sz w:val="22"/>
          <w:szCs w:val="22"/>
        </w:rPr>
        <w:t xml:space="preserve"> and</w:t>
      </w:r>
      <w:r w:rsidRPr="00B51408">
        <w:rPr>
          <w:rFonts w:ascii="Consolas" w:hAnsi="Consolas"/>
          <w:sz w:val="18"/>
          <w:szCs w:val="18"/>
        </w:rPr>
        <w:t xml:space="preserve"> /Manuscript/Tables</w:t>
      </w:r>
      <w:r w:rsidRPr="00F71468">
        <w:rPr>
          <w:sz w:val="22"/>
          <w:szCs w:val="22"/>
        </w:rPr>
        <w:t xml:space="preserve"> and </w:t>
      </w:r>
      <w:r w:rsidR="0032108F" w:rsidRPr="00B51408">
        <w:rPr>
          <w:rFonts w:ascii="Consolas" w:hAnsi="Consolas"/>
          <w:sz w:val="18"/>
          <w:szCs w:val="18"/>
        </w:rPr>
        <w:t>/Manuscript</w:t>
      </w:r>
      <w:r w:rsidRPr="00B51408">
        <w:rPr>
          <w:rFonts w:ascii="Consolas" w:hAnsi="Consolas"/>
          <w:sz w:val="18"/>
          <w:szCs w:val="18"/>
        </w:rPr>
        <w:t>/Figures</w:t>
      </w:r>
      <w:r w:rsidRPr="00F71468">
        <w:rPr>
          <w:sz w:val="22"/>
          <w:szCs w:val="22"/>
        </w:rPr>
        <w:t xml:space="preserve"> folders</w:t>
      </w:r>
      <w:r>
        <w:rPr>
          <w:sz w:val="22"/>
          <w:szCs w:val="22"/>
        </w:rPr>
        <w:t>.</w:t>
      </w:r>
    </w:p>
    <w:p w14:paraId="35601496" w14:textId="18C124C6" w:rsidR="00210E8F" w:rsidRDefault="00642782" w:rsidP="0072791A">
      <w:pPr>
        <w:spacing w:after="120"/>
        <w:ind w:left="360" w:hanging="360"/>
        <w:rPr>
          <w:rFonts w:ascii="Consolas" w:hAnsi="Consolas" w:cstheme="majorHAnsi"/>
          <w:sz w:val="18"/>
          <w:szCs w:val="18"/>
        </w:rPr>
      </w:pPr>
      <w:r>
        <w:rPr>
          <w:sz w:val="22"/>
          <w:szCs w:val="22"/>
        </w:rPr>
        <w:t>11) E</w:t>
      </w:r>
      <w:r w:rsidRPr="00F71468">
        <w:rPr>
          <w:sz w:val="22"/>
          <w:szCs w:val="22"/>
        </w:rPr>
        <w:t>nd the Docker session by pressing Ctrl-C</w:t>
      </w:r>
      <w:r w:rsidR="00177282">
        <w:rPr>
          <w:sz w:val="22"/>
          <w:szCs w:val="22"/>
        </w:rPr>
        <w:t xml:space="preserve"> or</w:t>
      </w:r>
      <w:r w:rsidRPr="00F71468">
        <w:rPr>
          <w:sz w:val="22"/>
          <w:szCs w:val="22"/>
        </w:rPr>
        <w:t xml:space="preserve"> in the terminal </w:t>
      </w:r>
      <w:r>
        <w:rPr>
          <w:sz w:val="22"/>
          <w:szCs w:val="22"/>
        </w:rPr>
        <w:t xml:space="preserve">or command prompt </w:t>
      </w:r>
      <w:r w:rsidRPr="00F71468">
        <w:rPr>
          <w:sz w:val="22"/>
          <w:szCs w:val="22"/>
        </w:rPr>
        <w:t>window</w:t>
      </w:r>
      <w:r w:rsidR="00FC109C">
        <w:rPr>
          <w:sz w:val="22"/>
          <w:szCs w:val="22"/>
        </w:rPr>
        <w:t>.</w:t>
      </w:r>
      <w:r w:rsidR="00A271ED">
        <w:rPr>
          <w:sz w:val="22"/>
          <w:szCs w:val="22"/>
        </w:rPr>
        <w:t xml:space="preserve"> On a Mac, this will </w:t>
      </w:r>
      <w:r w:rsidR="004D3427">
        <w:rPr>
          <w:sz w:val="22"/>
          <w:szCs w:val="22"/>
        </w:rPr>
        <w:t>end the Docker session.</w:t>
      </w:r>
      <w:r w:rsidR="00FC109C">
        <w:rPr>
          <w:sz w:val="22"/>
          <w:szCs w:val="22"/>
        </w:rPr>
        <w:t xml:space="preserve"> On Windows machines</w:t>
      </w:r>
      <w:r w:rsidR="004D3427">
        <w:rPr>
          <w:sz w:val="22"/>
          <w:szCs w:val="22"/>
        </w:rPr>
        <w:t xml:space="preserve"> you’ll need to </w:t>
      </w:r>
      <w:r w:rsidR="007A1F93">
        <w:rPr>
          <w:sz w:val="22"/>
          <w:szCs w:val="22"/>
        </w:rPr>
        <w:t>determine either the Container ID or the Name of the session by typing</w:t>
      </w:r>
      <w:r w:rsidR="00266BAF">
        <w:rPr>
          <w:sz w:val="22"/>
          <w:szCs w:val="22"/>
        </w:rPr>
        <w:t xml:space="preserve"> </w:t>
      </w:r>
      <w:r w:rsidR="00266BAF" w:rsidRPr="00301249">
        <w:rPr>
          <w:rFonts w:ascii="Consolas" w:hAnsi="Consolas" w:cstheme="majorHAnsi"/>
          <w:sz w:val="18"/>
          <w:szCs w:val="18"/>
          <w:highlight w:val="lightGray"/>
        </w:rPr>
        <w:t>docker ps</w:t>
      </w:r>
    </w:p>
    <w:p w14:paraId="75472354" w14:textId="444844B0" w:rsidR="00266BAF" w:rsidRPr="00B51408" w:rsidRDefault="00210E8F" w:rsidP="00F71468">
      <w:pPr>
        <w:spacing w:after="120"/>
      </w:pPr>
      <w:r w:rsidRPr="00454539">
        <w:rPr>
          <w:sz w:val="22"/>
          <w:szCs w:val="22"/>
        </w:rPr>
        <w:t xml:space="preserve">The Container Id is </w:t>
      </w:r>
      <w:r w:rsidR="00677B8E">
        <w:rPr>
          <w:sz w:val="22"/>
          <w:szCs w:val="22"/>
        </w:rPr>
        <w:t>12</w:t>
      </w:r>
      <w:r w:rsidR="00356E93">
        <w:rPr>
          <w:sz w:val="22"/>
          <w:szCs w:val="22"/>
        </w:rPr>
        <w:t>-</w:t>
      </w:r>
      <w:r w:rsidR="00677B8E">
        <w:rPr>
          <w:sz w:val="22"/>
          <w:szCs w:val="22"/>
        </w:rPr>
        <w:t xml:space="preserve">character string such as </w:t>
      </w:r>
      <w:r w:rsidR="00677B8E" w:rsidRPr="00677B8E">
        <w:rPr>
          <w:rFonts w:ascii="Consolas" w:hAnsi="Consolas"/>
          <w:sz w:val="20"/>
          <w:szCs w:val="20"/>
        </w:rPr>
        <w:t>b1971e3eea21</w:t>
      </w:r>
      <w:r w:rsidR="00677B8E">
        <w:rPr>
          <w:sz w:val="22"/>
          <w:szCs w:val="22"/>
        </w:rPr>
        <w:t>. It will be different each time you run the container.</w:t>
      </w:r>
      <w:r w:rsidR="00A1739E">
        <w:rPr>
          <w:sz w:val="22"/>
          <w:szCs w:val="22"/>
        </w:rPr>
        <w:t xml:space="preserve"> Next, type</w:t>
      </w:r>
      <w:r w:rsidR="00A1739E" w:rsidRPr="00A1739E">
        <w:rPr>
          <w:rFonts w:ascii="Consolas" w:hAnsi="Consolas"/>
          <w:sz w:val="22"/>
          <w:szCs w:val="22"/>
        </w:rPr>
        <w:t xml:space="preserve"> </w:t>
      </w:r>
      <w:r w:rsidR="00266BAF" w:rsidRPr="00A1739E">
        <w:rPr>
          <w:rFonts w:ascii="Consolas" w:hAnsi="Consolas"/>
          <w:sz w:val="18"/>
          <w:szCs w:val="18"/>
          <w:highlight w:val="lightGray"/>
        </w:rPr>
        <w:t>docker stop</w:t>
      </w:r>
      <w:r w:rsidR="00A1739E" w:rsidRPr="00CD25FA">
        <w:rPr>
          <w:rFonts w:ascii="Consolas" w:hAnsi="Consolas"/>
          <w:sz w:val="18"/>
          <w:szCs w:val="18"/>
          <w:highlight w:val="lightGray"/>
        </w:rPr>
        <w:t xml:space="preserve"> </w:t>
      </w:r>
      <w:r w:rsidR="00CD25FA" w:rsidRPr="00CD25FA">
        <w:rPr>
          <w:rFonts w:ascii="Consolas" w:hAnsi="Consolas"/>
          <w:sz w:val="18"/>
          <w:szCs w:val="18"/>
          <w:highlight w:val="lightGray"/>
        </w:rPr>
        <w:t>CONTAINERID</w:t>
      </w:r>
      <w:r w:rsidR="00FF2121">
        <w:rPr>
          <w:rFonts w:ascii="Consolas" w:hAnsi="Consolas"/>
          <w:sz w:val="18"/>
          <w:szCs w:val="18"/>
        </w:rPr>
        <w:t xml:space="preserve">, </w:t>
      </w:r>
      <w:r w:rsidR="00FF2121" w:rsidRPr="00FF2121">
        <w:rPr>
          <w:sz w:val="22"/>
          <w:szCs w:val="22"/>
        </w:rPr>
        <w:t xml:space="preserve">for example, </w:t>
      </w:r>
      <w:r w:rsidR="00FF2121" w:rsidRPr="00FF2121">
        <w:rPr>
          <w:rFonts w:ascii="Consolas" w:hAnsi="Consolas"/>
          <w:sz w:val="18"/>
          <w:szCs w:val="18"/>
          <w:highlight w:val="lightGray"/>
        </w:rPr>
        <w:t xml:space="preserve">docker stop </w:t>
      </w:r>
      <w:r w:rsidR="00FF2121" w:rsidRPr="00FF2121">
        <w:rPr>
          <w:rFonts w:ascii="Consolas" w:hAnsi="Consolas"/>
          <w:sz w:val="20"/>
          <w:szCs w:val="20"/>
          <w:highlight w:val="lightGray"/>
        </w:rPr>
        <w:t>b1971e3eea21</w:t>
      </w:r>
      <w:r w:rsidR="00D620CF">
        <w:rPr>
          <w:rFonts w:ascii="Consolas" w:hAnsi="Consolas"/>
          <w:sz w:val="20"/>
          <w:szCs w:val="20"/>
        </w:rPr>
        <w:t>.</w:t>
      </w:r>
      <w:r w:rsidR="00B51408" w:rsidRPr="00B51408">
        <w:rPr>
          <w:sz w:val="22"/>
          <w:szCs w:val="22"/>
        </w:rPr>
        <w:t xml:space="preserve"> </w:t>
      </w:r>
      <w:r w:rsidR="00D620CF">
        <w:rPr>
          <w:sz w:val="22"/>
          <w:szCs w:val="22"/>
        </w:rPr>
        <w:t xml:space="preserve">Alternatively, </w:t>
      </w:r>
      <w:r w:rsidR="00652356">
        <w:rPr>
          <w:sz w:val="22"/>
          <w:szCs w:val="22"/>
        </w:rPr>
        <w:t xml:space="preserve">you can refer to the container </w:t>
      </w:r>
      <w:r w:rsidR="00601F43">
        <w:rPr>
          <w:sz w:val="22"/>
          <w:szCs w:val="22"/>
        </w:rPr>
        <w:t>by</w:t>
      </w:r>
      <w:r w:rsidR="00652356">
        <w:rPr>
          <w:sz w:val="22"/>
          <w:szCs w:val="22"/>
        </w:rPr>
        <w:t xml:space="preserve"> </w:t>
      </w:r>
      <w:r w:rsidR="00601F43">
        <w:rPr>
          <w:sz w:val="22"/>
          <w:szCs w:val="22"/>
        </w:rPr>
        <w:t>it</w:t>
      </w:r>
      <w:r w:rsidR="006E0C04">
        <w:rPr>
          <w:sz w:val="22"/>
          <w:szCs w:val="22"/>
        </w:rPr>
        <w:t>s</w:t>
      </w:r>
      <w:r w:rsidR="00601F43">
        <w:rPr>
          <w:sz w:val="22"/>
          <w:szCs w:val="22"/>
        </w:rPr>
        <w:t xml:space="preserve"> n</w:t>
      </w:r>
      <w:r w:rsidR="00652356">
        <w:rPr>
          <w:sz w:val="22"/>
          <w:szCs w:val="22"/>
        </w:rPr>
        <w:t>ame, which</w:t>
      </w:r>
      <w:r w:rsidR="006E0C04">
        <w:rPr>
          <w:sz w:val="22"/>
          <w:szCs w:val="22"/>
        </w:rPr>
        <w:t xml:space="preserve"> will be </w:t>
      </w:r>
      <w:r w:rsidR="00652356">
        <w:rPr>
          <w:sz w:val="22"/>
          <w:szCs w:val="22"/>
        </w:rPr>
        <w:t xml:space="preserve">a combination of random words such as </w:t>
      </w:r>
      <w:r w:rsidR="00601F43" w:rsidRPr="00601F43">
        <w:rPr>
          <w:rFonts w:ascii="Consolas" w:hAnsi="Consolas"/>
          <w:sz w:val="18"/>
          <w:szCs w:val="18"/>
        </w:rPr>
        <w:t>priceless_galois</w:t>
      </w:r>
      <w:r w:rsidR="00601F43">
        <w:rPr>
          <w:sz w:val="22"/>
          <w:szCs w:val="22"/>
        </w:rPr>
        <w:t xml:space="preserve"> or </w:t>
      </w:r>
      <w:r w:rsidR="00601F43" w:rsidRPr="00715C41">
        <w:rPr>
          <w:rFonts w:ascii="Consolas" w:hAnsi="Consolas"/>
          <w:sz w:val="18"/>
          <w:szCs w:val="18"/>
        </w:rPr>
        <w:t>competent_ellis</w:t>
      </w:r>
      <w:r w:rsidR="00601F43">
        <w:rPr>
          <w:sz w:val="22"/>
          <w:szCs w:val="22"/>
        </w:rPr>
        <w:t>. The container’s name and id are show</w:t>
      </w:r>
      <w:r w:rsidR="00715C41">
        <w:rPr>
          <w:sz w:val="22"/>
          <w:szCs w:val="22"/>
        </w:rPr>
        <w:t xml:space="preserve">n </w:t>
      </w:r>
      <w:r w:rsidR="00480FCA">
        <w:rPr>
          <w:sz w:val="22"/>
          <w:szCs w:val="22"/>
        </w:rPr>
        <w:t>by</w:t>
      </w:r>
      <w:r w:rsidR="00715C41">
        <w:rPr>
          <w:sz w:val="22"/>
          <w:szCs w:val="22"/>
        </w:rPr>
        <w:t xml:space="preserve"> </w:t>
      </w:r>
      <w:r w:rsidR="00715C41" w:rsidRPr="00301249">
        <w:rPr>
          <w:rFonts w:ascii="Consolas" w:hAnsi="Consolas" w:cstheme="majorHAnsi"/>
          <w:sz w:val="18"/>
          <w:szCs w:val="18"/>
          <w:highlight w:val="lightGray"/>
        </w:rPr>
        <w:t>docker ps</w:t>
      </w:r>
      <w:r w:rsidR="00715C41">
        <w:rPr>
          <w:sz w:val="22"/>
          <w:szCs w:val="22"/>
        </w:rPr>
        <w:t xml:space="preserve"> </w:t>
      </w:r>
    </w:p>
    <w:p w14:paraId="5A3E31AC" w14:textId="36DC3504" w:rsidR="009B1AB0" w:rsidRDefault="009B1AB0" w:rsidP="00F71468">
      <w:pPr>
        <w:spacing w:after="120"/>
        <w:rPr>
          <w:sz w:val="22"/>
          <w:szCs w:val="22"/>
        </w:rPr>
      </w:pPr>
      <w:r w:rsidRPr="009B1AB0">
        <w:rPr>
          <w:b/>
          <w:bCs/>
          <w:sz w:val="22"/>
          <w:szCs w:val="22"/>
        </w:rPr>
        <w:t>Copying files from the Docker container to your local machine</w:t>
      </w:r>
    </w:p>
    <w:p w14:paraId="38EA9F50" w14:textId="335E2FB7" w:rsidR="002A3FC4" w:rsidRDefault="002A3FC4" w:rsidP="00F71468">
      <w:pPr>
        <w:spacing w:after="120"/>
        <w:rPr>
          <w:sz w:val="22"/>
          <w:szCs w:val="22"/>
        </w:rPr>
      </w:pPr>
      <w:r>
        <w:rPr>
          <w:sz w:val="22"/>
          <w:szCs w:val="22"/>
        </w:rPr>
        <w:t xml:space="preserve">After the analysis script is finished running, you will likely want to copy the files to your local computer for examination. If you stop the Docker container, you will have to run the analysis again to recreate all the files. </w:t>
      </w:r>
    </w:p>
    <w:p w14:paraId="22043AF7" w14:textId="15A255FA" w:rsidR="00FB5505" w:rsidRPr="004E5ADE" w:rsidRDefault="00C728EC"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Determine the Container Id for the Do</w:t>
      </w:r>
      <w:r w:rsidR="001A4EF5" w:rsidRPr="00B0210D">
        <w:rPr>
          <w:rFonts w:ascii="Times New Roman" w:hAnsi="Times New Roman" w:cs="Times New Roman"/>
        </w:rPr>
        <w:t xml:space="preserve">cker session by typing </w:t>
      </w:r>
      <w:r w:rsidRPr="00E50358">
        <w:rPr>
          <w:rFonts w:ascii="Consolas" w:hAnsi="Consolas" w:cs="Times New Roman"/>
          <w:sz w:val="18"/>
          <w:szCs w:val="18"/>
          <w:highlight w:val="lightGray"/>
        </w:rPr>
        <w:t>docker ps</w:t>
      </w:r>
      <w:r w:rsidR="004E5ADE">
        <w:rPr>
          <w:rFonts w:ascii="Consolas" w:hAnsi="Consolas" w:cs="Times New Roman"/>
          <w:sz w:val="18"/>
          <w:szCs w:val="18"/>
        </w:rPr>
        <w:t>.</w:t>
      </w:r>
      <w:r w:rsidR="004E5ADE" w:rsidRPr="004E5ADE">
        <w:rPr>
          <w:rFonts w:ascii="Times New Roman" w:hAnsi="Times New Roman" w:cs="Times New Roman"/>
          <w:sz w:val="18"/>
          <w:szCs w:val="18"/>
        </w:rPr>
        <w:t xml:space="preserve"> </w:t>
      </w:r>
      <w:r w:rsidR="004E5ADE" w:rsidRPr="004E5ADE">
        <w:rPr>
          <w:rFonts w:ascii="Times New Roman" w:hAnsi="Times New Roman" w:cs="Times New Roman"/>
        </w:rPr>
        <w:t xml:space="preserve">On </w:t>
      </w:r>
      <w:r w:rsidR="004E5ADE">
        <w:rPr>
          <w:rFonts w:ascii="Times New Roman" w:hAnsi="Times New Roman" w:cs="Times New Roman"/>
        </w:rPr>
        <w:t xml:space="preserve">a Mac you will need to open a new Terminal window, as pressing Ctrl-C in the active Terminal window will </w:t>
      </w:r>
      <w:r w:rsidR="00F0269C">
        <w:rPr>
          <w:rFonts w:ascii="Times New Roman" w:hAnsi="Times New Roman" w:cs="Times New Roman"/>
        </w:rPr>
        <w:t xml:space="preserve">end the Docker session. On a Windows machine, </w:t>
      </w:r>
      <w:r w:rsidR="00AF4FCE">
        <w:rPr>
          <w:rFonts w:ascii="Times New Roman" w:hAnsi="Times New Roman" w:cs="Times New Roman"/>
        </w:rPr>
        <w:t xml:space="preserve">pressing </w:t>
      </w:r>
      <w:r w:rsidR="00F0269C">
        <w:rPr>
          <w:rFonts w:ascii="Times New Roman" w:hAnsi="Times New Roman" w:cs="Times New Roman"/>
        </w:rPr>
        <w:t>Ctrl-C will allow you to enter additional commands in the active Command Prompt window without disturbing the Docker session.</w:t>
      </w:r>
    </w:p>
    <w:p w14:paraId="605B9A02" w14:textId="54FF6BB7" w:rsidR="001A4EF5" w:rsidRPr="00E9476B" w:rsidRDefault="00B0210D" w:rsidP="0072791A">
      <w:pPr>
        <w:pStyle w:val="ListParagraph"/>
        <w:numPr>
          <w:ilvl w:val="0"/>
          <w:numId w:val="12"/>
        </w:numPr>
        <w:spacing w:after="120"/>
        <w:ind w:left="360" w:hanging="270"/>
        <w:contextualSpacing w:val="0"/>
        <w:rPr>
          <w:rFonts w:ascii="Times New Roman" w:hAnsi="Times New Roman" w:cs="Times New Roman"/>
        </w:rPr>
      </w:pPr>
      <w:r w:rsidRPr="00B0210D">
        <w:rPr>
          <w:rFonts w:ascii="Times New Roman" w:hAnsi="Times New Roman" w:cs="Times New Roman"/>
        </w:rPr>
        <w:t>Change the directory in your Command Prompt / Terminal session to the local directory to which you want to copy the files with the</w:t>
      </w:r>
      <w:r>
        <w:t xml:space="preserve"> </w:t>
      </w:r>
      <w:r w:rsidRPr="00B0210D">
        <w:rPr>
          <w:rFonts w:ascii="Consolas" w:hAnsi="Consolas"/>
          <w:sz w:val="18"/>
          <w:szCs w:val="18"/>
          <w:highlight w:val="lightGray"/>
        </w:rPr>
        <w:t>cd</w:t>
      </w:r>
      <w:r>
        <w:rPr>
          <w:rFonts w:ascii="Times New Roman" w:hAnsi="Times New Roman" w:cs="Times New Roman"/>
        </w:rPr>
        <w:t xml:space="preserve"> command. For example, </w:t>
      </w:r>
      <w:r w:rsidR="00880779" w:rsidRPr="00916BA8">
        <w:rPr>
          <w:rFonts w:ascii="Consolas" w:hAnsi="Consolas" w:cs="Times New Roman"/>
          <w:sz w:val="18"/>
          <w:szCs w:val="18"/>
          <w:highlight w:val="lightGray"/>
        </w:rPr>
        <w:t>cd “c:\Users\Matt\Documents\TVAttention”</w:t>
      </w:r>
      <w:r w:rsidR="00880779">
        <w:rPr>
          <w:rFonts w:ascii="Times New Roman" w:hAnsi="Times New Roman" w:cs="Times New Roman"/>
        </w:rPr>
        <w:t xml:space="preserve"> </w:t>
      </w:r>
      <w:r w:rsidR="00B83857">
        <w:rPr>
          <w:rFonts w:ascii="Times New Roman" w:hAnsi="Times New Roman" w:cs="Times New Roman"/>
        </w:rPr>
        <w:t>(</w:t>
      </w:r>
      <w:r w:rsidR="00E50358">
        <w:rPr>
          <w:rFonts w:ascii="Times New Roman" w:hAnsi="Times New Roman" w:cs="Times New Roman"/>
        </w:rPr>
        <w:t>W</w:t>
      </w:r>
      <w:r w:rsidR="00B83857">
        <w:rPr>
          <w:rFonts w:ascii="Times New Roman" w:hAnsi="Times New Roman" w:cs="Times New Roman"/>
        </w:rPr>
        <w:t xml:space="preserve">indows) or </w:t>
      </w:r>
      <w:r w:rsidR="00B83857" w:rsidRPr="00916BA8">
        <w:rPr>
          <w:rFonts w:ascii="Consolas" w:hAnsi="Consolas" w:cs="Times New Roman"/>
          <w:sz w:val="18"/>
          <w:szCs w:val="18"/>
          <w:highlight w:val="lightGray"/>
        </w:rPr>
        <w:t>cd “</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home</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Users</w:t>
      </w:r>
      <w:r w:rsidR="00E50358" w:rsidRPr="00916BA8">
        <w:rPr>
          <w:rFonts w:ascii="Consolas" w:hAnsi="Consolas" w:cs="Times New Roman"/>
          <w:sz w:val="18"/>
          <w:szCs w:val="18"/>
          <w:highlight w:val="lightGray"/>
        </w:rPr>
        <w:t>/</w:t>
      </w:r>
      <w:r w:rsidR="00B83857" w:rsidRPr="00916BA8">
        <w:rPr>
          <w:rFonts w:ascii="Consolas" w:hAnsi="Consolas" w:cs="Times New Roman"/>
          <w:sz w:val="18"/>
          <w:szCs w:val="18"/>
          <w:highlight w:val="lightGray"/>
        </w:rPr>
        <w:t>Matt</w:t>
      </w:r>
      <w:r w:rsidR="00E50358" w:rsidRPr="00916BA8">
        <w:rPr>
          <w:rFonts w:ascii="Consolas" w:hAnsi="Consolas" w:cs="Times New Roman"/>
          <w:sz w:val="18"/>
          <w:szCs w:val="18"/>
          <w:highlight w:val="lightGray"/>
        </w:rPr>
        <w:t>/</w:t>
      </w:r>
      <w:r w:rsidR="0074547E" w:rsidRPr="00916BA8">
        <w:rPr>
          <w:rFonts w:ascii="Consolas" w:hAnsi="Consolas" w:cs="Times New Roman"/>
          <w:sz w:val="18"/>
          <w:szCs w:val="18"/>
          <w:highlight w:val="lightGray"/>
        </w:rPr>
        <w:t>Documents</w:t>
      </w:r>
      <w:r w:rsidR="00E50358" w:rsidRPr="00916BA8">
        <w:rPr>
          <w:rFonts w:ascii="Consolas" w:hAnsi="Consolas" w:cs="Times New Roman"/>
          <w:sz w:val="18"/>
          <w:szCs w:val="18"/>
          <w:highlight w:val="lightGray"/>
        </w:rPr>
        <w:t>”</w:t>
      </w:r>
      <w:r w:rsidR="00E50358">
        <w:rPr>
          <w:rFonts w:ascii="Times New Roman" w:hAnsi="Times New Roman" w:cs="Times New Roman"/>
        </w:rPr>
        <w:t xml:space="preserve"> (Mac)</w:t>
      </w:r>
    </w:p>
    <w:p w14:paraId="37213C38" w14:textId="19EEE22F" w:rsidR="00C305C5" w:rsidRPr="00E9476B" w:rsidRDefault="00E91AD0" w:rsidP="0072791A">
      <w:pPr>
        <w:pStyle w:val="ListParagraph"/>
        <w:numPr>
          <w:ilvl w:val="0"/>
          <w:numId w:val="12"/>
        </w:numPr>
        <w:spacing w:after="120"/>
        <w:ind w:left="360" w:hanging="270"/>
        <w:contextualSpacing w:val="0"/>
        <w:rPr>
          <w:rFonts w:ascii="Times New Roman" w:hAnsi="Times New Roman" w:cs="Times New Roman"/>
        </w:rPr>
      </w:pPr>
      <w:r>
        <w:t xml:space="preserve">Copy the files by typing </w:t>
      </w:r>
      <w:r w:rsidRPr="00E91AD0">
        <w:rPr>
          <w:rFonts w:ascii="Consolas" w:hAnsi="Consolas"/>
          <w:sz w:val="18"/>
          <w:szCs w:val="18"/>
          <w:highlight w:val="lightGray"/>
        </w:rPr>
        <w:t>docker cp CONTAINERID:home/rstudio .</w:t>
      </w:r>
      <w:r w:rsidR="00916BA8">
        <w:rPr>
          <w:rFonts w:ascii="Times New Roman" w:hAnsi="Times New Roman" w:cs="Times New Roman"/>
        </w:rPr>
        <w:t xml:space="preserve"> </w:t>
      </w:r>
      <w:r w:rsidR="0072047C">
        <w:rPr>
          <w:rFonts w:ascii="Times New Roman" w:hAnsi="Times New Roman" w:cs="Times New Roman"/>
        </w:rPr>
        <w:t xml:space="preserve">For example, </w:t>
      </w:r>
      <w:r w:rsidR="0072047C" w:rsidRPr="001F61E7">
        <w:rPr>
          <w:rFonts w:ascii="Consolas" w:hAnsi="Consolas"/>
          <w:sz w:val="18"/>
          <w:szCs w:val="18"/>
          <w:highlight w:val="lightGray"/>
        </w:rPr>
        <w:t>docker cp b1971e3eea21:home/rstudio</w:t>
      </w:r>
      <w:r w:rsidR="001F61E7" w:rsidRPr="001F61E7">
        <w:rPr>
          <w:rFonts w:ascii="Consolas" w:hAnsi="Consolas"/>
          <w:sz w:val="18"/>
          <w:szCs w:val="18"/>
          <w:highlight w:val="lightGray"/>
        </w:rPr>
        <w:t xml:space="preserve"> .</w:t>
      </w:r>
      <w:r w:rsidR="00D421E9">
        <w:rPr>
          <w:rFonts w:ascii="Consolas" w:hAnsi="Consolas"/>
          <w:sz w:val="18"/>
          <w:szCs w:val="18"/>
        </w:rPr>
        <w:t xml:space="preserve"> </w:t>
      </w:r>
      <w:r w:rsidR="00D421E9" w:rsidRPr="00D421E9">
        <w:rPr>
          <w:rFonts w:ascii="Times New Roman" w:hAnsi="Times New Roman" w:cs="Times New Roman"/>
        </w:rPr>
        <w:t xml:space="preserve">(You can </w:t>
      </w:r>
      <w:r w:rsidR="00594B7D">
        <w:rPr>
          <w:rFonts w:ascii="Times New Roman" w:hAnsi="Times New Roman" w:cs="Times New Roman"/>
        </w:rPr>
        <w:t>substitute</w:t>
      </w:r>
      <w:r w:rsidR="00D421E9" w:rsidRPr="00D421E9">
        <w:rPr>
          <w:rFonts w:ascii="Times New Roman" w:hAnsi="Times New Roman" w:cs="Times New Roman"/>
        </w:rPr>
        <w:t xml:space="preserve"> the </w:t>
      </w:r>
      <w:r w:rsidR="00594B7D">
        <w:rPr>
          <w:rFonts w:ascii="Times New Roman" w:hAnsi="Times New Roman" w:cs="Times New Roman"/>
        </w:rPr>
        <w:t xml:space="preserve">container name for the </w:t>
      </w:r>
      <w:r w:rsidR="001F61E7">
        <w:rPr>
          <w:rFonts w:ascii="Times New Roman" w:hAnsi="Times New Roman" w:cs="Times New Roman"/>
        </w:rPr>
        <w:t>C</w:t>
      </w:r>
      <w:r w:rsidR="00D421E9" w:rsidRPr="00D421E9">
        <w:rPr>
          <w:rFonts w:ascii="Times New Roman" w:hAnsi="Times New Roman" w:cs="Times New Roman"/>
        </w:rPr>
        <w:t>ontainer</w:t>
      </w:r>
      <w:r w:rsidR="001F61E7">
        <w:rPr>
          <w:rFonts w:ascii="Times New Roman" w:hAnsi="Times New Roman" w:cs="Times New Roman"/>
        </w:rPr>
        <w:t xml:space="preserve"> </w:t>
      </w:r>
      <w:r w:rsidR="00D421E9" w:rsidRPr="00D421E9">
        <w:rPr>
          <w:rFonts w:ascii="Times New Roman" w:hAnsi="Times New Roman" w:cs="Times New Roman"/>
        </w:rPr>
        <w:t>id).</w:t>
      </w:r>
    </w:p>
    <w:sectPr w:rsidR="00C305C5" w:rsidRPr="00E9476B" w:rsidSect="00053464">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1B40" w16cex:dateUtc="2020-04-27T12:50:00Z"/>
  <w16cex:commentExtensible w16cex:durableId="22511576" w16cex:dateUtc="2020-04-27T12:25:00Z"/>
  <w16cex:commentExtensible w16cex:durableId="22511A30" w16cex:dateUtc="2020-04-27T12:45:00Z"/>
  <w16cex:commentExtensible w16cex:durableId="2251214E" w16cex:dateUtc="2020-04-27T13:15:00Z"/>
  <w16cex:commentExtensible w16cex:durableId="225126ED" w16cex:dateUtc="2020-04-27T13: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64791" w14:textId="77777777" w:rsidR="00E40B4E" w:rsidRDefault="00E40B4E" w:rsidP="002D755C">
      <w:r>
        <w:separator/>
      </w:r>
    </w:p>
  </w:endnote>
  <w:endnote w:type="continuationSeparator" w:id="0">
    <w:p w14:paraId="29BDE17C" w14:textId="77777777" w:rsidR="00E40B4E" w:rsidRDefault="00E40B4E" w:rsidP="002D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Palatino-Roman">
    <w:altName w:val="Palatino Linotype"/>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0614619"/>
      <w:docPartObj>
        <w:docPartGallery w:val="Page Numbers (Bottom of Page)"/>
        <w:docPartUnique/>
      </w:docPartObj>
    </w:sdtPr>
    <w:sdtEndPr>
      <w:rPr>
        <w:rStyle w:val="PageNumber"/>
      </w:rPr>
    </w:sdtEndPr>
    <w:sdtContent>
      <w:p w14:paraId="014A6344" w14:textId="24DD9853"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65B12A" w14:textId="77777777" w:rsidR="00DC412B" w:rsidRDefault="00DC4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2841549"/>
      <w:docPartObj>
        <w:docPartGallery w:val="Page Numbers (Bottom of Page)"/>
        <w:docPartUnique/>
      </w:docPartObj>
    </w:sdtPr>
    <w:sdtEndPr>
      <w:rPr>
        <w:rStyle w:val="PageNumber"/>
      </w:rPr>
    </w:sdtEndPr>
    <w:sdtContent>
      <w:p w14:paraId="3266CBC4" w14:textId="670E1722" w:rsidR="00DC412B" w:rsidRDefault="00DC412B" w:rsidP="00C7394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14:paraId="5DEB9959" w14:textId="77777777" w:rsidR="00DC412B" w:rsidRDefault="00DC4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819BF" w14:textId="77777777" w:rsidR="00E40B4E" w:rsidRDefault="00E40B4E" w:rsidP="002D755C">
      <w:r>
        <w:separator/>
      </w:r>
    </w:p>
  </w:footnote>
  <w:footnote w:type="continuationSeparator" w:id="0">
    <w:p w14:paraId="71CEA2AE" w14:textId="77777777" w:rsidR="00E40B4E" w:rsidRDefault="00E40B4E" w:rsidP="002D755C">
      <w:r>
        <w:continuationSeparator/>
      </w:r>
    </w:p>
  </w:footnote>
  <w:footnote w:id="1">
    <w:p w14:paraId="50ABF931" w14:textId="0014EBC5" w:rsidR="00DC412B" w:rsidRPr="00081AE4" w:rsidRDefault="00DC412B">
      <w:pPr>
        <w:pStyle w:val="FootnoteText"/>
      </w:pPr>
      <w:r w:rsidRPr="00F71468">
        <w:rPr>
          <w:rStyle w:val="FootnoteReference"/>
          <w:sz w:val="22"/>
          <w:szCs w:val="22"/>
        </w:rPr>
        <w:footnoteRef/>
      </w:r>
      <w:r w:rsidRPr="00F71468">
        <w:rPr>
          <w:sz w:val="22"/>
          <w:szCs w:val="22"/>
        </w:rPr>
        <w:t xml:space="preserve"> While Christakis et al. (2004) describes this cutpoint of 120 as “</w:t>
      </w:r>
      <w:r w:rsidRPr="00F71468">
        <w:rPr>
          <w:rStyle w:val="fontstyle11"/>
          <w:rFonts w:ascii="Times New Roman" w:hAnsi="Times New Roman" w:hint="eastAsia"/>
          <w:sz w:val="22"/>
          <w:szCs w:val="22"/>
        </w:rPr>
        <w:t>1.2 standard deviations (SDs) above the mean</w:t>
      </w:r>
      <w:r w:rsidRPr="00F71468">
        <w:rPr>
          <w:rStyle w:val="fontstyle11"/>
          <w:rFonts w:ascii="Times New Roman" w:hAnsi="Times New Roman"/>
          <w:sz w:val="22"/>
          <w:szCs w:val="22"/>
        </w:rPr>
        <w:t>” (p. 709), it is actually</w:t>
      </w:r>
      <w:r>
        <w:rPr>
          <w:rStyle w:val="fontstyle11"/>
          <w:rFonts w:ascii="Times New Roman" w:hAnsi="Times New Roman"/>
          <w:sz w:val="22"/>
          <w:szCs w:val="22"/>
        </w:rPr>
        <w:t xml:space="preserve"> </w:t>
      </w:r>
      <w:r w:rsidRPr="00F71468">
        <w:rPr>
          <w:rStyle w:val="fontstyle11"/>
          <w:rFonts w:ascii="Times New Roman" w:hAnsi="Times New Roman"/>
          <w:sz w:val="22"/>
          <w:szCs w:val="22"/>
        </w:rPr>
        <w:t>1.33 SDs above the mean given that the standardized attention scores were constructed to have a standard deviation of 15.</w:t>
      </w:r>
    </w:p>
  </w:footnote>
  <w:footnote w:id="2">
    <w:p w14:paraId="13389569" w14:textId="0B7E2D76" w:rsidR="00DC412B" w:rsidRDefault="00DC412B">
      <w:pPr>
        <w:pStyle w:val="FootnoteText"/>
      </w:pPr>
      <w:r w:rsidRPr="00F71468">
        <w:rPr>
          <w:rStyle w:val="FootnoteReference"/>
          <w:sz w:val="22"/>
          <w:szCs w:val="22"/>
        </w:rPr>
        <w:footnoteRef/>
      </w:r>
      <w:r w:rsidRPr="00F71468">
        <w:rPr>
          <w:sz w:val="22"/>
          <w:szCs w:val="22"/>
        </w:rPr>
        <w:t xml:space="preserve"> </w:t>
      </w:r>
      <w:hyperlink r:id="rId1" w:anchor="practical" w:history="1">
        <w:r w:rsidRPr="00F71468">
          <w:rPr>
            <w:rStyle w:val="Hyperlink"/>
            <w:sz w:val="22"/>
            <w:szCs w:val="22"/>
          </w:rPr>
          <w:t>https://www.nlsinfo.org/content/cohorts/nlsy97/using-and-understanding-the-data/sample-weights-design-effects/page/0/0/#practical</w:t>
        </w:r>
      </w:hyperlink>
    </w:p>
  </w:footnote>
  <w:footnote w:id="3">
    <w:p w14:paraId="7484261D" w14:textId="29B1B821" w:rsidR="00E61446" w:rsidRDefault="00E61446">
      <w:pPr>
        <w:pStyle w:val="FootnoteText"/>
      </w:pPr>
      <w:r w:rsidRPr="00672630">
        <w:rPr>
          <w:rStyle w:val="FootnoteReference"/>
          <w:sz w:val="22"/>
          <w:szCs w:val="22"/>
        </w:rPr>
        <w:footnoteRef/>
      </w:r>
      <w:r w:rsidRPr="00672630">
        <w:rPr>
          <w:sz w:val="22"/>
          <w:szCs w:val="22"/>
        </w:rPr>
        <w:t xml:space="preserve"> Dichotomizing the response variable also wastes information, but we perceive no advantage to doing so in this case because logisti</w:t>
      </w:r>
      <w:bookmarkStart w:id="1" w:name="_GoBack"/>
      <w:bookmarkEnd w:id="1"/>
      <w:r w:rsidRPr="00672630">
        <w:rPr>
          <w:sz w:val="22"/>
          <w:szCs w:val="22"/>
        </w:rPr>
        <w:t xml:space="preserve">c regression is no more robust, efficient, or interpretable than linear regression. </w:t>
      </w:r>
    </w:p>
  </w:footnote>
  <w:footnote w:id="4">
    <w:p w14:paraId="1690DDD3" w14:textId="454F576A" w:rsidR="00DC412B" w:rsidRPr="00F71468" w:rsidRDefault="00DC412B">
      <w:pPr>
        <w:pStyle w:val="FootnoteText"/>
        <w:rPr>
          <w:sz w:val="22"/>
          <w:szCs w:val="22"/>
        </w:rPr>
      </w:pPr>
      <w:r w:rsidRPr="00F71468">
        <w:rPr>
          <w:rStyle w:val="FootnoteReference"/>
          <w:sz w:val="22"/>
          <w:szCs w:val="22"/>
        </w:rPr>
        <w:footnoteRef/>
      </w:r>
      <w:r w:rsidRPr="00F71468">
        <w:rPr>
          <w:sz w:val="22"/>
          <w:szCs w:val="22"/>
        </w:rPr>
        <w:t xml:space="preserve"> We did not adjust for all the covariates in the doubly-robust model</w:t>
      </w:r>
      <w:r>
        <w:rPr>
          <w:sz w:val="22"/>
          <w:szCs w:val="22"/>
        </w:rPr>
        <w:t>s</w:t>
      </w:r>
      <w:r w:rsidRPr="00F71468">
        <w:rPr>
          <w:sz w:val="22"/>
          <w:szCs w:val="22"/>
        </w:rPr>
        <w:t xml:space="preserve"> because doing so resulted in losing more than half the effective sample size due to listwise deletion</w:t>
      </w:r>
      <w:r>
        <w:rPr>
          <w:sz w:val="22"/>
          <w:szCs w:val="22"/>
        </w:rPr>
        <w:t>, and there is no advantage to additional adjustment for covariates that are already well-balanced.</w:t>
      </w:r>
    </w:p>
  </w:footnote>
  <w:footnote w:id="5">
    <w:p w14:paraId="335D0FFB" w14:textId="508B213E" w:rsidR="00DC412B" w:rsidRPr="00DC3906" w:rsidRDefault="00DC412B">
      <w:pPr>
        <w:pStyle w:val="FootnoteText"/>
        <w:rPr>
          <w:sz w:val="22"/>
          <w:szCs w:val="22"/>
        </w:rPr>
      </w:pPr>
      <w:r w:rsidRPr="00DC3906">
        <w:rPr>
          <w:rStyle w:val="FootnoteReference"/>
          <w:sz w:val="22"/>
          <w:szCs w:val="22"/>
        </w:rPr>
        <w:footnoteRef/>
      </w:r>
      <w:r w:rsidRPr="00DC3906">
        <w:rPr>
          <w:sz w:val="22"/>
          <w:szCs w:val="22"/>
        </w:rPr>
        <w:t xml:space="preserve"> </w:t>
      </w:r>
      <w:hyperlink r:id="rId2" w:history="1">
        <w:r w:rsidRPr="00DC3906">
          <w:rPr>
            <w:rStyle w:val="Hyperlink"/>
            <w:sz w:val="22"/>
            <w:szCs w:val="22"/>
          </w:rPr>
          <w:t>https://github.com/mcbeem/TVAttention</w:t>
        </w:r>
      </w:hyperlink>
    </w:p>
  </w:footnote>
  <w:footnote w:id="6">
    <w:p w14:paraId="6A0C6D74" w14:textId="0E4536A7" w:rsidR="00DC412B" w:rsidRDefault="00DC412B">
      <w:pPr>
        <w:pStyle w:val="FootnoteText"/>
      </w:pPr>
      <w:r w:rsidRPr="00DC3906">
        <w:rPr>
          <w:rStyle w:val="FootnoteReference"/>
          <w:sz w:val="22"/>
          <w:szCs w:val="22"/>
        </w:rPr>
        <w:footnoteRef/>
      </w:r>
      <w:r w:rsidRPr="00DC3906">
        <w:rPr>
          <w:sz w:val="22"/>
          <w:szCs w:val="22"/>
        </w:rPr>
        <w:t xml:space="preserve"> </w:t>
      </w:r>
      <w:hyperlink r:id="rId3" w:history="1">
        <w:r w:rsidRPr="00DC3906">
          <w:rPr>
            <w:rStyle w:val="Hyperlink"/>
            <w:sz w:val="22"/>
            <w:szCs w:val="22"/>
          </w:rPr>
          <w:t>https://hub.docker.com/repository/docker/mmcbee/rstudio_tvattention</w:t>
        </w:r>
      </w:hyperlink>
    </w:p>
  </w:footnote>
  <w:footnote w:id="7">
    <w:p w14:paraId="08DFF164" w14:textId="1E98CF49" w:rsidR="00DC412B" w:rsidRDefault="00DC412B" w:rsidP="00820D62">
      <w:pPr>
        <w:pStyle w:val="FootnoteText"/>
      </w:pPr>
      <w:r w:rsidRPr="00F71468">
        <w:rPr>
          <w:rStyle w:val="FootnoteReference"/>
          <w:sz w:val="22"/>
          <w:szCs w:val="22"/>
        </w:rPr>
        <w:footnoteRef/>
      </w:r>
      <w:r w:rsidRPr="00F71468">
        <w:rPr>
          <w:sz w:val="22"/>
          <w:szCs w:val="22"/>
        </w:rPr>
        <w:t xml:space="preserve"> A prior version of this analysis also included the child’s body mass index (BMI), but we removed that variable at the direction of a reviewer, who was concerned </w:t>
      </w:r>
      <w:r>
        <w:rPr>
          <w:sz w:val="22"/>
          <w:szCs w:val="22"/>
        </w:rPr>
        <w:t>that it could be an outcome of TV use rather than a confounder.</w:t>
      </w:r>
    </w:p>
  </w:footnote>
  <w:footnote w:id="8">
    <w:p w14:paraId="31AB4893" w14:textId="42F64257" w:rsidR="00DC412B" w:rsidRDefault="00DC412B">
      <w:pPr>
        <w:pStyle w:val="FootnoteText"/>
      </w:pPr>
      <w:r w:rsidRPr="00F71468">
        <w:rPr>
          <w:rStyle w:val="FootnoteReference"/>
          <w:sz w:val="22"/>
          <w:szCs w:val="22"/>
        </w:rPr>
        <w:footnoteRef/>
      </w:r>
      <w:r w:rsidRPr="00F71468">
        <w:rPr>
          <w:sz w:val="22"/>
          <w:szCs w:val="22"/>
        </w:rPr>
        <w:t xml:space="preserve"> There were no models with multiple imputation and sample weights, as these could not be combined. </w:t>
      </w:r>
    </w:p>
  </w:footnote>
  <w:footnote w:id="9">
    <w:p w14:paraId="6BA80EA6" w14:textId="1A773AF0" w:rsidR="00DC412B" w:rsidRPr="008915AC" w:rsidRDefault="00DC412B">
      <w:pPr>
        <w:pStyle w:val="FootnoteText"/>
      </w:pPr>
      <w:r w:rsidRPr="0089451D">
        <w:rPr>
          <w:rStyle w:val="FootnoteReference"/>
          <w:sz w:val="22"/>
          <w:szCs w:val="22"/>
        </w:rPr>
        <w:footnoteRef/>
      </w:r>
      <w:r w:rsidRPr="0089451D">
        <w:rPr>
          <w:sz w:val="22"/>
          <w:szCs w:val="22"/>
        </w:rPr>
        <w:t xml:space="preserve"> See </w:t>
      </w:r>
      <w:hyperlink r:id="rId4" w:history="1">
        <w:r w:rsidRPr="0089451D">
          <w:rPr>
            <w:rStyle w:val="Hyperlink"/>
            <w:sz w:val="22"/>
            <w:szCs w:val="22"/>
          </w:rPr>
          <w:t>https://rpsychologist.com/d3/cohend/</w:t>
        </w:r>
      </w:hyperlink>
      <w:r w:rsidRPr="0089451D">
        <w:rPr>
          <w:sz w:val="22"/>
          <w:szCs w:val="22"/>
        </w:rPr>
        <w:t xml:space="preserve"> for an interactive visualization of Cohen’s </w:t>
      </w:r>
      <w:r w:rsidRPr="0089451D">
        <w:rPr>
          <w:i/>
          <w:iCs/>
          <w:sz w:val="22"/>
          <w:szCs w:val="22"/>
        </w:rPr>
        <w:t>d</w:t>
      </w:r>
      <w:r w:rsidRPr="0089451D">
        <w:rPr>
          <w:sz w:val="22"/>
          <w:szCs w:val="22"/>
        </w:rPr>
        <w:t xml:space="preserve"> effect sizes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AE1CF" w14:textId="6596A47F" w:rsidR="00DC412B" w:rsidRDefault="00DC412B" w:rsidP="0076038C">
    <w:pPr>
      <w:pStyle w:val="Header"/>
      <w:jc w:val="right"/>
    </w:pPr>
    <w:r>
      <w:t>TV and Attention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5B811" w14:textId="77777777" w:rsidR="00DC412B" w:rsidRDefault="00DC412B" w:rsidP="00120B9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BAF03" w14:textId="77777777" w:rsidR="00DC412B" w:rsidRDefault="00DC412B" w:rsidP="003F42C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FDF62" w14:textId="6696BE10" w:rsidR="00DC412B" w:rsidRDefault="00DC412B" w:rsidP="00120B95">
    <w:pPr>
      <w:pStyle w:val="Header"/>
      <w:framePr w:wrap="around" w:vAnchor="text" w:hAnchor="margin" w:xAlign="right"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40</w:t>
    </w:r>
    <w:r>
      <w:rPr>
        <w:rStyle w:val="PageNumber"/>
      </w:rPr>
      <w:fldChar w:fldCharType="end"/>
    </w:r>
  </w:p>
  <w:p w14:paraId="4F1206E8" w14:textId="77777777" w:rsidR="00DC412B" w:rsidRDefault="00DC412B" w:rsidP="003F42C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778"/>
    <w:multiLevelType w:val="hybridMultilevel"/>
    <w:tmpl w:val="0FA6A6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433BC"/>
    <w:multiLevelType w:val="hybridMultilevel"/>
    <w:tmpl w:val="49780198"/>
    <w:lvl w:ilvl="0" w:tplc="04090011">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47DEA"/>
    <w:multiLevelType w:val="multilevel"/>
    <w:tmpl w:val="B398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B85848"/>
    <w:multiLevelType w:val="hybridMultilevel"/>
    <w:tmpl w:val="39A0FFFA"/>
    <w:lvl w:ilvl="0" w:tplc="C388E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2F3458"/>
    <w:multiLevelType w:val="hybridMultilevel"/>
    <w:tmpl w:val="309AE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7E0143"/>
    <w:multiLevelType w:val="hybridMultilevel"/>
    <w:tmpl w:val="4D088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DD17D0"/>
    <w:multiLevelType w:val="hybridMultilevel"/>
    <w:tmpl w:val="7B4473B0"/>
    <w:lvl w:ilvl="0" w:tplc="89980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787804"/>
    <w:multiLevelType w:val="hybridMultilevel"/>
    <w:tmpl w:val="9C701E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DE1132"/>
    <w:multiLevelType w:val="hybridMultilevel"/>
    <w:tmpl w:val="E2B6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DF0A84"/>
    <w:multiLevelType w:val="hybridMultilevel"/>
    <w:tmpl w:val="FFCA9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C3773"/>
    <w:multiLevelType w:val="hybridMultilevel"/>
    <w:tmpl w:val="E0B6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027E7"/>
    <w:multiLevelType w:val="hybridMultilevel"/>
    <w:tmpl w:val="E0B889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7"/>
  </w:num>
  <w:num w:numId="5">
    <w:abstractNumId w:val="11"/>
  </w:num>
  <w:num w:numId="6">
    <w:abstractNumId w:val="10"/>
  </w:num>
  <w:num w:numId="7">
    <w:abstractNumId w:val="3"/>
  </w:num>
  <w:num w:numId="8">
    <w:abstractNumId w:val="6"/>
  </w:num>
  <w:num w:numId="9">
    <w:abstractNumId w:val="1"/>
  </w:num>
  <w:num w:numId="10">
    <w:abstractNumId w:val="8"/>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ACE"/>
    <w:rsid w:val="00000F1F"/>
    <w:rsid w:val="00000F76"/>
    <w:rsid w:val="00001907"/>
    <w:rsid w:val="00001ECF"/>
    <w:rsid w:val="000028F6"/>
    <w:rsid w:val="00002ED8"/>
    <w:rsid w:val="0000310C"/>
    <w:rsid w:val="000039BE"/>
    <w:rsid w:val="000042F2"/>
    <w:rsid w:val="00006833"/>
    <w:rsid w:val="000074FC"/>
    <w:rsid w:val="00007FA0"/>
    <w:rsid w:val="00013B49"/>
    <w:rsid w:val="000143C6"/>
    <w:rsid w:val="00014A9B"/>
    <w:rsid w:val="00015025"/>
    <w:rsid w:val="0001526F"/>
    <w:rsid w:val="00020587"/>
    <w:rsid w:val="00020962"/>
    <w:rsid w:val="0002155D"/>
    <w:rsid w:val="000218AC"/>
    <w:rsid w:val="00021BEE"/>
    <w:rsid w:val="00024C2F"/>
    <w:rsid w:val="00025938"/>
    <w:rsid w:val="0002607E"/>
    <w:rsid w:val="000264A7"/>
    <w:rsid w:val="00027E79"/>
    <w:rsid w:val="0003041C"/>
    <w:rsid w:val="0003080F"/>
    <w:rsid w:val="00030BBC"/>
    <w:rsid w:val="000314C5"/>
    <w:rsid w:val="000320C1"/>
    <w:rsid w:val="0003215E"/>
    <w:rsid w:val="00032F9A"/>
    <w:rsid w:val="0003406A"/>
    <w:rsid w:val="00035AAC"/>
    <w:rsid w:val="0003618B"/>
    <w:rsid w:val="000366C0"/>
    <w:rsid w:val="0003674E"/>
    <w:rsid w:val="00036E2D"/>
    <w:rsid w:val="00040167"/>
    <w:rsid w:val="000402D1"/>
    <w:rsid w:val="00040ADB"/>
    <w:rsid w:val="00040F34"/>
    <w:rsid w:val="00041879"/>
    <w:rsid w:val="000422F6"/>
    <w:rsid w:val="000426EF"/>
    <w:rsid w:val="00043297"/>
    <w:rsid w:val="00044276"/>
    <w:rsid w:val="0004471D"/>
    <w:rsid w:val="00044809"/>
    <w:rsid w:val="000452D3"/>
    <w:rsid w:val="000456DE"/>
    <w:rsid w:val="000513F0"/>
    <w:rsid w:val="00051A73"/>
    <w:rsid w:val="0005259F"/>
    <w:rsid w:val="000529BB"/>
    <w:rsid w:val="00052BB6"/>
    <w:rsid w:val="00053464"/>
    <w:rsid w:val="00053C7E"/>
    <w:rsid w:val="000555EB"/>
    <w:rsid w:val="00057BBE"/>
    <w:rsid w:val="00057C0F"/>
    <w:rsid w:val="0006110C"/>
    <w:rsid w:val="0006116A"/>
    <w:rsid w:val="00062311"/>
    <w:rsid w:val="00062995"/>
    <w:rsid w:val="00063051"/>
    <w:rsid w:val="00063148"/>
    <w:rsid w:val="00063176"/>
    <w:rsid w:val="000632D0"/>
    <w:rsid w:val="000662A0"/>
    <w:rsid w:val="000667B0"/>
    <w:rsid w:val="000668C4"/>
    <w:rsid w:val="00067050"/>
    <w:rsid w:val="00067B5E"/>
    <w:rsid w:val="00067C04"/>
    <w:rsid w:val="0007027D"/>
    <w:rsid w:val="00071AC1"/>
    <w:rsid w:val="00072BB5"/>
    <w:rsid w:val="00072E82"/>
    <w:rsid w:val="00073405"/>
    <w:rsid w:val="000734AB"/>
    <w:rsid w:val="000734CB"/>
    <w:rsid w:val="00073906"/>
    <w:rsid w:val="0007435C"/>
    <w:rsid w:val="00074B96"/>
    <w:rsid w:val="00075872"/>
    <w:rsid w:val="000759CF"/>
    <w:rsid w:val="00076B6B"/>
    <w:rsid w:val="00077AC8"/>
    <w:rsid w:val="00077D30"/>
    <w:rsid w:val="00081A73"/>
    <w:rsid w:val="00081AE4"/>
    <w:rsid w:val="0008252C"/>
    <w:rsid w:val="00082B68"/>
    <w:rsid w:val="000833AF"/>
    <w:rsid w:val="000849B7"/>
    <w:rsid w:val="00084A46"/>
    <w:rsid w:val="0008598D"/>
    <w:rsid w:val="00085F88"/>
    <w:rsid w:val="00085F9A"/>
    <w:rsid w:val="000874CF"/>
    <w:rsid w:val="0009083B"/>
    <w:rsid w:val="00090C76"/>
    <w:rsid w:val="00091170"/>
    <w:rsid w:val="00091E45"/>
    <w:rsid w:val="00092932"/>
    <w:rsid w:val="0009381E"/>
    <w:rsid w:val="00094EF4"/>
    <w:rsid w:val="00097F23"/>
    <w:rsid w:val="000A01E6"/>
    <w:rsid w:val="000A0530"/>
    <w:rsid w:val="000A10F4"/>
    <w:rsid w:val="000A1DDF"/>
    <w:rsid w:val="000A239D"/>
    <w:rsid w:val="000A3369"/>
    <w:rsid w:val="000A3F9C"/>
    <w:rsid w:val="000A4700"/>
    <w:rsid w:val="000A6580"/>
    <w:rsid w:val="000A65C6"/>
    <w:rsid w:val="000A68F7"/>
    <w:rsid w:val="000A7869"/>
    <w:rsid w:val="000B069F"/>
    <w:rsid w:val="000B0EDE"/>
    <w:rsid w:val="000B111F"/>
    <w:rsid w:val="000B1CA9"/>
    <w:rsid w:val="000B2B72"/>
    <w:rsid w:val="000B4A92"/>
    <w:rsid w:val="000B5ABD"/>
    <w:rsid w:val="000B5C29"/>
    <w:rsid w:val="000B5DF8"/>
    <w:rsid w:val="000C0514"/>
    <w:rsid w:val="000C1037"/>
    <w:rsid w:val="000C107C"/>
    <w:rsid w:val="000C132A"/>
    <w:rsid w:val="000C1521"/>
    <w:rsid w:val="000C157C"/>
    <w:rsid w:val="000C2547"/>
    <w:rsid w:val="000C2CED"/>
    <w:rsid w:val="000C3386"/>
    <w:rsid w:val="000C3AAE"/>
    <w:rsid w:val="000C425C"/>
    <w:rsid w:val="000C4CA6"/>
    <w:rsid w:val="000C4CCB"/>
    <w:rsid w:val="000C598D"/>
    <w:rsid w:val="000C5B8B"/>
    <w:rsid w:val="000C6475"/>
    <w:rsid w:val="000C66E3"/>
    <w:rsid w:val="000C6B89"/>
    <w:rsid w:val="000C6F4D"/>
    <w:rsid w:val="000C7018"/>
    <w:rsid w:val="000C7556"/>
    <w:rsid w:val="000C7FF5"/>
    <w:rsid w:val="000D0709"/>
    <w:rsid w:val="000D09EC"/>
    <w:rsid w:val="000D1870"/>
    <w:rsid w:val="000D2594"/>
    <w:rsid w:val="000D4C9A"/>
    <w:rsid w:val="000D66DA"/>
    <w:rsid w:val="000E0AB8"/>
    <w:rsid w:val="000E12B4"/>
    <w:rsid w:val="000E1BDF"/>
    <w:rsid w:val="000E3C89"/>
    <w:rsid w:val="000E4826"/>
    <w:rsid w:val="000E48D5"/>
    <w:rsid w:val="000E49FC"/>
    <w:rsid w:val="000E518F"/>
    <w:rsid w:val="000E521D"/>
    <w:rsid w:val="000E5356"/>
    <w:rsid w:val="000E57E9"/>
    <w:rsid w:val="000E5992"/>
    <w:rsid w:val="000E60D5"/>
    <w:rsid w:val="000E641A"/>
    <w:rsid w:val="000E6595"/>
    <w:rsid w:val="000E67AB"/>
    <w:rsid w:val="000E6D09"/>
    <w:rsid w:val="000E6DF4"/>
    <w:rsid w:val="000F042A"/>
    <w:rsid w:val="000F29F4"/>
    <w:rsid w:val="000F4425"/>
    <w:rsid w:val="000F4A5A"/>
    <w:rsid w:val="000F5044"/>
    <w:rsid w:val="000F5059"/>
    <w:rsid w:val="000F520E"/>
    <w:rsid w:val="000F5A9F"/>
    <w:rsid w:val="000F5CD3"/>
    <w:rsid w:val="000F6033"/>
    <w:rsid w:val="000F70C5"/>
    <w:rsid w:val="000F77D3"/>
    <w:rsid w:val="000F7945"/>
    <w:rsid w:val="000F7D9E"/>
    <w:rsid w:val="001009C7"/>
    <w:rsid w:val="00101D8A"/>
    <w:rsid w:val="00102665"/>
    <w:rsid w:val="0010278C"/>
    <w:rsid w:val="00103E35"/>
    <w:rsid w:val="001047B6"/>
    <w:rsid w:val="00104911"/>
    <w:rsid w:val="00104957"/>
    <w:rsid w:val="0010503A"/>
    <w:rsid w:val="00105D1E"/>
    <w:rsid w:val="00112B44"/>
    <w:rsid w:val="00114321"/>
    <w:rsid w:val="00114DA1"/>
    <w:rsid w:val="0011529B"/>
    <w:rsid w:val="00116D17"/>
    <w:rsid w:val="00117AEF"/>
    <w:rsid w:val="00120178"/>
    <w:rsid w:val="00120B95"/>
    <w:rsid w:val="00120C84"/>
    <w:rsid w:val="001213BE"/>
    <w:rsid w:val="00121946"/>
    <w:rsid w:val="00121A18"/>
    <w:rsid w:val="00123A51"/>
    <w:rsid w:val="001254A9"/>
    <w:rsid w:val="001257BC"/>
    <w:rsid w:val="00125FAA"/>
    <w:rsid w:val="001261DE"/>
    <w:rsid w:val="00127C88"/>
    <w:rsid w:val="00131D12"/>
    <w:rsid w:val="00131DEA"/>
    <w:rsid w:val="00131F3E"/>
    <w:rsid w:val="0013313E"/>
    <w:rsid w:val="00133B03"/>
    <w:rsid w:val="00133B6D"/>
    <w:rsid w:val="001347D8"/>
    <w:rsid w:val="00134D54"/>
    <w:rsid w:val="00134E65"/>
    <w:rsid w:val="00135A69"/>
    <w:rsid w:val="001371FB"/>
    <w:rsid w:val="00137990"/>
    <w:rsid w:val="001400D6"/>
    <w:rsid w:val="00140AD1"/>
    <w:rsid w:val="00141916"/>
    <w:rsid w:val="0014264B"/>
    <w:rsid w:val="00142967"/>
    <w:rsid w:val="001435DB"/>
    <w:rsid w:val="00145B1A"/>
    <w:rsid w:val="00145FAE"/>
    <w:rsid w:val="0014605D"/>
    <w:rsid w:val="00146131"/>
    <w:rsid w:val="001462EF"/>
    <w:rsid w:val="001464B4"/>
    <w:rsid w:val="00146DF0"/>
    <w:rsid w:val="001476B1"/>
    <w:rsid w:val="00147F8C"/>
    <w:rsid w:val="00150887"/>
    <w:rsid w:val="00150E62"/>
    <w:rsid w:val="0015161C"/>
    <w:rsid w:val="0015164E"/>
    <w:rsid w:val="001516B6"/>
    <w:rsid w:val="00151E50"/>
    <w:rsid w:val="00152A30"/>
    <w:rsid w:val="00153703"/>
    <w:rsid w:val="0015413C"/>
    <w:rsid w:val="0015504C"/>
    <w:rsid w:val="00155354"/>
    <w:rsid w:val="0015674F"/>
    <w:rsid w:val="001569C0"/>
    <w:rsid w:val="00156EDC"/>
    <w:rsid w:val="00157E5B"/>
    <w:rsid w:val="00160814"/>
    <w:rsid w:val="00164B2D"/>
    <w:rsid w:val="00165274"/>
    <w:rsid w:val="001652EB"/>
    <w:rsid w:val="00166320"/>
    <w:rsid w:val="001667D9"/>
    <w:rsid w:val="00166B9B"/>
    <w:rsid w:val="00166E31"/>
    <w:rsid w:val="001671F6"/>
    <w:rsid w:val="00171364"/>
    <w:rsid w:val="00171391"/>
    <w:rsid w:val="00171491"/>
    <w:rsid w:val="001720DA"/>
    <w:rsid w:val="0017389E"/>
    <w:rsid w:val="00173C88"/>
    <w:rsid w:val="00174FA3"/>
    <w:rsid w:val="001756B9"/>
    <w:rsid w:val="00175746"/>
    <w:rsid w:val="001758AE"/>
    <w:rsid w:val="0017599D"/>
    <w:rsid w:val="0017661D"/>
    <w:rsid w:val="00176E00"/>
    <w:rsid w:val="00177282"/>
    <w:rsid w:val="00177289"/>
    <w:rsid w:val="001803FF"/>
    <w:rsid w:val="00181A1F"/>
    <w:rsid w:val="00182416"/>
    <w:rsid w:val="001827D1"/>
    <w:rsid w:val="001827EB"/>
    <w:rsid w:val="00182C05"/>
    <w:rsid w:val="00182C83"/>
    <w:rsid w:val="00184A1B"/>
    <w:rsid w:val="001860E2"/>
    <w:rsid w:val="0018621B"/>
    <w:rsid w:val="00186DE5"/>
    <w:rsid w:val="00187E16"/>
    <w:rsid w:val="00187F31"/>
    <w:rsid w:val="00187F9E"/>
    <w:rsid w:val="00187FB2"/>
    <w:rsid w:val="001904E3"/>
    <w:rsid w:val="00190C3C"/>
    <w:rsid w:val="00190DF7"/>
    <w:rsid w:val="00190FEF"/>
    <w:rsid w:val="001931C5"/>
    <w:rsid w:val="00193652"/>
    <w:rsid w:val="00194F66"/>
    <w:rsid w:val="00195244"/>
    <w:rsid w:val="00195609"/>
    <w:rsid w:val="00196662"/>
    <w:rsid w:val="00196B3C"/>
    <w:rsid w:val="00197954"/>
    <w:rsid w:val="001A1EE9"/>
    <w:rsid w:val="001A3001"/>
    <w:rsid w:val="001A3482"/>
    <w:rsid w:val="001A4265"/>
    <w:rsid w:val="001A4EF5"/>
    <w:rsid w:val="001A546A"/>
    <w:rsid w:val="001A5A98"/>
    <w:rsid w:val="001A657D"/>
    <w:rsid w:val="001A66CF"/>
    <w:rsid w:val="001A6925"/>
    <w:rsid w:val="001A6CD1"/>
    <w:rsid w:val="001B10A2"/>
    <w:rsid w:val="001B1B64"/>
    <w:rsid w:val="001B227D"/>
    <w:rsid w:val="001B2FE5"/>
    <w:rsid w:val="001B32B3"/>
    <w:rsid w:val="001B42D7"/>
    <w:rsid w:val="001B4B76"/>
    <w:rsid w:val="001B4B84"/>
    <w:rsid w:val="001B4E0B"/>
    <w:rsid w:val="001B7460"/>
    <w:rsid w:val="001B7F82"/>
    <w:rsid w:val="001B7FDB"/>
    <w:rsid w:val="001C1250"/>
    <w:rsid w:val="001C1839"/>
    <w:rsid w:val="001C1E6D"/>
    <w:rsid w:val="001C382F"/>
    <w:rsid w:val="001C408C"/>
    <w:rsid w:val="001C4661"/>
    <w:rsid w:val="001C5929"/>
    <w:rsid w:val="001C6FA1"/>
    <w:rsid w:val="001D06C4"/>
    <w:rsid w:val="001D1E3A"/>
    <w:rsid w:val="001D27DC"/>
    <w:rsid w:val="001D2A04"/>
    <w:rsid w:val="001D316F"/>
    <w:rsid w:val="001D3845"/>
    <w:rsid w:val="001D4A3F"/>
    <w:rsid w:val="001D4CB4"/>
    <w:rsid w:val="001D64DC"/>
    <w:rsid w:val="001D7050"/>
    <w:rsid w:val="001D7B38"/>
    <w:rsid w:val="001D7BB1"/>
    <w:rsid w:val="001E0A94"/>
    <w:rsid w:val="001E0B4E"/>
    <w:rsid w:val="001E1CAD"/>
    <w:rsid w:val="001E2F89"/>
    <w:rsid w:val="001E365E"/>
    <w:rsid w:val="001E39BB"/>
    <w:rsid w:val="001E43E9"/>
    <w:rsid w:val="001E4B8F"/>
    <w:rsid w:val="001E6F2B"/>
    <w:rsid w:val="001E72D7"/>
    <w:rsid w:val="001E75FC"/>
    <w:rsid w:val="001E7D9A"/>
    <w:rsid w:val="001E7DCC"/>
    <w:rsid w:val="001F0070"/>
    <w:rsid w:val="001F153E"/>
    <w:rsid w:val="001F3600"/>
    <w:rsid w:val="001F37F7"/>
    <w:rsid w:val="001F3FB2"/>
    <w:rsid w:val="001F4C40"/>
    <w:rsid w:val="001F57E7"/>
    <w:rsid w:val="001F61E7"/>
    <w:rsid w:val="001F6F8D"/>
    <w:rsid w:val="001F749E"/>
    <w:rsid w:val="001F79A7"/>
    <w:rsid w:val="0020035D"/>
    <w:rsid w:val="00201FDE"/>
    <w:rsid w:val="002028EB"/>
    <w:rsid w:val="00203078"/>
    <w:rsid w:val="00203FBC"/>
    <w:rsid w:val="0020504B"/>
    <w:rsid w:val="00205066"/>
    <w:rsid w:val="002050DB"/>
    <w:rsid w:val="002055B7"/>
    <w:rsid w:val="0020594B"/>
    <w:rsid w:val="00205D5C"/>
    <w:rsid w:val="00205EBF"/>
    <w:rsid w:val="00206AB2"/>
    <w:rsid w:val="002101B4"/>
    <w:rsid w:val="00210D58"/>
    <w:rsid w:val="00210E8F"/>
    <w:rsid w:val="0021228C"/>
    <w:rsid w:val="00212D91"/>
    <w:rsid w:val="002146D9"/>
    <w:rsid w:val="00214E68"/>
    <w:rsid w:val="002152F8"/>
    <w:rsid w:val="002156A6"/>
    <w:rsid w:val="0021586C"/>
    <w:rsid w:val="00221E18"/>
    <w:rsid w:val="00222385"/>
    <w:rsid w:val="0022380D"/>
    <w:rsid w:val="00223C68"/>
    <w:rsid w:val="00224413"/>
    <w:rsid w:val="0022459D"/>
    <w:rsid w:val="00224632"/>
    <w:rsid w:val="00225CD8"/>
    <w:rsid w:val="00225F2C"/>
    <w:rsid w:val="00226904"/>
    <w:rsid w:val="00230D41"/>
    <w:rsid w:val="00230FC6"/>
    <w:rsid w:val="0023194A"/>
    <w:rsid w:val="0023270B"/>
    <w:rsid w:val="00233021"/>
    <w:rsid w:val="002332BF"/>
    <w:rsid w:val="00233961"/>
    <w:rsid w:val="002347F1"/>
    <w:rsid w:val="0023516D"/>
    <w:rsid w:val="00236871"/>
    <w:rsid w:val="00236D03"/>
    <w:rsid w:val="00237861"/>
    <w:rsid w:val="0024033B"/>
    <w:rsid w:val="00240AAC"/>
    <w:rsid w:val="00240C90"/>
    <w:rsid w:val="00241742"/>
    <w:rsid w:val="00241D9F"/>
    <w:rsid w:val="00242393"/>
    <w:rsid w:val="00242503"/>
    <w:rsid w:val="002434FE"/>
    <w:rsid w:val="00243D0C"/>
    <w:rsid w:val="00244238"/>
    <w:rsid w:val="00244516"/>
    <w:rsid w:val="00244567"/>
    <w:rsid w:val="002446E9"/>
    <w:rsid w:val="002448F7"/>
    <w:rsid w:val="00244A20"/>
    <w:rsid w:val="002453CF"/>
    <w:rsid w:val="00245701"/>
    <w:rsid w:val="002468A0"/>
    <w:rsid w:val="00246B71"/>
    <w:rsid w:val="002501F7"/>
    <w:rsid w:val="00252CF1"/>
    <w:rsid w:val="002530A8"/>
    <w:rsid w:val="002536ED"/>
    <w:rsid w:val="002540BC"/>
    <w:rsid w:val="002542AC"/>
    <w:rsid w:val="00254347"/>
    <w:rsid w:val="002549C8"/>
    <w:rsid w:val="00254EC6"/>
    <w:rsid w:val="00255873"/>
    <w:rsid w:val="0025756B"/>
    <w:rsid w:val="00257D23"/>
    <w:rsid w:val="00257EF7"/>
    <w:rsid w:val="002619D5"/>
    <w:rsid w:val="002620E6"/>
    <w:rsid w:val="00262873"/>
    <w:rsid w:val="00263D3D"/>
    <w:rsid w:val="00263EB7"/>
    <w:rsid w:val="002645AC"/>
    <w:rsid w:val="0026528D"/>
    <w:rsid w:val="00266BAF"/>
    <w:rsid w:val="00267914"/>
    <w:rsid w:val="00267A6E"/>
    <w:rsid w:val="002708D4"/>
    <w:rsid w:val="00271593"/>
    <w:rsid w:val="0027259E"/>
    <w:rsid w:val="002728FA"/>
    <w:rsid w:val="00272E2D"/>
    <w:rsid w:val="00274941"/>
    <w:rsid w:val="00276969"/>
    <w:rsid w:val="00276A4F"/>
    <w:rsid w:val="00276A7E"/>
    <w:rsid w:val="002812CB"/>
    <w:rsid w:val="00282551"/>
    <w:rsid w:val="00283E70"/>
    <w:rsid w:val="00284330"/>
    <w:rsid w:val="002846D9"/>
    <w:rsid w:val="00284A54"/>
    <w:rsid w:val="00285439"/>
    <w:rsid w:val="00285BE5"/>
    <w:rsid w:val="00287228"/>
    <w:rsid w:val="002877CF"/>
    <w:rsid w:val="002911BA"/>
    <w:rsid w:val="00291EDC"/>
    <w:rsid w:val="002937C3"/>
    <w:rsid w:val="00293BBE"/>
    <w:rsid w:val="00294C25"/>
    <w:rsid w:val="00295D6C"/>
    <w:rsid w:val="00295F4D"/>
    <w:rsid w:val="002967FB"/>
    <w:rsid w:val="002A0B26"/>
    <w:rsid w:val="002A13F3"/>
    <w:rsid w:val="002A178C"/>
    <w:rsid w:val="002A1F31"/>
    <w:rsid w:val="002A25CD"/>
    <w:rsid w:val="002A2633"/>
    <w:rsid w:val="002A2F4D"/>
    <w:rsid w:val="002A3118"/>
    <w:rsid w:val="002A3FC4"/>
    <w:rsid w:val="002A4EF3"/>
    <w:rsid w:val="002A558E"/>
    <w:rsid w:val="002A72F7"/>
    <w:rsid w:val="002A7A06"/>
    <w:rsid w:val="002B0B92"/>
    <w:rsid w:val="002B42AE"/>
    <w:rsid w:val="002B4BD8"/>
    <w:rsid w:val="002B4E4F"/>
    <w:rsid w:val="002B4F1D"/>
    <w:rsid w:val="002B607C"/>
    <w:rsid w:val="002B6574"/>
    <w:rsid w:val="002B65A9"/>
    <w:rsid w:val="002B688A"/>
    <w:rsid w:val="002B7218"/>
    <w:rsid w:val="002B787E"/>
    <w:rsid w:val="002C0CD1"/>
    <w:rsid w:val="002C1139"/>
    <w:rsid w:val="002C1E16"/>
    <w:rsid w:val="002C2329"/>
    <w:rsid w:val="002C35E6"/>
    <w:rsid w:val="002C3A38"/>
    <w:rsid w:val="002C3DE8"/>
    <w:rsid w:val="002C4120"/>
    <w:rsid w:val="002C57BD"/>
    <w:rsid w:val="002C5D8F"/>
    <w:rsid w:val="002C5EE2"/>
    <w:rsid w:val="002C60B3"/>
    <w:rsid w:val="002C6B7D"/>
    <w:rsid w:val="002D1F7A"/>
    <w:rsid w:val="002D2041"/>
    <w:rsid w:val="002D23D6"/>
    <w:rsid w:val="002D3877"/>
    <w:rsid w:val="002D3DA3"/>
    <w:rsid w:val="002D4DD4"/>
    <w:rsid w:val="002D4F4A"/>
    <w:rsid w:val="002D56DF"/>
    <w:rsid w:val="002D5996"/>
    <w:rsid w:val="002D755C"/>
    <w:rsid w:val="002E0440"/>
    <w:rsid w:val="002E0F9B"/>
    <w:rsid w:val="002E196A"/>
    <w:rsid w:val="002E1A00"/>
    <w:rsid w:val="002E1C3A"/>
    <w:rsid w:val="002E2365"/>
    <w:rsid w:val="002E37AE"/>
    <w:rsid w:val="002E3EC3"/>
    <w:rsid w:val="002E501B"/>
    <w:rsid w:val="002E516A"/>
    <w:rsid w:val="002E5664"/>
    <w:rsid w:val="002E710B"/>
    <w:rsid w:val="002F055B"/>
    <w:rsid w:val="002F0873"/>
    <w:rsid w:val="002F08CA"/>
    <w:rsid w:val="002F23E4"/>
    <w:rsid w:val="002F28B4"/>
    <w:rsid w:val="002F2A89"/>
    <w:rsid w:val="002F2BD6"/>
    <w:rsid w:val="002F3CF7"/>
    <w:rsid w:val="002F4B71"/>
    <w:rsid w:val="002F5613"/>
    <w:rsid w:val="002F720F"/>
    <w:rsid w:val="002F7F4C"/>
    <w:rsid w:val="003003B8"/>
    <w:rsid w:val="00301249"/>
    <w:rsid w:val="0030193B"/>
    <w:rsid w:val="00301B6C"/>
    <w:rsid w:val="00303944"/>
    <w:rsid w:val="00303D03"/>
    <w:rsid w:val="00304134"/>
    <w:rsid w:val="00304287"/>
    <w:rsid w:val="003058DA"/>
    <w:rsid w:val="00305C52"/>
    <w:rsid w:val="00306957"/>
    <w:rsid w:val="0030708C"/>
    <w:rsid w:val="0030724D"/>
    <w:rsid w:val="003077F5"/>
    <w:rsid w:val="00307F5C"/>
    <w:rsid w:val="00310C4C"/>
    <w:rsid w:val="00311E0F"/>
    <w:rsid w:val="0031281F"/>
    <w:rsid w:val="00312B5D"/>
    <w:rsid w:val="00313CFA"/>
    <w:rsid w:val="00313F34"/>
    <w:rsid w:val="00314131"/>
    <w:rsid w:val="00314556"/>
    <w:rsid w:val="003145D2"/>
    <w:rsid w:val="00315209"/>
    <w:rsid w:val="00315C69"/>
    <w:rsid w:val="00315E86"/>
    <w:rsid w:val="0031674F"/>
    <w:rsid w:val="00317250"/>
    <w:rsid w:val="0031730E"/>
    <w:rsid w:val="0032003D"/>
    <w:rsid w:val="0032108F"/>
    <w:rsid w:val="00322A08"/>
    <w:rsid w:val="00323163"/>
    <w:rsid w:val="003236B7"/>
    <w:rsid w:val="00325D2E"/>
    <w:rsid w:val="0032634E"/>
    <w:rsid w:val="00326816"/>
    <w:rsid w:val="00326FB5"/>
    <w:rsid w:val="00327795"/>
    <w:rsid w:val="003319B0"/>
    <w:rsid w:val="00334607"/>
    <w:rsid w:val="0033467D"/>
    <w:rsid w:val="00335EDC"/>
    <w:rsid w:val="00336A2C"/>
    <w:rsid w:val="0033726B"/>
    <w:rsid w:val="003376D8"/>
    <w:rsid w:val="00337F4F"/>
    <w:rsid w:val="00340BC0"/>
    <w:rsid w:val="003415F3"/>
    <w:rsid w:val="003416D3"/>
    <w:rsid w:val="00341FE7"/>
    <w:rsid w:val="00342631"/>
    <w:rsid w:val="00343698"/>
    <w:rsid w:val="0034436C"/>
    <w:rsid w:val="003446C8"/>
    <w:rsid w:val="00345A9A"/>
    <w:rsid w:val="003464C1"/>
    <w:rsid w:val="0034693D"/>
    <w:rsid w:val="003469CA"/>
    <w:rsid w:val="00346D8C"/>
    <w:rsid w:val="00347519"/>
    <w:rsid w:val="00347E30"/>
    <w:rsid w:val="00347F82"/>
    <w:rsid w:val="003514C1"/>
    <w:rsid w:val="00351879"/>
    <w:rsid w:val="00351CB9"/>
    <w:rsid w:val="00351FEB"/>
    <w:rsid w:val="003536FE"/>
    <w:rsid w:val="00354651"/>
    <w:rsid w:val="003555C6"/>
    <w:rsid w:val="00356E93"/>
    <w:rsid w:val="00357AF0"/>
    <w:rsid w:val="00360A95"/>
    <w:rsid w:val="00361C56"/>
    <w:rsid w:val="003622FD"/>
    <w:rsid w:val="00362715"/>
    <w:rsid w:val="003642D0"/>
    <w:rsid w:val="003646F4"/>
    <w:rsid w:val="00364901"/>
    <w:rsid w:val="003652CB"/>
    <w:rsid w:val="00365D16"/>
    <w:rsid w:val="00366090"/>
    <w:rsid w:val="003661B4"/>
    <w:rsid w:val="003671EB"/>
    <w:rsid w:val="00367CA4"/>
    <w:rsid w:val="00370230"/>
    <w:rsid w:val="00372710"/>
    <w:rsid w:val="0037279E"/>
    <w:rsid w:val="00373E20"/>
    <w:rsid w:val="00373E59"/>
    <w:rsid w:val="003744C5"/>
    <w:rsid w:val="003748CC"/>
    <w:rsid w:val="00374EAB"/>
    <w:rsid w:val="003750F9"/>
    <w:rsid w:val="00375581"/>
    <w:rsid w:val="003766E3"/>
    <w:rsid w:val="00376ADB"/>
    <w:rsid w:val="0037771D"/>
    <w:rsid w:val="0038044D"/>
    <w:rsid w:val="00380D99"/>
    <w:rsid w:val="003819BB"/>
    <w:rsid w:val="00382102"/>
    <w:rsid w:val="00383F0F"/>
    <w:rsid w:val="00387FDF"/>
    <w:rsid w:val="003907D4"/>
    <w:rsid w:val="00391527"/>
    <w:rsid w:val="0039231B"/>
    <w:rsid w:val="00393101"/>
    <w:rsid w:val="00393223"/>
    <w:rsid w:val="003935C8"/>
    <w:rsid w:val="0039453D"/>
    <w:rsid w:val="00394688"/>
    <w:rsid w:val="00394904"/>
    <w:rsid w:val="00395B4D"/>
    <w:rsid w:val="0039667C"/>
    <w:rsid w:val="0039709D"/>
    <w:rsid w:val="003A1DC5"/>
    <w:rsid w:val="003A2649"/>
    <w:rsid w:val="003A2C13"/>
    <w:rsid w:val="003A32EF"/>
    <w:rsid w:val="003A33A3"/>
    <w:rsid w:val="003A391A"/>
    <w:rsid w:val="003A3B7C"/>
    <w:rsid w:val="003A3BEF"/>
    <w:rsid w:val="003A43F9"/>
    <w:rsid w:val="003A55A6"/>
    <w:rsid w:val="003A5D2C"/>
    <w:rsid w:val="003A6A33"/>
    <w:rsid w:val="003A70BC"/>
    <w:rsid w:val="003B01E4"/>
    <w:rsid w:val="003B0B45"/>
    <w:rsid w:val="003B0F1B"/>
    <w:rsid w:val="003B11A6"/>
    <w:rsid w:val="003B14FD"/>
    <w:rsid w:val="003B219A"/>
    <w:rsid w:val="003B242D"/>
    <w:rsid w:val="003B2F8E"/>
    <w:rsid w:val="003B42C4"/>
    <w:rsid w:val="003B454B"/>
    <w:rsid w:val="003B4C2E"/>
    <w:rsid w:val="003B4DA0"/>
    <w:rsid w:val="003B5513"/>
    <w:rsid w:val="003B5976"/>
    <w:rsid w:val="003B5E78"/>
    <w:rsid w:val="003B61FE"/>
    <w:rsid w:val="003B744C"/>
    <w:rsid w:val="003B7909"/>
    <w:rsid w:val="003C0E86"/>
    <w:rsid w:val="003C1E07"/>
    <w:rsid w:val="003C2B85"/>
    <w:rsid w:val="003C34A1"/>
    <w:rsid w:val="003C3F71"/>
    <w:rsid w:val="003C510D"/>
    <w:rsid w:val="003C5117"/>
    <w:rsid w:val="003C5C2D"/>
    <w:rsid w:val="003C63C7"/>
    <w:rsid w:val="003C6548"/>
    <w:rsid w:val="003C7623"/>
    <w:rsid w:val="003D07AC"/>
    <w:rsid w:val="003D0A74"/>
    <w:rsid w:val="003D20FC"/>
    <w:rsid w:val="003D2333"/>
    <w:rsid w:val="003D29C1"/>
    <w:rsid w:val="003D3125"/>
    <w:rsid w:val="003D318B"/>
    <w:rsid w:val="003D3349"/>
    <w:rsid w:val="003D3503"/>
    <w:rsid w:val="003D3E81"/>
    <w:rsid w:val="003D45A2"/>
    <w:rsid w:val="003D46CF"/>
    <w:rsid w:val="003D5726"/>
    <w:rsid w:val="003D5BC9"/>
    <w:rsid w:val="003D5D62"/>
    <w:rsid w:val="003D6E37"/>
    <w:rsid w:val="003D7F02"/>
    <w:rsid w:val="003E03E1"/>
    <w:rsid w:val="003E040E"/>
    <w:rsid w:val="003E1BC3"/>
    <w:rsid w:val="003E2077"/>
    <w:rsid w:val="003E289D"/>
    <w:rsid w:val="003E4345"/>
    <w:rsid w:val="003E5E43"/>
    <w:rsid w:val="003E5EA9"/>
    <w:rsid w:val="003E65B5"/>
    <w:rsid w:val="003E6867"/>
    <w:rsid w:val="003E68CE"/>
    <w:rsid w:val="003E6930"/>
    <w:rsid w:val="003E76C9"/>
    <w:rsid w:val="003F2AD4"/>
    <w:rsid w:val="003F2C16"/>
    <w:rsid w:val="003F428F"/>
    <w:rsid w:val="003F42CB"/>
    <w:rsid w:val="003F483C"/>
    <w:rsid w:val="003F6ACB"/>
    <w:rsid w:val="003F6E43"/>
    <w:rsid w:val="003F7504"/>
    <w:rsid w:val="003F7714"/>
    <w:rsid w:val="003F788B"/>
    <w:rsid w:val="00401430"/>
    <w:rsid w:val="00403EC8"/>
    <w:rsid w:val="0040516A"/>
    <w:rsid w:val="00405525"/>
    <w:rsid w:val="00405C6E"/>
    <w:rsid w:val="004070E9"/>
    <w:rsid w:val="0041218E"/>
    <w:rsid w:val="00412980"/>
    <w:rsid w:val="00413D91"/>
    <w:rsid w:val="0041493D"/>
    <w:rsid w:val="00415E7D"/>
    <w:rsid w:val="004164CA"/>
    <w:rsid w:val="00417D1E"/>
    <w:rsid w:val="00420358"/>
    <w:rsid w:val="00421187"/>
    <w:rsid w:val="004211B5"/>
    <w:rsid w:val="00423243"/>
    <w:rsid w:val="00425A61"/>
    <w:rsid w:val="00425B0A"/>
    <w:rsid w:val="00426794"/>
    <w:rsid w:val="00427F3D"/>
    <w:rsid w:val="00430525"/>
    <w:rsid w:val="004314D9"/>
    <w:rsid w:val="00431597"/>
    <w:rsid w:val="00431F14"/>
    <w:rsid w:val="0043273E"/>
    <w:rsid w:val="00433DA7"/>
    <w:rsid w:val="00436599"/>
    <w:rsid w:val="0044129F"/>
    <w:rsid w:val="00441F44"/>
    <w:rsid w:val="00442072"/>
    <w:rsid w:val="0044416F"/>
    <w:rsid w:val="004452A0"/>
    <w:rsid w:val="00445CE3"/>
    <w:rsid w:val="00446BE5"/>
    <w:rsid w:val="00446F95"/>
    <w:rsid w:val="00450A34"/>
    <w:rsid w:val="004530C8"/>
    <w:rsid w:val="00454539"/>
    <w:rsid w:val="004548D9"/>
    <w:rsid w:val="00454B3A"/>
    <w:rsid w:val="0045591D"/>
    <w:rsid w:val="00455EAB"/>
    <w:rsid w:val="00455F7C"/>
    <w:rsid w:val="00456709"/>
    <w:rsid w:val="0045749C"/>
    <w:rsid w:val="0046005B"/>
    <w:rsid w:val="0046087A"/>
    <w:rsid w:val="00462E1A"/>
    <w:rsid w:val="00464118"/>
    <w:rsid w:val="0046434D"/>
    <w:rsid w:val="00464B58"/>
    <w:rsid w:val="00464B9C"/>
    <w:rsid w:val="004652EA"/>
    <w:rsid w:val="00466E2D"/>
    <w:rsid w:val="004677F7"/>
    <w:rsid w:val="004715EF"/>
    <w:rsid w:val="00471727"/>
    <w:rsid w:val="004735F6"/>
    <w:rsid w:val="004744F2"/>
    <w:rsid w:val="004757C4"/>
    <w:rsid w:val="00477378"/>
    <w:rsid w:val="0047764A"/>
    <w:rsid w:val="00477DBA"/>
    <w:rsid w:val="00480AD8"/>
    <w:rsid w:val="00480FCA"/>
    <w:rsid w:val="00482453"/>
    <w:rsid w:val="00482482"/>
    <w:rsid w:val="00483E3F"/>
    <w:rsid w:val="00483F0C"/>
    <w:rsid w:val="00485501"/>
    <w:rsid w:val="00487462"/>
    <w:rsid w:val="004877FB"/>
    <w:rsid w:val="00487B5D"/>
    <w:rsid w:val="00487BE3"/>
    <w:rsid w:val="0049048A"/>
    <w:rsid w:val="00490869"/>
    <w:rsid w:val="004915AA"/>
    <w:rsid w:val="00491E73"/>
    <w:rsid w:val="00493850"/>
    <w:rsid w:val="0049395C"/>
    <w:rsid w:val="004969DB"/>
    <w:rsid w:val="00496E40"/>
    <w:rsid w:val="00497AD1"/>
    <w:rsid w:val="004A0129"/>
    <w:rsid w:val="004A02FA"/>
    <w:rsid w:val="004A0345"/>
    <w:rsid w:val="004A0A37"/>
    <w:rsid w:val="004A1087"/>
    <w:rsid w:val="004A11EF"/>
    <w:rsid w:val="004A197F"/>
    <w:rsid w:val="004A1E83"/>
    <w:rsid w:val="004A2E3C"/>
    <w:rsid w:val="004A3AC3"/>
    <w:rsid w:val="004A5C44"/>
    <w:rsid w:val="004A6DC5"/>
    <w:rsid w:val="004A7128"/>
    <w:rsid w:val="004A76E9"/>
    <w:rsid w:val="004B08C9"/>
    <w:rsid w:val="004B7C1F"/>
    <w:rsid w:val="004C0048"/>
    <w:rsid w:val="004C0236"/>
    <w:rsid w:val="004C0812"/>
    <w:rsid w:val="004C5262"/>
    <w:rsid w:val="004C5EE1"/>
    <w:rsid w:val="004C651A"/>
    <w:rsid w:val="004C69B5"/>
    <w:rsid w:val="004C75BC"/>
    <w:rsid w:val="004C78E1"/>
    <w:rsid w:val="004D0C10"/>
    <w:rsid w:val="004D1CF9"/>
    <w:rsid w:val="004D1D9F"/>
    <w:rsid w:val="004D332B"/>
    <w:rsid w:val="004D3427"/>
    <w:rsid w:val="004D34C3"/>
    <w:rsid w:val="004D3C39"/>
    <w:rsid w:val="004D4B92"/>
    <w:rsid w:val="004D4E4C"/>
    <w:rsid w:val="004D7F4E"/>
    <w:rsid w:val="004E079D"/>
    <w:rsid w:val="004E1A60"/>
    <w:rsid w:val="004E1ADF"/>
    <w:rsid w:val="004E393D"/>
    <w:rsid w:val="004E46D3"/>
    <w:rsid w:val="004E475E"/>
    <w:rsid w:val="004E5139"/>
    <w:rsid w:val="004E594B"/>
    <w:rsid w:val="004E5ADE"/>
    <w:rsid w:val="004E60ED"/>
    <w:rsid w:val="004E6AE6"/>
    <w:rsid w:val="004E7193"/>
    <w:rsid w:val="004E7AF4"/>
    <w:rsid w:val="004E7E5B"/>
    <w:rsid w:val="004F15D3"/>
    <w:rsid w:val="004F212F"/>
    <w:rsid w:val="004F2492"/>
    <w:rsid w:val="004F24AA"/>
    <w:rsid w:val="004F2514"/>
    <w:rsid w:val="004F2544"/>
    <w:rsid w:val="004F38DF"/>
    <w:rsid w:val="004F3C2F"/>
    <w:rsid w:val="004F6916"/>
    <w:rsid w:val="00500FAD"/>
    <w:rsid w:val="0050204D"/>
    <w:rsid w:val="0050222F"/>
    <w:rsid w:val="0050450A"/>
    <w:rsid w:val="00504E39"/>
    <w:rsid w:val="005052C0"/>
    <w:rsid w:val="0050575A"/>
    <w:rsid w:val="00506238"/>
    <w:rsid w:val="0050772C"/>
    <w:rsid w:val="00507E6E"/>
    <w:rsid w:val="00510034"/>
    <w:rsid w:val="00510B10"/>
    <w:rsid w:val="00510D67"/>
    <w:rsid w:val="00511E1E"/>
    <w:rsid w:val="00512ABD"/>
    <w:rsid w:val="0051311B"/>
    <w:rsid w:val="005131FC"/>
    <w:rsid w:val="00514ADC"/>
    <w:rsid w:val="00514B83"/>
    <w:rsid w:val="005158E0"/>
    <w:rsid w:val="00516A90"/>
    <w:rsid w:val="005179B5"/>
    <w:rsid w:val="00517D9F"/>
    <w:rsid w:val="005229E1"/>
    <w:rsid w:val="00523487"/>
    <w:rsid w:val="00523626"/>
    <w:rsid w:val="00524546"/>
    <w:rsid w:val="0052463A"/>
    <w:rsid w:val="00524E65"/>
    <w:rsid w:val="0052542E"/>
    <w:rsid w:val="0052572B"/>
    <w:rsid w:val="00530334"/>
    <w:rsid w:val="005316DF"/>
    <w:rsid w:val="005320AD"/>
    <w:rsid w:val="0053259C"/>
    <w:rsid w:val="005338A5"/>
    <w:rsid w:val="00534692"/>
    <w:rsid w:val="00535FAD"/>
    <w:rsid w:val="005363CF"/>
    <w:rsid w:val="005370C5"/>
    <w:rsid w:val="0053778C"/>
    <w:rsid w:val="0053794D"/>
    <w:rsid w:val="00542D85"/>
    <w:rsid w:val="00544CDF"/>
    <w:rsid w:val="00545419"/>
    <w:rsid w:val="00545463"/>
    <w:rsid w:val="00545614"/>
    <w:rsid w:val="00545DEB"/>
    <w:rsid w:val="005471F1"/>
    <w:rsid w:val="005509CC"/>
    <w:rsid w:val="00551097"/>
    <w:rsid w:val="0055119F"/>
    <w:rsid w:val="00551781"/>
    <w:rsid w:val="00551F4D"/>
    <w:rsid w:val="00552FBC"/>
    <w:rsid w:val="0055368C"/>
    <w:rsid w:val="00553DBC"/>
    <w:rsid w:val="00554D51"/>
    <w:rsid w:val="0055560A"/>
    <w:rsid w:val="005574D2"/>
    <w:rsid w:val="005577E3"/>
    <w:rsid w:val="00557ADF"/>
    <w:rsid w:val="00557FCB"/>
    <w:rsid w:val="0056043E"/>
    <w:rsid w:val="0056099C"/>
    <w:rsid w:val="00561697"/>
    <w:rsid w:val="00562010"/>
    <w:rsid w:val="00563338"/>
    <w:rsid w:val="00563F87"/>
    <w:rsid w:val="0056522D"/>
    <w:rsid w:val="00565C44"/>
    <w:rsid w:val="00567057"/>
    <w:rsid w:val="00567A3D"/>
    <w:rsid w:val="00567B11"/>
    <w:rsid w:val="00567DB4"/>
    <w:rsid w:val="00572BF7"/>
    <w:rsid w:val="00572DC8"/>
    <w:rsid w:val="00573029"/>
    <w:rsid w:val="005733BF"/>
    <w:rsid w:val="0057348D"/>
    <w:rsid w:val="00573686"/>
    <w:rsid w:val="00574ABD"/>
    <w:rsid w:val="00574C8B"/>
    <w:rsid w:val="0057573D"/>
    <w:rsid w:val="005758A0"/>
    <w:rsid w:val="00575FA4"/>
    <w:rsid w:val="005766DF"/>
    <w:rsid w:val="00576FCA"/>
    <w:rsid w:val="00577768"/>
    <w:rsid w:val="00580F6B"/>
    <w:rsid w:val="005816D6"/>
    <w:rsid w:val="00583023"/>
    <w:rsid w:val="00583532"/>
    <w:rsid w:val="0058485F"/>
    <w:rsid w:val="005852D3"/>
    <w:rsid w:val="0058544F"/>
    <w:rsid w:val="00585F9C"/>
    <w:rsid w:val="0058765E"/>
    <w:rsid w:val="00590185"/>
    <w:rsid w:val="00590AC1"/>
    <w:rsid w:val="0059187C"/>
    <w:rsid w:val="005918BA"/>
    <w:rsid w:val="005920CA"/>
    <w:rsid w:val="005927E2"/>
    <w:rsid w:val="00592C75"/>
    <w:rsid w:val="0059342A"/>
    <w:rsid w:val="005936F3"/>
    <w:rsid w:val="00593731"/>
    <w:rsid w:val="00593D97"/>
    <w:rsid w:val="00594B7D"/>
    <w:rsid w:val="005956E9"/>
    <w:rsid w:val="00595CC4"/>
    <w:rsid w:val="005963C1"/>
    <w:rsid w:val="0059683B"/>
    <w:rsid w:val="00596FF2"/>
    <w:rsid w:val="00597D50"/>
    <w:rsid w:val="005A10A4"/>
    <w:rsid w:val="005A57AB"/>
    <w:rsid w:val="005A5A92"/>
    <w:rsid w:val="005A72F9"/>
    <w:rsid w:val="005B060A"/>
    <w:rsid w:val="005B097C"/>
    <w:rsid w:val="005B1674"/>
    <w:rsid w:val="005B2EC3"/>
    <w:rsid w:val="005B36FE"/>
    <w:rsid w:val="005B3C94"/>
    <w:rsid w:val="005B4CD1"/>
    <w:rsid w:val="005B5C5C"/>
    <w:rsid w:val="005B5FD8"/>
    <w:rsid w:val="005B6601"/>
    <w:rsid w:val="005B6D80"/>
    <w:rsid w:val="005B70E5"/>
    <w:rsid w:val="005C0F49"/>
    <w:rsid w:val="005C1310"/>
    <w:rsid w:val="005C183D"/>
    <w:rsid w:val="005C1DB0"/>
    <w:rsid w:val="005C1E5C"/>
    <w:rsid w:val="005C1EE9"/>
    <w:rsid w:val="005C2E1D"/>
    <w:rsid w:val="005C5F79"/>
    <w:rsid w:val="005C6808"/>
    <w:rsid w:val="005C688B"/>
    <w:rsid w:val="005C6D26"/>
    <w:rsid w:val="005C7B19"/>
    <w:rsid w:val="005D0830"/>
    <w:rsid w:val="005D286D"/>
    <w:rsid w:val="005D3861"/>
    <w:rsid w:val="005D4900"/>
    <w:rsid w:val="005D5870"/>
    <w:rsid w:val="005D58B6"/>
    <w:rsid w:val="005D594C"/>
    <w:rsid w:val="005D67D4"/>
    <w:rsid w:val="005D7503"/>
    <w:rsid w:val="005D7AA4"/>
    <w:rsid w:val="005E0190"/>
    <w:rsid w:val="005E0858"/>
    <w:rsid w:val="005E15DA"/>
    <w:rsid w:val="005E1724"/>
    <w:rsid w:val="005E1EED"/>
    <w:rsid w:val="005E2012"/>
    <w:rsid w:val="005E2404"/>
    <w:rsid w:val="005E2644"/>
    <w:rsid w:val="005E35C6"/>
    <w:rsid w:val="005E3B32"/>
    <w:rsid w:val="005E50EB"/>
    <w:rsid w:val="005E5C9F"/>
    <w:rsid w:val="005E6256"/>
    <w:rsid w:val="005E71A5"/>
    <w:rsid w:val="005E72B5"/>
    <w:rsid w:val="005E7D51"/>
    <w:rsid w:val="005F09AB"/>
    <w:rsid w:val="005F222B"/>
    <w:rsid w:val="005F2C6E"/>
    <w:rsid w:val="005F2D01"/>
    <w:rsid w:val="005F3A7F"/>
    <w:rsid w:val="005F3C83"/>
    <w:rsid w:val="005F6ADD"/>
    <w:rsid w:val="005F6B09"/>
    <w:rsid w:val="005F6B9B"/>
    <w:rsid w:val="005F73AC"/>
    <w:rsid w:val="005F743E"/>
    <w:rsid w:val="00601326"/>
    <w:rsid w:val="00601F43"/>
    <w:rsid w:val="006024B7"/>
    <w:rsid w:val="00602EB7"/>
    <w:rsid w:val="0060548E"/>
    <w:rsid w:val="00605C6E"/>
    <w:rsid w:val="006064CE"/>
    <w:rsid w:val="006079DD"/>
    <w:rsid w:val="006107A3"/>
    <w:rsid w:val="00611237"/>
    <w:rsid w:val="006128F7"/>
    <w:rsid w:val="00614FBD"/>
    <w:rsid w:val="00615961"/>
    <w:rsid w:val="00615B39"/>
    <w:rsid w:val="00616233"/>
    <w:rsid w:val="006174D1"/>
    <w:rsid w:val="006177CC"/>
    <w:rsid w:val="00621139"/>
    <w:rsid w:val="00621CC0"/>
    <w:rsid w:val="006234BA"/>
    <w:rsid w:val="006238A7"/>
    <w:rsid w:val="00624707"/>
    <w:rsid w:val="0062492A"/>
    <w:rsid w:val="00625452"/>
    <w:rsid w:val="006255AE"/>
    <w:rsid w:val="0062575C"/>
    <w:rsid w:val="00626009"/>
    <w:rsid w:val="0062634D"/>
    <w:rsid w:val="00631002"/>
    <w:rsid w:val="0063111E"/>
    <w:rsid w:val="00631B73"/>
    <w:rsid w:val="00632F9A"/>
    <w:rsid w:val="00635747"/>
    <w:rsid w:val="0063640F"/>
    <w:rsid w:val="00636A89"/>
    <w:rsid w:val="00636BDC"/>
    <w:rsid w:val="0063724D"/>
    <w:rsid w:val="006401D8"/>
    <w:rsid w:val="006402B6"/>
    <w:rsid w:val="00641188"/>
    <w:rsid w:val="00641612"/>
    <w:rsid w:val="00642615"/>
    <w:rsid w:val="00642782"/>
    <w:rsid w:val="00643118"/>
    <w:rsid w:val="00643898"/>
    <w:rsid w:val="00644225"/>
    <w:rsid w:val="006442AC"/>
    <w:rsid w:val="006449DB"/>
    <w:rsid w:val="00644FED"/>
    <w:rsid w:val="006468AB"/>
    <w:rsid w:val="00647921"/>
    <w:rsid w:val="006505FB"/>
    <w:rsid w:val="0065089D"/>
    <w:rsid w:val="00652356"/>
    <w:rsid w:val="00652C3D"/>
    <w:rsid w:val="00654DA3"/>
    <w:rsid w:val="00655BFD"/>
    <w:rsid w:val="00660DD1"/>
    <w:rsid w:val="00661F44"/>
    <w:rsid w:val="00662673"/>
    <w:rsid w:val="00662A86"/>
    <w:rsid w:val="00662FDB"/>
    <w:rsid w:val="0066385F"/>
    <w:rsid w:val="006643B9"/>
    <w:rsid w:val="006644FD"/>
    <w:rsid w:val="006648E2"/>
    <w:rsid w:val="00667C08"/>
    <w:rsid w:val="006709EA"/>
    <w:rsid w:val="00670DE8"/>
    <w:rsid w:val="00670EBA"/>
    <w:rsid w:val="00671046"/>
    <w:rsid w:val="00671549"/>
    <w:rsid w:val="006715C3"/>
    <w:rsid w:val="006720C4"/>
    <w:rsid w:val="006720DC"/>
    <w:rsid w:val="00672630"/>
    <w:rsid w:val="0067280E"/>
    <w:rsid w:val="00672832"/>
    <w:rsid w:val="00672833"/>
    <w:rsid w:val="00673B87"/>
    <w:rsid w:val="006775D6"/>
    <w:rsid w:val="0067777E"/>
    <w:rsid w:val="00677B8E"/>
    <w:rsid w:val="00681CB2"/>
    <w:rsid w:val="00683EC7"/>
    <w:rsid w:val="006843B0"/>
    <w:rsid w:val="00685172"/>
    <w:rsid w:val="00685907"/>
    <w:rsid w:val="00685967"/>
    <w:rsid w:val="0068618A"/>
    <w:rsid w:val="00686A11"/>
    <w:rsid w:val="00686B2F"/>
    <w:rsid w:val="00687325"/>
    <w:rsid w:val="00690596"/>
    <w:rsid w:val="006906FA"/>
    <w:rsid w:val="00690E25"/>
    <w:rsid w:val="006940B0"/>
    <w:rsid w:val="006954F6"/>
    <w:rsid w:val="00695771"/>
    <w:rsid w:val="006967DB"/>
    <w:rsid w:val="006A0550"/>
    <w:rsid w:val="006A25EF"/>
    <w:rsid w:val="006A31F2"/>
    <w:rsid w:val="006B1444"/>
    <w:rsid w:val="006B17E5"/>
    <w:rsid w:val="006B1F40"/>
    <w:rsid w:val="006B2487"/>
    <w:rsid w:val="006B4158"/>
    <w:rsid w:val="006B5532"/>
    <w:rsid w:val="006B6601"/>
    <w:rsid w:val="006B7454"/>
    <w:rsid w:val="006C0B6C"/>
    <w:rsid w:val="006C18E7"/>
    <w:rsid w:val="006C20CC"/>
    <w:rsid w:val="006C2DB9"/>
    <w:rsid w:val="006C4567"/>
    <w:rsid w:val="006C4682"/>
    <w:rsid w:val="006C46B3"/>
    <w:rsid w:val="006C5CE1"/>
    <w:rsid w:val="006C69A1"/>
    <w:rsid w:val="006C6A93"/>
    <w:rsid w:val="006C6B2D"/>
    <w:rsid w:val="006C79D2"/>
    <w:rsid w:val="006C7B5F"/>
    <w:rsid w:val="006D0102"/>
    <w:rsid w:val="006D0A1C"/>
    <w:rsid w:val="006D0BF2"/>
    <w:rsid w:val="006D1208"/>
    <w:rsid w:val="006D1329"/>
    <w:rsid w:val="006D207D"/>
    <w:rsid w:val="006D23B1"/>
    <w:rsid w:val="006D2CC0"/>
    <w:rsid w:val="006D2FFB"/>
    <w:rsid w:val="006D34DA"/>
    <w:rsid w:val="006D5029"/>
    <w:rsid w:val="006D6187"/>
    <w:rsid w:val="006D7A16"/>
    <w:rsid w:val="006E0C04"/>
    <w:rsid w:val="006E18BB"/>
    <w:rsid w:val="006E217D"/>
    <w:rsid w:val="006E3FBC"/>
    <w:rsid w:val="006E5E14"/>
    <w:rsid w:val="006F0305"/>
    <w:rsid w:val="006F06C9"/>
    <w:rsid w:val="006F0707"/>
    <w:rsid w:val="006F0C8F"/>
    <w:rsid w:val="006F0FA5"/>
    <w:rsid w:val="006F11FE"/>
    <w:rsid w:val="006F1A73"/>
    <w:rsid w:val="006F336B"/>
    <w:rsid w:val="006F3489"/>
    <w:rsid w:val="006F445E"/>
    <w:rsid w:val="006F486B"/>
    <w:rsid w:val="006F6641"/>
    <w:rsid w:val="006F6D18"/>
    <w:rsid w:val="006F7199"/>
    <w:rsid w:val="00700268"/>
    <w:rsid w:val="00700950"/>
    <w:rsid w:val="00700D29"/>
    <w:rsid w:val="00701224"/>
    <w:rsid w:val="00701403"/>
    <w:rsid w:val="00702554"/>
    <w:rsid w:val="00702F89"/>
    <w:rsid w:val="00703DCA"/>
    <w:rsid w:val="00704E19"/>
    <w:rsid w:val="00706409"/>
    <w:rsid w:val="00707386"/>
    <w:rsid w:val="00710742"/>
    <w:rsid w:val="00710B8B"/>
    <w:rsid w:val="00710F9F"/>
    <w:rsid w:val="00711920"/>
    <w:rsid w:val="007119CC"/>
    <w:rsid w:val="00711AF6"/>
    <w:rsid w:val="007124AF"/>
    <w:rsid w:val="00712589"/>
    <w:rsid w:val="0071376E"/>
    <w:rsid w:val="007156DA"/>
    <w:rsid w:val="007158B2"/>
    <w:rsid w:val="00715C41"/>
    <w:rsid w:val="00715D6F"/>
    <w:rsid w:val="00717419"/>
    <w:rsid w:val="0072047C"/>
    <w:rsid w:val="007206DA"/>
    <w:rsid w:val="00720E26"/>
    <w:rsid w:val="007219B9"/>
    <w:rsid w:val="007225C3"/>
    <w:rsid w:val="0072279C"/>
    <w:rsid w:val="00722B7B"/>
    <w:rsid w:val="00722EE8"/>
    <w:rsid w:val="00723B65"/>
    <w:rsid w:val="007240A4"/>
    <w:rsid w:val="00724A9C"/>
    <w:rsid w:val="007251F3"/>
    <w:rsid w:val="007255BA"/>
    <w:rsid w:val="00725B00"/>
    <w:rsid w:val="0072791A"/>
    <w:rsid w:val="00727C10"/>
    <w:rsid w:val="00727C3B"/>
    <w:rsid w:val="0073092C"/>
    <w:rsid w:val="00730A49"/>
    <w:rsid w:val="007312F0"/>
    <w:rsid w:val="00731A4E"/>
    <w:rsid w:val="007333EF"/>
    <w:rsid w:val="007344E1"/>
    <w:rsid w:val="0073502D"/>
    <w:rsid w:val="00736E9D"/>
    <w:rsid w:val="007379FF"/>
    <w:rsid w:val="00740272"/>
    <w:rsid w:val="00742929"/>
    <w:rsid w:val="007429BD"/>
    <w:rsid w:val="00743A8E"/>
    <w:rsid w:val="0074418B"/>
    <w:rsid w:val="0074450C"/>
    <w:rsid w:val="0074496B"/>
    <w:rsid w:val="0074547E"/>
    <w:rsid w:val="00745EF5"/>
    <w:rsid w:val="00747121"/>
    <w:rsid w:val="007473FE"/>
    <w:rsid w:val="00747CAB"/>
    <w:rsid w:val="0075085E"/>
    <w:rsid w:val="00752637"/>
    <w:rsid w:val="0075277D"/>
    <w:rsid w:val="00753105"/>
    <w:rsid w:val="007547CD"/>
    <w:rsid w:val="007555B7"/>
    <w:rsid w:val="00755B87"/>
    <w:rsid w:val="00756D8F"/>
    <w:rsid w:val="0076038C"/>
    <w:rsid w:val="00760A1C"/>
    <w:rsid w:val="00761BB9"/>
    <w:rsid w:val="007622AC"/>
    <w:rsid w:val="007624F2"/>
    <w:rsid w:val="00762DFD"/>
    <w:rsid w:val="007634BC"/>
    <w:rsid w:val="00764717"/>
    <w:rsid w:val="007661A6"/>
    <w:rsid w:val="00767DC6"/>
    <w:rsid w:val="007717EE"/>
    <w:rsid w:val="007723E6"/>
    <w:rsid w:val="0077262A"/>
    <w:rsid w:val="00772B6C"/>
    <w:rsid w:val="007732ED"/>
    <w:rsid w:val="00773C29"/>
    <w:rsid w:val="00773FB7"/>
    <w:rsid w:val="007753DA"/>
    <w:rsid w:val="007755F9"/>
    <w:rsid w:val="0077599F"/>
    <w:rsid w:val="007765A6"/>
    <w:rsid w:val="007778F2"/>
    <w:rsid w:val="007811FF"/>
    <w:rsid w:val="0078162E"/>
    <w:rsid w:val="00782250"/>
    <w:rsid w:val="00783CF4"/>
    <w:rsid w:val="007849E9"/>
    <w:rsid w:val="00785F61"/>
    <w:rsid w:val="00786614"/>
    <w:rsid w:val="00790D12"/>
    <w:rsid w:val="007919E0"/>
    <w:rsid w:val="00791B56"/>
    <w:rsid w:val="00792137"/>
    <w:rsid w:val="00792350"/>
    <w:rsid w:val="00792481"/>
    <w:rsid w:val="007924CA"/>
    <w:rsid w:val="00792717"/>
    <w:rsid w:val="00792F05"/>
    <w:rsid w:val="00794E8E"/>
    <w:rsid w:val="0079513F"/>
    <w:rsid w:val="00795213"/>
    <w:rsid w:val="00795C53"/>
    <w:rsid w:val="00795D78"/>
    <w:rsid w:val="00797B57"/>
    <w:rsid w:val="007A136C"/>
    <w:rsid w:val="007A1558"/>
    <w:rsid w:val="007A18EE"/>
    <w:rsid w:val="007A1B22"/>
    <w:rsid w:val="007A1F93"/>
    <w:rsid w:val="007A33C8"/>
    <w:rsid w:val="007A35F6"/>
    <w:rsid w:val="007A46C4"/>
    <w:rsid w:val="007A5175"/>
    <w:rsid w:val="007A6795"/>
    <w:rsid w:val="007A776A"/>
    <w:rsid w:val="007A7A03"/>
    <w:rsid w:val="007A7AC3"/>
    <w:rsid w:val="007A7AF5"/>
    <w:rsid w:val="007A7F93"/>
    <w:rsid w:val="007B0AA5"/>
    <w:rsid w:val="007B16D3"/>
    <w:rsid w:val="007B1EE3"/>
    <w:rsid w:val="007B1F62"/>
    <w:rsid w:val="007B26B6"/>
    <w:rsid w:val="007B35E2"/>
    <w:rsid w:val="007B3661"/>
    <w:rsid w:val="007B6105"/>
    <w:rsid w:val="007B6421"/>
    <w:rsid w:val="007B6701"/>
    <w:rsid w:val="007B6C34"/>
    <w:rsid w:val="007B723C"/>
    <w:rsid w:val="007B7BAF"/>
    <w:rsid w:val="007C03CC"/>
    <w:rsid w:val="007C0789"/>
    <w:rsid w:val="007C07A9"/>
    <w:rsid w:val="007C13FB"/>
    <w:rsid w:val="007C21A7"/>
    <w:rsid w:val="007C2451"/>
    <w:rsid w:val="007C2762"/>
    <w:rsid w:val="007C3DEC"/>
    <w:rsid w:val="007C4602"/>
    <w:rsid w:val="007C4D26"/>
    <w:rsid w:val="007C5533"/>
    <w:rsid w:val="007C5F9A"/>
    <w:rsid w:val="007C6BE2"/>
    <w:rsid w:val="007C7A5B"/>
    <w:rsid w:val="007D00C0"/>
    <w:rsid w:val="007D101D"/>
    <w:rsid w:val="007D12CA"/>
    <w:rsid w:val="007D30DC"/>
    <w:rsid w:val="007D34F1"/>
    <w:rsid w:val="007D3729"/>
    <w:rsid w:val="007D6341"/>
    <w:rsid w:val="007D6350"/>
    <w:rsid w:val="007D6C6E"/>
    <w:rsid w:val="007D6F46"/>
    <w:rsid w:val="007D6FD2"/>
    <w:rsid w:val="007D76C4"/>
    <w:rsid w:val="007D7862"/>
    <w:rsid w:val="007E07ED"/>
    <w:rsid w:val="007E0AC8"/>
    <w:rsid w:val="007E0BA4"/>
    <w:rsid w:val="007E0E0E"/>
    <w:rsid w:val="007E1BC5"/>
    <w:rsid w:val="007E3B13"/>
    <w:rsid w:val="007E4298"/>
    <w:rsid w:val="007E4FED"/>
    <w:rsid w:val="007E4FFF"/>
    <w:rsid w:val="007E694B"/>
    <w:rsid w:val="007E74A1"/>
    <w:rsid w:val="007F1B64"/>
    <w:rsid w:val="007F2365"/>
    <w:rsid w:val="007F3206"/>
    <w:rsid w:val="007F340F"/>
    <w:rsid w:val="007F3CF5"/>
    <w:rsid w:val="007F506C"/>
    <w:rsid w:val="007F533F"/>
    <w:rsid w:val="007F5DAD"/>
    <w:rsid w:val="007F661F"/>
    <w:rsid w:val="007F76BF"/>
    <w:rsid w:val="007F7817"/>
    <w:rsid w:val="008004B4"/>
    <w:rsid w:val="008009B6"/>
    <w:rsid w:val="00801A88"/>
    <w:rsid w:val="00802707"/>
    <w:rsid w:val="00802C4F"/>
    <w:rsid w:val="00802F81"/>
    <w:rsid w:val="0080511E"/>
    <w:rsid w:val="008059DE"/>
    <w:rsid w:val="00805A7C"/>
    <w:rsid w:val="00805E47"/>
    <w:rsid w:val="00806EDE"/>
    <w:rsid w:val="00807152"/>
    <w:rsid w:val="0080776D"/>
    <w:rsid w:val="00807A94"/>
    <w:rsid w:val="00810920"/>
    <w:rsid w:val="00810935"/>
    <w:rsid w:val="00810A7C"/>
    <w:rsid w:val="00810BE2"/>
    <w:rsid w:val="00811540"/>
    <w:rsid w:val="00811581"/>
    <w:rsid w:val="008117D5"/>
    <w:rsid w:val="00812638"/>
    <w:rsid w:val="00812EC1"/>
    <w:rsid w:val="00813239"/>
    <w:rsid w:val="00813553"/>
    <w:rsid w:val="00813C98"/>
    <w:rsid w:val="00815BE0"/>
    <w:rsid w:val="00816208"/>
    <w:rsid w:val="008172EE"/>
    <w:rsid w:val="0081787C"/>
    <w:rsid w:val="00817A97"/>
    <w:rsid w:val="00820D62"/>
    <w:rsid w:val="00821DDB"/>
    <w:rsid w:val="00821E33"/>
    <w:rsid w:val="00821F9C"/>
    <w:rsid w:val="0082316A"/>
    <w:rsid w:val="008244E9"/>
    <w:rsid w:val="00824A82"/>
    <w:rsid w:val="00825E8E"/>
    <w:rsid w:val="00826451"/>
    <w:rsid w:val="00826B8E"/>
    <w:rsid w:val="00827893"/>
    <w:rsid w:val="0083039D"/>
    <w:rsid w:val="00831013"/>
    <w:rsid w:val="008313A1"/>
    <w:rsid w:val="008320D3"/>
    <w:rsid w:val="0083275F"/>
    <w:rsid w:val="00835F08"/>
    <w:rsid w:val="00836455"/>
    <w:rsid w:val="00836C79"/>
    <w:rsid w:val="0083716F"/>
    <w:rsid w:val="00840555"/>
    <w:rsid w:val="00840B8D"/>
    <w:rsid w:val="00841610"/>
    <w:rsid w:val="00842048"/>
    <w:rsid w:val="008421CB"/>
    <w:rsid w:val="00842CFE"/>
    <w:rsid w:val="008430FC"/>
    <w:rsid w:val="00843A41"/>
    <w:rsid w:val="00843E4E"/>
    <w:rsid w:val="008440E3"/>
    <w:rsid w:val="0084434B"/>
    <w:rsid w:val="00844C96"/>
    <w:rsid w:val="00844DB7"/>
    <w:rsid w:val="00845129"/>
    <w:rsid w:val="008453DD"/>
    <w:rsid w:val="00850E53"/>
    <w:rsid w:val="00850E91"/>
    <w:rsid w:val="008527C1"/>
    <w:rsid w:val="00852A55"/>
    <w:rsid w:val="00853697"/>
    <w:rsid w:val="0085374B"/>
    <w:rsid w:val="00853D67"/>
    <w:rsid w:val="00854C26"/>
    <w:rsid w:val="00855294"/>
    <w:rsid w:val="0085699B"/>
    <w:rsid w:val="00856F7F"/>
    <w:rsid w:val="00857263"/>
    <w:rsid w:val="00857ED3"/>
    <w:rsid w:val="0086020B"/>
    <w:rsid w:val="00860462"/>
    <w:rsid w:val="00860B38"/>
    <w:rsid w:val="00860DFF"/>
    <w:rsid w:val="00861478"/>
    <w:rsid w:val="00864861"/>
    <w:rsid w:val="00865CEE"/>
    <w:rsid w:val="00866492"/>
    <w:rsid w:val="00866798"/>
    <w:rsid w:val="008669FE"/>
    <w:rsid w:val="0086754B"/>
    <w:rsid w:val="0087121F"/>
    <w:rsid w:val="00873192"/>
    <w:rsid w:val="00873455"/>
    <w:rsid w:val="0087388F"/>
    <w:rsid w:val="0087536B"/>
    <w:rsid w:val="008755E4"/>
    <w:rsid w:val="00876AA0"/>
    <w:rsid w:val="008774CB"/>
    <w:rsid w:val="008779CB"/>
    <w:rsid w:val="00880649"/>
    <w:rsid w:val="00880779"/>
    <w:rsid w:val="00880FED"/>
    <w:rsid w:val="0088139D"/>
    <w:rsid w:val="008817D7"/>
    <w:rsid w:val="00882139"/>
    <w:rsid w:val="008826B8"/>
    <w:rsid w:val="008827A7"/>
    <w:rsid w:val="0088311D"/>
    <w:rsid w:val="00883951"/>
    <w:rsid w:val="00884755"/>
    <w:rsid w:val="008850D4"/>
    <w:rsid w:val="00885137"/>
    <w:rsid w:val="00885BA7"/>
    <w:rsid w:val="00885EB4"/>
    <w:rsid w:val="00886182"/>
    <w:rsid w:val="00886520"/>
    <w:rsid w:val="00887123"/>
    <w:rsid w:val="00887CCA"/>
    <w:rsid w:val="008900C8"/>
    <w:rsid w:val="008915AC"/>
    <w:rsid w:val="00891C9C"/>
    <w:rsid w:val="008936FE"/>
    <w:rsid w:val="0089451D"/>
    <w:rsid w:val="00894FA2"/>
    <w:rsid w:val="00897AD7"/>
    <w:rsid w:val="00897F88"/>
    <w:rsid w:val="008A10BA"/>
    <w:rsid w:val="008A1FE0"/>
    <w:rsid w:val="008A2076"/>
    <w:rsid w:val="008A224C"/>
    <w:rsid w:val="008A2AFA"/>
    <w:rsid w:val="008A2BDD"/>
    <w:rsid w:val="008A3018"/>
    <w:rsid w:val="008A3BC0"/>
    <w:rsid w:val="008A3C6B"/>
    <w:rsid w:val="008A3E94"/>
    <w:rsid w:val="008A4BC9"/>
    <w:rsid w:val="008A6161"/>
    <w:rsid w:val="008A663C"/>
    <w:rsid w:val="008A6993"/>
    <w:rsid w:val="008A6BD1"/>
    <w:rsid w:val="008A70BC"/>
    <w:rsid w:val="008A75EF"/>
    <w:rsid w:val="008B1555"/>
    <w:rsid w:val="008B192C"/>
    <w:rsid w:val="008B1C69"/>
    <w:rsid w:val="008B2121"/>
    <w:rsid w:val="008B22A7"/>
    <w:rsid w:val="008B2FA4"/>
    <w:rsid w:val="008B3D6D"/>
    <w:rsid w:val="008B4039"/>
    <w:rsid w:val="008B568E"/>
    <w:rsid w:val="008B5D76"/>
    <w:rsid w:val="008B706B"/>
    <w:rsid w:val="008C05A9"/>
    <w:rsid w:val="008C1B9B"/>
    <w:rsid w:val="008C331E"/>
    <w:rsid w:val="008C347A"/>
    <w:rsid w:val="008C4B45"/>
    <w:rsid w:val="008C4F8D"/>
    <w:rsid w:val="008C6690"/>
    <w:rsid w:val="008C6A1A"/>
    <w:rsid w:val="008C76DC"/>
    <w:rsid w:val="008C7D23"/>
    <w:rsid w:val="008D058A"/>
    <w:rsid w:val="008D0A8B"/>
    <w:rsid w:val="008D0FEC"/>
    <w:rsid w:val="008D1E7A"/>
    <w:rsid w:val="008D3261"/>
    <w:rsid w:val="008D3A92"/>
    <w:rsid w:val="008D3F4F"/>
    <w:rsid w:val="008D4075"/>
    <w:rsid w:val="008D4482"/>
    <w:rsid w:val="008D5849"/>
    <w:rsid w:val="008D6778"/>
    <w:rsid w:val="008D7857"/>
    <w:rsid w:val="008E0618"/>
    <w:rsid w:val="008E1253"/>
    <w:rsid w:val="008E1721"/>
    <w:rsid w:val="008E20FC"/>
    <w:rsid w:val="008E2B4F"/>
    <w:rsid w:val="008E32B4"/>
    <w:rsid w:val="008E33BB"/>
    <w:rsid w:val="008E4A19"/>
    <w:rsid w:val="008E4E4D"/>
    <w:rsid w:val="008E75FE"/>
    <w:rsid w:val="008F0D6F"/>
    <w:rsid w:val="008F15FA"/>
    <w:rsid w:val="008F1999"/>
    <w:rsid w:val="008F2C07"/>
    <w:rsid w:val="008F4C28"/>
    <w:rsid w:val="008F5303"/>
    <w:rsid w:val="00900425"/>
    <w:rsid w:val="009018DD"/>
    <w:rsid w:val="00901B03"/>
    <w:rsid w:val="009029AA"/>
    <w:rsid w:val="00904ACC"/>
    <w:rsid w:val="00904FE9"/>
    <w:rsid w:val="009051FA"/>
    <w:rsid w:val="0090539E"/>
    <w:rsid w:val="00905D36"/>
    <w:rsid w:val="00905D60"/>
    <w:rsid w:val="00907786"/>
    <w:rsid w:val="00907817"/>
    <w:rsid w:val="00911598"/>
    <w:rsid w:val="0091182C"/>
    <w:rsid w:val="009118A4"/>
    <w:rsid w:val="00911B00"/>
    <w:rsid w:val="0091294C"/>
    <w:rsid w:val="0091302B"/>
    <w:rsid w:val="00913124"/>
    <w:rsid w:val="009132DC"/>
    <w:rsid w:val="009137B7"/>
    <w:rsid w:val="0091466C"/>
    <w:rsid w:val="00914C09"/>
    <w:rsid w:val="00916365"/>
    <w:rsid w:val="009169BA"/>
    <w:rsid w:val="00916A54"/>
    <w:rsid w:val="00916BA8"/>
    <w:rsid w:val="00917EDD"/>
    <w:rsid w:val="00917F67"/>
    <w:rsid w:val="0092184B"/>
    <w:rsid w:val="00921EB6"/>
    <w:rsid w:val="009221BE"/>
    <w:rsid w:val="009252CD"/>
    <w:rsid w:val="009253A1"/>
    <w:rsid w:val="00925E25"/>
    <w:rsid w:val="00926563"/>
    <w:rsid w:val="00926777"/>
    <w:rsid w:val="00926ECF"/>
    <w:rsid w:val="00926F08"/>
    <w:rsid w:val="00930D3F"/>
    <w:rsid w:val="00931F87"/>
    <w:rsid w:val="00933580"/>
    <w:rsid w:val="00933D17"/>
    <w:rsid w:val="00933F6B"/>
    <w:rsid w:val="00934573"/>
    <w:rsid w:val="00934F3B"/>
    <w:rsid w:val="009356A2"/>
    <w:rsid w:val="009358AF"/>
    <w:rsid w:val="00935BB4"/>
    <w:rsid w:val="009360CE"/>
    <w:rsid w:val="00936334"/>
    <w:rsid w:val="00936B42"/>
    <w:rsid w:val="00937D86"/>
    <w:rsid w:val="00940338"/>
    <w:rsid w:val="00940E21"/>
    <w:rsid w:val="00941491"/>
    <w:rsid w:val="00942372"/>
    <w:rsid w:val="00945C09"/>
    <w:rsid w:val="00945C30"/>
    <w:rsid w:val="00946A86"/>
    <w:rsid w:val="00946BC7"/>
    <w:rsid w:val="0095059E"/>
    <w:rsid w:val="0095096F"/>
    <w:rsid w:val="009518B2"/>
    <w:rsid w:val="009524B0"/>
    <w:rsid w:val="00954214"/>
    <w:rsid w:val="00954989"/>
    <w:rsid w:val="00954E28"/>
    <w:rsid w:val="009555CD"/>
    <w:rsid w:val="0095581C"/>
    <w:rsid w:val="0095584D"/>
    <w:rsid w:val="009558B0"/>
    <w:rsid w:val="00955AFC"/>
    <w:rsid w:val="0095666E"/>
    <w:rsid w:val="00956EDE"/>
    <w:rsid w:val="009601B2"/>
    <w:rsid w:val="0096035D"/>
    <w:rsid w:val="00960367"/>
    <w:rsid w:val="009604A9"/>
    <w:rsid w:val="009611E5"/>
    <w:rsid w:val="009649E1"/>
    <w:rsid w:val="00966106"/>
    <w:rsid w:val="00966DED"/>
    <w:rsid w:val="00967A1B"/>
    <w:rsid w:val="009709CB"/>
    <w:rsid w:val="00970D23"/>
    <w:rsid w:val="0097141A"/>
    <w:rsid w:val="009718EF"/>
    <w:rsid w:val="00971A67"/>
    <w:rsid w:val="009724FA"/>
    <w:rsid w:val="009733D0"/>
    <w:rsid w:val="00973809"/>
    <w:rsid w:val="009739C1"/>
    <w:rsid w:val="009743DB"/>
    <w:rsid w:val="00974854"/>
    <w:rsid w:val="00975455"/>
    <w:rsid w:val="009757BD"/>
    <w:rsid w:val="009758BA"/>
    <w:rsid w:val="0097612A"/>
    <w:rsid w:val="009768AB"/>
    <w:rsid w:val="00977BE9"/>
    <w:rsid w:val="00977EA3"/>
    <w:rsid w:val="00980129"/>
    <w:rsid w:val="009805BB"/>
    <w:rsid w:val="00980A66"/>
    <w:rsid w:val="00983547"/>
    <w:rsid w:val="00983847"/>
    <w:rsid w:val="00984265"/>
    <w:rsid w:val="00985B14"/>
    <w:rsid w:val="00985B4D"/>
    <w:rsid w:val="00985C2F"/>
    <w:rsid w:val="0098613B"/>
    <w:rsid w:val="009864E3"/>
    <w:rsid w:val="00987CA2"/>
    <w:rsid w:val="00987D61"/>
    <w:rsid w:val="009902C6"/>
    <w:rsid w:val="00990395"/>
    <w:rsid w:val="0099052F"/>
    <w:rsid w:val="0099083A"/>
    <w:rsid w:val="009915F9"/>
    <w:rsid w:val="00991939"/>
    <w:rsid w:val="00993757"/>
    <w:rsid w:val="009955BC"/>
    <w:rsid w:val="00995668"/>
    <w:rsid w:val="00995ACE"/>
    <w:rsid w:val="00996C2A"/>
    <w:rsid w:val="00997C0D"/>
    <w:rsid w:val="009A0A17"/>
    <w:rsid w:val="009A0B9C"/>
    <w:rsid w:val="009A0D09"/>
    <w:rsid w:val="009A1F18"/>
    <w:rsid w:val="009A2A90"/>
    <w:rsid w:val="009A4424"/>
    <w:rsid w:val="009A6241"/>
    <w:rsid w:val="009A6649"/>
    <w:rsid w:val="009B1AB0"/>
    <w:rsid w:val="009B353D"/>
    <w:rsid w:val="009B3ED3"/>
    <w:rsid w:val="009B640E"/>
    <w:rsid w:val="009B682A"/>
    <w:rsid w:val="009B6AA4"/>
    <w:rsid w:val="009B6CBC"/>
    <w:rsid w:val="009B7786"/>
    <w:rsid w:val="009C04EF"/>
    <w:rsid w:val="009C0DE0"/>
    <w:rsid w:val="009C0E14"/>
    <w:rsid w:val="009C11A6"/>
    <w:rsid w:val="009C2161"/>
    <w:rsid w:val="009C2460"/>
    <w:rsid w:val="009C31A8"/>
    <w:rsid w:val="009C3792"/>
    <w:rsid w:val="009C435A"/>
    <w:rsid w:val="009C49DF"/>
    <w:rsid w:val="009C58BE"/>
    <w:rsid w:val="009C655B"/>
    <w:rsid w:val="009C6723"/>
    <w:rsid w:val="009C68A9"/>
    <w:rsid w:val="009C6C86"/>
    <w:rsid w:val="009C7120"/>
    <w:rsid w:val="009D01B2"/>
    <w:rsid w:val="009D2303"/>
    <w:rsid w:val="009D24E9"/>
    <w:rsid w:val="009D2D02"/>
    <w:rsid w:val="009D47DF"/>
    <w:rsid w:val="009D5459"/>
    <w:rsid w:val="009D5BD7"/>
    <w:rsid w:val="009D71B4"/>
    <w:rsid w:val="009D7CEA"/>
    <w:rsid w:val="009D7D08"/>
    <w:rsid w:val="009E2E6C"/>
    <w:rsid w:val="009E4582"/>
    <w:rsid w:val="009E549D"/>
    <w:rsid w:val="009E6DF1"/>
    <w:rsid w:val="009E75F8"/>
    <w:rsid w:val="009E7AF5"/>
    <w:rsid w:val="009E7CE9"/>
    <w:rsid w:val="009F14FC"/>
    <w:rsid w:val="009F42C7"/>
    <w:rsid w:val="009F4DEC"/>
    <w:rsid w:val="009F5409"/>
    <w:rsid w:val="009F6861"/>
    <w:rsid w:val="009F6A9A"/>
    <w:rsid w:val="00A004EE"/>
    <w:rsid w:val="00A00E8F"/>
    <w:rsid w:val="00A00EA9"/>
    <w:rsid w:val="00A01012"/>
    <w:rsid w:val="00A012CF"/>
    <w:rsid w:val="00A016C5"/>
    <w:rsid w:val="00A021D5"/>
    <w:rsid w:val="00A026ED"/>
    <w:rsid w:val="00A02779"/>
    <w:rsid w:val="00A040B2"/>
    <w:rsid w:val="00A06540"/>
    <w:rsid w:val="00A103D6"/>
    <w:rsid w:val="00A1088D"/>
    <w:rsid w:val="00A116A1"/>
    <w:rsid w:val="00A1195A"/>
    <w:rsid w:val="00A122EA"/>
    <w:rsid w:val="00A1363F"/>
    <w:rsid w:val="00A140F7"/>
    <w:rsid w:val="00A15237"/>
    <w:rsid w:val="00A1599B"/>
    <w:rsid w:val="00A160B3"/>
    <w:rsid w:val="00A17231"/>
    <w:rsid w:val="00A1739E"/>
    <w:rsid w:val="00A204E8"/>
    <w:rsid w:val="00A20EE6"/>
    <w:rsid w:val="00A2116C"/>
    <w:rsid w:val="00A22C2E"/>
    <w:rsid w:val="00A22F4B"/>
    <w:rsid w:val="00A240D1"/>
    <w:rsid w:val="00A2429F"/>
    <w:rsid w:val="00A24485"/>
    <w:rsid w:val="00A245AE"/>
    <w:rsid w:val="00A24715"/>
    <w:rsid w:val="00A26268"/>
    <w:rsid w:val="00A266D3"/>
    <w:rsid w:val="00A271ED"/>
    <w:rsid w:val="00A274B0"/>
    <w:rsid w:val="00A276CE"/>
    <w:rsid w:val="00A27844"/>
    <w:rsid w:val="00A30008"/>
    <w:rsid w:val="00A30599"/>
    <w:rsid w:val="00A30F6D"/>
    <w:rsid w:val="00A30FA4"/>
    <w:rsid w:val="00A31969"/>
    <w:rsid w:val="00A3199F"/>
    <w:rsid w:val="00A31AFF"/>
    <w:rsid w:val="00A320C5"/>
    <w:rsid w:val="00A33D72"/>
    <w:rsid w:val="00A35006"/>
    <w:rsid w:val="00A36B9C"/>
    <w:rsid w:val="00A37161"/>
    <w:rsid w:val="00A378EE"/>
    <w:rsid w:val="00A40682"/>
    <w:rsid w:val="00A40815"/>
    <w:rsid w:val="00A40DF7"/>
    <w:rsid w:val="00A42F38"/>
    <w:rsid w:val="00A430D8"/>
    <w:rsid w:val="00A43198"/>
    <w:rsid w:val="00A43B77"/>
    <w:rsid w:val="00A4443E"/>
    <w:rsid w:val="00A4464E"/>
    <w:rsid w:val="00A45E2C"/>
    <w:rsid w:val="00A45EDB"/>
    <w:rsid w:val="00A4606C"/>
    <w:rsid w:val="00A46B69"/>
    <w:rsid w:val="00A470CD"/>
    <w:rsid w:val="00A47328"/>
    <w:rsid w:val="00A47AC9"/>
    <w:rsid w:val="00A512BB"/>
    <w:rsid w:val="00A515AC"/>
    <w:rsid w:val="00A515CB"/>
    <w:rsid w:val="00A51998"/>
    <w:rsid w:val="00A52D7A"/>
    <w:rsid w:val="00A5316C"/>
    <w:rsid w:val="00A55656"/>
    <w:rsid w:val="00A55E35"/>
    <w:rsid w:val="00A5661F"/>
    <w:rsid w:val="00A56894"/>
    <w:rsid w:val="00A57843"/>
    <w:rsid w:val="00A57C26"/>
    <w:rsid w:val="00A616B9"/>
    <w:rsid w:val="00A623BD"/>
    <w:rsid w:val="00A64A40"/>
    <w:rsid w:val="00A6529A"/>
    <w:rsid w:val="00A6598B"/>
    <w:rsid w:val="00A700B9"/>
    <w:rsid w:val="00A70F47"/>
    <w:rsid w:val="00A7110A"/>
    <w:rsid w:val="00A72ABF"/>
    <w:rsid w:val="00A73424"/>
    <w:rsid w:val="00A737C2"/>
    <w:rsid w:val="00A76327"/>
    <w:rsid w:val="00A763CD"/>
    <w:rsid w:val="00A76832"/>
    <w:rsid w:val="00A76A60"/>
    <w:rsid w:val="00A76B66"/>
    <w:rsid w:val="00A806EF"/>
    <w:rsid w:val="00A807AA"/>
    <w:rsid w:val="00A82084"/>
    <w:rsid w:val="00A83645"/>
    <w:rsid w:val="00A83EBF"/>
    <w:rsid w:val="00A85293"/>
    <w:rsid w:val="00A85464"/>
    <w:rsid w:val="00A85D1E"/>
    <w:rsid w:val="00A86150"/>
    <w:rsid w:val="00A861B2"/>
    <w:rsid w:val="00A87F1E"/>
    <w:rsid w:val="00A87F3E"/>
    <w:rsid w:val="00A9170B"/>
    <w:rsid w:val="00A925E8"/>
    <w:rsid w:val="00A93276"/>
    <w:rsid w:val="00A9346C"/>
    <w:rsid w:val="00A95CB6"/>
    <w:rsid w:val="00A96743"/>
    <w:rsid w:val="00A97621"/>
    <w:rsid w:val="00AA0B85"/>
    <w:rsid w:val="00AA1361"/>
    <w:rsid w:val="00AA165A"/>
    <w:rsid w:val="00AA368D"/>
    <w:rsid w:val="00AA397D"/>
    <w:rsid w:val="00AA4686"/>
    <w:rsid w:val="00AA4A57"/>
    <w:rsid w:val="00AA5010"/>
    <w:rsid w:val="00AA55D0"/>
    <w:rsid w:val="00AA5B26"/>
    <w:rsid w:val="00AA6916"/>
    <w:rsid w:val="00AA6F69"/>
    <w:rsid w:val="00AA747C"/>
    <w:rsid w:val="00AA7859"/>
    <w:rsid w:val="00AB0402"/>
    <w:rsid w:val="00AB1837"/>
    <w:rsid w:val="00AB1A60"/>
    <w:rsid w:val="00AB26AB"/>
    <w:rsid w:val="00AB2DFB"/>
    <w:rsid w:val="00AB33C0"/>
    <w:rsid w:val="00AB3525"/>
    <w:rsid w:val="00AB3951"/>
    <w:rsid w:val="00AB3B56"/>
    <w:rsid w:val="00AB3F88"/>
    <w:rsid w:val="00AB43F9"/>
    <w:rsid w:val="00AB5777"/>
    <w:rsid w:val="00AB5E3E"/>
    <w:rsid w:val="00AB7F9F"/>
    <w:rsid w:val="00AC07F4"/>
    <w:rsid w:val="00AC3DF5"/>
    <w:rsid w:val="00AC687C"/>
    <w:rsid w:val="00AC6A9F"/>
    <w:rsid w:val="00AD091D"/>
    <w:rsid w:val="00AD1919"/>
    <w:rsid w:val="00AD212E"/>
    <w:rsid w:val="00AD29DB"/>
    <w:rsid w:val="00AD2B7E"/>
    <w:rsid w:val="00AD33C7"/>
    <w:rsid w:val="00AD3B47"/>
    <w:rsid w:val="00AD4884"/>
    <w:rsid w:val="00AD57C5"/>
    <w:rsid w:val="00AD615F"/>
    <w:rsid w:val="00AD6839"/>
    <w:rsid w:val="00AD6B19"/>
    <w:rsid w:val="00AD6B2C"/>
    <w:rsid w:val="00AE010B"/>
    <w:rsid w:val="00AE0733"/>
    <w:rsid w:val="00AE1F85"/>
    <w:rsid w:val="00AE2576"/>
    <w:rsid w:val="00AE3408"/>
    <w:rsid w:val="00AE3C3A"/>
    <w:rsid w:val="00AE41CC"/>
    <w:rsid w:val="00AE425D"/>
    <w:rsid w:val="00AE4856"/>
    <w:rsid w:val="00AE6581"/>
    <w:rsid w:val="00AE6613"/>
    <w:rsid w:val="00AE71E9"/>
    <w:rsid w:val="00AE75DD"/>
    <w:rsid w:val="00AE7F6C"/>
    <w:rsid w:val="00AF0F53"/>
    <w:rsid w:val="00AF1F26"/>
    <w:rsid w:val="00AF4568"/>
    <w:rsid w:val="00AF4FCE"/>
    <w:rsid w:val="00AF55F8"/>
    <w:rsid w:val="00B0031A"/>
    <w:rsid w:val="00B00AB8"/>
    <w:rsid w:val="00B00FD7"/>
    <w:rsid w:val="00B011B4"/>
    <w:rsid w:val="00B0131C"/>
    <w:rsid w:val="00B0189D"/>
    <w:rsid w:val="00B0210D"/>
    <w:rsid w:val="00B02BE2"/>
    <w:rsid w:val="00B0458E"/>
    <w:rsid w:val="00B04D0E"/>
    <w:rsid w:val="00B05144"/>
    <w:rsid w:val="00B107AC"/>
    <w:rsid w:val="00B118D3"/>
    <w:rsid w:val="00B12D11"/>
    <w:rsid w:val="00B134DF"/>
    <w:rsid w:val="00B13EFC"/>
    <w:rsid w:val="00B14135"/>
    <w:rsid w:val="00B14A08"/>
    <w:rsid w:val="00B14C89"/>
    <w:rsid w:val="00B15E87"/>
    <w:rsid w:val="00B167D3"/>
    <w:rsid w:val="00B179E6"/>
    <w:rsid w:val="00B2044B"/>
    <w:rsid w:val="00B23B84"/>
    <w:rsid w:val="00B23D40"/>
    <w:rsid w:val="00B23E3E"/>
    <w:rsid w:val="00B23EE9"/>
    <w:rsid w:val="00B24049"/>
    <w:rsid w:val="00B24581"/>
    <w:rsid w:val="00B255EE"/>
    <w:rsid w:val="00B263BA"/>
    <w:rsid w:val="00B267B6"/>
    <w:rsid w:val="00B2765E"/>
    <w:rsid w:val="00B3016C"/>
    <w:rsid w:val="00B31018"/>
    <w:rsid w:val="00B31AB5"/>
    <w:rsid w:val="00B31E32"/>
    <w:rsid w:val="00B32805"/>
    <w:rsid w:val="00B341C6"/>
    <w:rsid w:val="00B34249"/>
    <w:rsid w:val="00B34694"/>
    <w:rsid w:val="00B3476E"/>
    <w:rsid w:val="00B34F5B"/>
    <w:rsid w:val="00B35043"/>
    <w:rsid w:val="00B35CAC"/>
    <w:rsid w:val="00B37562"/>
    <w:rsid w:val="00B378C9"/>
    <w:rsid w:val="00B37B10"/>
    <w:rsid w:val="00B425AA"/>
    <w:rsid w:val="00B42889"/>
    <w:rsid w:val="00B43FFB"/>
    <w:rsid w:val="00B44AC4"/>
    <w:rsid w:val="00B44C28"/>
    <w:rsid w:val="00B45881"/>
    <w:rsid w:val="00B46236"/>
    <w:rsid w:val="00B47321"/>
    <w:rsid w:val="00B477FF"/>
    <w:rsid w:val="00B47F37"/>
    <w:rsid w:val="00B50F8E"/>
    <w:rsid w:val="00B50FB7"/>
    <w:rsid w:val="00B51408"/>
    <w:rsid w:val="00B525EA"/>
    <w:rsid w:val="00B5295B"/>
    <w:rsid w:val="00B529CD"/>
    <w:rsid w:val="00B52A30"/>
    <w:rsid w:val="00B548CC"/>
    <w:rsid w:val="00B54AED"/>
    <w:rsid w:val="00B54B64"/>
    <w:rsid w:val="00B5578B"/>
    <w:rsid w:val="00B5625C"/>
    <w:rsid w:val="00B576BF"/>
    <w:rsid w:val="00B5778A"/>
    <w:rsid w:val="00B57BA9"/>
    <w:rsid w:val="00B60A48"/>
    <w:rsid w:val="00B60DDC"/>
    <w:rsid w:val="00B62352"/>
    <w:rsid w:val="00B628BD"/>
    <w:rsid w:val="00B630AB"/>
    <w:rsid w:val="00B63340"/>
    <w:rsid w:val="00B64844"/>
    <w:rsid w:val="00B6574F"/>
    <w:rsid w:val="00B6589F"/>
    <w:rsid w:val="00B65CF1"/>
    <w:rsid w:val="00B66462"/>
    <w:rsid w:val="00B66C96"/>
    <w:rsid w:val="00B66DB9"/>
    <w:rsid w:val="00B67BBD"/>
    <w:rsid w:val="00B67C3F"/>
    <w:rsid w:val="00B67D99"/>
    <w:rsid w:val="00B7006C"/>
    <w:rsid w:val="00B708DA"/>
    <w:rsid w:val="00B70D35"/>
    <w:rsid w:val="00B71273"/>
    <w:rsid w:val="00B71AF9"/>
    <w:rsid w:val="00B720F9"/>
    <w:rsid w:val="00B724FE"/>
    <w:rsid w:val="00B73AE3"/>
    <w:rsid w:val="00B742A5"/>
    <w:rsid w:val="00B77D89"/>
    <w:rsid w:val="00B80DB2"/>
    <w:rsid w:val="00B8170D"/>
    <w:rsid w:val="00B81E67"/>
    <w:rsid w:val="00B81FD9"/>
    <w:rsid w:val="00B83129"/>
    <w:rsid w:val="00B83857"/>
    <w:rsid w:val="00B83882"/>
    <w:rsid w:val="00B83ADC"/>
    <w:rsid w:val="00B83D5C"/>
    <w:rsid w:val="00B847A7"/>
    <w:rsid w:val="00B8543E"/>
    <w:rsid w:val="00B85AA7"/>
    <w:rsid w:val="00B86748"/>
    <w:rsid w:val="00B86844"/>
    <w:rsid w:val="00B86DCA"/>
    <w:rsid w:val="00B87205"/>
    <w:rsid w:val="00B90ACF"/>
    <w:rsid w:val="00B91E1D"/>
    <w:rsid w:val="00B92E7E"/>
    <w:rsid w:val="00B93CCA"/>
    <w:rsid w:val="00B9444C"/>
    <w:rsid w:val="00B94DF8"/>
    <w:rsid w:val="00B956B8"/>
    <w:rsid w:val="00B97F3F"/>
    <w:rsid w:val="00BA0308"/>
    <w:rsid w:val="00BA04E6"/>
    <w:rsid w:val="00BA09F4"/>
    <w:rsid w:val="00BA1A45"/>
    <w:rsid w:val="00BA3C29"/>
    <w:rsid w:val="00BA56F0"/>
    <w:rsid w:val="00BA62E6"/>
    <w:rsid w:val="00BB0036"/>
    <w:rsid w:val="00BB0D90"/>
    <w:rsid w:val="00BB1361"/>
    <w:rsid w:val="00BB13F8"/>
    <w:rsid w:val="00BB15A6"/>
    <w:rsid w:val="00BB16FE"/>
    <w:rsid w:val="00BB280A"/>
    <w:rsid w:val="00BB3206"/>
    <w:rsid w:val="00BB3475"/>
    <w:rsid w:val="00BB5261"/>
    <w:rsid w:val="00BB5749"/>
    <w:rsid w:val="00BB61FA"/>
    <w:rsid w:val="00BB63CE"/>
    <w:rsid w:val="00BB67B0"/>
    <w:rsid w:val="00BC1716"/>
    <w:rsid w:val="00BC1DA0"/>
    <w:rsid w:val="00BC2023"/>
    <w:rsid w:val="00BC21C9"/>
    <w:rsid w:val="00BC25B2"/>
    <w:rsid w:val="00BC3339"/>
    <w:rsid w:val="00BC3793"/>
    <w:rsid w:val="00BC3B47"/>
    <w:rsid w:val="00BC3CA3"/>
    <w:rsid w:val="00BC4608"/>
    <w:rsid w:val="00BC5193"/>
    <w:rsid w:val="00BC5578"/>
    <w:rsid w:val="00BC5C74"/>
    <w:rsid w:val="00BC7846"/>
    <w:rsid w:val="00BC7FDC"/>
    <w:rsid w:val="00BD0DDF"/>
    <w:rsid w:val="00BD0F27"/>
    <w:rsid w:val="00BD1ACB"/>
    <w:rsid w:val="00BD1B99"/>
    <w:rsid w:val="00BD21C7"/>
    <w:rsid w:val="00BD2629"/>
    <w:rsid w:val="00BD3A0D"/>
    <w:rsid w:val="00BD40DE"/>
    <w:rsid w:val="00BD42EA"/>
    <w:rsid w:val="00BD4920"/>
    <w:rsid w:val="00BD5755"/>
    <w:rsid w:val="00BD5A49"/>
    <w:rsid w:val="00BD61B5"/>
    <w:rsid w:val="00BD64CE"/>
    <w:rsid w:val="00BD70A5"/>
    <w:rsid w:val="00BD7120"/>
    <w:rsid w:val="00BD78D9"/>
    <w:rsid w:val="00BE0A74"/>
    <w:rsid w:val="00BE1D15"/>
    <w:rsid w:val="00BE2F3D"/>
    <w:rsid w:val="00BE32F1"/>
    <w:rsid w:val="00BE38BB"/>
    <w:rsid w:val="00BE40C3"/>
    <w:rsid w:val="00BE57E8"/>
    <w:rsid w:val="00BE5BB7"/>
    <w:rsid w:val="00BF03EB"/>
    <w:rsid w:val="00BF1C6E"/>
    <w:rsid w:val="00BF248B"/>
    <w:rsid w:val="00BF280B"/>
    <w:rsid w:val="00BF318D"/>
    <w:rsid w:val="00BF5F72"/>
    <w:rsid w:val="00BF6C60"/>
    <w:rsid w:val="00BF7075"/>
    <w:rsid w:val="00C02757"/>
    <w:rsid w:val="00C03356"/>
    <w:rsid w:val="00C046E8"/>
    <w:rsid w:val="00C05874"/>
    <w:rsid w:val="00C05C56"/>
    <w:rsid w:val="00C06DC6"/>
    <w:rsid w:val="00C106F7"/>
    <w:rsid w:val="00C10ADE"/>
    <w:rsid w:val="00C10BA8"/>
    <w:rsid w:val="00C10BB9"/>
    <w:rsid w:val="00C10BC8"/>
    <w:rsid w:val="00C10D39"/>
    <w:rsid w:val="00C10F85"/>
    <w:rsid w:val="00C110B7"/>
    <w:rsid w:val="00C1260C"/>
    <w:rsid w:val="00C12A11"/>
    <w:rsid w:val="00C15034"/>
    <w:rsid w:val="00C15E0F"/>
    <w:rsid w:val="00C2002A"/>
    <w:rsid w:val="00C20DD6"/>
    <w:rsid w:val="00C217DD"/>
    <w:rsid w:val="00C229D1"/>
    <w:rsid w:val="00C23F7E"/>
    <w:rsid w:val="00C24334"/>
    <w:rsid w:val="00C267D2"/>
    <w:rsid w:val="00C277DF"/>
    <w:rsid w:val="00C301FA"/>
    <w:rsid w:val="00C30552"/>
    <w:rsid w:val="00C305C5"/>
    <w:rsid w:val="00C311CD"/>
    <w:rsid w:val="00C32036"/>
    <w:rsid w:val="00C329D2"/>
    <w:rsid w:val="00C32A66"/>
    <w:rsid w:val="00C36A11"/>
    <w:rsid w:val="00C36F2D"/>
    <w:rsid w:val="00C3770D"/>
    <w:rsid w:val="00C378FD"/>
    <w:rsid w:val="00C4008A"/>
    <w:rsid w:val="00C400BC"/>
    <w:rsid w:val="00C40C5C"/>
    <w:rsid w:val="00C41762"/>
    <w:rsid w:val="00C41851"/>
    <w:rsid w:val="00C42411"/>
    <w:rsid w:val="00C425DA"/>
    <w:rsid w:val="00C429F5"/>
    <w:rsid w:val="00C42A40"/>
    <w:rsid w:val="00C4592D"/>
    <w:rsid w:val="00C45C67"/>
    <w:rsid w:val="00C469A7"/>
    <w:rsid w:val="00C5010A"/>
    <w:rsid w:val="00C51301"/>
    <w:rsid w:val="00C520FD"/>
    <w:rsid w:val="00C52282"/>
    <w:rsid w:val="00C5236F"/>
    <w:rsid w:val="00C54D43"/>
    <w:rsid w:val="00C5583B"/>
    <w:rsid w:val="00C55E05"/>
    <w:rsid w:val="00C56FA4"/>
    <w:rsid w:val="00C57000"/>
    <w:rsid w:val="00C57A4E"/>
    <w:rsid w:val="00C609E5"/>
    <w:rsid w:val="00C63D99"/>
    <w:rsid w:val="00C65135"/>
    <w:rsid w:val="00C65C27"/>
    <w:rsid w:val="00C65E38"/>
    <w:rsid w:val="00C66DC5"/>
    <w:rsid w:val="00C671D5"/>
    <w:rsid w:val="00C675F5"/>
    <w:rsid w:val="00C67C75"/>
    <w:rsid w:val="00C67FB5"/>
    <w:rsid w:val="00C706EB"/>
    <w:rsid w:val="00C71C78"/>
    <w:rsid w:val="00C728EC"/>
    <w:rsid w:val="00C7295D"/>
    <w:rsid w:val="00C73093"/>
    <w:rsid w:val="00C7344F"/>
    <w:rsid w:val="00C73949"/>
    <w:rsid w:val="00C74ABF"/>
    <w:rsid w:val="00C75312"/>
    <w:rsid w:val="00C75B02"/>
    <w:rsid w:val="00C75B44"/>
    <w:rsid w:val="00C75BA0"/>
    <w:rsid w:val="00C7604F"/>
    <w:rsid w:val="00C76B2F"/>
    <w:rsid w:val="00C76D98"/>
    <w:rsid w:val="00C77016"/>
    <w:rsid w:val="00C773F1"/>
    <w:rsid w:val="00C77A2B"/>
    <w:rsid w:val="00C802A2"/>
    <w:rsid w:val="00C80935"/>
    <w:rsid w:val="00C80AC6"/>
    <w:rsid w:val="00C81D0C"/>
    <w:rsid w:val="00C829E9"/>
    <w:rsid w:val="00C82C35"/>
    <w:rsid w:val="00C834B3"/>
    <w:rsid w:val="00C846CA"/>
    <w:rsid w:val="00C84731"/>
    <w:rsid w:val="00C85320"/>
    <w:rsid w:val="00C85347"/>
    <w:rsid w:val="00C85781"/>
    <w:rsid w:val="00C85CBE"/>
    <w:rsid w:val="00C85E59"/>
    <w:rsid w:val="00C86147"/>
    <w:rsid w:val="00C872BC"/>
    <w:rsid w:val="00C87E03"/>
    <w:rsid w:val="00C9075B"/>
    <w:rsid w:val="00C90761"/>
    <w:rsid w:val="00C91A4C"/>
    <w:rsid w:val="00C93630"/>
    <w:rsid w:val="00C94390"/>
    <w:rsid w:val="00C94465"/>
    <w:rsid w:val="00C94E1E"/>
    <w:rsid w:val="00C95287"/>
    <w:rsid w:val="00CA1AAD"/>
    <w:rsid w:val="00CA1AB0"/>
    <w:rsid w:val="00CA1F53"/>
    <w:rsid w:val="00CA297E"/>
    <w:rsid w:val="00CA3EB9"/>
    <w:rsid w:val="00CA42FB"/>
    <w:rsid w:val="00CA4E68"/>
    <w:rsid w:val="00CA626A"/>
    <w:rsid w:val="00CA78DF"/>
    <w:rsid w:val="00CA7A5B"/>
    <w:rsid w:val="00CB0343"/>
    <w:rsid w:val="00CB0AFF"/>
    <w:rsid w:val="00CB0D71"/>
    <w:rsid w:val="00CB13EB"/>
    <w:rsid w:val="00CB15B7"/>
    <w:rsid w:val="00CB1B3D"/>
    <w:rsid w:val="00CB3897"/>
    <w:rsid w:val="00CB38BF"/>
    <w:rsid w:val="00CB41FE"/>
    <w:rsid w:val="00CB52CC"/>
    <w:rsid w:val="00CB7578"/>
    <w:rsid w:val="00CB7A0F"/>
    <w:rsid w:val="00CB7FA2"/>
    <w:rsid w:val="00CC004E"/>
    <w:rsid w:val="00CC0331"/>
    <w:rsid w:val="00CC10E7"/>
    <w:rsid w:val="00CC1138"/>
    <w:rsid w:val="00CC1227"/>
    <w:rsid w:val="00CC2C48"/>
    <w:rsid w:val="00CC2F64"/>
    <w:rsid w:val="00CC38A2"/>
    <w:rsid w:val="00CC3E60"/>
    <w:rsid w:val="00CC433A"/>
    <w:rsid w:val="00CC4DA2"/>
    <w:rsid w:val="00CC55F3"/>
    <w:rsid w:val="00CC57E9"/>
    <w:rsid w:val="00CC7AD6"/>
    <w:rsid w:val="00CD0449"/>
    <w:rsid w:val="00CD25FA"/>
    <w:rsid w:val="00CD36C7"/>
    <w:rsid w:val="00CD43DC"/>
    <w:rsid w:val="00CD568D"/>
    <w:rsid w:val="00CD6CC0"/>
    <w:rsid w:val="00CD78B8"/>
    <w:rsid w:val="00CD7F57"/>
    <w:rsid w:val="00CE0539"/>
    <w:rsid w:val="00CE4494"/>
    <w:rsid w:val="00CE4507"/>
    <w:rsid w:val="00CE4EFE"/>
    <w:rsid w:val="00CE539B"/>
    <w:rsid w:val="00CE54EF"/>
    <w:rsid w:val="00CF07EA"/>
    <w:rsid w:val="00CF0E5E"/>
    <w:rsid w:val="00CF20FC"/>
    <w:rsid w:val="00CF25AD"/>
    <w:rsid w:val="00CF2691"/>
    <w:rsid w:val="00CF2D86"/>
    <w:rsid w:val="00CF34CD"/>
    <w:rsid w:val="00CF66E2"/>
    <w:rsid w:val="00CF6C5E"/>
    <w:rsid w:val="00CF71D7"/>
    <w:rsid w:val="00CF72A5"/>
    <w:rsid w:val="00CF7AB4"/>
    <w:rsid w:val="00CF7B33"/>
    <w:rsid w:val="00CF7D2D"/>
    <w:rsid w:val="00D00E4C"/>
    <w:rsid w:val="00D00E70"/>
    <w:rsid w:val="00D00FA7"/>
    <w:rsid w:val="00D01C25"/>
    <w:rsid w:val="00D02C3A"/>
    <w:rsid w:val="00D03E0B"/>
    <w:rsid w:val="00D0472E"/>
    <w:rsid w:val="00D0571A"/>
    <w:rsid w:val="00D05E82"/>
    <w:rsid w:val="00D06159"/>
    <w:rsid w:val="00D06298"/>
    <w:rsid w:val="00D06860"/>
    <w:rsid w:val="00D077FB"/>
    <w:rsid w:val="00D1053B"/>
    <w:rsid w:val="00D109B5"/>
    <w:rsid w:val="00D1111D"/>
    <w:rsid w:val="00D1154F"/>
    <w:rsid w:val="00D12886"/>
    <w:rsid w:val="00D13762"/>
    <w:rsid w:val="00D159D0"/>
    <w:rsid w:val="00D160B3"/>
    <w:rsid w:val="00D174CF"/>
    <w:rsid w:val="00D17833"/>
    <w:rsid w:val="00D201F0"/>
    <w:rsid w:val="00D2098F"/>
    <w:rsid w:val="00D20AE9"/>
    <w:rsid w:val="00D20E75"/>
    <w:rsid w:val="00D234C8"/>
    <w:rsid w:val="00D23C0D"/>
    <w:rsid w:val="00D248EF"/>
    <w:rsid w:val="00D25655"/>
    <w:rsid w:val="00D25FB6"/>
    <w:rsid w:val="00D26686"/>
    <w:rsid w:val="00D26CEA"/>
    <w:rsid w:val="00D27378"/>
    <w:rsid w:val="00D30AD2"/>
    <w:rsid w:val="00D30F54"/>
    <w:rsid w:val="00D31147"/>
    <w:rsid w:val="00D328EA"/>
    <w:rsid w:val="00D3291C"/>
    <w:rsid w:val="00D34759"/>
    <w:rsid w:val="00D35525"/>
    <w:rsid w:val="00D35A78"/>
    <w:rsid w:val="00D36316"/>
    <w:rsid w:val="00D365BE"/>
    <w:rsid w:val="00D36B79"/>
    <w:rsid w:val="00D4015D"/>
    <w:rsid w:val="00D40A32"/>
    <w:rsid w:val="00D40B07"/>
    <w:rsid w:val="00D41006"/>
    <w:rsid w:val="00D4135B"/>
    <w:rsid w:val="00D4208D"/>
    <w:rsid w:val="00D4209A"/>
    <w:rsid w:val="00D421E9"/>
    <w:rsid w:val="00D42950"/>
    <w:rsid w:val="00D43287"/>
    <w:rsid w:val="00D442DC"/>
    <w:rsid w:val="00D45143"/>
    <w:rsid w:val="00D45207"/>
    <w:rsid w:val="00D4663D"/>
    <w:rsid w:val="00D4679E"/>
    <w:rsid w:val="00D46D58"/>
    <w:rsid w:val="00D47466"/>
    <w:rsid w:val="00D47938"/>
    <w:rsid w:val="00D47F1C"/>
    <w:rsid w:val="00D50395"/>
    <w:rsid w:val="00D52177"/>
    <w:rsid w:val="00D531DA"/>
    <w:rsid w:val="00D53750"/>
    <w:rsid w:val="00D54ABF"/>
    <w:rsid w:val="00D55105"/>
    <w:rsid w:val="00D5514A"/>
    <w:rsid w:val="00D55806"/>
    <w:rsid w:val="00D560C2"/>
    <w:rsid w:val="00D564C1"/>
    <w:rsid w:val="00D60713"/>
    <w:rsid w:val="00D60B03"/>
    <w:rsid w:val="00D618F7"/>
    <w:rsid w:val="00D620CF"/>
    <w:rsid w:val="00D62949"/>
    <w:rsid w:val="00D63594"/>
    <w:rsid w:val="00D63D81"/>
    <w:rsid w:val="00D63FBA"/>
    <w:rsid w:val="00D640A9"/>
    <w:rsid w:val="00D6588E"/>
    <w:rsid w:val="00D665DC"/>
    <w:rsid w:val="00D66EB8"/>
    <w:rsid w:val="00D70B09"/>
    <w:rsid w:val="00D7197E"/>
    <w:rsid w:val="00D73619"/>
    <w:rsid w:val="00D74552"/>
    <w:rsid w:val="00D75B80"/>
    <w:rsid w:val="00D75FEA"/>
    <w:rsid w:val="00D761F6"/>
    <w:rsid w:val="00D762F2"/>
    <w:rsid w:val="00D76530"/>
    <w:rsid w:val="00D77149"/>
    <w:rsid w:val="00D776BD"/>
    <w:rsid w:val="00D80046"/>
    <w:rsid w:val="00D81544"/>
    <w:rsid w:val="00D81803"/>
    <w:rsid w:val="00D8274F"/>
    <w:rsid w:val="00D832AA"/>
    <w:rsid w:val="00D835CE"/>
    <w:rsid w:val="00D83AEA"/>
    <w:rsid w:val="00D83F46"/>
    <w:rsid w:val="00D846FD"/>
    <w:rsid w:val="00D86895"/>
    <w:rsid w:val="00D9041F"/>
    <w:rsid w:val="00D90524"/>
    <w:rsid w:val="00D90536"/>
    <w:rsid w:val="00D910F8"/>
    <w:rsid w:val="00D91160"/>
    <w:rsid w:val="00D927BE"/>
    <w:rsid w:val="00D940AC"/>
    <w:rsid w:val="00D946DF"/>
    <w:rsid w:val="00D94A72"/>
    <w:rsid w:val="00D953A9"/>
    <w:rsid w:val="00D95A2D"/>
    <w:rsid w:val="00D96B8C"/>
    <w:rsid w:val="00D96C57"/>
    <w:rsid w:val="00DA0DCC"/>
    <w:rsid w:val="00DA1832"/>
    <w:rsid w:val="00DA1B05"/>
    <w:rsid w:val="00DA227F"/>
    <w:rsid w:val="00DA23A9"/>
    <w:rsid w:val="00DA5C2F"/>
    <w:rsid w:val="00DA5C8B"/>
    <w:rsid w:val="00DB0164"/>
    <w:rsid w:val="00DB0DA1"/>
    <w:rsid w:val="00DB10F5"/>
    <w:rsid w:val="00DB3286"/>
    <w:rsid w:val="00DB4675"/>
    <w:rsid w:val="00DB53A8"/>
    <w:rsid w:val="00DB5C0E"/>
    <w:rsid w:val="00DB5E25"/>
    <w:rsid w:val="00DB5FDA"/>
    <w:rsid w:val="00DB7711"/>
    <w:rsid w:val="00DC0D12"/>
    <w:rsid w:val="00DC18D3"/>
    <w:rsid w:val="00DC1A7D"/>
    <w:rsid w:val="00DC21E2"/>
    <w:rsid w:val="00DC2EDA"/>
    <w:rsid w:val="00DC3644"/>
    <w:rsid w:val="00DC3882"/>
    <w:rsid w:val="00DC3906"/>
    <w:rsid w:val="00DC3A46"/>
    <w:rsid w:val="00DC412B"/>
    <w:rsid w:val="00DC4AAC"/>
    <w:rsid w:val="00DC4DCA"/>
    <w:rsid w:val="00DC5559"/>
    <w:rsid w:val="00DC6370"/>
    <w:rsid w:val="00DC7AD7"/>
    <w:rsid w:val="00DC7B4E"/>
    <w:rsid w:val="00DC7B89"/>
    <w:rsid w:val="00DD0209"/>
    <w:rsid w:val="00DD07F9"/>
    <w:rsid w:val="00DD0BDE"/>
    <w:rsid w:val="00DD115A"/>
    <w:rsid w:val="00DD261A"/>
    <w:rsid w:val="00DD38AE"/>
    <w:rsid w:val="00DD530A"/>
    <w:rsid w:val="00DD5381"/>
    <w:rsid w:val="00DD5BDC"/>
    <w:rsid w:val="00DD6138"/>
    <w:rsid w:val="00DD6A85"/>
    <w:rsid w:val="00DD7F08"/>
    <w:rsid w:val="00DE0E57"/>
    <w:rsid w:val="00DE1102"/>
    <w:rsid w:val="00DE1E9C"/>
    <w:rsid w:val="00DE20B5"/>
    <w:rsid w:val="00DE3200"/>
    <w:rsid w:val="00DE32C5"/>
    <w:rsid w:val="00DE36EF"/>
    <w:rsid w:val="00DE3998"/>
    <w:rsid w:val="00DE39B3"/>
    <w:rsid w:val="00DE4F5A"/>
    <w:rsid w:val="00DE5095"/>
    <w:rsid w:val="00DE5966"/>
    <w:rsid w:val="00DE5EC2"/>
    <w:rsid w:val="00DE6253"/>
    <w:rsid w:val="00DE78A1"/>
    <w:rsid w:val="00DE7AF1"/>
    <w:rsid w:val="00DF0264"/>
    <w:rsid w:val="00DF0AA4"/>
    <w:rsid w:val="00DF1465"/>
    <w:rsid w:val="00DF1A05"/>
    <w:rsid w:val="00DF1DF6"/>
    <w:rsid w:val="00DF533F"/>
    <w:rsid w:val="00DF61F9"/>
    <w:rsid w:val="00DF6D3D"/>
    <w:rsid w:val="00E0030E"/>
    <w:rsid w:val="00E00523"/>
    <w:rsid w:val="00E005CA"/>
    <w:rsid w:val="00E010BE"/>
    <w:rsid w:val="00E0179B"/>
    <w:rsid w:val="00E02328"/>
    <w:rsid w:val="00E027F9"/>
    <w:rsid w:val="00E02AEC"/>
    <w:rsid w:val="00E031E3"/>
    <w:rsid w:val="00E03AA8"/>
    <w:rsid w:val="00E041EE"/>
    <w:rsid w:val="00E04ABC"/>
    <w:rsid w:val="00E05E57"/>
    <w:rsid w:val="00E063C1"/>
    <w:rsid w:val="00E10C60"/>
    <w:rsid w:val="00E12117"/>
    <w:rsid w:val="00E13D3C"/>
    <w:rsid w:val="00E15047"/>
    <w:rsid w:val="00E15E7E"/>
    <w:rsid w:val="00E15F67"/>
    <w:rsid w:val="00E1640F"/>
    <w:rsid w:val="00E16A06"/>
    <w:rsid w:val="00E16D79"/>
    <w:rsid w:val="00E16D8C"/>
    <w:rsid w:val="00E1745C"/>
    <w:rsid w:val="00E21A3A"/>
    <w:rsid w:val="00E23D2C"/>
    <w:rsid w:val="00E23FBE"/>
    <w:rsid w:val="00E2448A"/>
    <w:rsid w:val="00E26894"/>
    <w:rsid w:val="00E26F7E"/>
    <w:rsid w:val="00E27F5C"/>
    <w:rsid w:val="00E30B47"/>
    <w:rsid w:val="00E3186F"/>
    <w:rsid w:val="00E31CA8"/>
    <w:rsid w:val="00E31D45"/>
    <w:rsid w:val="00E32234"/>
    <w:rsid w:val="00E335ED"/>
    <w:rsid w:val="00E345EB"/>
    <w:rsid w:val="00E3565F"/>
    <w:rsid w:val="00E356E8"/>
    <w:rsid w:val="00E35BE1"/>
    <w:rsid w:val="00E35C0C"/>
    <w:rsid w:val="00E371A1"/>
    <w:rsid w:val="00E372C4"/>
    <w:rsid w:val="00E3745F"/>
    <w:rsid w:val="00E37BB4"/>
    <w:rsid w:val="00E40B4E"/>
    <w:rsid w:val="00E41A29"/>
    <w:rsid w:val="00E42132"/>
    <w:rsid w:val="00E42634"/>
    <w:rsid w:val="00E42B42"/>
    <w:rsid w:val="00E433F2"/>
    <w:rsid w:val="00E43531"/>
    <w:rsid w:val="00E43D12"/>
    <w:rsid w:val="00E443C8"/>
    <w:rsid w:val="00E444D8"/>
    <w:rsid w:val="00E4480C"/>
    <w:rsid w:val="00E4682B"/>
    <w:rsid w:val="00E50358"/>
    <w:rsid w:val="00E50E95"/>
    <w:rsid w:val="00E51426"/>
    <w:rsid w:val="00E5154D"/>
    <w:rsid w:val="00E51F31"/>
    <w:rsid w:val="00E53363"/>
    <w:rsid w:val="00E53B39"/>
    <w:rsid w:val="00E54781"/>
    <w:rsid w:val="00E550FB"/>
    <w:rsid w:val="00E55FC7"/>
    <w:rsid w:val="00E56054"/>
    <w:rsid w:val="00E5618C"/>
    <w:rsid w:val="00E564A5"/>
    <w:rsid w:val="00E56FB6"/>
    <w:rsid w:val="00E57629"/>
    <w:rsid w:val="00E57B23"/>
    <w:rsid w:val="00E60293"/>
    <w:rsid w:val="00E61446"/>
    <w:rsid w:val="00E62BA0"/>
    <w:rsid w:val="00E637E9"/>
    <w:rsid w:val="00E647F1"/>
    <w:rsid w:val="00E66406"/>
    <w:rsid w:val="00E66584"/>
    <w:rsid w:val="00E665AF"/>
    <w:rsid w:val="00E66A84"/>
    <w:rsid w:val="00E66EB1"/>
    <w:rsid w:val="00E67223"/>
    <w:rsid w:val="00E7019E"/>
    <w:rsid w:val="00E70F0C"/>
    <w:rsid w:val="00E70FDC"/>
    <w:rsid w:val="00E71E1E"/>
    <w:rsid w:val="00E71E31"/>
    <w:rsid w:val="00E71F4A"/>
    <w:rsid w:val="00E722C3"/>
    <w:rsid w:val="00E7449F"/>
    <w:rsid w:val="00E74C02"/>
    <w:rsid w:val="00E75429"/>
    <w:rsid w:val="00E7634D"/>
    <w:rsid w:val="00E81821"/>
    <w:rsid w:val="00E818FA"/>
    <w:rsid w:val="00E8195B"/>
    <w:rsid w:val="00E81BED"/>
    <w:rsid w:val="00E8227E"/>
    <w:rsid w:val="00E833C6"/>
    <w:rsid w:val="00E83631"/>
    <w:rsid w:val="00E8399C"/>
    <w:rsid w:val="00E85FE8"/>
    <w:rsid w:val="00E86D10"/>
    <w:rsid w:val="00E87531"/>
    <w:rsid w:val="00E8773A"/>
    <w:rsid w:val="00E87DCC"/>
    <w:rsid w:val="00E91AD0"/>
    <w:rsid w:val="00E92677"/>
    <w:rsid w:val="00E936CB"/>
    <w:rsid w:val="00E937E8"/>
    <w:rsid w:val="00E93F5D"/>
    <w:rsid w:val="00E943D9"/>
    <w:rsid w:val="00E944EB"/>
    <w:rsid w:val="00E9476B"/>
    <w:rsid w:val="00E9491C"/>
    <w:rsid w:val="00EA029C"/>
    <w:rsid w:val="00EA0A26"/>
    <w:rsid w:val="00EA0CB1"/>
    <w:rsid w:val="00EA2256"/>
    <w:rsid w:val="00EA37E9"/>
    <w:rsid w:val="00EA5802"/>
    <w:rsid w:val="00EA5A0D"/>
    <w:rsid w:val="00EA5B65"/>
    <w:rsid w:val="00EA61CF"/>
    <w:rsid w:val="00EA6D60"/>
    <w:rsid w:val="00EA71D9"/>
    <w:rsid w:val="00EA735C"/>
    <w:rsid w:val="00EB0A7C"/>
    <w:rsid w:val="00EB0B5F"/>
    <w:rsid w:val="00EB280A"/>
    <w:rsid w:val="00EB2BE4"/>
    <w:rsid w:val="00EB3B13"/>
    <w:rsid w:val="00EB3B3F"/>
    <w:rsid w:val="00EB5323"/>
    <w:rsid w:val="00EB5CFF"/>
    <w:rsid w:val="00EB6D1C"/>
    <w:rsid w:val="00EC04D1"/>
    <w:rsid w:val="00EC055D"/>
    <w:rsid w:val="00EC0DF5"/>
    <w:rsid w:val="00EC2D1D"/>
    <w:rsid w:val="00EC46B9"/>
    <w:rsid w:val="00EC52CE"/>
    <w:rsid w:val="00EC5989"/>
    <w:rsid w:val="00EC5A7C"/>
    <w:rsid w:val="00EC6A4D"/>
    <w:rsid w:val="00EC7497"/>
    <w:rsid w:val="00EC75A6"/>
    <w:rsid w:val="00EC7C74"/>
    <w:rsid w:val="00ED0850"/>
    <w:rsid w:val="00ED0990"/>
    <w:rsid w:val="00ED16EC"/>
    <w:rsid w:val="00ED26F8"/>
    <w:rsid w:val="00ED2BC1"/>
    <w:rsid w:val="00ED2E6A"/>
    <w:rsid w:val="00ED2F30"/>
    <w:rsid w:val="00ED4B59"/>
    <w:rsid w:val="00ED52CB"/>
    <w:rsid w:val="00ED5551"/>
    <w:rsid w:val="00ED58B0"/>
    <w:rsid w:val="00EE1132"/>
    <w:rsid w:val="00EE18CD"/>
    <w:rsid w:val="00EE1A36"/>
    <w:rsid w:val="00EE1AC3"/>
    <w:rsid w:val="00EE469C"/>
    <w:rsid w:val="00EE50E0"/>
    <w:rsid w:val="00EE555B"/>
    <w:rsid w:val="00EE71EB"/>
    <w:rsid w:val="00EE7B3D"/>
    <w:rsid w:val="00EF05E5"/>
    <w:rsid w:val="00EF0D50"/>
    <w:rsid w:val="00EF1BF9"/>
    <w:rsid w:val="00EF2429"/>
    <w:rsid w:val="00EF2A70"/>
    <w:rsid w:val="00EF2F1A"/>
    <w:rsid w:val="00EF2F4F"/>
    <w:rsid w:val="00EF32BE"/>
    <w:rsid w:val="00EF4FFD"/>
    <w:rsid w:val="00EF61C2"/>
    <w:rsid w:val="00EF6601"/>
    <w:rsid w:val="00EF6DE6"/>
    <w:rsid w:val="00F00219"/>
    <w:rsid w:val="00F00786"/>
    <w:rsid w:val="00F00C30"/>
    <w:rsid w:val="00F024F2"/>
    <w:rsid w:val="00F0269C"/>
    <w:rsid w:val="00F03654"/>
    <w:rsid w:val="00F052BD"/>
    <w:rsid w:val="00F05C21"/>
    <w:rsid w:val="00F06593"/>
    <w:rsid w:val="00F06E6D"/>
    <w:rsid w:val="00F0730C"/>
    <w:rsid w:val="00F07464"/>
    <w:rsid w:val="00F0786F"/>
    <w:rsid w:val="00F10629"/>
    <w:rsid w:val="00F1184D"/>
    <w:rsid w:val="00F11FCB"/>
    <w:rsid w:val="00F123B8"/>
    <w:rsid w:val="00F1323D"/>
    <w:rsid w:val="00F1344F"/>
    <w:rsid w:val="00F14694"/>
    <w:rsid w:val="00F14ACF"/>
    <w:rsid w:val="00F14D73"/>
    <w:rsid w:val="00F15594"/>
    <w:rsid w:val="00F15972"/>
    <w:rsid w:val="00F161D1"/>
    <w:rsid w:val="00F178E6"/>
    <w:rsid w:val="00F252BF"/>
    <w:rsid w:val="00F25A73"/>
    <w:rsid w:val="00F262AC"/>
    <w:rsid w:val="00F26408"/>
    <w:rsid w:val="00F26C27"/>
    <w:rsid w:val="00F272D4"/>
    <w:rsid w:val="00F27A46"/>
    <w:rsid w:val="00F301F7"/>
    <w:rsid w:val="00F30340"/>
    <w:rsid w:val="00F30BCF"/>
    <w:rsid w:val="00F31AAB"/>
    <w:rsid w:val="00F32985"/>
    <w:rsid w:val="00F32F1D"/>
    <w:rsid w:val="00F3331E"/>
    <w:rsid w:val="00F3445A"/>
    <w:rsid w:val="00F34EA6"/>
    <w:rsid w:val="00F36B9A"/>
    <w:rsid w:val="00F3757D"/>
    <w:rsid w:val="00F37776"/>
    <w:rsid w:val="00F40870"/>
    <w:rsid w:val="00F40F99"/>
    <w:rsid w:val="00F4171E"/>
    <w:rsid w:val="00F41B1C"/>
    <w:rsid w:val="00F42196"/>
    <w:rsid w:val="00F44BC1"/>
    <w:rsid w:val="00F476BB"/>
    <w:rsid w:val="00F47FBA"/>
    <w:rsid w:val="00F505CD"/>
    <w:rsid w:val="00F5128C"/>
    <w:rsid w:val="00F52519"/>
    <w:rsid w:val="00F5364F"/>
    <w:rsid w:val="00F537EB"/>
    <w:rsid w:val="00F537F3"/>
    <w:rsid w:val="00F53BD5"/>
    <w:rsid w:val="00F55A73"/>
    <w:rsid w:val="00F56057"/>
    <w:rsid w:val="00F56650"/>
    <w:rsid w:val="00F5686B"/>
    <w:rsid w:val="00F56B01"/>
    <w:rsid w:val="00F57044"/>
    <w:rsid w:val="00F57E5F"/>
    <w:rsid w:val="00F60047"/>
    <w:rsid w:val="00F606D8"/>
    <w:rsid w:val="00F61E2F"/>
    <w:rsid w:val="00F63240"/>
    <w:rsid w:val="00F63490"/>
    <w:rsid w:val="00F651C0"/>
    <w:rsid w:val="00F66FB8"/>
    <w:rsid w:val="00F70247"/>
    <w:rsid w:val="00F70CF0"/>
    <w:rsid w:val="00F70E6B"/>
    <w:rsid w:val="00F71468"/>
    <w:rsid w:val="00F71A45"/>
    <w:rsid w:val="00F71BA4"/>
    <w:rsid w:val="00F72A9A"/>
    <w:rsid w:val="00F72CB9"/>
    <w:rsid w:val="00F7303C"/>
    <w:rsid w:val="00F737EC"/>
    <w:rsid w:val="00F74057"/>
    <w:rsid w:val="00F741A2"/>
    <w:rsid w:val="00F741BA"/>
    <w:rsid w:val="00F75AA6"/>
    <w:rsid w:val="00F76BDD"/>
    <w:rsid w:val="00F81112"/>
    <w:rsid w:val="00F82F75"/>
    <w:rsid w:val="00F83176"/>
    <w:rsid w:val="00F84036"/>
    <w:rsid w:val="00F8439A"/>
    <w:rsid w:val="00F846D0"/>
    <w:rsid w:val="00F8580F"/>
    <w:rsid w:val="00F85A99"/>
    <w:rsid w:val="00F85F31"/>
    <w:rsid w:val="00F85F9E"/>
    <w:rsid w:val="00F8610E"/>
    <w:rsid w:val="00F86B65"/>
    <w:rsid w:val="00F86DCC"/>
    <w:rsid w:val="00F86E9E"/>
    <w:rsid w:val="00F87F16"/>
    <w:rsid w:val="00F90CD9"/>
    <w:rsid w:val="00F90D5D"/>
    <w:rsid w:val="00F91C70"/>
    <w:rsid w:val="00F9263B"/>
    <w:rsid w:val="00F92A6E"/>
    <w:rsid w:val="00F92F9A"/>
    <w:rsid w:val="00F9327A"/>
    <w:rsid w:val="00F93683"/>
    <w:rsid w:val="00F94387"/>
    <w:rsid w:val="00F94B40"/>
    <w:rsid w:val="00F9542A"/>
    <w:rsid w:val="00F95D84"/>
    <w:rsid w:val="00F969E6"/>
    <w:rsid w:val="00F96A70"/>
    <w:rsid w:val="00F96FD3"/>
    <w:rsid w:val="00F9708F"/>
    <w:rsid w:val="00F97BA0"/>
    <w:rsid w:val="00FA15F4"/>
    <w:rsid w:val="00FA1DA9"/>
    <w:rsid w:val="00FA1ED8"/>
    <w:rsid w:val="00FA41F3"/>
    <w:rsid w:val="00FA42D0"/>
    <w:rsid w:val="00FA4B6F"/>
    <w:rsid w:val="00FA5F0A"/>
    <w:rsid w:val="00FA670B"/>
    <w:rsid w:val="00FA6764"/>
    <w:rsid w:val="00FA760D"/>
    <w:rsid w:val="00FA78F4"/>
    <w:rsid w:val="00FA7B6A"/>
    <w:rsid w:val="00FB18A4"/>
    <w:rsid w:val="00FB2777"/>
    <w:rsid w:val="00FB2E54"/>
    <w:rsid w:val="00FB365B"/>
    <w:rsid w:val="00FB386B"/>
    <w:rsid w:val="00FB3C8D"/>
    <w:rsid w:val="00FB4CDA"/>
    <w:rsid w:val="00FB5505"/>
    <w:rsid w:val="00FB6025"/>
    <w:rsid w:val="00FB6B94"/>
    <w:rsid w:val="00FC0041"/>
    <w:rsid w:val="00FC109C"/>
    <w:rsid w:val="00FC1306"/>
    <w:rsid w:val="00FC20BE"/>
    <w:rsid w:val="00FC3732"/>
    <w:rsid w:val="00FC375C"/>
    <w:rsid w:val="00FC3921"/>
    <w:rsid w:val="00FC3CCC"/>
    <w:rsid w:val="00FC3E3A"/>
    <w:rsid w:val="00FC3F19"/>
    <w:rsid w:val="00FC6D28"/>
    <w:rsid w:val="00FC70AB"/>
    <w:rsid w:val="00FC72E1"/>
    <w:rsid w:val="00FC7592"/>
    <w:rsid w:val="00FC79DA"/>
    <w:rsid w:val="00FD28D8"/>
    <w:rsid w:val="00FD2F12"/>
    <w:rsid w:val="00FD45A8"/>
    <w:rsid w:val="00FD4629"/>
    <w:rsid w:val="00FD5CFF"/>
    <w:rsid w:val="00FD5DBC"/>
    <w:rsid w:val="00FD683E"/>
    <w:rsid w:val="00FE047A"/>
    <w:rsid w:val="00FE090A"/>
    <w:rsid w:val="00FE0A30"/>
    <w:rsid w:val="00FE14B8"/>
    <w:rsid w:val="00FE181A"/>
    <w:rsid w:val="00FE1B95"/>
    <w:rsid w:val="00FE29A0"/>
    <w:rsid w:val="00FE2CA5"/>
    <w:rsid w:val="00FE33F7"/>
    <w:rsid w:val="00FE352C"/>
    <w:rsid w:val="00FE48D3"/>
    <w:rsid w:val="00FE50E9"/>
    <w:rsid w:val="00FE5171"/>
    <w:rsid w:val="00FE53AE"/>
    <w:rsid w:val="00FE5C7E"/>
    <w:rsid w:val="00FE6440"/>
    <w:rsid w:val="00FE6587"/>
    <w:rsid w:val="00FE7128"/>
    <w:rsid w:val="00FF08C3"/>
    <w:rsid w:val="00FF1546"/>
    <w:rsid w:val="00FF180F"/>
    <w:rsid w:val="00FF2121"/>
    <w:rsid w:val="00FF268C"/>
    <w:rsid w:val="00FF2B7C"/>
    <w:rsid w:val="00FF36C4"/>
    <w:rsid w:val="00FF4B59"/>
    <w:rsid w:val="00FF55F4"/>
    <w:rsid w:val="00FF5697"/>
    <w:rsid w:val="00FF5849"/>
    <w:rsid w:val="00FF6160"/>
    <w:rsid w:val="00FF61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1CE12B"/>
  <w14:defaultImageDpi w14:val="330"/>
  <w15:docId w15:val="{3F169F19-7A88-294D-82E5-EF6E3437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2C7"/>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8DD"/>
  </w:style>
  <w:style w:type="paragraph" w:styleId="BalloonText">
    <w:name w:val="Balloon Text"/>
    <w:basedOn w:val="Normal"/>
    <w:link w:val="BalloonTextChar"/>
    <w:uiPriority w:val="99"/>
    <w:semiHidden/>
    <w:unhideWhenUsed/>
    <w:rsid w:val="000B4A92"/>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0B4A92"/>
    <w:rPr>
      <w:rFonts w:ascii="Lucida Grande" w:hAnsi="Lucida Grande" w:cs="Lucida Grande"/>
      <w:sz w:val="18"/>
      <w:szCs w:val="18"/>
    </w:rPr>
  </w:style>
  <w:style w:type="character" w:styleId="Emphasis">
    <w:name w:val="Emphasis"/>
    <w:basedOn w:val="DefaultParagraphFont"/>
    <w:uiPriority w:val="20"/>
    <w:qFormat/>
    <w:rsid w:val="00AE6613"/>
    <w:rPr>
      <w:i/>
      <w:iCs/>
    </w:rPr>
  </w:style>
  <w:style w:type="character" w:customStyle="1" w:styleId="apple-converted-space">
    <w:name w:val="apple-converted-space"/>
    <w:basedOn w:val="DefaultParagraphFont"/>
    <w:rsid w:val="00AE6613"/>
  </w:style>
  <w:style w:type="character" w:styleId="Hyperlink">
    <w:name w:val="Hyperlink"/>
    <w:basedOn w:val="DefaultParagraphFont"/>
    <w:uiPriority w:val="99"/>
    <w:unhideWhenUsed/>
    <w:rsid w:val="00C15E0F"/>
    <w:rPr>
      <w:color w:val="0000FF" w:themeColor="hyperlink"/>
      <w:u w:val="single"/>
    </w:rPr>
  </w:style>
  <w:style w:type="paragraph" w:styleId="FootnoteText">
    <w:name w:val="footnote text"/>
    <w:basedOn w:val="Normal"/>
    <w:link w:val="FootnoteTextChar"/>
    <w:uiPriority w:val="99"/>
    <w:unhideWhenUsed/>
    <w:rsid w:val="002D755C"/>
    <w:rPr>
      <w:rFonts w:eastAsiaTheme="minorEastAsia"/>
    </w:rPr>
  </w:style>
  <w:style w:type="character" w:customStyle="1" w:styleId="FootnoteTextChar">
    <w:name w:val="Footnote Text Char"/>
    <w:basedOn w:val="DefaultParagraphFont"/>
    <w:link w:val="FootnoteText"/>
    <w:uiPriority w:val="99"/>
    <w:rsid w:val="002D755C"/>
  </w:style>
  <w:style w:type="character" w:styleId="FootnoteReference">
    <w:name w:val="footnote reference"/>
    <w:basedOn w:val="DefaultParagraphFont"/>
    <w:uiPriority w:val="99"/>
    <w:unhideWhenUsed/>
    <w:rsid w:val="002D755C"/>
    <w:rPr>
      <w:vertAlign w:val="superscript"/>
    </w:rPr>
  </w:style>
  <w:style w:type="character" w:styleId="PlaceholderText">
    <w:name w:val="Placeholder Text"/>
    <w:basedOn w:val="DefaultParagraphFont"/>
    <w:uiPriority w:val="99"/>
    <w:semiHidden/>
    <w:rsid w:val="00CA297E"/>
    <w:rPr>
      <w:color w:val="808080"/>
    </w:rPr>
  </w:style>
  <w:style w:type="character" w:styleId="HTMLCode">
    <w:name w:val="HTML Code"/>
    <w:basedOn w:val="DefaultParagraphFont"/>
    <w:uiPriority w:val="99"/>
    <w:semiHidden/>
    <w:unhideWhenUsed/>
    <w:rsid w:val="00840555"/>
    <w:rPr>
      <w:rFonts w:ascii="Courier" w:eastAsiaTheme="minorEastAsia" w:hAnsi="Courier" w:cs="Courier"/>
      <w:sz w:val="20"/>
      <w:szCs w:val="20"/>
    </w:rPr>
  </w:style>
  <w:style w:type="paragraph" w:styleId="Header">
    <w:name w:val="header"/>
    <w:basedOn w:val="Normal"/>
    <w:link w:val="HeaderChar"/>
    <w:uiPriority w:val="99"/>
    <w:unhideWhenUsed/>
    <w:rsid w:val="003F42CB"/>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3F42CB"/>
  </w:style>
  <w:style w:type="character" w:styleId="PageNumber">
    <w:name w:val="page number"/>
    <w:basedOn w:val="DefaultParagraphFont"/>
    <w:uiPriority w:val="99"/>
    <w:semiHidden/>
    <w:unhideWhenUsed/>
    <w:rsid w:val="003F42CB"/>
  </w:style>
  <w:style w:type="paragraph" w:styleId="Footer">
    <w:name w:val="footer"/>
    <w:basedOn w:val="Normal"/>
    <w:link w:val="FooterChar"/>
    <w:uiPriority w:val="99"/>
    <w:unhideWhenUsed/>
    <w:rsid w:val="003F42CB"/>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3F42CB"/>
  </w:style>
  <w:style w:type="paragraph" w:styleId="HTMLPreformatted">
    <w:name w:val="HTML Preformatted"/>
    <w:basedOn w:val="Normal"/>
    <w:link w:val="HTMLPreformattedChar"/>
    <w:uiPriority w:val="99"/>
    <w:semiHidden/>
    <w:unhideWhenUsed/>
    <w:rsid w:val="00F44BC1"/>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F44BC1"/>
    <w:rPr>
      <w:rFonts w:ascii="Courier" w:hAnsi="Courier"/>
      <w:sz w:val="20"/>
      <w:szCs w:val="20"/>
    </w:rPr>
  </w:style>
  <w:style w:type="character" w:styleId="FollowedHyperlink">
    <w:name w:val="FollowedHyperlink"/>
    <w:basedOn w:val="DefaultParagraphFont"/>
    <w:uiPriority w:val="99"/>
    <w:semiHidden/>
    <w:unhideWhenUsed/>
    <w:rsid w:val="00257D23"/>
    <w:rPr>
      <w:color w:val="800080" w:themeColor="followedHyperlink"/>
      <w:u w:val="single"/>
    </w:rPr>
  </w:style>
  <w:style w:type="paragraph" w:styleId="ListParagraph">
    <w:name w:val="List Paragraph"/>
    <w:basedOn w:val="Normal"/>
    <w:uiPriority w:val="34"/>
    <w:qFormat/>
    <w:rsid w:val="00695771"/>
    <w:pPr>
      <w:spacing w:after="160" w:line="259" w:lineRule="auto"/>
      <w:ind w:left="720"/>
      <w:contextualSpacing/>
    </w:pPr>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695771"/>
    <w:rPr>
      <w:sz w:val="16"/>
      <w:szCs w:val="16"/>
    </w:rPr>
  </w:style>
  <w:style w:type="paragraph" w:styleId="CommentText">
    <w:name w:val="annotation text"/>
    <w:basedOn w:val="Normal"/>
    <w:link w:val="CommentTextChar"/>
    <w:uiPriority w:val="99"/>
    <w:unhideWhenUsed/>
    <w:rsid w:val="00695771"/>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95771"/>
    <w:rPr>
      <w:rFonts w:asciiTheme="minorHAnsi" w:eastAsiaTheme="minorHAnsi" w:hAnsiTheme="minorHAnsi" w:cstheme="minorBidi"/>
      <w:sz w:val="20"/>
      <w:szCs w:val="20"/>
    </w:rPr>
  </w:style>
  <w:style w:type="character" w:styleId="Strong">
    <w:name w:val="Strong"/>
    <w:basedOn w:val="DefaultParagraphFont"/>
    <w:uiPriority w:val="22"/>
    <w:qFormat/>
    <w:rsid w:val="00695771"/>
    <w:rPr>
      <w:b/>
      <w:bCs/>
    </w:rPr>
  </w:style>
  <w:style w:type="paragraph" w:styleId="CommentSubject">
    <w:name w:val="annotation subject"/>
    <w:basedOn w:val="CommentText"/>
    <w:next w:val="CommentText"/>
    <w:link w:val="CommentSubjectChar"/>
    <w:uiPriority w:val="99"/>
    <w:semiHidden/>
    <w:unhideWhenUsed/>
    <w:rsid w:val="000042F2"/>
    <w:pPr>
      <w:spacing w:after="0"/>
    </w:pPr>
    <w:rPr>
      <w:rFonts w:ascii="Times New Roman" w:eastAsiaTheme="minorEastAsia" w:hAnsi="Times New Roman" w:cs="Times New Roman"/>
      <w:b/>
      <w:bCs/>
    </w:rPr>
  </w:style>
  <w:style w:type="character" w:customStyle="1" w:styleId="CommentSubjectChar">
    <w:name w:val="Comment Subject Char"/>
    <w:basedOn w:val="CommentTextChar"/>
    <w:link w:val="CommentSubject"/>
    <w:uiPriority w:val="99"/>
    <w:semiHidden/>
    <w:rsid w:val="000042F2"/>
    <w:rPr>
      <w:rFonts w:asciiTheme="minorHAnsi" w:eastAsiaTheme="minorHAnsi" w:hAnsiTheme="minorHAnsi" w:cstheme="minorBidi"/>
      <w:b/>
      <w:bCs/>
      <w:sz w:val="20"/>
      <w:szCs w:val="20"/>
    </w:rPr>
  </w:style>
  <w:style w:type="paragraph" w:styleId="Revision">
    <w:name w:val="Revision"/>
    <w:hidden/>
    <w:uiPriority w:val="99"/>
    <w:semiHidden/>
    <w:rsid w:val="00364901"/>
  </w:style>
  <w:style w:type="paragraph" w:styleId="NormalWeb">
    <w:name w:val="Normal (Web)"/>
    <w:basedOn w:val="Normal"/>
    <w:uiPriority w:val="99"/>
    <w:semiHidden/>
    <w:unhideWhenUsed/>
    <w:rsid w:val="004C75BC"/>
  </w:style>
  <w:style w:type="character" w:customStyle="1" w:styleId="label">
    <w:name w:val="label"/>
    <w:basedOn w:val="DefaultParagraphFont"/>
    <w:rsid w:val="003E2077"/>
  </w:style>
  <w:style w:type="character" w:customStyle="1" w:styleId="UnresolvedMention1">
    <w:name w:val="Unresolved Mention1"/>
    <w:basedOn w:val="DefaultParagraphFont"/>
    <w:uiPriority w:val="99"/>
    <w:semiHidden/>
    <w:unhideWhenUsed/>
    <w:rsid w:val="00545614"/>
    <w:rPr>
      <w:color w:val="605E5C"/>
      <w:shd w:val="clear" w:color="auto" w:fill="E1DFDD"/>
    </w:rPr>
  </w:style>
  <w:style w:type="character" w:styleId="UnresolvedMention">
    <w:name w:val="Unresolved Mention"/>
    <w:basedOn w:val="DefaultParagraphFont"/>
    <w:uiPriority w:val="99"/>
    <w:semiHidden/>
    <w:unhideWhenUsed/>
    <w:rsid w:val="00E010BE"/>
    <w:rPr>
      <w:color w:val="605E5C"/>
      <w:shd w:val="clear" w:color="auto" w:fill="E1DFDD"/>
    </w:rPr>
  </w:style>
  <w:style w:type="character" w:customStyle="1" w:styleId="fontstyle11">
    <w:name w:val="fontstyle11"/>
    <w:basedOn w:val="DefaultParagraphFont"/>
    <w:rsid w:val="00081AE4"/>
    <w:rPr>
      <w:rFonts w:ascii="Palatino-Roman" w:hAnsi="Palatino-Roman" w:hint="default"/>
      <w:b w:val="0"/>
      <w:bCs w:val="0"/>
      <w:i w:val="0"/>
      <w:iCs w:val="0"/>
      <w:color w:val="24202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8940">
      <w:bodyDiv w:val="1"/>
      <w:marLeft w:val="0"/>
      <w:marRight w:val="0"/>
      <w:marTop w:val="0"/>
      <w:marBottom w:val="0"/>
      <w:divBdr>
        <w:top w:val="none" w:sz="0" w:space="0" w:color="auto"/>
        <w:left w:val="none" w:sz="0" w:space="0" w:color="auto"/>
        <w:bottom w:val="none" w:sz="0" w:space="0" w:color="auto"/>
        <w:right w:val="none" w:sz="0" w:space="0" w:color="auto"/>
      </w:divBdr>
    </w:div>
    <w:div w:id="70348859">
      <w:bodyDiv w:val="1"/>
      <w:marLeft w:val="0"/>
      <w:marRight w:val="0"/>
      <w:marTop w:val="0"/>
      <w:marBottom w:val="0"/>
      <w:divBdr>
        <w:top w:val="none" w:sz="0" w:space="0" w:color="auto"/>
        <w:left w:val="none" w:sz="0" w:space="0" w:color="auto"/>
        <w:bottom w:val="none" w:sz="0" w:space="0" w:color="auto"/>
        <w:right w:val="none" w:sz="0" w:space="0" w:color="auto"/>
      </w:divBdr>
    </w:div>
    <w:div w:id="97019688">
      <w:bodyDiv w:val="1"/>
      <w:marLeft w:val="0"/>
      <w:marRight w:val="0"/>
      <w:marTop w:val="0"/>
      <w:marBottom w:val="0"/>
      <w:divBdr>
        <w:top w:val="none" w:sz="0" w:space="0" w:color="auto"/>
        <w:left w:val="none" w:sz="0" w:space="0" w:color="auto"/>
        <w:bottom w:val="none" w:sz="0" w:space="0" w:color="auto"/>
        <w:right w:val="none" w:sz="0" w:space="0" w:color="auto"/>
      </w:divBdr>
    </w:div>
    <w:div w:id="138152627">
      <w:bodyDiv w:val="1"/>
      <w:marLeft w:val="0"/>
      <w:marRight w:val="0"/>
      <w:marTop w:val="0"/>
      <w:marBottom w:val="0"/>
      <w:divBdr>
        <w:top w:val="none" w:sz="0" w:space="0" w:color="auto"/>
        <w:left w:val="none" w:sz="0" w:space="0" w:color="auto"/>
        <w:bottom w:val="none" w:sz="0" w:space="0" w:color="auto"/>
        <w:right w:val="none" w:sz="0" w:space="0" w:color="auto"/>
      </w:divBdr>
    </w:div>
    <w:div w:id="146170044">
      <w:bodyDiv w:val="1"/>
      <w:marLeft w:val="0"/>
      <w:marRight w:val="0"/>
      <w:marTop w:val="0"/>
      <w:marBottom w:val="0"/>
      <w:divBdr>
        <w:top w:val="none" w:sz="0" w:space="0" w:color="auto"/>
        <w:left w:val="none" w:sz="0" w:space="0" w:color="auto"/>
        <w:bottom w:val="none" w:sz="0" w:space="0" w:color="auto"/>
        <w:right w:val="none" w:sz="0" w:space="0" w:color="auto"/>
      </w:divBdr>
    </w:div>
    <w:div w:id="167793252">
      <w:bodyDiv w:val="1"/>
      <w:marLeft w:val="0"/>
      <w:marRight w:val="0"/>
      <w:marTop w:val="0"/>
      <w:marBottom w:val="0"/>
      <w:divBdr>
        <w:top w:val="none" w:sz="0" w:space="0" w:color="auto"/>
        <w:left w:val="none" w:sz="0" w:space="0" w:color="auto"/>
        <w:bottom w:val="none" w:sz="0" w:space="0" w:color="auto"/>
        <w:right w:val="none" w:sz="0" w:space="0" w:color="auto"/>
      </w:divBdr>
    </w:div>
    <w:div w:id="180054046">
      <w:bodyDiv w:val="1"/>
      <w:marLeft w:val="0"/>
      <w:marRight w:val="0"/>
      <w:marTop w:val="0"/>
      <w:marBottom w:val="0"/>
      <w:divBdr>
        <w:top w:val="none" w:sz="0" w:space="0" w:color="auto"/>
        <w:left w:val="none" w:sz="0" w:space="0" w:color="auto"/>
        <w:bottom w:val="none" w:sz="0" w:space="0" w:color="auto"/>
        <w:right w:val="none" w:sz="0" w:space="0" w:color="auto"/>
      </w:divBdr>
    </w:div>
    <w:div w:id="225648690">
      <w:bodyDiv w:val="1"/>
      <w:marLeft w:val="0"/>
      <w:marRight w:val="0"/>
      <w:marTop w:val="0"/>
      <w:marBottom w:val="0"/>
      <w:divBdr>
        <w:top w:val="none" w:sz="0" w:space="0" w:color="auto"/>
        <w:left w:val="none" w:sz="0" w:space="0" w:color="auto"/>
        <w:bottom w:val="none" w:sz="0" w:space="0" w:color="auto"/>
        <w:right w:val="none" w:sz="0" w:space="0" w:color="auto"/>
      </w:divBdr>
    </w:div>
    <w:div w:id="242684342">
      <w:bodyDiv w:val="1"/>
      <w:marLeft w:val="0"/>
      <w:marRight w:val="0"/>
      <w:marTop w:val="0"/>
      <w:marBottom w:val="0"/>
      <w:divBdr>
        <w:top w:val="none" w:sz="0" w:space="0" w:color="auto"/>
        <w:left w:val="none" w:sz="0" w:space="0" w:color="auto"/>
        <w:bottom w:val="none" w:sz="0" w:space="0" w:color="auto"/>
        <w:right w:val="none" w:sz="0" w:space="0" w:color="auto"/>
      </w:divBdr>
    </w:div>
    <w:div w:id="253511438">
      <w:bodyDiv w:val="1"/>
      <w:marLeft w:val="0"/>
      <w:marRight w:val="0"/>
      <w:marTop w:val="0"/>
      <w:marBottom w:val="0"/>
      <w:divBdr>
        <w:top w:val="none" w:sz="0" w:space="0" w:color="auto"/>
        <w:left w:val="none" w:sz="0" w:space="0" w:color="auto"/>
        <w:bottom w:val="none" w:sz="0" w:space="0" w:color="auto"/>
        <w:right w:val="none" w:sz="0" w:space="0" w:color="auto"/>
      </w:divBdr>
    </w:div>
    <w:div w:id="274868972">
      <w:bodyDiv w:val="1"/>
      <w:marLeft w:val="0"/>
      <w:marRight w:val="0"/>
      <w:marTop w:val="0"/>
      <w:marBottom w:val="0"/>
      <w:divBdr>
        <w:top w:val="none" w:sz="0" w:space="0" w:color="auto"/>
        <w:left w:val="none" w:sz="0" w:space="0" w:color="auto"/>
        <w:bottom w:val="none" w:sz="0" w:space="0" w:color="auto"/>
        <w:right w:val="none" w:sz="0" w:space="0" w:color="auto"/>
      </w:divBdr>
    </w:div>
    <w:div w:id="279654397">
      <w:bodyDiv w:val="1"/>
      <w:marLeft w:val="0"/>
      <w:marRight w:val="0"/>
      <w:marTop w:val="0"/>
      <w:marBottom w:val="0"/>
      <w:divBdr>
        <w:top w:val="none" w:sz="0" w:space="0" w:color="auto"/>
        <w:left w:val="none" w:sz="0" w:space="0" w:color="auto"/>
        <w:bottom w:val="none" w:sz="0" w:space="0" w:color="auto"/>
        <w:right w:val="none" w:sz="0" w:space="0" w:color="auto"/>
      </w:divBdr>
    </w:div>
    <w:div w:id="309214913">
      <w:bodyDiv w:val="1"/>
      <w:marLeft w:val="0"/>
      <w:marRight w:val="0"/>
      <w:marTop w:val="0"/>
      <w:marBottom w:val="0"/>
      <w:divBdr>
        <w:top w:val="none" w:sz="0" w:space="0" w:color="auto"/>
        <w:left w:val="none" w:sz="0" w:space="0" w:color="auto"/>
        <w:bottom w:val="none" w:sz="0" w:space="0" w:color="auto"/>
        <w:right w:val="none" w:sz="0" w:space="0" w:color="auto"/>
      </w:divBdr>
    </w:div>
    <w:div w:id="323514014">
      <w:bodyDiv w:val="1"/>
      <w:marLeft w:val="0"/>
      <w:marRight w:val="0"/>
      <w:marTop w:val="0"/>
      <w:marBottom w:val="0"/>
      <w:divBdr>
        <w:top w:val="none" w:sz="0" w:space="0" w:color="auto"/>
        <w:left w:val="none" w:sz="0" w:space="0" w:color="auto"/>
        <w:bottom w:val="none" w:sz="0" w:space="0" w:color="auto"/>
        <w:right w:val="none" w:sz="0" w:space="0" w:color="auto"/>
      </w:divBdr>
    </w:div>
    <w:div w:id="360208224">
      <w:bodyDiv w:val="1"/>
      <w:marLeft w:val="0"/>
      <w:marRight w:val="0"/>
      <w:marTop w:val="0"/>
      <w:marBottom w:val="0"/>
      <w:divBdr>
        <w:top w:val="none" w:sz="0" w:space="0" w:color="auto"/>
        <w:left w:val="none" w:sz="0" w:space="0" w:color="auto"/>
        <w:bottom w:val="none" w:sz="0" w:space="0" w:color="auto"/>
        <w:right w:val="none" w:sz="0" w:space="0" w:color="auto"/>
      </w:divBdr>
    </w:div>
    <w:div w:id="406809302">
      <w:bodyDiv w:val="1"/>
      <w:marLeft w:val="0"/>
      <w:marRight w:val="0"/>
      <w:marTop w:val="0"/>
      <w:marBottom w:val="0"/>
      <w:divBdr>
        <w:top w:val="none" w:sz="0" w:space="0" w:color="auto"/>
        <w:left w:val="none" w:sz="0" w:space="0" w:color="auto"/>
        <w:bottom w:val="none" w:sz="0" w:space="0" w:color="auto"/>
        <w:right w:val="none" w:sz="0" w:space="0" w:color="auto"/>
      </w:divBdr>
    </w:div>
    <w:div w:id="412557714">
      <w:bodyDiv w:val="1"/>
      <w:marLeft w:val="0"/>
      <w:marRight w:val="0"/>
      <w:marTop w:val="0"/>
      <w:marBottom w:val="0"/>
      <w:divBdr>
        <w:top w:val="none" w:sz="0" w:space="0" w:color="auto"/>
        <w:left w:val="none" w:sz="0" w:space="0" w:color="auto"/>
        <w:bottom w:val="none" w:sz="0" w:space="0" w:color="auto"/>
        <w:right w:val="none" w:sz="0" w:space="0" w:color="auto"/>
      </w:divBdr>
    </w:div>
    <w:div w:id="430005052">
      <w:bodyDiv w:val="1"/>
      <w:marLeft w:val="0"/>
      <w:marRight w:val="0"/>
      <w:marTop w:val="0"/>
      <w:marBottom w:val="0"/>
      <w:divBdr>
        <w:top w:val="none" w:sz="0" w:space="0" w:color="auto"/>
        <w:left w:val="none" w:sz="0" w:space="0" w:color="auto"/>
        <w:bottom w:val="none" w:sz="0" w:space="0" w:color="auto"/>
        <w:right w:val="none" w:sz="0" w:space="0" w:color="auto"/>
      </w:divBdr>
    </w:div>
    <w:div w:id="452360136">
      <w:bodyDiv w:val="1"/>
      <w:marLeft w:val="0"/>
      <w:marRight w:val="0"/>
      <w:marTop w:val="0"/>
      <w:marBottom w:val="0"/>
      <w:divBdr>
        <w:top w:val="none" w:sz="0" w:space="0" w:color="auto"/>
        <w:left w:val="none" w:sz="0" w:space="0" w:color="auto"/>
        <w:bottom w:val="none" w:sz="0" w:space="0" w:color="auto"/>
        <w:right w:val="none" w:sz="0" w:space="0" w:color="auto"/>
      </w:divBdr>
    </w:div>
    <w:div w:id="462042357">
      <w:bodyDiv w:val="1"/>
      <w:marLeft w:val="0"/>
      <w:marRight w:val="0"/>
      <w:marTop w:val="0"/>
      <w:marBottom w:val="0"/>
      <w:divBdr>
        <w:top w:val="none" w:sz="0" w:space="0" w:color="auto"/>
        <w:left w:val="none" w:sz="0" w:space="0" w:color="auto"/>
        <w:bottom w:val="none" w:sz="0" w:space="0" w:color="auto"/>
        <w:right w:val="none" w:sz="0" w:space="0" w:color="auto"/>
      </w:divBdr>
    </w:div>
    <w:div w:id="474415901">
      <w:bodyDiv w:val="1"/>
      <w:marLeft w:val="0"/>
      <w:marRight w:val="0"/>
      <w:marTop w:val="0"/>
      <w:marBottom w:val="0"/>
      <w:divBdr>
        <w:top w:val="none" w:sz="0" w:space="0" w:color="auto"/>
        <w:left w:val="none" w:sz="0" w:space="0" w:color="auto"/>
        <w:bottom w:val="none" w:sz="0" w:space="0" w:color="auto"/>
        <w:right w:val="none" w:sz="0" w:space="0" w:color="auto"/>
      </w:divBdr>
    </w:div>
    <w:div w:id="474837431">
      <w:bodyDiv w:val="1"/>
      <w:marLeft w:val="0"/>
      <w:marRight w:val="0"/>
      <w:marTop w:val="0"/>
      <w:marBottom w:val="0"/>
      <w:divBdr>
        <w:top w:val="none" w:sz="0" w:space="0" w:color="auto"/>
        <w:left w:val="none" w:sz="0" w:space="0" w:color="auto"/>
        <w:bottom w:val="none" w:sz="0" w:space="0" w:color="auto"/>
        <w:right w:val="none" w:sz="0" w:space="0" w:color="auto"/>
      </w:divBdr>
    </w:div>
    <w:div w:id="493029820">
      <w:bodyDiv w:val="1"/>
      <w:marLeft w:val="0"/>
      <w:marRight w:val="0"/>
      <w:marTop w:val="0"/>
      <w:marBottom w:val="0"/>
      <w:divBdr>
        <w:top w:val="none" w:sz="0" w:space="0" w:color="auto"/>
        <w:left w:val="none" w:sz="0" w:space="0" w:color="auto"/>
        <w:bottom w:val="none" w:sz="0" w:space="0" w:color="auto"/>
        <w:right w:val="none" w:sz="0" w:space="0" w:color="auto"/>
      </w:divBdr>
    </w:div>
    <w:div w:id="511147090">
      <w:bodyDiv w:val="1"/>
      <w:marLeft w:val="0"/>
      <w:marRight w:val="0"/>
      <w:marTop w:val="0"/>
      <w:marBottom w:val="0"/>
      <w:divBdr>
        <w:top w:val="none" w:sz="0" w:space="0" w:color="auto"/>
        <w:left w:val="none" w:sz="0" w:space="0" w:color="auto"/>
        <w:bottom w:val="none" w:sz="0" w:space="0" w:color="auto"/>
        <w:right w:val="none" w:sz="0" w:space="0" w:color="auto"/>
      </w:divBdr>
    </w:div>
    <w:div w:id="527833574">
      <w:bodyDiv w:val="1"/>
      <w:marLeft w:val="0"/>
      <w:marRight w:val="0"/>
      <w:marTop w:val="0"/>
      <w:marBottom w:val="0"/>
      <w:divBdr>
        <w:top w:val="none" w:sz="0" w:space="0" w:color="auto"/>
        <w:left w:val="none" w:sz="0" w:space="0" w:color="auto"/>
        <w:bottom w:val="none" w:sz="0" w:space="0" w:color="auto"/>
        <w:right w:val="none" w:sz="0" w:space="0" w:color="auto"/>
      </w:divBdr>
    </w:div>
    <w:div w:id="557011820">
      <w:bodyDiv w:val="1"/>
      <w:marLeft w:val="0"/>
      <w:marRight w:val="0"/>
      <w:marTop w:val="0"/>
      <w:marBottom w:val="0"/>
      <w:divBdr>
        <w:top w:val="none" w:sz="0" w:space="0" w:color="auto"/>
        <w:left w:val="none" w:sz="0" w:space="0" w:color="auto"/>
        <w:bottom w:val="none" w:sz="0" w:space="0" w:color="auto"/>
        <w:right w:val="none" w:sz="0" w:space="0" w:color="auto"/>
      </w:divBdr>
    </w:div>
    <w:div w:id="568538784">
      <w:bodyDiv w:val="1"/>
      <w:marLeft w:val="0"/>
      <w:marRight w:val="0"/>
      <w:marTop w:val="0"/>
      <w:marBottom w:val="0"/>
      <w:divBdr>
        <w:top w:val="none" w:sz="0" w:space="0" w:color="auto"/>
        <w:left w:val="none" w:sz="0" w:space="0" w:color="auto"/>
        <w:bottom w:val="none" w:sz="0" w:space="0" w:color="auto"/>
        <w:right w:val="none" w:sz="0" w:space="0" w:color="auto"/>
      </w:divBdr>
    </w:div>
    <w:div w:id="576592612">
      <w:bodyDiv w:val="1"/>
      <w:marLeft w:val="0"/>
      <w:marRight w:val="0"/>
      <w:marTop w:val="0"/>
      <w:marBottom w:val="0"/>
      <w:divBdr>
        <w:top w:val="none" w:sz="0" w:space="0" w:color="auto"/>
        <w:left w:val="none" w:sz="0" w:space="0" w:color="auto"/>
        <w:bottom w:val="none" w:sz="0" w:space="0" w:color="auto"/>
        <w:right w:val="none" w:sz="0" w:space="0" w:color="auto"/>
      </w:divBdr>
    </w:div>
    <w:div w:id="607080742">
      <w:bodyDiv w:val="1"/>
      <w:marLeft w:val="0"/>
      <w:marRight w:val="0"/>
      <w:marTop w:val="0"/>
      <w:marBottom w:val="0"/>
      <w:divBdr>
        <w:top w:val="none" w:sz="0" w:space="0" w:color="auto"/>
        <w:left w:val="none" w:sz="0" w:space="0" w:color="auto"/>
        <w:bottom w:val="none" w:sz="0" w:space="0" w:color="auto"/>
        <w:right w:val="none" w:sz="0" w:space="0" w:color="auto"/>
      </w:divBdr>
    </w:div>
    <w:div w:id="647366048">
      <w:bodyDiv w:val="1"/>
      <w:marLeft w:val="0"/>
      <w:marRight w:val="0"/>
      <w:marTop w:val="0"/>
      <w:marBottom w:val="0"/>
      <w:divBdr>
        <w:top w:val="none" w:sz="0" w:space="0" w:color="auto"/>
        <w:left w:val="none" w:sz="0" w:space="0" w:color="auto"/>
        <w:bottom w:val="none" w:sz="0" w:space="0" w:color="auto"/>
        <w:right w:val="none" w:sz="0" w:space="0" w:color="auto"/>
      </w:divBdr>
    </w:div>
    <w:div w:id="651758938">
      <w:bodyDiv w:val="1"/>
      <w:marLeft w:val="0"/>
      <w:marRight w:val="0"/>
      <w:marTop w:val="0"/>
      <w:marBottom w:val="0"/>
      <w:divBdr>
        <w:top w:val="none" w:sz="0" w:space="0" w:color="auto"/>
        <w:left w:val="none" w:sz="0" w:space="0" w:color="auto"/>
        <w:bottom w:val="none" w:sz="0" w:space="0" w:color="auto"/>
        <w:right w:val="none" w:sz="0" w:space="0" w:color="auto"/>
      </w:divBdr>
    </w:div>
    <w:div w:id="666714210">
      <w:bodyDiv w:val="1"/>
      <w:marLeft w:val="0"/>
      <w:marRight w:val="0"/>
      <w:marTop w:val="0"/>
      <w:marBottom w:val="0"/>
      <w:divBdr>
        <w:top w:val="none" w:sz="0" w:space="0" w:color="auto"/>
        <w:left w:val="none" w:sz="0" w:space="0" w:color="auto"/>
        <w:bottom w:val="none" w:sz="0" w:space="0" w:color="auto"/>
        <w:right w:val="none" w:sz="0" w:space="0" w:color="auto"/>
      </w:divBdr>
    </w:div>
    <w:div w:id="674190322">
      <w:bodyDiv w:val="1"/>
      <w:marLeft w:val="0"/>
      <w:marRight w:val="0"/>
      <w:marTop w:val="0"/>
      <w:marBottom w:val="0"/>
      <w:divBdr>
        <w:top w:val="none" w:sz="0" w:space="0" w:color="auto"/>
        <w:left w:val="none" w:sz="0" w:space="0" w:color="auto"/>
        <w:bottom w:val="none" w:sz="0" w:space="0" w:color="auto"/>
        <w:right w:val="none" w:sz="0" w:space="0" w:color="auto"/>
      </w:divBdr>
    </w:div>
    <w:div w:id="681594122">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45953334">
      <w:bodyDiv w:val="1"/>
      <w:marLeft w:val="0"/>
      <w:marRight w:val="0"/>
      <w:marTop w:val="0"/>
      <w:marBottom w:val="0"/>
      <w:divBdr>
        <w:top w:val="none" w:sz="0" w:space="0" w:color="auto"/>
        <w:left w:val="none" w:sz="0" w:space="0" w:color="auto"/>
        <w:bottom w:val="none" w:sz="0" w:space="0" w:color="auto"/>
        <w:right w:val="none" w:sz="0" w:space="0" w:color="auto"/>
      </w:divBdr>
    </w:div>
    <w:div w:id="748117646">
      <w:bodyDiv w:val="1"/>
      <w:marLeft w:val="0"/>
      <w:marRight w:val="0"/>
      <w:marTop w:val="0"/>
      <w:marBottom w:val="0"/>
      <w:divBdr>
        <w:top w:val="none" w:sz="0" w:space="0" w:color="auto"/>
        <w:left w:val="none" w:sz="0" w:space="0" w:color="auto"/>
        <w:bottom w:val="none" w:sz="0" w:space="0" w:color="auto"/>
        <w:right w:val="none" w:sz="0" w:space="0" w:color="auto"/>
      </w:divBdr>
    </w:div>
    <w:div w:id="748426793">
      <w:bodyDiv w:val="1"/>
      <w:marLeft w:val="0"/>
      <w:marRight w:val="0"/>
      <w:marTop w:val="0"/>
      <w:marBottom w:val="0"/>
      <w:divBdr>
        <w:top w:val="none" w:sz="0" w:space="0" w:color="auto"/>
        <w:left w:val="none" w:sz="0" w:space="0" w:color="auto"/>
        <w:bottom w:val="none" w:sz="0" w:space="0" w:color="auto"/>
        <w:right w:val="none" w:sz="0" w:space="0" w:color="auto"/>
      </w:divBdr>
    </w:div>
    <w:div w:id="750396302">
      <w:bodyDiv w:val="1"/>
      <w:marLeft w:val="0"/>
      <w:marRight w:val="0"/>
      <w:marTop w:val="0"/>
      <w:marBottom w:val="0"/>
      <w:divBdr>
        <w:top w:val="none" w:sz="0" w:space="0" w:color="auto"/>
        <w:left w:val="none" w:sz="0" w:space="0" w:color="auto"/>
        <w:bottom w:val="none" w:sz="0" w:space="0" w:color="auto"/>
        <w:right w:val="none" w:sz="0" w:space="0" w:color="auto"/>
      </w:divBdr>
    </w:div>
    <w:div w:id="758676527">
      <w:bodyDiv w:val="1"/>
      <w:marLeft w:val="0"/>
      <w:marRight w:val="0"/>
      <w:marTop w:val="0"/>
      <w:marBottom w:val="0"/>
      <w:divBdr>
        <w:top w:val="none" w:sz="0" w:space="0" w:color="auto"/>
        <w:left w:val="none" w:sz="0" w:space="0" w:color="auto"/>
        <w:bottom w:val="none" w:sz="0" w:space="0" w:color="auto"/>
        <w:right w:val="none" w:sz="0" w:space="0" w:color="auto"/>
      </w:divBdr>
    </w:div>
    <w:div w:id="763382818">
      <w:bodyDiv w:val="1"/>
      <w:marLeft w:val="0"/>
      <w:marRight w:val="0"/>
      <w:marTop w:val="0"/>
      <w:marBottom w:val="0"/>
      <w:divBdr>
        <w:top w:val="none" w:sz="0" w:space="0" w:color="auto"/>
        <w:left w:val="none" w:sz="0" w:space="0" w:color="auto"/>
        <w:bottom w:val="none" w:sz="0" w:space="0" w:color="auto"/>
        <w:right w:val="none" w:sz="0" w:space="0" w:color="auto"/>
      </w:divBdr>
    </w:div>
    <w:div w:id="767775100">
      <w:bodyDiv w:val="1"/>
      <w:marLeft w:val="0"/>
      <w:marRight w:val="0"/>
      <w:marTop w:val="0"/>
      <w:marBottom w:val="0"/>
      <w:divBdr>
        <w:top w:val="none" w:sz="0" w:space="0" w:color="auto"/>
        <w:left w:val="none" w:sz="0" w:space="0" w:color="auto"/>
        <w:bottom w:val="none" w:sz="0" w:space="0" w:color="auto"/>
        <w:right w:val="none" w:sz="0" w:space="0" w:color="auto"/>
      </w:divBdr>
    </w:div>
    <w:div w:id="773549642">
      <w:bodyDiv w:val="1"/>
      <w:marLeft w:val="0"/>
      <w:marRight w:val="0"/>
      <w:marTop w:val="0"/>
      <w:marBottom w:val="0"/>
      <w:divBdr>
        <w:top w:val="none" w:sz="0" w:space="0" w:color="auto"/>
        <w:left w:val="none" w:sz="0" w:space="0" w:color="auto"/>
        <w:bottom w:val="none" w:sz="0" w:space="0" w:color="auto"/>
        <w:right w:val="none" w:sz="0" w:space="0" w:color="auto"/>
      </w:divBdr>
    </w:div>
    <w:div w:id="791436806">
      <w:bodyDiv w:val="1"/>
      <w:marLeft w:val="0"/>
      <w:marRight w:val="0"/>
      <w:marTop w:val="0"/>
      <w:marBottom w:val="0"/>
      <w:divBdr>
        <w:top w:val="none" w:sz="0" w:space="0" w:color="auto"/>
        <w:left w:val="none" w:sz="0" w:space="0" w:color="auto"/>
        <w:bottom w:val="none" w:sz="0" w:space="0" w:color="auto"/>
        <w:right w:val="none" w:sz="0" w:space="0" w:color="auto"/>
      </w:divBdr>
    </w:div>
    <w:div w:id="800271113">
      <w:bodyDiv w:val="1"/>
      <w:marLeft w:val="0"/>
      <w:marRight w:val="0"/>
      <w:marTop w:val="0"/>
      <w:marBottom w:val="0"/>
      <w:divBdr>
        <w:top w:val="none" w:sz="0" w:space="0" w:color="auto"/>
        <w:left w:val="none" w:sz="0" w:space="0" w:color="auto"/>
        <w:bottom w:val="none" w:sz="0" w:space="0" w:color="auto"/>
        <w:right w:val="none" w:sz="0" w:space="0" w:color="auto"/>
      </w:divBdr>
    </w:div>
    <w:div w:id="823666428">
      <w:bodyDiv w:val="1"/>
      <w:marLeft w:val="0"/>
      <w:marRight w:val="0"/>
      <w:marTop w:val="0"/>
      <w:marBottom w:val="0"/>
      <w:divBdr>
        <w:top w:val="none" w:sz="0" w:space="0" w:color="auto"/>
        <w:left w:val="none" w:sz="0" w:space="0" w:color="auto"/>
        <w:bottom w:val="none" w:sz="0" w:space="0" w:color="auto"/>
        <w:right w:val="none" w:sz="0" w:space="0" w:color="auto"/>
      </w:divBdr>
    </w:div>
    <w:div w:id="838152523">
      <w:bodyDiv w:val="1"/>
      <w:marLeft w:val="0"/>
      <w:marRight w:val="0"/>
      <w:marTop w:val="0"/>
      <w:marBottom w:val="0"/>
      <w:divBdr>
        <w:top w:val="none" w:sz="0" w:space="0" w:color="auto"/>
        <w:left w:val="none" w:sz="0" w:space="0" w:color="auto"/>
        <w:bottom w:val="none" w:sz="0" w:space="0" w:color="auto"/>
        <w:right w:val="none" w:sz="0" w:space="0" w:color="auto"/>
      </w:divBdr>
    </w:div>
    <w:div w:id="841433647">
      <w:bodyDiv w:val="1"/>
      <w:marLeft w:val="0"/>
      <w:marRight w:val="0"/>
      <w:marTop w:val="0"/>
      <w:marBottom w:val="0"/>
      <w:divBdr>
        <w:top w:val="none" w:sz="0" w:space="0" w:color="auto"/>
        <w:left w:val="none" w:sz="0" w:space="0" w:color="auto"/>
        <w:bottom w:val="none" w:sz="0" w:space="0" w:color="auto"/>
        <w:right w:val="none" w:sz="0" w:space="0" w:color="auto"/>
      </w:divBdr>
    </w:div>
    <w:div w:id="851144034">
      <w:bodyDiv w:val="1"/>
      <w:marLeft w:val="0"/>
      <w:marRight w:val="0"/>
      <w:marTop w:val="0"/>
      <w:marBottom w:val="0"/>
      <w:divBdr>
        <w:top w:val="none" w:sz="0" w:space="0" w:color="auto"/>
        <w:left w:val="none" w:sz="0" w:space="0" w:color="auto"/>
        <w:bottom w:val="none" w:sz="0" w:space="0" w:color="auto"/>
        <w:right w:val="none" w:sz="0" w:space="0" w:color="auto"/>
      </w:divBdr>
    </w:div>
    <w:div w:id="855384222">
      <w:bodyDiv w:val="1"/>
      <w:marLeft w:val="0"/>
      <w:marRight w:val="0"/>
      <w:marTop w:val="0"/>
      <w:marBottom w:val="0"/>
      <w:divBdr>
        <w:top w:val="none" w:sz="0" w:space="0" w:color="auto"/>
        <w:left w:val="none" w:sz="0" w:space="0" w:color="auto"/>
        <w:bottom w:val="none" w:sz="0" w:space="0" w:color="auto"/>
        <w:right w:val="none" w:sz="0" w:space="0" w:color="auto"/>
      </w:divBdr>
    </w:div>
    <w:div w:id="866403942">
      <w:bodyDiv w:val="1"/>
      <w:marLeft w:val="0"/>
      <w:marRight w:val="0"/>
      <w:marTop w:val="0"/>
      <w:marBottom w:val="0"/>
      <w:divBdr>
        <w:top w:val="none" w:sz="0" w:space="0" w:color="auto"/>
        <w:left w:val="none" w:sz="0" w:space="0" w:color="auto"/>
        <w:bottom w:val="none" w:sz="0" w:space="0" w:color="auto"/>
        <w:right w:val="none" w:sz="0" w:space="0" w:color="auto"/>
      </w:divBdr>
    </w:div>
    <w:div w:id="868032151">
      <w:bodyDiv w:val="1"/>
      <w:marLeft w:val="0"/>
      <w:marRight w:val="0"/>
      <w:marTop w:val="0"/>
      <w:marBottom w:val="0"/>
      <w:divBdr>
        <w:top w:val="none" w:sz="0" w:space="0" w:color="auto"/>
        <w:left w:val="none" w:sz="0" w:space="0" w:color="auto"/>
        <w:bottom w:val="none" w:sz="0" w:space="0" w:color="auto"/>
        <w:right w:val="none" w:sz="0" w:space="0" w:color="auto"/>
      </w:divBdr>
    </w:div>
    <w:div w:id="907569784">
      <w:bodyDiv w:val="1"/>
      <w:marLeft w:val="0"/>
      <w:marRight w:val="0"/>
      <w:marTop w:val="0"/>
      <w:marBottom w:val="0"/>
      <w:divBdr>
        <w:top w:val="none" w:sz="0" w:space="0" w:color="auto"/>
        <w:left w:val="none" w:sz="0" w:space="0" w:color="auto"/>
        <w:bottom w:val="none" w:sz="0" w:space="0" w:color="auto"/>
        <w:right w:val="none" w:sz="0" w:space="0" w:color="auto"/>
      </w:divBdr>
    </w:div>
    <w:div w:id="964307412">
      <w:bodyDiv w:val="1"/>
      <w:marLeft w:val="0"/>
      <w:marRight w:val="0"/>
      <w:marTop w:val="0"/>
      <w:marBottom w:val="0"/>
      <w:divBdr>
        <w:top w:val="none" w:sz="0" w:space="0" w:color="auto"/>
        <w:left w:val="none" w:sz="0" w:space="0" w:color="auto"/>
        <w:bottom w:val="none" w:sz="0" w:space="0" w:color="auto"/>
        <w:right w:val="none" w:sz="0" w:space="0" w:color="auto"/>
      </w:divBdr>
    </w:div>
    <w:div w:id="970286378">
      <w:bodyDiv w:val="1"/>
      <w:marLeft w:val="0"/>
      <w:marRight w:val="0"/>
      <w:marTop w:val="0"/>
      <w:marBottom w:val="0"/>
      <w:divBdr>
        <w:top w:val="none" w:sz="0" w:space="0" w:color="auto"/>
        <w:left w:val="none" w:sz="0" w:space="0" w:color="auto"/>
        <w:bottom w:val="none" w:sz="0" w:space="0" w:color="auto"/>
        <w:right w:val="none" w:sz="0" w:space="0" w:color="auto"/>
      </w:divBdr>
    </w:div>
    <w:div w:id="989603483">
      <w:bodyDiv w:val="1"/>
      <w:marLeft w:val="0"/>
      <w:marRight w:val="0"/>
      <w:marTop w:val="0"/>
      <w:marBottom w:val="0"/>
      <w:divBdr>
        <w:top w:val="none" w:sz="0" w:space="0" w:color="auto"/>
        <w:left w:val="none" w:sz="0" w:space="0" w:color="auto"/>
        <w:bottom w:val="none" w:sz="0" w:space="0" w:color="auto"/>
        <w:right w:val="none" w:sz="0" w:space="0" w:color="auto"/>
      </w:divBdr>
    </w:div>
    <w:div w:id="1001354590">
      <w:bodyDiv w:val="1"/>
      <w:marLeft w:val="0"/>
      <w:marRight w:val="0"/>
      <w:marTop w:val="0"/>
      <w:marBottom w:val="0"/>
      <w:divBdr>
        <w:top w:val="none" w:sz="0" w:space="0" w:color="auto"/>
        <w:left w:val="none" w:sz="0" w:space="0" w:color="auto"/>
        <w:bottom w:val="none" w:sz="0" w:space="0" w:color="auto"/>
        <w:right w:val="none" w:sz="0" w:space="0" w:color="auto"/>
      </w:divBdr>
    </w:div>
    <w:div w:id="1049382431">
      <w:bodyDiv w:val="1"/>
      <w:marLeft w:val="0"/>
      <w:marRight w:val="0"/>
      <w:marTop w:val="0"/>
      <w:marBottom w:val="0"/>
      <w:divBdr>
        <w:top w:val="none" w:sz="0" w:space="0" w:color="auto"/>
        <w:left w:val="none" w:sz="0" w:space="0" w:color="auto"/>
        <w:bottom w:val="none" w:sz="0" w:space="0" w:color="auto"/>
        <w:right w:val="none" w:sz="0" w:space="0" w:color="auto"/>
      </w:divBdr>
    </w:div>
    <w:div w:id="1053772795">
      <w:bodyDiv w:val="1"/>
      <w:marLeft w:val="0"/>
      <w:marRight w:val="0"/>
      <w:marTop w:val="0"/>
      <w:marBottom w:val="0"/>
      <w:divBdr>
        <w:top w:val="none" w:sz="0" w:space="0" w:color="auto"/>
        <w:left w:val="none" w:sz="0" w:space="0" w:color="auto"/>
        <w:bottom w:val="none" w:sz="0" w:space="0" w:color="auto"/>
        <w:right w:val="none" w:sz="0" w:space="0" w:color="auto"/>
      </w:divBdr>
    </w:div>
    <w:div w:id="1065035077">
      <w:bodyDiv w:val="1"/>
      <w:marLeft w:val="0"/>
      <w:marRight w:val="0"/>
      <w:marTop w:val="0"/>
      <w:marBottom w:val="0"/>
      <w:divBdr>
        <w:top w:val="none" w:sz="0" w:space="0" w:color="auto"/>
        <w:left w:val="none" w:sz="0" w:space="0" w:color="auto"/>
        <w:bottom w:val="none" w:sz="0" w:space="0" w:color="auto"/>
        <w:right w:val="none" w:sz="0" w:space="0" w:color="auto"/>
      </w:divBdr>
    </w:div>
    <w:div w:id="1067533506">
      <w:bodyDiv w:val="1"/>
      <w:marLeft w:val="0"/>
      <w:marRight w:val="0"/>
      <w:marTop w:val="0"/>
      <w:marBottom w:val="0"/>
      <w:divBdr>
        <w:top w:val="none" w:sz="0" w:space="0" w:color="auto"/>
        <w:left w:val="none" w:sz="0" w:space="0" w:color="auto"/>
        <w:bottom w:val="none" w:sz="0" w:space="0" w:color="auto"/>
        <w:right w:val="none" w:sz="0" w:space="0" w:color="auto"/>
      </w:divBdr>
    </w:div>
    <w:div w:id="1078943388">
      <w:bodyDiv w:val="1"/>
      <w:marLeft w:val="0"/>
      <w:marRight w:val="0"/>
      <w:marTop w:val="0"/>
      <w:marBottom w:val="0"/>
      <w:divBdr>
        <w:top w:val="none" w:sz="0" w:space="0" w:color="auto"/>
        <w:left w:val="none" w:sz="0" w:space="0" w:color="auto"/>
        <w:bottom w:val="none" w:sz="0" w:space="0" w:color="auto"/>
        <w:right w:val="none" w:sz="0" w:space="0" w:color="auto"/>
      </w:divBdr>
      <w:divsChild>
        <w:div w:id="1824155250">
          <w:marLeft w:val="0"/>
          <w:marRight w:val="0"/>
          <w:marTop w:val="0"/>
          <w:marBottom w:val="0"/>
          <w:divBdr>
            <w:top w:val="none" w:sz="0" w:space="0" w:color="auto"/>
            <w:left w:val="none" w:sz="0" w:space="0" w:color="auto"/>
            <w:bottom w:val="none" w:sz="0" w:space="0" w:color="auto"/>
            <w:right w:val="none" w:sz="0" w:space="0" w:color="auto"/>
          </w:divBdr>
        </w:div>
      </w:divsChild>
    </w:div>
    <w:div w:id="1083646639">
      <w:bodyDiv w:val="1"/>
      <w:marLeft w:val="0"/>
      <w:marRight w:val="0"/>
      <w:marTop w:val="0"/>
      <w:marBottom w:val="0"/>
      <w:divBdr>
        <w:top w:val="none" w:sz="0" w:space="0" w:color="auto"/>
        <w:left w:val="none" w:sz="0" w:space="0" w:color="auto"/>
        <w:bottom w:val="none" w:sz="0" w:space="0" w:color="auto"/>
        <w:right w:val="none" w:sz="0" w:space="0" w:color="auto"/>
      </w:divBdr>
    </w:div>
    <w:div w:id="1105033485">
      <w:bodyDiv w:val="1"/>
      <w:marLeft w:val="0"/>
      <w:marRight w:val="0"/>
      <w:marTop w:val="0"/>
      <w:marBottom w:val="0"/>
      <w:divBdr>
        <w:top w:val="none" w:sz="0" w:space="0" w:color="auto"/>
        <w:left w:val="none" w:sz="0" w:space="0" w:color="auto"/>
        <w:bottom w:val="none" w:sz="0" w:space="0" w:color="auto"/>
        <w:right w:val="none" w:sz="0" w:space="0" w:color="auto"/>
      </w:divBdr>
    </w:div>
    <w:div w:id="1118182573">
      <w:bodyDiv w:val="1"/>
      <w:marLeft w:val="0"/>
      <w:marRight w:val="0"/>
      <w:marTop w:val="0"/>
      <w:marBottom w:val="0"/>
      <w:divBdr>
        <w:top w:val="none" w:sz="0" w:space="0" w:color="auto"/>
        <w:left w:val="none" w:sz="0" w:space="0" w:color="auto"/>
        <w:bottom w:val="none" w:sz="0" w:space="0" w:color="auto"/>
        <w:right w:val="none" w:sz="0" w:space="0" w:color="auto"/>
      </w:divBdr>
    </w:div>
    <w:div w:id="1162625910">
      <w:bodyDiv w:val="1"/>
      <w:marLeft w:val="0"/>
      <w:marRight w:val="0"/>
      <w:marTop w:val="0"/>
      <w:marBottom w:val="0"/>
      <w:divBdr>
        <w:top w:val="none" w:sz="0" w:space="0" w:color="auto"/>
        <w:left w:val="none" w:sz="0" w:space="0" w:color="auto"/>
        <w:bottom w:val="none" w:sz="0" w:space="0" w:color="auto"/>
        <w:right w:val="none" w:sz="0" w:space="0" w:color="auto"/>
      </w:divBdr>
    </w:div>
    <w:div w:id="1175412957">
      <w:bodyDiv w:val="1"/>
      <w:marLeft w:val="0"/>
      <w:marRight w:val="0"/>
      <w:marTop w:val="0"/>
      <w:marBottom w:val="0"/>
      <w:divBdr>
        <w:top w:val="none" w:sz="0" w:space="0" w:color="auto"/>
        <w:left w:val="none" w:sz="0" w:space="0" w:color="auto"/>
        <w:bottom w:val="none" w:sz="0" w:space="0" w:color="auto"/>
        <w:right w:val="none" w:sz="0" w:space="0" w:color="auto"/>
      </w:divBdr>
    </w:div>
    <w:div w:id="1183201492">
      <w:bodyDiv w:val="1"/>
      <w:marLeft w:val="0"/>
      <w:marRight w:val="0"/>
      <w:marTop w:val="0"/>
      <w:marBottom w:val="0"/>
      <w:divBdr>
        <w:top w:val="none" w:sz="0" w:space="0" w:color="auto"/>
        <w:left w:val="none" w:sz="0" w:space="0" w:color="auto"/>
        <w:bottom w:val="none" w:sz="0" w:space="0" w:color="auto"/>
        <w:right w:val="none" w:sz="0" w:space="0" w:color="auto"/>
      </w:divBdr>
    </w:div>
    <w:div w:id="1190559663">
      <w:bodyDiv w:val="1"/>
      <w:marLeft w:val="0"/>
      <w:marRight w:val="0"/>
      <w:marTop w:val="0"/>
      <w:marBottom w:val="0"/>
      <w:divBdr>
        <w:top w:val="none" w:sz="0" w:space="0" w:color="auto"/>
        <w:left w:val="none" w:sz="0" w:space="0" w:color="auto"/>
        <w:bottom w:val="none" w:sz="0" w:space="0" w:color="auto"/>
        <w:right w:val="none" w:sz="0" w:space="0" w:color="auto"/>
      </w:divBdr>
    </w:div>
    <w:div w:id="1215235124">
      <w:bodyDiv w:val="1"/>
      <w:marLeft w:val="0"/>
      <w:marRight w:val="0"/>
      <w:marTop w:val="0"/>
      <w:marBottom w:val="0"/>
      <w:divBdr>
        <w:top w:val="none" w:sz="0" w:space="0" w:color="auto"/>
        <w:left w:val="none" w:sz="0" w:space="0" w:color="auto"/>
        <w:bottom w:val="none" w:sz="0" w:space="0" w:color="auto"/>
        <w:right w:val="none" w:sz="0" w:space="0" w:color="auto"/>
      </w:divBdr>
    </w:div>
    <w:div w:id="1296253686">
      <w:bodyDiv w:val="1"/>
      <w:marLeft w:val="0"/>
      <w:marRight w:val="0"/>
      <w:marTop w:val="0"/>
      <w:marBottom w:val="0"/>
      <w:divBdr>
        <w:top w:val="none" w:sz="0" w:space="0" w:color="auto"/>
        <w:left w:val="none" w:sz="0" w:space="0" w:color="auto"/>
        <w:bottom w:val="none" w:sz="0" w:space="0" w:color="auto"/>
        <w:right w:val="none" w:sz="0" w:space="0" w:color="auto"/>
      </w:divBdr>
    </w:div>
    <w:div w:id="1314991921">
      <w:bodyDiv w:val="1"/>
      <w:marLeft w:val="0"/>
      <w:marRight w:val="0"/>
      <w:marTop w:val="0"/>
      <w:marBottom w:val="0"/>
      <w:divBdr>
        <w:top w:val="none" w:sz="0" w:space="0" w:color="auto"/>
        <w:left w:val="none" w:sz="0" w:space="0" w:color="auto"/>
        <w:bottom w:val="none" w:sz="0" w:space="0" w:color="auto"/>
        <w:right w:val="none" w:sz="0" w:space="0" w:color="auto"/>
      </w:divBdr>
    </w:div>
    <w:div w:id="1322005709">
      <w:bodyDiv w:val="1"/>
      <w:marLeft w:val="0"/>
      <w:marRight w:val="0"/>
      <w:marTop w:val="0"/>
      <w:marBottom w:val="0"/>
      <w:divBdr>
        <w:top w:val="none" w:sz="0" w:space="0" w:color="auto"/>
        <w:left w:val="none" w:sz="0" w:space="0" w:color="auto"/>
        <w:bottom w:val="none" w:sz="0" w:space="0" w:color="auto"/>
        <w:right w:val="none" w:sz="0" w:space="0" w:color="auto"/>
      </w:divBdr>
    </w:div>
    <w:div w:id="1345550014">
      <w:bodyDiv w:val="1"/>
      <w:marLeft w:val="0"/>
      <w:marRight w:val="0"/>
      <w:marTop w:val="0"/>
      <w:marBottom w:val="0"/>
      <w:divBdr>
        <w:top w:val="none" w:sz="0" w:space="0" w:color="auto"/>
        <w:left w:val="none" w:sz="0" w:space="0" w:color="auto"/>
        <w:bottom w:val="none" w:sz="0" w:space="0" w:color="auto"/>
        <w:right w:val="none" w:sz="0" w:space="0" w:color="auto"/>
      </w:divBdr>
    </w:div>
    <w:div w:id="1404453730">
      <w:bodyDiv w:val="1"/>
      <w:marLeft w:val="0"/>
      <w:marRight w:val="0"/>
      <w:marTop w:val="0"/>
      <w:marBottom w:val="0"/>
      <w:divBdr>
        <w:top w:val="none" w:sz="0" w:space="0" w:color="auto"/>
        <w:left w:val="none" w:sz="0" w:space="0" w:color="auto"/>
        <w:bottom w:val="none" w:sz="0" w:space="0" w:color="auto"/>
        <w:right w:val="none" w:sz="0" w:space="0" w:color="auto"/>
      </w:divBdr>
    </w:div>
    <w:div w:id="1407260303">
      <w:bodyDiv w:val="1"/>
      <w:marLeft w:val="0"/>
      <w:marRight w:val="0"/>
      <w:marTop w:val="0"/>
      <w:marBottom w:val="0"/>
      <w:divBdr>
        <w:top w:val="none" w:sz="0" w:space="0" w:color="auto"/>
        <w:left w:val="none" w:sz="0" w:space="0" w:color="auto"/>
        <w:bottom w:val="none" w:sz="0" w:space="0" w:color="auto"/>
        <w:right w:val="none" w:sz="0" w:space="0" w:color="auto"/>
      </w:divBdr>
    </w:div>
    <w:div w:id="1421754885">
      <w:bodyDiv w:val="1"/>
      <w:marLeft w:val="0"/>
      <w:marRight w:val="0"/>
      <w:marTop w:val="0"/>
      <w:marBottom w:val="0"/>
      <w:divBdr>
        <w:top w:val="none" w:sz="0" w:space="0" w:color="auto"/>
        <w:left w:val="none" w:sz="0" w:space="0" w:color="auto"/>
        <w:bottom w:val="none" w:sz="0" w:space="0" w:color="auto"/>
        <w:right w:val="none" w:sz="0" w:space="0" w:color="auto"/>
      </w:divBdr>
    </w:div>
    <w:div w:id="1443456628">
      <w:bodyDiv w:val="1"/>
      <w:marLeft w:val="0"/>
      <w:marRight w:val="0"/>
      <w:marTop w:val="0"/>
      <w:marBottom w:val="0"/>
      <w:divBdr>
        <w:top w:val="none" w:sz="0" w:space="0" w:color="auto"/>
        <w:left w:val="none" w:sz="0" w:space="0" w:color="auto"/>
        <w:bottom w:val="none" w:sz="0" w:space="0" w:color="auto"/>
        <w:right w:val="none" w:sz="0" w:space="0" w:color="auto"/>
      </w:divBdr>
    </w:div>
    <w:div w:id="1444036191">
      <w:bodyDiv w:val="1"/>
      <w:marLeft w:val="0"/>
      <w:marRight w:val="0"/>
      <w:marTop w:val="0"/>
      <w:marBottom w:val="0"/>
      <w:divBdr>
        <w:top w:val="none" w:sz="0" w:space="0" w:color="auto"/>
        <w:left w:val="none" w:sz="0" w:space="0" w:color="auto"/>
        <w:bottom w:val="none" w:sz="0" w:space="0" w:color="auto"/>
        <w:right w:val="none" w:sz="0" w:space="0" w:color="auto"/>
      </w:divBdr>
    </w:div>
    <w:div w:id="1444501218">
      <w:bodyDiv w:val="1"/>
      <w:marLeft w:val="0"/>
      <w:marRight w:val="0"/>
      <w:marTop w:val="0"/>
      <w:marBottom w:val="0"/>
      <w:divBdr>
        <w:top w:val="none" w:sz="0" w:space="0" w:color="auto"/>
        <w:left w:val="none" w:sz="0" w:space="0" w:color="auto"/>
        <w:bottom w:val="none" w:sz="0" w:space="0" w:color="auto"/>
        <w:right w:val="none" w:sz="0" w:space="0" w:color="auto"/>
      </w:divBdr>
    </w:div>
    <w:div w:id="1459757450">
      <w:bodyDiv w:val="1"/>
      <w:marLeft w:val="0"/>
      <w:marRight w:val="0"/>
      <w:marTop w:val="0"/>
      <w:marBottom w:val="0"/>
      <w:divBdr>
        <w:top w:val="none" w:sz="0" w:space="0" w:color="auto"/>
        <w:left w:val="none" w:sz="0" w:space="0" w:color="auto"/>
        <w:bottom w:val="none" w:sz="0" w:space="0" w:color="auto"/>
        <w:right w:val="none" w:sz="0" w:space="0" w:color="auto"/>
      </w:divBdr>
    </w:div>
    <w:div w:id="1461455919">
      <w:bodyDiv w:val="1"/>
      <w:marLeft w:val="0"/>
      <w:marRight w:val="0"/>
      <w:marTop w:val="0"/>
      <w:marBottom w:val="0"/>
      <w:divBdr>
        <w:top w:val="none" w:sz="0" w:space="0" w:color="auto"/>
        <w:left w:val="none" w:sz="0" w:space="0" w:color="auto"/>
        <w:bottom w:val="none" w:sz="0" w:space="0" w:color="auto"/>
        <w:right w:val="none" w:sz="0" w:space="0" w:color="auto"/>
      </w:divBdr>
    </w:div>
    <w:div w:id="1466898498">
      <w:bodyDiv w:val="1"/>
      <w:marLeft w:val="0"/>
      <w:marRight w:val="0"/>
      <w:marTop w:val="0"/>
      <w:marBottom w:val="0"/>
      <w:divBdr>
        <w:top w:val="none" w:sz="0" w:space="0" w:color="auto"/>
        <w:left w:val="none" w:sz="0" w:space="0" w:color="auto"/>
        <w:bottom w:val="none" w:sz="0" w:space="0" w:color="auto"/>
        <w:right w:val="none" w:sz="0" w:space="0" w:color="auto"/>
      </w:divBdr>
    </w:div>
    <w:div w:id="1473670811">
      <w:bodyDiv w:val="1"/>
      <w:marLeft w:val="0"/>
      <w:marRight w:val="0"/>
      <w:marTop w:val="0"/>
      <w:marBottom w:val="0"/>
      <w:divBdr>
        <w:top w:val="none" w:sz="0" w:space="0" w:color="auto"/>
        <w:left w:val="none" w:sz="0" w:space="0" w:color="auto"/>
        <w:bottom w:val="none" w:sz="0" w:space="0" w:color="auto"/>
        <w:right w:val="none" w:sz="0" w:space="0" w:color="auto"/>
      </w:divBdr>
    </w:div>
    <w:div w:id="1483540331">
      <w:bodyDiv w:val="1"/>
      <w:marLeft w:val="0"/>
      <w:marRight w:val="0"/>
      <w:marTop w:val="0"/>
      <w:marBottom w:val="0"/>
      <w:divBdr>
        <w:top w:val="none" w:sz="0" w:space="0" w:color="auto"/>
        <w:left w:val="none" w:sz="0" w:space="0" w:color="auto"/>
        <w:bottom w:val="none" w:sz="0" w:space="0" w:color="auto"/>
        <w:right w:val="none" w:sz="0" w:space="0" w:color="auto"/>
      </w:divBdr>
    </w:div>
    <w:div w:id="1505121785">
      <w:bodyDiv w:val="1"/>
      <w:marLeft w:val="0"/>
      <w:marRight w:val="0"/>
      <w:marTop w:val="0"/>
      <w:marBottom w:val="0"/>
      <w:divBdr>
        <w:top w:val="none" w:sz="0" w:space="0" w:color="auto"/>
        <w:left w:val="none" w:sz="0" w:space="0" w:color="auto"/>
        <w:bottom w:val="none" w:sz="0" w:space="0" w:color="auto"/>
        <w:right w:val="none" w:sz="0" w:space="0" w:color="auto"/>
      </w:divBdr>
    </w:div>
    <w:div w:id="1568954735">
      <w:bodyDiv w:val="1"/>
      <w:marLeft w:val="0"/>
      <w:marRight w:val="0"/>
      <w:marTop w:val="0"/>
      <w:marBottom w:val="0"/>
      <w:divBdr>
        <w:top w:val="none" w:sz="0" w:space="0" w:color="auto"/>
        <w:left w:val="none" w:sz="0" w:space="0" w:color="auto"/>
        <w:bottom w:val="none" w:sz="0" w:space="0" w:color="auto"/>
        <w:right w:val="none" w:sz="0" w:space="0" w:color="auto"/>
      </w:divBdr>
    </w:div>
    <w:div w:id="1571649995">
      <w:bodyDiv w:val="1"/>
      <w:marLeft w:val="0"/>
      <w:marRight w:val="0"/>
      <w:marTop w:val="0"/>
      <w:marBottom w:val="0"/>
      <w:divBdr>
        <w:top w:val="none" w:sz="0" w:space="0" w:color="auto"/>
        <w:left w:val="none" w:sz="0" w:space="0" w:color="auto"/>
        <w:bottom w:val="none" w:sz="0" w:space="0" w:color="auto"/>
        <w:right w:val="none" w:sz="0" w:space="0" w:color="auto"/>
      </w:divBdr>
    </w:div>
    <w:div w:id="1580939168">
      <w:bodyDiv w:val="1"/>
      <w:marLeft w:val="0"/>
      <w:marRight w:val="0"/>
      <w:marTop w:val="0"/>
      <w:marBottom w:val="0"/>
      <w:divBdr>
        <w:top w:val="none" w:sz="0" w:space="0" w:color="auto"/>
        <w:left w:val="none" w:sz="0" w:space="0" w:color="auto"/>
        <w:bottom w:val="none" w:sz="0" w:space="0" w:color="auto"/>
        <w:right w:val="none" w:sz="0" w:space="0" w:color="auto"/>
      </w:divBdr>
    </w:div>
    <w:div w:id="1592007817">
      <w:bodyDiv w:val="1"/>
      <w:marLeft w:val="0"/>
      <w:marRight w:val="0"/>
      <w:marTop w:val="0"/>
      <w:marBottom w:val="0"/>
      <w:divBdr>
        <w:top w:val="none" w:sz="0" w:space="0" w:color="auto"/>
        <w:left w:val="none" w:sz="0" w:space="0" w:color="auto"/>
        <w:bottom w:val="none" w:sz="0" w:space="0" w:color="auto"/>
        <w:right w:val="none" w:sz="0" w:space="0" w:color="auto"/>
      </w:divBdr>
    </w:div>
    <w:div w:id="1597857967">
      <w:bodyDiv w:val="1"/>
      <w:marLeft w:val="0"/>
      <w:marRight w:val="0"/>
      <w:marTop w:val="0"/>
      <w:marBottom w:val="0"/>
      <w:divBdr>
        <w:top w:val="none" w:sz="0" w:space="0" w:color="auto"/>
        <w:left w:val="none" w:sz="0" w:space="0" w:color="auto"/>
        <w:bottom w:val="none" w:sz="0" w:space="0" w:color="auto"/>
        <w:right w:val="none" w:sz="0" w:space="0" w:color="auto"/>
      </w:divBdr>
    </w:div>
    <w:div w:id="1603369482">
      <w:bodyDiv w:val="1"/>
      <w:marLeft w:val="0"/>
      <w:marRight w:val="0"/>
      <w:marTop w:val="0"/>
      <w:marBottom w:val="0"/>
      <w:divBdr>
        <w:top w:val="none" w:sz="0" w:space="0" w:color="auto"/>
        <w:left w:val="none" w:sz="0" w:space="0" w:color="auto"/>
        <w:bottom w:val="none" w:sz="0" w:space="0" w:color="auto"/>
        <w:right w:val="none" w:sz="0" w:space="0" w:color="auto"/>
      </w:divBdr>
    </w:div>
    <w:div w:id="1616979614">
      <w:bodyDiv w:val="1"/>
      <w:marLeft w:val="0"/>
      <w:marRight w:val="0"/>
      <w:marTop w:val="0"/>
      <w:marBottom w:val="0"/>
      <w:divBdr>
        <w:top w:val="none" w:sz="0" w:space="0" w:color="auto"/>
        <w:left w:val="none" w:sz="0" w:space="0" w:color="auto"/>
        <w:bottom w:val="none" w:sz="0" w:space="0" w:color="auto"/>
        <w:right w:val="none" w:sz="0" w:space="0" w:color="auto"/>
      </w:divBdr>
    </w:div>
    <w:div w:id="1635870034">
      <w:bodyDiv w:val="1"/>
      <w:marLeft w:val="0"/>
      <w:marRight w:val="0"/>
      <w:marTop w:val="0"/>
      <w:marBottom w:val="0"/>
      <w:divBdr>
        <w:top w:val="none" w:sz="0" w:space="0" w:color="auto"/>
        <w:left w:val="none" w:sz="0" w:space="0" w:color="auto"/>
        <w:bottom w:val="none" w:sz="0" w:space="0" w:color="auto"/>
        <w:right w:val="none" w:sz="0" w:space="0" w:color="auto"/>
      </w:divBdr>
    </w:div>
    <w:div w:id="1637027847">
      <w:bodyDiv w:val="1"/>
      <w:marLeft w:val="0"/>
      <w:marRight w:val="0"/>
      <w:marTop w:val="0"/>
      <w:marBottom w:val="0"/>
      <w:divBdr>
        <w:top w:val="none" w:sz="0" w:space="0" w:color="auto"/>
        <w:left w:val="none" w:sz="0" w:space="0" w:color="auto"/>
        <w:bottom w:val="none" w:sz="0" w:space="0" w:color="auto"/>
        <w:right w:val="none" w:sz="0" w:space="0" w:color="auto"/>
      </w:divBdr>
    </w:div>
    <w:div w:id="1643920972">
      <w:bodyDiv w:val="1"/>
      <w:marLeft w:val="0"/>
      <w:marRight w:val="0"/>
      <w:marTop w:val="0"/>
      <w:marBottom w:val="0"/>
      <w:divBdr>
        <w:top w:val="none" w:sz="0" w:space="0" w:color="auto"/>
        <w:left w:val="none" w:sz="0" w:space="0" w:color="auto"/>
        <w:bottom w:val="none" w:sz="0" w:space="0" w:color="auto"/>
        <w:right w:val="none" w:sz="0" w:space="0" w:color="auto"/>
      </w:divBdr>
    </w:div>
    <w:div w:id="1655255286">
      <w:bodyDiv w:val="1"/>
      <w:marLeft w:val="0"/>
      <w:marRight w:val="0"/>
      <w:marTop w:val="0"/>
      <w:marBottom w:val="0"/>
      <w:divBdr>
        <w:top w:val="none" w:sz="0" w:space="0" w:color="auto"/>
        <w:left w:val="none" w:sz="0" w:space="0" w:color="auto"/>
        <w:bottom w:val="none" w:sz="0" w:space="0" w:color="auto"/>
        <w:right w:val="none" w:sz="0" w:space="0" w:color="auto"/>
      </w:divBdr>
    </w:div>
    <w:div w:id="1667903715">
      <w:bodyDiv w:val="1"/>
      <w:marLeft w:val="0"/>
      <w:marRight w:val="0"/>
      <w:marTop w:val="0"/>
      <w:marBottom w:val="0"/>
      <w:divBdr>
        <w:top w:val="none" w:sz="0" w:space="0" w:color="auto"/>
        <w:left w:val="none" w:sz="0" w:space="0" w:color="auto"/>
        <w:bottom w:val="none" w:sz="0" w:space="0" w:color="auto"/>
        <w:right w:val="none" w:sz="0" w:space="0" w:color="auto"/>
      </w:divBdr>
    </w:div>
    <w:div w:id="1668485337">
      <w:bodyDiv w:val="1"/>
      <w:marLeft w:val="0"/>
      <w:marRight w:val="0"/>
      <w:marTop w:val="0"/>
      <w:marBottom w:val="0"/>
      <w:divBdr>
        <w:top w:val="none" w:sz="0" w:space="0" w:color="auto"/>
        <w:left w:val="none" w:sz="0" w:space="0" w:color="auto"/>
        <w:bottom w:val="none" w:sz="0" w:space="0" w:color="auto"/>
        <w:right w:val="none" w:sz="0" w:space="0" w:color="auto"/>
      </w:divBdr>
    </w:div>
    <w:div w:id="1700011393">
      <w:bodyDiv w:val="1"/>
      <w:marLeft w:val="0"/>
      <w:marRight w:val="0"/>
      <w:marTop w:val="0"/>
      <w:marBottom w:val="0"/>
      <w:divBdr>
        <w:top w:val="none" w:sz="0" w:space="0" w:color="auto"/>
        <w:left w:val="none" w:sz="0" w:space="0" w:color="auto"/>
        <w:bottom w:val="none" w:sz="0" w:space="0" w:color="auto"/>
        <w:right w:val="none" w:sz="0" w:space="0" w:color="auto"/>
      </w:divBdr>
    </w:div>
    <w:div w:id="1714966490">
      <w:bodyDiv w:val="1"/>
      <w:marLeft w:val="0"/>
      <w:marRight w:val="0"/>
      <w:marTop w:val="0"/>
      <w:marBottom w:val="0"/>
      <w:divBdr>
        <w:top w:val="none" w:sz="0" w:space="0" w:color="auto"/>
        <w:left w:val="none" w:sz="0" w:space="0" w:color="auto"/>
        <w:bottom w:val="none" w:sz="0" w:space="0" w:color="auto"/>
        <w:right w:val="none" w:sz="0" w:space="0" w:color="auto"/>
      </w:divBdr>
    </w:div>
    <w:div w:id="1726680267">
      <w:bodyDiv w:val="1"/>
      <w:marLeft w:val="0"/>
      <w:marRight w:val="0"/>
      <w:marTop w:val="0"/>
      <w:marBottom w:val="0"/>
      <w:divBdr>
        <w:top w:val="none" w:sz="0" w:space="0" w:color="auto"/>
        <w:left w:val="none" w:sz="0" w:space="0" w:color="auto"/>
        <w:bottom w:val="none" w:sz="0" w:space="0" w:color="auto"/>
        <w:right w:val="none" w:sz="0" w:space="0" w:color="auto"/>
      </w:divBdr>
      <w:divsChild>
        <w:div w:id="290138411">
          <w:marLeft w:val="0"/>
          <w:marRight w:val="0"/>
          <w:marTop w:val="0"/>
          <w:marBottom w:val="0"/>
          <w:divBdr>
            <w:top w:val="none" w:sz="0" w:space="0" w:color="auto"/>
            <w:left w:val="none" w:sz="0" w:space="0" w:color="auto"/>
            <w:bottom w:val="none" w:sz="0" w:space="0" w:color="auto"/>
            <w:right w:val="none" w:sz="0" w:space="0" w:color="auto"/>
          </w:divBdr>
        </w:div>
      </w:divsChild>
    </w:div>
    <w:div w:id="1730879000">
      <w:bodyDiv w:val="1"/>
      <w:marLeft w:val="0"/>
      <w:marRight w:val="0"/>
      <w:marTop w:val="0"/>
      <w:marBottom w:val="0"/>
      <w:divBdr>
        <w:top w:val="none" w:sz="0" w:space="0" w:color="auto"/>
        <w:left w:val="none" w:sz="0" w:space="0" w:color="auto"/>
        <w:bottom w:val="none" w:sz="0" w:space="0" w:color="auto"/>
        <w:right w:val="none" w:sz="0" w:space="0" w:color="auto"/>
      </w:divBdr>
    </w:div>
    <w:div w:id="1754624110">
      <w:bodyDiv w:val="1"/>
      <w:marLeft w:val="0"/>
      <w:marRight w:val="0"/>
      <w:marTop w:val="0"/>
      <w:marBottom w:val="0"/>
      <w:divBdr>
        <w:top w:val="none" w:sz="0" w:space="0" w:color="auto"/>
        <w:left w:val="none" w:sz="0" w:space="0" w:color="auto"/>
        <w:bottom w:val="none" w:sz="0" w:space="0" w:color="auto"/>
        <w:right w:val="none" w:sz="0" w:space="0" w:color="auto"/>
      </w:divBdr>
    </w:div>
    <w:div w:id="1758864071">
      <w:bodyDiv w:val="1"/>
      <w:marLeft w:val="0"/>
      <w:marRight w:val="0"/>
      <w:marTop w:val="0"/>
      <w:marBottom w:val="0"/>
      <w:divBdr>
        <w:top w:val="none" w:sz="0" w:space="0" w:color="auto"/>
        <w:left w:val="none" w:sz="0" w:space="0" w:color="auto"/>
        <w:bottom w:val="none" w:sz="0" w:space="0" w:color="auto"/>
        <w:right w:val="none" w:sz="0" w:space="0" w:color="auto"/>
      </w:divBdr>
    </w:div>
    <w:div w:id="1764495747">
      <w:bodyDiv w:val="1"/>
      <w:marLeft w:val="0"/>
      <w:marRight w:val="0"/>
      <w:marTop w:val="0"/>
      <w:marBottom w:val="0"/>
      <w:divBdr>
        <w:top w:val="none" w:sz="0" w:space="0" w:color="auto"/>
        <w:left w:val="none" w:sz="0" w:space="0" w:color="auto"/>
        <w:bottom w:val="none" w:sz="0" w:space="0" w:color="auto"/>
        <w:right w:val="none" w:sz="0" w:space="0" w:color="auto"/>
      </w:divBdr>
    </w:div>
    <w:div w:id="1791581501">
      <w:bodyDiv w:val="1"/>
      <w:marLeft w:val="0"/>
      <w:marRight w:val="0"/>
      <w:marTop w:val="0"/>
      <w:marBottom w:val="0"/>
      <w:divBdr>
        <w:top w:val="none" w:sz="0" w:space="0" w:color="auto"/>
        <w:left w:val="none" w:sz="0" w:space="0" w:color="auto"/>
        <w:bottom w:val="none" w:sz="0" w:space="0" w:color="auto"/>
        <w:right w:val="none" w:sz="0" w:space="0" w:color="auto"/>
      </w:divBdr>
    </w:div>
    <w:div w:id="1798180299">
      <w:bodyDiv w:val="1"/>
      <w:marLeft w:val="0"/>
      <w:marRight w:val="0"/>
      <w:marTop w:val="0"/>
      <w:marBottom w:val="0"/>
      <w:divBdr>
        <w:top w:val="none" w:sz="0" w:space="0" w:color="auto"/>
        <w:left w:val="none" w:sz="0" w:space="0" w:color="auto"/>
        <w:bottom w:val="none" w:sz="0" w:space="0" w:color="auto"/>
        <w:right w:val="none" w:sz="0" w:space="0" w:color="auto"/>
      </w:divBdr>
    </w:div>
    <w:div w:id="1809544003">
      <w:bodyDiv w:val="1"/>
      <w:marLeft w:val="0"/>
      <w:marRight w:val="0"/>
      <w:marTop w:val="0"/>
      <w:marBottom w:val="0"/>
      <w:divBdr>
        <w:top w:val="none" w:sz="0" w:space="0" w:color="auto"/>
        <w:left w:val="none" w:sz="0" w:space="0" w:color="auto"/>
        <w:bottom w:val="none" w:sz="0" w:space="0" w:color="auto"/>
        <w:right w:val="none" w:sz="0" w:space="0" w:color="auto"/>
      </w:divBdr>
    </w:div>
    <w:div w:id="1824157779">
      <w:bodyDiv w:val="1"/>
      <w:marLeft w:val="0"/>
      <w:marRight w:val="0"/>
      <w:marTop w:val="0"/>
      <w:marBottom w:val="0"/>
      <w:divBdr>
        <w:top w:val="none" w:sz="0" w:space="0" w:color="auto"/>
        <w:left w:val="none" w:sz="0" w:space="0" w:color="auto"/>
        <w:bottom w:val="none" w:sz="0" w:space="0" w:color="auto"/>
        <w:right w:val="none" w:sz="0" w:space="0" w:color="auto"/>
      </w:divBdr>
    </w:div>
    <w:div w:id="1866409131">
      <w:bodyDiv w:val="1"/>
      <w:marLeft w:val="0"/>
      <w:marRight w:val="0"/>
      <w:marTop w:val="0"/>
      <w:marBottom w:val="0"/>
      <w:divBdr>
        <w:top w:val="none" w:sz="0" w:space="0" w:color="auto"/>
        <w:left w:val="none" w:sz="0" w:space="0" w:color="auto"/>
        <w:bottom w:val="none" w:sz="0" w:space="0" w:color="auto"/>
        <w:right w:val="none" w:sz="0" w:space="0" w:color="auto"/>
      </w:divBdr>
    </w:div>
    <w:div w:id="1882791075">
      <w:bodyDiv w:val="1"/>
      <w:marLeft w:val="0"/>
      <w:marRight w:val="0"/>
      <w:marTop w:val="0"/>
      <w:marBottom w:val="0"/>
      <w:divBdr>
        <w:top w:val="none" w:sz="0" w:space="0" w:color="auto"/>
        <w:left w:val="none" w:sz="0" w:space="0" w:color="auto"/>
        <w:bottom w:val="none" w:sz="0" w:space="0" w:color="auto"/>
        <w:right w:val="none" w:sz="0" w:space="0" w:color="auto"/>
      </w:divBdr>
    </w:div>
    <w:div w:id="1893618137">
      <w:bodyDiv w:val="1"/>
      <w:marLeft w:val="0"/>
      <w:marRight w:val="0"/>
      <w:marTop w:val="0"/>
      <w:marBottom w:val="0"/>
      <w:divBdr>
        <w:top w:val="none" w:sz="0" w:space="0" w:color="auto"/>
        <w:left w:val="none" w:sz="0" w:space="0" w:color="auto"/>
        <w:bottom w:val="none" w:sz="0" w:space="0" w:color="auto"/>
        <w:right w:val="none" w:sz="0" w:space="0" w:color="auto"/>
      </w:divBdr>
    </w:div>
    <w:div w:id="1908959490">
      <w:bodyDiv w:val="1"/>
      <w:marLeft w:val="0"/>
      <w:marRight w:val="0"/>
      <w:marTop w:val="0"/>
      <w:marBottom w:val="0"/>
      <w:divBdr>
        <w:top w:val="none" w:sz="0" w:space="0" w:color="auto"/>
        <w:left w:val="none" w:sz="0" w:space="0" w:color="auto"/>
        <w:bottom w:val="none" w:sz="0" w:space="0" w:color="auto"/>
        <w:right w:val="none" w:sz="0" w:space="0" w:color="auto"/>
      </w:divBdr>
    </w:div>
    <w:div w:id="1910117138">
      <w:bodyDiv w:val="1"/>
      <w:marLeft w:val="0"/>
      <w:marRight w:val="0"/>
      <w:marTop w:val="0"/>
      <w:marBottom w:val="0"/>
      <w:divBdr>
        <w:top w:val="none" w:sz="0" w:space="0" w:color="auto"/>
        <w:left w:val="none" w:sz="0" w:space="0" w:color="auto"/>
        <w:bottom w:val="none" w:sz="0" w:space="0" w:color="auto"/>
        <w:right w:val="none" w:sz="0" w:space="0" w:color="auto"/>
      </w:divBdr>
    </w:div>
    <w:div w:id="1955407494">
      <w:bodyDiv w:val="1"/>
      <w:marLeft w:val="0"/>
      <w:marRight w:val="0"/>
      <w:marTop w:val="0"/>
      <w:marBottom w:val="0"/>
      <w:divBdr>
        <w:top w:val="none" w:sz="0" w:space="0" w:color="auto"/>
        <w:left w:val="none" w:sz="0" w:space="0" w:color="auto"/>
        <w:bottom w:val="none" w:sz="0" w:space="0" w:color="auto"/>
        <w:right w:val="none" w:sz="0" w:space="0" w:color="auto"/>
      </w:divBdr>
    </w:div>
    <w:div w:id="1960378933">
      <w:bodyDiv w:val="1"/>
      <w:marLeft w:val="0"/>
      <w:marRight w:val="0"/>
      <w:marTop w:val="0"/>
      <w:marBottom w:val="0"/>
      <w:divBdr>
        <w:top w:val="none" w:sz="0" w:space="0" w:color="auto"/>
        <w:left w:val="none" w:sz="0" w:space="0" w:color="auto"/>
        <w:bottom w:val="none" w:sz="0" w:space="0" w:color="auto"/>
        <w:right w:val="none" w:sz="0" w:space="0" w:color="auto"/>
      </w:divBdr>
    </w:div>
    <w:div w:id="1990673836">
      <w:bodyDiv w:val="1"/>
      <w:marLeft w:val="0"/>
      <w:marRight w:val="0"/>
      <w:marTop w:val="0"/>
      <w:marBottom w:val="0"/>
      <w:divBdr>
        <w:top w:val="none" w:sz="0" w:space="0" w:color="auto"/>
        <w:left w:val="none" w:sz="0" w:space="0" w:color="auto"/>
        <w:bottom w:val="none" w:sz="0" w:space="0" w:color="auto"/>
        <w:right w:val="none" w:sz="0" w:space="0" w:color="auto"/>
      </w:divBdr>
    </w:div>
    <w:div w:id="1996182683">
      <w:bodyDiv w:val="1"/>
      <w:marLeft w:val="0"/>
      <w:marRight w:val="0"/>
      <w:marTop w:val="0"/>
      <w:marBottom w:val="0"/>
      <w:divBdr>
        <w:top w:val="none" w:sz="0" w:space="0" w:color="auto"/>
        <w:left w:val="none" w:sz="0" w:space="0" w:color="auto"/>
        <w:bottom w:val="none" w:sz="0" w:space="0" w:color="auto"/>
        <w:right w:val="none" w:sz="0" w:space="0" w:color="auto"/>
      </w:divBdr>
    </w:div>
    <w:div w:id="2005008981">
      <w:bodyDiv w:val="1"/>
      <w:marLeft w:val="0"/>
      <w:marRight w:val="0"/>
      <w:marTop w:val="0"/>
      <w:marBottom w:val="0"/>
      <w:divBdr>
        <w:top w:val="none" w:sz="0" w:space="0" w:color="auto"/>
        <w:left w:val="none" w:sz="0" w:space="0" w:color="auto"/>
        <w:bottom w:val="none" w:sz="0" w:space="0" w:color="auto"/>
        <w:right w:val="none" w:sz="0" w:space="0" w:color="auto"/>
      </w:divBdr>
    </w:div>
    <w:div w:id="2031299940">
      <w:bodyDiv w:val="1"/>
      <w:marLeft w:val="0"/>
      <w:marRight w:val="0"/>
      <w:marTop w:val="0"/>
      <w:marBottom w:val="0"/>
      <w:divBdr>
        <w:top w:val="none" w:sz="0" w:space="0" w:color="auto"/>
        <w:left w:val="none" w:sz="0" w:space="0" w:color="auto"/>
        <w:bottom w:val="none" w:sz="0" w:space="0" w:color="auto"/>
        <w:right w:val="none" w:sz="0" w:space="0" w:color="auto"/>
      </w:divBdr>
    </w:div>
    <w:div w:id="2048942835">
      <w:bodyDiv w:val="1"/>
      <w:marLeft w:val="0"/>
      <w:marRight w:val="0"/>
      <w:marTop w:val="0"/>
      <w:marBottom w:val="0"/>
      <w:divBdr>
        <w:top w:val="none" w:sz="0" w:space="0" w:color="auto"/>
        <w:left w:val="none" w:sz="0" w:space="0" w:color="auto"/>
        <w:bottom w:val="none" w:sz="0" w:space="0" w:color="auto"/>
        <w:right w:val="none" w:sz="0" w:space="0" w:color="auto"/>
      </w:divBdr>
    </w:div>
    <w:div w:id="2070568525">
      <w:bodyDiv w:val="1"/>
      <w:marLeft w:val="0"/>
      <w:marRight w:val="0"/>
      <w:marTop w:val="0"/>
      <w:marBottom w:val="0"/>
      <w:divBdr>
        <w:top w:val="none" w:sz="0" w:space="0" w:color="auto"/>
        <w:left w:val="none" w:sz="0" w:space="0" w:color="auto"/>
        <w:bottom w:val="none" w:sz="0" w:space="0" w:color="auto"/>
        <w:right w:val="none" w:sz="0" w:space="0" w:color="auto"/>
      </w:divBdr>
    </w:div>
    <w:div w:id="2111000534">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8013600">
      <w:bodyDiv w:val="1"/>
      <w:marLeft w:val="0"/>
      <w:marRight w:val="0"/>
      <w:marTop w:val="0"/>
      <w:marBottom w:val="0"/>
      <w:divBdr>
        <w:top w:val="none" w:sz="0" w:space="0" w:color="auto"/>
        <w:left w:val="none" w:sz="0" w:space="0" w:color="auto"/>
        <w:bottom w:val="none" w:sz="0" w:space="0" w:color="auto"/>
        <w:right w:val="none" w:sz="0" w:space="0" w:color="auto"/>
      </w:divBdr>
    </w:div>
    <w:div w:id="2129470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AN.R-project.org/package=stargazer" TargetMode="External"/><Relationship Id="rId18" Type="http://schemas.openxmlformats.org/officeDocument/2006/relationships/hyperlink" Target="http://dx.doi.org/10.1037/a0037318" TargetMode="External"/><Relationship Id="rId26" Type="http://schemas.openxmlformats.org/officeDocument/2006/relationships/footer" Target="footer2.xml"/><Relationship Id="rId39" Type="http://schemas.microsoft.com/office/2018/08/relationships/commentsExtensible" Target="commentsExtensible.xml"/><Relationship Id="rId21" Type="http://schemas.openxmlformats.org/officeDocument/2006/relationships/hyperlink" Target="https://doi.org/10.1093/%20biomet/70.1.41"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stat.columbia.edu/~gelman/research/" TargetMode="External"/><Relationship Id="rId17" Type="http://schemas.openxmlformats.org/officeDocument/2006/relationships/hyperlink" Target="https://www.nlsinfo.org/content/cohorts/nlsy79-children/topical-guide/assessments/temperament-how-my-child-usually-acts" TargetMode="External"/><Relationship Id="rId25" Type="http://schemas.openxmlformats.org/officeDocument/2006/relationships/footer" Target="footer1.xm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lsinfo.org/investigator/pages/search.jsp?s=NLSY79" TargetMode="External"/><Relationship Id="rId20" Type="http://schemas.openxmlformats.org/officeDocument/2006/relationships/hyperlink" Target="https://doi.org/10.1177/2515245917745629"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dxseattle.com/talks/dimitri-christakis-media-and-children/" TargetMode="External"/><Relationship Id="rId24"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37//1082-989X.7.1.19" TargetMode="External"/><Relationship Id="rId23" Type="http://schemas.openxmlformats.org/officeDocument/2006/relationships/image" Target="media/image1.png"/><Relationship Id="rId28" Type="http://schemas.openxmlformats.org/officeDocument/2006/relationships/header" Target="header2.xml"/><Relationship Id="rId36" Type="http://schemas.openxmlformats.org/officeDocument/2006/relationships/hyperlink" Target="localhost:8787" TargetMode="External"/><Relationship Id="rId10" Type="http://schemas.openxmlformats.org/officeDocument/2006/relationships/hyperlink" Target="https://psyarxiv.com/5hd4r/" TargetMode="External"/><Relationship Id="rId19" Type="http://schemas.openxmlformats.org/officeDocument/2006/relationships/hyperlink" Target="https://doi.org/10.1098/rstb.2017.0254"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hub.docker.com/repository/docker/mmcbee/rstudio_tvattention" TargetMode="External"/><Relationship Id="rId14" Type="http://schemas.openxmlformats.org/officeDocument/2006/relationships/hyperlink" Target="https://doi.org/10.1016/j.dr.2016.12.002" TargetMode="External"/><Relationship Id="rId22" Type="http://schemas.openxmlformats.org/officeDocument/2006/relationships/hyperlink" Target="https://doi.org/10.1177/1745691616658637"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hyperlink" Target="http://www.docker.com" TargetMode="External"/><Relationship Id="rId8" Type="http://schemas.openxmlformats.org/officeDocument/2006/relationships/hyperlink" Target="https://github.com/mcbeem/TVAttention"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hub.docker.com/repository/docker/mmcbee/rstudio_tvattention" TargetMode="External"/><Relationship Id="rId2" Type="http://schemas.openxmlformats.org/officeDocument/2006/relationships/hyperlink" Target="https://github.com/mcbeem/TVAttention" TargetMode="External"/><Relationship Id="rId1" Type="http://schemas.openxmlformats.org/officeDocument/2006/relationships/hyperlink" Target="https://www.nlsinfo.org/content/cohorts/nlsy97/using-and-understanding-the-data/sample-weights-design-effects/page/0/0/" TargetMode="External"/><Relationship Id="rId4" Type="http://schemas.openxmlformats.org/officeDocument/2006/relationships/hyperlink" Target="https://rpsychologist.com/d3/coh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D57F15-0489-4276-B839-4F6C51964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49</Pages>
  <Words>11607</Words>
  <Characters>66162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McBee</dc:creator>
  <cp:keywords/>
  <dc:description/>
  <cp:lastModifiedBy>Matthew McBee</cp:lastModifiedBy>
  <cp:revision>8</cp:revision>
  <cp:lastPrinted>2020-04-28T13:54:00Z</cp:lastPrinted>
  <dcterms:created xsi:type="dcterms:W3CDTF">2020-04-28T13:33:00Z</dcterms:created>
  <dcterms:modified xsi:type="dcterms:W3CDTF">2020-04-29T15:50:00Z</dcterms:modified>
</cp:coreProperties>
</file>