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bookmarkStart w:id="0" w:name="_GoBack"/>
      <w:bookmarkEnd w:id="0"/>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0DA7D4A2" w:rsidR="00487462" w:rsidRPr="0003674E" w:rsidRDefault="00C80935" w:rsidP="00D06298">
      <w:pPr>
        <w:spacing w:line="480" w:lineRule="auto"/>
        <w:jc w:val="center"/>
      </w:pPr>
      <w:r>
        <w:t xml:space="preserve">Challenging the Link Between Early Childhood Television Exposure and Later Attention Problems: A Multiverse Analysis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D0D125C"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Christakis, Zimmerman, DiGiuseppe,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a multiverse analysis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github </w:t>
      </w:r>
      <w:bookmarkStart w:id="1" w:name="_Hlk38443831"/>
      <w:r w:rsidR="00F34EA6">
        <w:t>(</w:t>
      </w:r>
      <w:hyperlink r:id="rId8" w:history="1">
        <w:r w:rsidR="00F34EA6" w:rsidRPr="00AD33C7">
          <w:rPr>
            <w:rStyle w:val="Hyperlink"/>
          </w:rPr>
          <w:t>https://github.com/mcbeem/TVAttention</w:t>
        </w:r>
      </w:hyperlink>
      <w:bookmarkEnd w:id="1"/>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[link].</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psychology in particular, there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mmerman, DiGiuseppe,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tested this some years ago, and what we found was that for the more television children watched before age three, the more likely they were to actually have attentional problems at school age. Specifically, for each hour that they watched before the age of three, their chances of having attentional problems was increased by about ten percent. So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4B719574"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916BA8">
        <w:t xml:space="preserve"> </w:t>
      </w:r>
      <w:r w:rsidR="003E76C9">
        <w:t xml:space="preserve">We deem </w:t>
      </w:r>
      <w:r w:rsidR="009C11A6">
        <w:t>to the overstimulation hypothesis to</w:t>
      </w:r>
      <w:r w:rsidR="003E76C9">
        <w:t xml:space="preserve"> be plausible</w:t>
      </w:r>
      <w:r>
        <w:t>.</w:t>
      </w:r>
      <w:r w:rsidR="00916BA8">
        <w:t xml:space="preserve"> </w:t>
      </w:r>
      <w:r>
        <w:t xml:space="preserve">However, if we are going to base policy and parenting on </w:t>
      </w:r>
      <w:r w:rsidR="009C11A6">
        <w:t>the claim,</w:t>
      </w:r>
      <w:r>
        <w:t xml:space="preserve"> we think it is important to confirm: Is it really true?</w:t>
      </w:r>
      <w:r w:rsidR="003E76C9">
        <w:t xml:space="preserve"> </w:t>
      </w:r>
    </w:p>
    <w:p w14:paraId="5CA9ADE0" w14:textId="03ED9436"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skepticism regarding this claim.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moderate one, </w:t>
      </w:r>
      <w:r w:rsidR="00517D9F">
        <w:t>but that</w:t>
      </w:r>
      <w:r w:rsidR="00B67C3F">
        <w:t xml:space="preserve"> </w:t>
      </w:r>
      <w:r>
        <w:t xml:space="preserve">even </w:t>
      </w:r>
      <w:r w:rsidR="00B67C3F">
        <w:t>the direction of effect was unclear (</w:t>
      </w:r>
      <w:r w:rsidR="00B67C3F" w:rsidRPr="001E446A">
        <w:t xml:space="preserve">Nikkelen, </w:t>
      </w:r>
      <w:r w:rsidR="00B67C3F" w:rsidRPr="001E446A">
        <w:lastRenderedPageBreak/>
        <w:t>Valkenberg, Huizinga, &amp; Bushman, 2014</w:t>
      </w:r>
      <w:r w:rsidR="00B67C3F">
        <w:t xml:space="preserve">; see also Kostyrka-Allchorne,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watching in particular,</w:t>
      </w:r>
      <w:r>
        <w:t xml:space="preserve"> is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(Nikkelen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r w:rsidRPr="002A1EF8">
        <w:t>Silberzahn</w:t>
      </w:r>
      <w:r>
        <w:t xml:space="preserve"> et al. 2017; Steegen, Tuerlinckx, Gelman, &amp; Vanpaemel, 2016; see also </w:t>
      </w:r>
      <w:r w:rsidRPr="00E3186F">
        <w:t>Orben, Dienlin,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Loken,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27C726F6" w:rsidR="007A7F93" w:rsidRDefault="00BD3A0D" w:rsidP="00BD0F27">
      <w:pPr>
        <w:spacing w:line="480" w:lineRule="auto"/>
        <w:ind w:firstLine="720"/>
      </w:pPr>
      <w:r>
        <w:t>Our initial</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t>these analyses</w:t>
      </w:r>
      <w:r w:rsidR="00C77016">
        <w:t xml:space="preserve"> </w:t>
      </w:r>
      <w:r w:rsidR="00671046">
        <w:t>to explore whether we could replicate the original finding</w:t>
      </w:r>
      <w:r>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E3186F">
        <w:t>Our multiverse analysis uses both the within-sex standardized and raw scores as outcome variables</w:t>
      </w:r>
      <w:r>
        <w:t>, as there is no apparent reason to prefer the standardized scores in models that control for child sex</w:t>
      </w:r>
      <w:r w:rsidR="00D66EB8">
        <w:t xml:space="preserve"> and age</w:t>
      </w:r>
      <w:r w:rsidR="00E3186F">
        <w:t>.</w:t>
      </w:r>
    </w:p>
    <w:p w14:paraId="5BF5B288" w14:textId="564C4F0E"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cutpoint,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this choice, we systematically varied the cutpoint from</w:t>
      </w:r>
      <w:r w:rsidR="00166320">
        <w:t xml:space="preserve"> </w:t>
      </w:r>
      <w:r w:rsidR="00567A3D">
        <w:t xml:space="preserve">110 </w:t>
      </w:r>
      <w:r w:rsidR="00802F81">
        <w:t>to 130</w:t>
      </w:r>
      <w:r w:rsidR="00E3186F">
        <w:t xml:space="preserve"> on the standardized outcome and used percentile-equivalent cutpoints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cutpoint.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7F7CC125"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cutpoints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of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an analyses using six different cutpoints.</w:t>
      </w:r>
      <w:r w:rsidR="00916BA8">
        <w:t xml:space="preserve"> </w:t>
      </w:r>
      <w:r w:rsidR="00E031E3">
        <w:t xml:space="preserve">If the </w:t>
      </w:r>
      <w:r w:rsidR="00D03E0B">
        <w:t>effect of TV on 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cutpoint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w:t>
      </w:r>
      <w:r w:rsidR="00EE1A36">
        <w:lastRenderedPageBreak/>
        <w:t>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r w:rsidR="00E41A29">
        <w:t xml:space="preserve">Imbens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3"/>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r w:rsidR="0031281F" w:rsidRPr="00D2098F">
        <w:t>doubly-robust</w:t>
      </w:r>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stratum-specific information on the success (or failure) of covariate balancing.</w:t>
      </w:r>
      <w:r w:rsidR="00916BA8">
        <w:t xml:space="preserve"> </w:t>
      </w:r>
      <w:r w:rsidR="00D442DC">
        <w:t xml:space="preserve">Rosenbaum and Rubin (1983) showed that five strata are </w:t>
      </w:r>
      <w:r w:rsidR="006940B0">
        <w:t xml:space="preserve">generally </w:t>
      </w:r>
      <w:r w:rsidR="00D442DC">
        <w:t xml:space="preserve">sufficient for removing 90% of the confounding bias. Generally, </w:t>
      </w:r>
      <w:r w:rsidR="00636BDC">
        <w:t xml:space="preserve">adding </w:t>
      </w:r>
      <w:r w:rsidR="00D442DC">
        <w:t xml:space="preserve">more strata </w:t>
      </w:r>
      <w:r w:rsidR="00636BDC">
        <w:t xml:space="preserve">results in </w:t>
      </w:r>
      <w:r w:rsidR="00D442DC">
        <w:t xml:space="preserve">better control of confounding bias at the cost of less precision and statistical power because the sample size within strata goes down as </w:t>
      </w:r>
      <w:r w:rsidR="00D442DC">
        <w:lastRenderedPageBreak/>
        <w:t>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The multiverse analyses illustrate the extent to which Christakis et al.’s 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77777777" w:rsidR="00F94387" w:rsidRDefault="008827A7" w:rsidP="00131DEA">
      <w:pPr>
        <w:spacing w:line="480" w:lineRule="auto"/>
        <w:ind w:firstLine="720"/>
        <w:rPr>
          <w:color w:val="000000" w:themeColor="text1"/>
        </w:rPr>
      </w:pPr>
      <w:r>
        <w:lastRenderedPageBreak/>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(2018)</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initially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r w:rsidR="00077D30">
        <w:rPr>
          <w:color w:val="000000" w:themeColor="text1"/>
        </w:rPr>
        <w:t>Github page</w:t>
      </w:r>
      <w:r w:rsidR="0031674F">
        <w:rPr>
          <w:rStyle w:val="FootnoteReference"/>
          <w:color w:val="000000" w:themeColor="text1"/>
        </w:rPr>
        <w:footnoteReference w:id="4"/>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5"/>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could break 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7D78DC02"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lastRenderedPageBreak/>
        <w:t xml:space="preserve">conformed to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77777777"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weekends</w:t>
      </w:r>
      <w:r>
        <w:t xml:space="preserve"> days were</w:t>
      </w:r>
      <w:r w:rsidRPr="0003674E">
        <w:t xml:space="preserve"> converted to average 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lastRenderedPageBreak/>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E1AE3F8" w:rsidR="008827A7" w:rsidRDefault="008827A7" w:rsidP="008669FE">
      <w:pPr>
        <w:spacing w:line="480" w:lineRule="auto"/>
        <w:ind w:firstLine="720"/>
        <w:rPr>
          <w:b/>
          <w:bCs/>
        </w:rPr>
      </w:pPr>
      <w:r>
        <w:t xml:space="preserve">The file “variable name propagation spreadsheet.xlsx” on the </w:t>
      </w:r>
      <w:r w:rsidR="00077D30">
        <w:t>project github</w:t>
      </w:r>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5E293BA0"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simulation and emotional support of the home</w:t>
      </w:r>
      <w:r w:rsidR="00AD33C7">
        <w:t xml:space="preserve"> (measured between ages 1 and 3)</w:t>
      </w:r>
      <w:r w:rsidR="00514ADC">
        <w:t xml:space="preserve">, </w:t>
      </w:r>
      <w:r w:rsidR="005471F1">
        <w:t xml:space="preserve">binary </w:t>
      </w:r>
      <w:r w:rsidR="005471F1">
        <w:lastRenderedPageBreak/>
        <w:t>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Montgomery, Nyhan,</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lbs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6"/>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1C0480" w:rsidR="00F537EB" w:rsidRDefault="00F537EB" w:rsidP="00F537EB">
      <w:pPr>
        <w:spacing w:line="480" w:lineRule="auto"/>
        <w:ind w:firstLine="720"/>
      </w:pPr>
      <w:r>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w:t>
      </w:r>
      <w:r>
        <w:lastRenderedPageBreak/>
        <w:t xml:space="preserve">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Trzesniewski,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we seriously doubt that we have </w:t>
      </w:r>
      <w:r w:rsidR="006709EA">
        <w:t>eliminated</w:t>
      </w:r>
      <w:r>
        <w:t xml:space="preserve"> it (</w:t>
      </w:r>
      <w:r w:rsidRPr="00F71468">
        <w:t>Westfall &amp; Yarkoni,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parents’ perception of infants’ energy level (Nabi &amp; Krcmar, 2016), poor self-regulation (Radesky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0150EA8A" w:rsidR="005471F1" w:rsidRDefault="000218AC" w:rsidP="0091466C">
      <w:pPr>
        <w:spacing w:line="480" w:lineRule="auto"/>
        <w:ind w:firstLine="720"/>
      </w:pPr>
      <w:r>
        <w:t>Our temperament scale was based on the temperament items included in the NLSY dataset</w:t>
      </w:r>
      <w:r w:rsidR="008900C8">
        <w:t xml:space="preserve"> (NLSY Temperament, 2018)</w:t>
      </w:r>
      <w:r>
        <w:t>.</w:t>
      </w:r>
      <w:r w:rsidR="00916BA8">
        <w:t xml:space="preserve"> </w:t>
      </w:r>
      <w:r w:rsidR="005471F1">
        <w:t xml:space="preserve">We </w:t>
      </w:r>
      <w:r w:rsidR="0091466C">
        <w:t>summed</w:t>
      </w:r>
      <w:r w:rsidR="005471F1">
        <w:t xml:space="preserve"> the six available items that represented 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w:t>
      </w:r>
      <w:r w:rsidR="005471F1">
        <w:lastRenderedPageBreak/>
        <w:t xml:space="preserve">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6F71B3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r w:rsidR="00821F9C">
        <w:t>age and</w:t>
      </w:r>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r w:rsidR="00B5625C">
        <w:t>cutpoint</w:t>
      </w:r>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r w:rsidR="00D5514A">
        <w:t>particular</w:t>
      </w:r>
      <w:r w:rsidR="007A18EE">
        <w:t xml:space="preserve"> cutpoint, w</w:t>
      </w:r>
      <w:r w:rsidR="00F537EB">
        <w:t xml:space="preserve">e defined multiple dichotomous outcome variables by varying the standardized attention cutpoint from </w:t>
      </w:r>
      <w:r w:rsidR="00140AD1">
        <w:t xml:space="preserve">110 </w:t>
      </w:r>
      <w:r w:rsidR="00F537EB" w:rsidRPr="001400D6">
        <w:t>to 130</w:t>
      </w:r>
      <w:r w:rsidR="00F537EB">
        <w:t xml:space="preserve">. </w:t>
      </w:r>
      <w:r w:rsidR="0074418B">
        <w:t xml:space="preserve">For comparison 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cutpoints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lastRenderedPageBreak/>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van Buuren &amp; Groothuis-Oudshoorn</w:t>
      </w:r>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21 (attention cutpoints</w:t>
      </w:r>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21 (attention cutpoints)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xml:space="preserve">. However, because of sparseness on the attention outcome (particularly the raw version), frequently the imposition of two adjacent cutoffs (e.g,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2"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2 (outcomes) x 2 (TV ages) x 2 (covariate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2"/>
    <w:p w14:paraId="6A2D7063" w14:textId="1306F7C0" w:rsidR="00945C09" w:rsidRDefault="005471F1" w:rsidP="00C65C27">
      <w:pPr>
        <w:spacing w:line="480" w:lineRule="auto"/>
        <w:ind w:firstLine="720"/>
      </w:pPr>
      <w:r>
        <w:lastRenderedPageBreak/>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r w:rsidR="00B5625C">
        <w:t>cutpoint</w:t>
      </w:r>
      <w:r w:rsidR="00077D30" w:rsidRPr="00D2098F">
        <w:t xml:space="preserve">s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Where possible, we ran analyses with and without a doubly-robust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Morral, Griffin, </w:t>
      </w:r>
      <w:r w:rsidR="00987D61">
        <w:t>&amp;</w:t>
      </w:r>
      <w:r w:rsidR="00F55A73">
        <w:t xml:space="preserve"> Burgette,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6 (TV cutpoints) x 2 (outcomes</w:t>
      </w:r>
      <w:r w:rsidR="0031281F">
        <w:t>: raw vs. standardized</w:t>
      </w:r>
      <w:r w:rsidR="00D26CEA">
        <w:t>) x 2 (TV ages</w:t>
      </w:r>
      <w:r w:rsidR="0031281F">
        <w:t>: 1.5 vs. 3</w:t>
      </w:r>
      <w:r w:rsidR="00D26CEA">
        <w:t>) x 2 (covariate sets) x 2 (</w:t>
      </w:r>
      <w:r w:rsidR="00977BE9">
        <w:t>treatment effects</w:t>
      </w:r>
      <w:r w:rsidR="0031281F">
        <w:t>: ATT vs. ATE</w:t>
      </w:r>
      <w:r w:rsidR="00D26CEA">
        <w:t xml:space="preserve">) x </w:t>
      </w:r>
      <w:r w:rsidR="00D26CEA">
        <w:lastRenderedPageBreak/>
        <w:t>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five different numbers of strata (4, 5, 6, 7, or 8), which were fully crossed with 6 (TV cutpoints) x 2 (outcomes) x 2 (TV ages) x 2 (covariate sets)</w:t>
      </w:r>
      <w:r w:rsidR="003F788B">
        <w:t>]</w:t>
      </w:r>
      <w:r w:rsidR="00977BE9">
        <w:t xml:space="preserve">. Neither sample weights nor the doubly-robust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r w:rsidR="000668C4">
        <w:rPr>
          <w:i/>
          <w:iCs/>
        </w:rPr>
        <w:t>PSAgraphics</w:t>
      </w:r>
      <w:r w:rsidR="000668C4">
        <w:t xml:space="preserve"> package (v 2.1.1; Helmreich &amp; Pruzek,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D774227"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github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Hlavac,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303DC9A3"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github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lastRenderedPageBreak/>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26BAD9C" w:rsidR="00D00E4C" w:rsidRDefault="00A204E8" w:rsidP="00B255EE">
      <w:pPr>
        <w:spacing w:line="480" w:lineRule="auto"/>
        <w:ind w:firstLine="720"/>
      </w:pPr>
      <w:r>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 xml:space="preserve">Overall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lastRenderedPageBreak/>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r>
        <w:t>cutpoint</w:t>
      </w:r>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r>
        <w:t xml:space="preserve">cutpoints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7"/>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Chrisakis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lastRenderedPageBreak/>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(e.g, TV helps attention). </w:t>
      </w:r>
    </w:p>
    <w:p w14:paraId="1381CB9B" w14:textId="657C2A73"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cutpoints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5D7989D8" w:rsidR="000A4700" w:rsidRDefault="002937C3" w:rsidP="00B255EE">
      <w:pPr>
        <w:spacing w:line="480" w:lineRule="auto"/>
        <w:ind w:firstLine="720"/>
      </w:pPr>
      <w:r>
        <w:lastRenderedPageBreak/>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r w:rsidR="00A40DF7">
        <w:t>cutpoints.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043A9235" w:rsidR="00E57629" w:rsidRPr="006D0102" w:rsidRDefault="00036E2D" w:rsidP="00B255EE">
      <w:pPr>
        <w:spacing w:line="480" w:lineRule="auto"/>
        <w:ind w:firstLine="720"/>
      </w:pPr>
      <w:r w:rsidRPr="00E00523">
        <w:rPr>
          <w:b/>
          <w:bCs/>
          <w:i/>
          <w:iCs/>
        </w:rPr>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cutpoint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lastRenderedPageBreak/>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r w:rsidR="001257BC">
        <w:t xml:space="preserve">Thus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6E4855AF"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s the</w:t>
      </w:r>
      <w:r w:rsidR="00EA37E9">
        <w:t xml:space="preserve"> figure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w:t>
      </w:r>
      <w:r w:rsidR="00C311CD">
        <w:lastRenderedPageBreak/>
        <w:t xml:space="preserve">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varied across TV cutpoints, as shown by Table 3</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cutpoint</w:t>
      </w:r>
      <w:r w:rsidR="00CF72A5">
        <w:t>s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cutpoints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cutpoints</w:t>
      </w:r>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016F91DA"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7E0E0E">
        <w:t>s</w:t>
      </w:r>
      <w:r w:rsidR="00BE0A74">
        <w:t xml:space="preserve"> in Figure </w:t>
      </w:r>
      <w:r w:rsidR="00063176">
        <w:t>2</w:t>
      </w:r>
      <w:r w:rsidR="00BE0A74">
        <w:t xml:space="preserve"> and Table 4, the significance of these models was strongly related to the attention cutpoint </w:t>
      </w:r>
      <w:r w:rsidR="00807152">
        <w:t>defin</w:t>
      </w:r>
      <w:r w:rsidR="00063176">
        <w:t>in</w:t>
      </w:r>
      <w:r w:rsidR="007E0E0E">
        <w:t>g</w:t>
      </w:r>
      <w:r w:rsidR="00807152">
        <w:t xml:space="preserve"> the ‘normal’ and ‘problematic’ attention groups. </w:t>
      </w:r>
      <w:r w:rsidR="005E15DA">
        <w:t xml:space="preserve">We believe that higher cutpoints in these models </w:t>
      </w:r>
      <w:r w:rsidR="00CA1AB0">
        <w:t>manipulate 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for twelve different attention cutpoints.</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performance of a logistic regression model</w:t>
      </w:r>
      <w:r w:rsidR="002A1F31">
        <w:t xml:space="preserve"> using that cutpoint</w:t>
      </w:r>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lastRenderedPageBreak/>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cutpoint surpasses 120, the </w:t>
      </w:r>
      <w:r w:rsidR="00CC57E9">
        <w:rPr>
          <w:i/>
          <w:iCs/>
        </w:rPr>
        <w:t>p</w:t>
      </w:r>
      <w:r w:rsidR="00CC57E9">
        <w:t>-value for</w:t>
      </w:r>
      <w:r w:rsidR="00CF71D7">
        <w:t xml:space="preserve"> the slope becomes significant and remains so through the highest cutpoint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cutpoints</w:t>
      </w:r>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An effect size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8"/>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move a child from a “never” to a “sometimes” on even one of the five 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t>
      </w:r>
      <w:r w:rsidR="006643B9">
        <w:lastRenderedPageBreak/>
        <w:t>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w:t>
      </w:r>
      <w:r>
        <w:lastRenderedPageBreak/>
        <w:t xml:space="preserve">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1198F4A2" w14:textId="60A23B7E" w:rsidR="008E20FC" w:rsidRDefault="00786614" w:rsidP="00D2098F">
      <w:pPr>
        <w:spacing w:line="480" w:lineRule="auto"/>
      </w:pPr>
      <w:r>
        <w:t>American Academy of Pediatrics, Committee on Public Education. (1999).</w:t>
      </w:r>
      <w:r w:rsidR="00916BA8">
        <w:t xml:space="preserve"> </w:t>
      </w:r>
      <w:r>
        <w:t xml:space="preserve">Media education. </w:t>
      </w:r>
    </w:p>
    <w:p w14:paraId="4B3CCF90" w14:textId="00B9981A" w:rsidR="00786614" w:rsidRPr="00786614" w:rsidRDefault="008E20FC" w:rsidP="00D2098F">
      <w:pPr>
        <w:spacing w:line="480" w:lineRule="auto"/>
      </w:pPr>
      <w:r>
        <w:tab/>
      </w:r>
      <w:r w:rsidR="00786614">
        <w:rPr>
          <w:i/>
        </w:rPr>
        <w:t>Pediatrics</w:t>
      </w:r>
      <w:r w:rsidR="00786614">
        <w:t xml:space="preserve">, </w:t>
      </w:r>
      <w:r w:rsidR="00786614">
        <w:rPr>
          <w:i/>
        </w:rPr>
        <w:t>104</w:t>
      </w:r>
      <w:r w:rsidR="00786614">
        <w:t>, 341-343.</w:t>
      </w:r>
      <w:r>
        <w:t xml:space="preserve"> </w:t>
      </w:r>
      <w:r w:rsidR="00504E39">
        <w:t>http</w:t>
      </w:r>
      <w:r w:rsidR="00DE5EC2">
        <w:t>s://doi.org/</w:t>
      </w:r>
      <w:r>
        <w:t>10.1542/peds.2011-1753</w:t>
      </w:r>
    </w:p>
    <w:p w14:paraId="125C113E" w14:textId="598B2415" w:rsidR="00EF2F1A" w:rsidRDefault="00EF2F1A" w:rsidP="00EF2F1A">
      <w:pPr>
        <w:spacing w:line="480" w:lineRule="auto"/>
        <w:ind w:left="720" w:hanging="720"/>
      </w:pPr>
      <w:r w:rsidRPr="009D7D08">
        <w:t>Anand, S., &amp; Krosnick, J. A. (2005). Demographic predictors of media use among infants, toddlers, and preschoolers. </w:t>
      </w:r>
      <w:r w:rsidRPr="009D7D08">
        <w:rPr>
          <w:i/>
          <w:iCs/>
        </w:rPr>
        <w:t>American Behavioral Scientist</w:t>
      </w:r>
      <w:r w:rsidRPr="009D7D08">
        <w:t>, </w:t>
      </w:r>
      <w:r w:rsidRPr="009D7D08">
        <w:rPr>
          <w:i/>
          <w:iCs/>
        </w:rPr>
        <w:t>48</w:t>
      </w:r>
      <w:r w:rsidRPr="009D7D08">
        <w:t>(5), 539-56</w:t>
      </w:r>
      <w:r>
        <w:t xml:space="preserve">1. </w:t>
      </w:r>
      <w:r w:rsidR="00504E39">
        <w:t>http</w:t>
      </w:r>
      <w:r w:rsidR="00DE5EC2">
        <w:t>s://</w:t>
      </w:r>
      <w:r w:rsidR="00504E39">
        <w:t>doi.org/</w:t>
      </w:r>
      <w:r w:rsidRPr="00B00AB8">
        <w:t>10.1177/0002764204271512</w:t>
      </w:r>
      <w:r w:rsidRPr="00B00AB8" w:rsidDel="00B00AB8">
        <w:t xml:space="preserve"> </w:t>
      </w:r>
    </w:p>
    <w:p w14:paraId="710E442C" w14:textId="35873E27" w:rsidR="00EF2F1A" w:rsidRPr="001E446A" w:rsidRDefault="00EF2F1A" w:rsidP="00EF2F1A">
      <w:pPr>
        <w:spacing w:line="480" w:lineRule="auto"/>
        <w:ind w:left="720" w:hanging="720"/>
        <w:contextualSpacing/>
      </w:pPr>
      <w:r w:rsidRPr="001E446A">
        <w:t>Auerbach, J. G., Berger, A., Atzaba</w:t>
      </w:r>
      <w:r w:rsidRPr="001E446A">
        <w:rPr>
          <w:rFonts w:ascii="Cambria Math" w:hAnsi="Cambria Math" w:cs="Cambria Math"/>
        </w:rPr>
        <w:t>‐</w:t>
      </w:r>
      <w:r w:rsidRPr="001E446A">
        <w:t>Poria, N., Arbelle,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412F2A9B" w14:textId="57B3EFB4" w:rsidR="005370C5" w:rsidRPr="00577768" w:rsidRDefault="005370C5" w:rsidP="00D2098F">
      <w:pPr>
        <w:spacing w:line="480" w:lineRule="auto"/>
        <w:rPr>
          <w:i/>
        </w:rPr>
      </w:pPr>
      <w:r w:rsidRPr="00D2098F">
        <w:t>Brand, R.J., Hardesty, S., &amp; Dixon, Jr., W.E. (2010, March).</w:t>
      </w:r>
      <w:r w:rsidR="00916BA8">
        <w:t xml:space="preserve"> </w:t>
      </w:r>
      <w:r w:rsidR="0034693D" w:rsidRPr="00577768">
        <w:rPr>
          <w:i/>
        </w:rPr>
        <w:t>Toddlers’ difficult</w:t>
      </w:r>
      <w:r w:rsidRPr="00D2098F">
        <w:rPr>
          <w:i/>
        </w:rPr>
        <w:t xml:space="preserve"> temperament </w:t>
      </w:r>
    </w:p>
    <w:p w14:paraId="2A2E334B" w14:textId="6978D5FF" w:rsidR="005370C5" w:rsidRDefault="005370C5" w:rsidP="00D2098F">
      <w:pPr>
        <w:spacing w:line="480" w:lineRule="auto"/>
      </w:pPr>
      <w:r>
        <w:rPr>
          <w:i/>
        </w:rPr>
        <w:tab/>
      </w:r>
      <w:r w:rsidRPr="00D2098F">
        <w:rPr>
          <w:i/>
        </w:rPr>
        <w:t>predicts television use</w:t>
      </w:r>
      <w:r w:rsidRPr="00D2098F">
        <w:t>.</w:t>
      </w:r>
      <w:r w:rsidR="00916BA8">
        <w:t xml:space="preserve"> </w:t>
      </w:r>
      <w:r w:rsidRPr="00D2098F">
        <w:t xml:space="preserve">Poster presented at the Biennial Meetings of the Society for </w:t>
      </w:r>
    </w:p>
    <w:p w14:paraId="2655EB35" w14:textId="2F8DC4BE" w:rsidR="005370C5" w:rsidRDefault="005370C5" w:rsidP="00D2098F">
      <w:pPr>
        <w:spacing w:line="480" w:lineRule="auto"/>
      </w:pPr>
      <w:r>
        <w:tab/>
      </w:r>
      <w:r w:rsidRPr="00D2098F">
        <w:t>Research in Child Development, Montreal, Quebec, Canada.</w:t>
      </w:r>
    </w:p>
    <w:p w14:paraId="6CC175ED" w14:textId="545F4606" w:rsidR="00985B4D" w:rsidRPr="00F71468" w:rsidRDefault="00985B4D" w:rsidP="00F71468">
      <w:pPr>
        <w:spacing w:line="480" w:lineRule="auto"/>
        <w:ind w:left="720" w:hanging="720"/>
        <w:rPr>
          <w:iCs/>
        </w:rPr>
      </w:pPr>
      <w:r w:rsidRPr="00F71468">
        <w:rPr>
          <w:iCs/>
        </w:rPr>
        <w:t>Camerer, C. F., Dreber, A., Holzmeister, F., Ho, T.-H., Huber, J., Johannesson, M.</w:t>
      </w:r>
      <w:r w:rsidR="000E5992">
        <w:rPr>
          <w:iCs/>
        </w:rPr>
        <w:t xml:space="preserve">, Kirchler, M., Nave, G., Nosek, B. A., Pfeiffer, T., Altmejd, A., </w:t>
      </w:r>
      <w:r w:rsidR="00B77D89">
        <w:rPr>
          <w:iCs/>
        </w:rPr>
        <w:t>Buttrick, N., Chan, T., Chen, Y., Forsell, E., Gampa, A., Heikensten, E., Hummer, L., Imai, T., …,</w:t>
      </w:r>
      <w:r w:rsidRPr="00F71468">
        <w:rPr>
          <w:iCs/>
        </w:rPr>
        <w:t xml:space="preserve"> Wu, H. (2018). Evaluating the replicability of social science experiments in Nature and Science between 2010 and 2015. </w:t>
      </w:r>
      <w:r w:rsidRPr="00511E1E">
        <w:rPr>
          <w:i/>
        </w:rPr>
        <w:t>Nature Human Behaviour</w:t>
      </w:r>
      <w:r w:rsidRPr="00F71468">
        <w:rPr>
          <w:iCs/>
        </w:rPr>
        <w:t xml:space="preserve">. </w:t>
      </w:r>
      <w:r w:rsidR="00504E39">
        <w:rPr>
          <w:iCs/>
        </w:rPr>
        <w:t>http</w:t>
      </w:r>
      <w:r w:rsidR="00DE5EC2">
        <w:rPr>
          <w:iCs/>
        </w:rPr>
        <w:t>s://doi.org/</w:t>
      </w:r>
      <w:r w:rsidRPr="00F71468">
        <w:rPr>
          <w:iCs/>
        </w:rPr>
        <w:t>10.1038/s41562-018-0399-z</w:t>
      </w:r>
    </w:p>
    <w:p w14:paraId="4B5A4538" w14:textId="5708EF9E" w:rsidR="00EF2F1A" w:rsidRDefault="00EF2F1A" w:rsidP="00EF2F1A">
      <w:pPr>
        <w:spacing w:line="480" w:lineRule="auto"/>
        <w:ind w:left="720" w:hanging="720"/>
      </w:pPr>
      <w:r w:rsidRPr="009D7D08">
        <w:t>Certain, L. K., &amp; Kahn, R. S. (2002). Prevalence, correlates, and trajectory of television viewing among infants and toddlers. </w:t>
      </w:r>
      <w:r w:rsidRPr="009D7D08">
        <w:rPr>
          <w:i/>
          <w:iCs/>
        </w:rPr>
        <w:t>Pediatrics</w:t>
      </w:r>
      <w:r w:rsidRPr="009D7D08">
        <w:t>, </w:t>
      </w:r>
      <w:r w:rsidRPr="009D7D08">
        <w:rPr>
          <w:i/>
          <w:iCs/>
        </w:rPr>
        <w:t>109</w:t>
      </w:r>
      <w:r w:rsidRPr="009D7D08">
        <w:t>(4), 634-642.</w:t>
      </w:r>
      <w:r>
        <w:t xml:space="preserve"> </w:t>
      </w:r>
      <w:r w:rsidR="00504E39">
        <w:t>http</w:t>
      </w:r>
      <w:r w:rsidR="00DE5EC2">
        <w:t>s://</w:t>
      </w:r>
      <w:r w:rsidR="00504E39">
        <w:t>doi.org/</w:t>
      </w:r>
      <w:r w:rsidRPr="00EA6D60">
        <w:t>10.1542/peds.109.4.634</w:t>
      </w:r>
    </w:p>
    <w:p w14:paraId="02343C37" w14:textId="03FAC6AA" w:rsidR="000F4A5A" w:rsidRDefault="006D1208" w:rsidP="00D2098F">
      <w:pPr>
        <w:pStyle w:val="FootnoteText"/>
        <w:spacing w:line="480" w:lineRule="auto"/>
      </w:pPr>
      <w:r>
        <w:lastRenderedPageBreak/>
        <w:t>Children and Media – Tips for Parents (2018).</w:t>
      </w:r>
      <w:r w:rsidR="00916BA8">
        <w:t xml:space="preserve"> </w:t>
      </w:r>
      <w:r w:rsidR="00B77D89">
        <w:t xml:space="preserve">Retrieved </w:t>
      </w:r>
      <w:r>
        <w:t xml:space="preserve">from: </w:t>
      </w:r>
      <w:r w:rsidR="000F4A5A" w:rsidRPr="00D2098F">
        <w:t>https://www.aap.org/en-</w:t>
      </w:r>
      <w:r w:rsidR="000F4A5A">
        <w:t xml:space="preserve"> </w:t>
      </w:r>
    </w:p>
    <w:p w14:paraId="12FEE150" w14:textId="1B4AF4A4" w:rsidR="006D1208" w:rsidRDefault="000F4A5A" w:rsidP="00D2098F">
      <w:pPr>
        <w:pStyle w:val="FootnoteText"/>
        <w:spacing w:line="480" w:lineRule="auto"/>
      </w:pPr>
      <w:r>
        <w:tab/>
      </w:r>
      <w:r w:rsidRPr="00D2098F">
        <w:t>us/about-the-aap/aap-press-room/pages/Children-And-Media-Tips-For-Parents.aspx</w:t>
      </w:r>
    </w:p>
    <w:p w14:paraId="623B1678" w14:textId="227CCC1A" w:rsidR="00EF2F1A" w:rsidRDefault="00EF2F1A" w:rsidP="00EF2F1A">
      <w:pPr>
        <w:spacing w:line="480" w:lineRule="auto"/>
        <w:ind w:left="720" w:hanging="720"/>
      </w:pPr>
      <w:r w:rsidRPr="0003674E">
        <w:t xml:space="preserve">Christakis, D. A., Zimmerman, F. J., DiGiuseppe,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TEDxRainier. </w:t>
      </w:r>
      <w:hyperlink r:id="rId10"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0FD9E977" w14:textId="7AF910DF" w:rsidR="00EF2F1A" w:rsidRDefault="00EF2F1A" w:rsidP="002B4BD8">
      <w:pPr>
        <w:spacing w:line="480" w:lineRule="auto"/>
        <w:ind w:left="720" w:hanging="720"/>
      </w:pPr>
      <w:r w:rsidRPr="002B4BD8">
        <w:t>Duch, H., Fisher, E. M., Ensari, I., &amp; Harrington, A. (2013). Screen time use in children under 3</w:t>
      </w:r>
      <w:r w:rsidRPr="0086020B">
        <w:t xml:space="preserve"> years old: a systematic review of correlates. </w:t>
      </w:r>
      <w:r w:rsidRPr="0086020B">
        <w:rPr>
          <w:i/>
          <w:iCs/>
        </w:rPr>
        <w:t xml:space="preserve">International </w:t>
      </w:r>
      <w:r>
        <w:rPr>
          <w:i/>
          <w:iCs/>
        </w:rPr>
        <w:t>J</w:t>
      </w:r>
      <w:r w:rsidRPr="0086020B">
        <w:rPr>
          <w:i/>
          <w:iCs/>
        </w:rPr>
        <w:t xml:space="preserve">ournal of </w:t>
      </w:r>
      <w:r>
        <w:rPr>
          <w:i/>
          <w:iCs/>
        </w:rPr>
        <w:t>B</w:t>
      </w:r>
      <w:r w:rsidRPr="0086020B">
        <w:rPr>
          <w:i/>
          <w:iCs/>
        </w:rPr>
        <w:t xml:space="preserve">ehavioral </w:t>
      </w:r>
      <w:r>
        <w:rPr>
          <w:i/>
          <w:iCs/>
        </w:rPr>
        <w:t>N</w:t>
      </w:r>
      <w:r w:rsidRPr="0086020B">
        <w:rPr>
          <w:i/>
          <w:iCs/>
        </w:rPr>
        <w:t xml:space="preserve">utrition and </w:t>
      </w:r>
      <w:r>
        <w:rPr>
          <w:i/>
          <w:iCs/>
        </w:rPr>
        <w:t>P</w:t>
      </w:r>
      <w:r w:rsidRPr="0086020B">
        <w:rPr>
          <w:i/>
          <w:iCs/>
        </w:rPr>
        <w:t xml:space="preserve">hysical </w:t>
      </w:r>
      <w:r>
        <w:rPr>
          <w:i/>
          <w:iCs/>
        </w:rPr>
        <w:t>A</w:t>
      </w:r>
      <w:r w:rsidRPr="0086020B">
        <w:rPr>
          <w:i/>
          <w:iCs/>
        </w:rPr>
        <w:t>ctivity</w:t>
      </w:r>
      <w:r w:rsidRPr="0086020B">
        <w:t>, </w:t>
      </w:r>
      <w:r w:rsidRPr="0086020B">
        <w:rPr>
          <w:i/>
          <w:iCs/>
        </w:rPr>
        <w:t>10</w:t>
      </w:r>
      <w:r w:rsidRPr="0086020B">
        <w:t>(1), 102.</w:t>
      </w:r>
      <w:r w:rsidR="00477DBA">
        <w:t xml:space="preserve"> </w:t>
      </w:r>
      <w:r w:rsidR="00477DBA" w:rsidRPr="00477DBA">
        <w:t>https://doi.org/10.1186/1479-5</w:t>
      </w:r>
      <w:r w:rsidR="00C94E1E">
        <w:t>848</w:t>
      </w:r>
      <w:r w:rsidR="00477DBA" w:rsidRPr="00477DBA">
        <w:t>-10-102</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t xml:space="preserve">Gelman, A., &amp; Loken,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1"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62DE0834" w14:textId="77777777" w:rsidR="00354651" w:rsidRDefault="00354651" w:rsidP="00D2098F">
      <w:pPr>
        <w:spacing w:line="480" w:lineRule="auto"/>
        <w:rPr>
          <w:color w:val="222222"/>
          <w:shd w:val="clear" w:color="auto" w:fill="FFFFFF"/>
        </w:rPr>
      </w:pPr>
      <w:r w:rsidRPr="00D2098F">
        <w:rPr>
          <w:color w:val="222222"/>
          <w:shd w:val="clear" w:color="auto" w:fill="FFFFFF"/>
        </w:rPr>
        <w:t>Goode, E., &amp; Ben-Yehuda, N. (2010). </w:t>
      </w:r>
      <w:r w:rsidRPr="00D2098F">
        <w:rPr>
          <w:i/>
          <w:iCs/>
          <w:color w:val="222222"/>
          <w:shd w:val="clear" w:color="auto" w:fill="FFFFFF"/>
        </w:rPr>
        <w:t>Moral panics: The social construction of deviance</w:t>
      </w:r>
      <w:r w:rsidRPr="00D2098F">
        <w:rPr>
          <w:color w:val="222222"/>
          <w:shd w:val="clear" w:color="auto" w:fill="FFFFFF"/>
        </w:rPr>
        <w:t xml:space="preserve">. </w:t>
      </w:r>
      <w:r>
        <w:rPr>
          <w:color w:val="222222"/>
          <w:shd w:val="clear" w:color="auto" w:fill="FFFFFF"/>
        </w:rPr>
        <w:t xml:space="preserve">West </w:t>
      </w:r>
    </w:p>
    <w:p w14:paraId="330799B2" w14:textId="671BC91F" w:rsidR="00354651" w:rsidRPr="00354651" w:rsidRDefault="00354651" w:rsidP="00D2098F">
      <w:pPr>
        <w:spacing w:line="480" w:lineRule="auto"/>
      </w:pPr>
      <w:r>
        <w:rPr>
          <w:color w:val="222222"/>
          <w:shd w:val="clear" w:color="auto" w:fill="FFFFFF"/>
        </w:rPr>
        <w:tab/>
        <w:t>Sussex, UK:Wiley</w:t>
      </w:r>
      <w:r w:rsidRPr="00D2098F">
        <w:rPr>
          <w:color w:val="222222"/>
          <w:shd w:val="clear" w:color="auto" w:fill="FFFFFF"/>
        </w:rPr>
        <w:t>.</w:t>
      </w:r>
    </w:p>
    <w:p w14:paraId="14BE3062" w14:textId="567345F8" w:rsidR="00EF2F1A" w:rsidRDefault="00EF2F1A" w:rsidP="00EF2F1A">
      <w:pPr>
        <w:spacing w:line="480" w:lineRule="auto"/>
        <w:ind w:left="720" w:hanging="720"/>
      </w:pPr>
      <w:r w:rsidRPr="0003674E">
        <w:lastRenderedPageBreak/>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F52EBCD" w14:textId="51D4AB90" w:rsidR="00EF2F1A" w:rsidRDefault="00EF2F1A" w:rsidP="00EF2F1A">
      <w:pPr>
        <w:spacing w:line="480" w:lineRule="auto"/>
        <w:ind w:left="720" w:hanging="720"/>
        <w:contextualSpacing/>
      </w:pPr>
      <w:r w:rsidRPr="001E446A">
        <w:t>Gurevitz, M., Geva, R., Varon, M., &amp; Leitner, Y. (2014). Early markers in infants and toddlers for development of ADHD. </w:t>
      </w:r>
      <w:r w:rsidRPr="001E446A">
        <w:rPr>
          <w:i/>
          <w:iCs/>
        </w:rPr>
        <w:t>Journal of Attention Disorders</w:t>
      </w:r>
      <w:r w:rsidRPr="001E446A">
        <w:t>, </w:t>
      </w:r>
      <w:r w:rsidRPr="001E446A">
        <w:rPr>
          <w:i/>
          <w:iCs/>
        </w:rPr>
        <w:t>18</w:t>
      </w:r>
      <w:r w:rsidRPr="001E446A">
        <w:t>(1), 14-22.</w:t>
      </w:r>
      <w:r>
        <w:t xml:space="preserve"> </w:t>
      </w:r>
      <w:r w:rsidR="00504E39">
        <w:t>http</w:t>
      </w:r>
      <w:r w:rsidR="00DE5EC2">
        <w:t>s://</w:t>
      </w:r>
      <w:r w:rsidR="00504E39">
        <w:t>doi.org/</w:t>
      </w:r>
      <w:r w:rsidRPr="007B7BAF">
        <w:t>10.1177/1087054712447858</w:t>
      </w:r>
    </w:p>
    <w:p w14:paraId="5A628B7F" w14:textId="6D6EFCD1" w:rsidR="00EF2F1A" w:rsidRPr="0003674E" w:rsidRDefault="00EF2F1A" w:rsidP="00EF2F1A">
      <w:pPr>
        <w:spacing w:line="480" w:lineRule="auto"/>
        <w:ind w:left="720" w:hanging="720"/>
      </w:pPr>
      <w:r w:rsidRPr="0003674E">
        <w:t xml:space="preserve">Helmreich, J. E. &amp; Pruzek, R. M. (2009). PSAgraphics: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r w:rsidRPr="0003674E">
        <w:t xml:space="preserve">Hlavac,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2"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Huber, B., Yeates, M., Meyer, D., Fleckhammer,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r w:rsidRPr="00BD0F27">
        <w:t xml:space="preserve">Imbens,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r w:rsidRPr="00D2098F">
        <w:rPr>
          <w:color w:val="222222"/>
          <w:shd w:val="clear" w:color="auto" w:fill="FFFFFF"/>
        </w:rPr>
        <w:t>Kos</w:t>
      </w:r>
      <w:r w:rsidRPr="008779CB">
        <w:rPr>
          <w:color w:val="222222"/>
          <w:shd w:val="clear" w:color="auto" w:fill="FFFFFF"/>
        </w:rPr>
        <w:t>tyrka-Allchorne,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r w:rsidR="00FA1DA9">
        <w:rPr>
          <w:color w:val="222222"/>
          <w:shd w:val="clear" w:color="auto" w:fill="FFFFFF"/>
        </w:rPr>
        <w:t>ehavior</w:t>
      </w:r>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3" w:tgtFrame="_blank" w:tooltip="Persistent link using digital object identifier" w:history="1">
        <w:r w:rsidR="000E48D5" w:rsidRPr="00D2098F">
          <w:rPr>
            <w:color w:val="007398"/>
            <w:u w:val="single"/>
          </w:rPr>
          <w:t>https://doi.org/10.1016/j.dr.2016.12.002</w:t>
        </w:r>
      </w:hyperlink>
    </w:p>
    <w:p w14:paraId="78EE9D48" w14:textId="3E0E86A5" w:rsidR="00EF2F1A" w:rsidRPr="00CA7A5B" w:rsidRDefault="00EF2F1A" w:rsidP="00EF2F1A">
      <w:pPr>
        <w:spacing w:line="480" w:lineRule="auto"/>
        <w:ind w:left="720" w:hanging="720"/>
      </w:pPr>
      <w:r w:rsidRPr="002F7DCE">
        <w:rPr>
          <w:color w:val="222222"/>
          <w:shd w:val="clear" w:color="auto" w:fill="FFFFFF"/>
        </w:rPr>
        <w:lastRenderedPageBreak/>
        <w:t xml:space="preserve">Lillard, A. S., Drell, M. B., Richey, E. M., Boguszewski, K., &amp; Smith, E. D. (2015). Further examination of the immediate impact of television on children’s executive </w:t>
      </w:r>
      <w:r>
        <w:rPr>
          <w:color w:val="222222"/>
          <w:shd w:val="clear" w:color="auto" w:fill="FFFFFF"/>
        </w:rPr>
        <w:t>f</w:t>
      </w:r>
      <w:r w:rsidRPr="002F7DCE">
        <w:rPr>
          <w:color w:val="222222"/>
          <w:shd w:val="clear" w:color="auto" w:fill="FFFFFF"/>
        </w:rPr>
        <w:t>unction. </w:t>
      </w:r>
      <w:r w:rsidRPr="002F7DCE">
        <w:rPr>
          <w:i/>
          <w:iCs/>
          <w:color w:val="222222"/>
          <w:shd w:val="clear" w:color="auto" w:fill="FFFFFF"/>
        </w:rPr>
        <w:t>Developmental Psychology</w:t>
      </w:r>
      <w:r w:rsidRPr="002F7DCE">
        <w:rPr>
          <w:color w:val="222222"/>
          <w:shd w:val="clear" w:color="auto" w:fill="FFFFFF"/>
        </w:rPr>
        <w:t>, </w:t>
      </w:r>
      <w:r w:rsidRPr="002F7DCE">
        <w:rPr>
          <w:i/>
          <w:iCs/>
          <w:color w:val="222222"/>
          <w:shd w:val="clear" w:color="auto" w:fill="FFFFFF"/>
        </w:rPr>
        <w:t>51</w:t>
      </w:r>
      <w:r w:rsidRPr="002F7DCE">
        <w:rPr>
          <w:color w:val="222222"/>
          <w:shd w:val="clear" w:color="auto" w:fill="FFFFFF"/>
        </w:rPr>
        <w:t>(6), 792</w:t>
      </w:r>
      <w:r>
        <w:rPr>
          <w:color w:val="222222"/>
          <w:shd w:val="clear" w:color="auto" w:fill="FFFFFF"/>
        </w:rPr>
        <w:t>-805</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8D7857">
        <w:rPr>
          <w:color w:val="222222"/>
          <w:shd w:val="clear" w:color="auto" w:fill="FFFFFF"/>
        </w:rPr>
        <w:t>10.1037/a0039097</w:t>
      </w:r>
    </w:p>
    <w:p w14:paraId="7514DA53" w14:textId="77770D25" w:rsidR="00EF2F1A" w:rsidRPr="00C5236F" w:rsidRDefault="00EF2F1A" w:rsidP="00EF2F1A">
      <w:pPr>
        <w:spacing w:line="480" w:lineRule="auto"/>
        <w:ind w:left="720" w:hanging="720"/>
      </w:pPr>
      <w:r w:rsidRPr="00CA7A5B">
        <w:rPr>
          <w:color w:val="222222"/>
          <w:shd w:val="clear" w:color="auto" w:fill="FFFFFF"/>
        </w:rPr>
        <w:t xml:space="preserve"> </w:t>
      </w:r>
      <w:r w:rsidRPr="002F7DCE">
        <w:rPr>
          <w:color w:val="222222"/>
          <w:shd w:val="clear" w:color="auto" w:fill="FFFFFF"/>
        </w:rPr>
        <w:t>Lillard, A. S., &amp; Peterson, J. (2011). The immediate impact of different types of television on young children</w:t>
      </w:r>
      <w:r w:rsidR="00FA1DA9">
        <w:rPr>
          <w:color w:val="222222"/>
          <w:shd w:val="clear" w:color="auto" w:fill="FFFFFF"/>
        </w:rPr>
        <w:t>’</w:t>
      </w:r>
      <w:r w:rsidRPr="002F7DCE">
        <w:rPr>
          <w:color w:val="222222"/>
          <w:shd w:val="clear" w:color="auto" w:fill="FFFFFF"/>
        </w:rPr>
        <w:t>s executive function. </w:t>
      </w:r>
      <w:r w:rsidRPr="002F7DCE">
        <w:rPr>
          <w:i/>
          <w:iCs/>
          <w:color w:val="222222"/>
          <w:shd w:val="clear" w:color="auto" w:fill="FFFFFF"/>
        </w:rPr>
        <w:t>Pediatrics</w:t>
      </w:r>
      <w:r>
        <w:rPr>
          <w:color w:val="222222"/>
          <w:shd w:val="clear" w:color="auto" w:fill="FFFFFF"/>
        </w:rPr>
        <w:t>, e1-e6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67B5E">
        <w:rPr>
          <w:color w:val="222222"/>
          <w:shd w:val="clear" w:color="auto" w:fill="FFFFFF"/>
        </w:rPr>
        <w:t>10.1542/peds.2010-1919</w:t>
      </w:r>
    </w:p>
    <w:p w14:paraId="1C453F21" w14:textId="1490AB63"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087FC4D0"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628D11F6" w14:textId="0F61F190" w:rsidR="00EF2F1A" w:rsidRPr="00CE4EFE" w:rsidRDefault="00CE4EFE" w:rsidP="00EF2F1A">
      <w:pPr>
        <w:spacing w:line="480" w:lineRule="auto"/>
        <w:ind w:left="720" w:hanging="720"/>
        <w:contextualSpacing/>
      </w:pPr>
      <w:r>
        <w:t>Markey, P.M., &amp; Ferguson, C.J. (2017).</w:t>
      </w:r>
      <w:r w:rsidR="00916BA8">
        <w:t xml:space="preserve"> </w:t>
      </w:r>
      <w:r>
        <w:rPr>
          <w:i/>
        </w:rPr>
        <w:t>Moral combat: Why the war on violent video games is wrong</w:t>
      </w:r>
      <w:r>
        <w:t xml:space="preserve">. Dallas, TX: </w:t>
      </w:r>
      <w:r w:rsidR="00A26268">
        <w:t>BenB</w:t>
      </w:r>
      <w:r>
        <w:t>ella Books.</w:t>
      </w:r>
    </w:p>
    <w:p w14:paraId="16498CA4" w14:textId="18FF4B70" w:rsidR="00EF2F1A" w:rsidRDefault="00EF2F1A" w:rsidP="00EF2F1A">
      <w:pPr>
        <w:spacing w:line="480" w:lineRule="auto"/>
        <w:ind w:left="720" w:hanging="720"/>
        <w:rPr>
          <w:rStyle w:val="Hyperlink"/>
        </w:rPr>
      </w:pPr>
      <w:r w:rsidRPr="00D24973">
        <w:t>Montgomery, J. M., Nyhan,</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Nabi, R. L., &amp; Krcmar,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3F728AF1" w14:textId="77777777" w:rsidR="00EF2F1A" w:rsidRDefault="00EF2F1A" w:rsidP="00EF2F1A">
      <w:pPr>
        <w:spacing w:line="480" w:lineRule="auto"/>
        <w:ind w:left="720" w:hanging="720"/>
      </w:pPr>
      <w:r>
        <w:t xml:space="preserve">Nash, J. M. (1997, February). Fertile minds. </w:t>
      </w:r>
      <w:r>
        <w:rPr>
          <w:i/>
        </w:rPr>
        <w:t>Time</w:t>
      </w:r>
      <w:r>
        <w:t>, 149. No. 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4" w:history="1">
        <w:r w:rsidR="00FA1DA9" w:rsidRPr="00E04C03">
          <w:rPr>
            <w:rStyle w:val="Hyperlink"/>
          </w:rPr>
          <w:t>https://www.nlsinfo.org/investigator/pages/search.jsp?s=NLSY79</w:t>
        </w:r>
      </w:hyperlink>
    </w:p>
    <w:p w14:paraId="2A863B8C" w14:textId="569492C0" w:rsidR="00F76BDD" w:rsidRPr="009604A9" w:rsidRDefault="00EF2F1A" w:rsidP="00EF2F1A">
      <w:pPr>
        <w:spacing w:line="480" w:lineRule="auto"/>
        <w:ind w:left="720" w:hanging="720"/>
      </w:pPr>
      <w:r w:rsidRPr="00D2098F">
        <w:rPr>
          <w:rStyle w:val="Hyperlink"/>
          <w:color w:val="auto"/>
          <w:u w:val="none"/>
        </w:rPr>
        <w:lastRenderedPageBreak/>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5"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r w:rsidRPr="00D2098F">
        <w:rPr>
          <w:color w:val="222222"/>
          <w:shd w:val="clear" w:color="auto" w:fill="FFFFFF"/>
        </w:rPr>
        <w:t xml:space="preserve">Nikkelen,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6"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r w:rsidRPr="00596FF2">
        <w:rPr>
          <w:color w:val="222222"/>
          <w:shd w:val="clear" w:color="auto" w:fill="FFFFFF"/>
        </w:rPr>
        <w:t xml:space="preserve">Orben, A., Dienlin,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1D45BE18" w14:textId="6EA8E6DC" w:rsidR="007F533F" w:rsidRDefault="007F533F" w:rsidP="00D2098F">
      <w:pPr>
        <w:spacing w:line="480" w:lineRule="auto"/>
        <w:rPr>
          <w:color w:val="222222"/>
          <w:shd w:val="clear" w:color="auto" w:fill="FFFFFF"/>
        </w:rPr>
      </w:pPr>
      <w:r w:rsidRPr="00D2098F">
        <w:rPr>
          <w:color w:val="222222"/>
          <w:shd w:val="clear" w:color="auto" w:fill="FFFFFF"/>
        </w:rPr>
        <w:t xml:space="preserve">Plomin, R., Corley, R., DeFries, J. C., &amp; Fulker, D. W. (1990). Individual differences in </w:t>
      </w:r>
    </w:p>
    <w:p w14:paraId="277AE3A0" w14:textId="77777777" w:rsidR="007F533F" w:rsidRDefault="007F533F"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television viewing in early childhood: Nature as well as nurture. </w:t>
      </w:r>
      <w:r w:rsidRPr="00D2098F">
        <w:rPr>
          <w:i/>
          <w:iCs/>
          <w:color w:val="222222"/>
          <w:shd w:val="clear" w:color="auto" w:fill="FFFFFF"/>
        </w:rPr>
        <w:t xml:space="preserve">Psychological </w:t>
      </w:r>
    </w:p>
    <w:p w14:paraId="7E9011A5" w14:textId="45B53387" w:rsidR="007F533F" w:rsidRPr="007F533F" w:rsidRDefault="007F533F" w:rsidP="00D2098F">
      <w:pPr>
        <w:spacing w:line="480" w:lineRule="auto"/>
      </w:pPr>
      <w:r>
        <w:rPr>
          <w:i/>
          <w:iCs/>
          <w:color w:val="222222"/>
          <w:shd w:val="clear" w:color="auto" w:fill="FFFFFF"/>
        </w:rPr>
        <w:tab/>
      </w:r>
      <w:r w:rsidRPr="00D2098F">
        <w:rPr>
          <w:i/>
          <w:iCs/>
          <w:color w:val="222222"/>
          <w:shd w:val="clear" w:color="auto" w:fill="FFFFFF"/>
        </w:rPr>
        <w:t>Science</w:t>
      </w:r>
      <w:r w:rsidRPr="00D2098F">
        <w:rPr>
          <w:color w:val="222222"/>
          <w:shd w:val="clear" w:color="auto" w:fill="FFFFFF"/>
        </w:rPr>
        <w:t>, </w:t>
      </w:r>
      <w:r w:rsidRPr="00D2098F">
        <w:rPr>
          <w:i/>
          <w:iCs/>
          <w:color w:val="222222"/>
          <w:shd w:val="clear" w:color="auto" w:fill="FFFFFF"/>
        </w:rPr>
        <w:t>1</w:t>
      </w:r>
      <w:r w:rsidRPr="00D2098F">
        <w:rPr>
          <w:color w:val="222222"/>
          <w:shd w:val="clear" w:color="auto" w:fill="FFFFFF"/>
        </w:rPr>
        <w:t>, 371-377.</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7"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lastRenderedPageBreak/>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r w:rsidRPr="00BD5755">
        <w:rPr>
          <w:color w:val="222222"/>
          <w:shd w:val="clear" w:color="auto" w:fill="FFFFFF"/>
        </w:rPr>
        <w:t>Radesky,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Morral, A. Griffin, B., &amp; Burgettey,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18"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r w:rsidRPr="00D2098F">
        <w:rPr>
          <w:i/>
          <w:iCs/>
          <w:color w:val="222222"/>
          <w:shd w:val="clear" w:color="auto" w:fill="FFFFFF"/>
        </w:rPr>
        <w:t>Biometrika</w:t>
      </w:r>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19" w:history="1">
        <w:r w:rsidRPr="00D2098F">
          <w:rPr>
            <w:rStyle w:val="Hyperlink"/>
          </w:rPr>
          <w:t>https://doi.org/10.1093/</w:t>
        </w:r>
        <w:r w:rsidRPr="001A657D">
          <w:rPr>
            <w:rStyle w:val="Hyperlink"/>
            <w:bdr w:val="none" w:sz="0" w:space="0" w:color="auto" w:frame="1"/>
            <w:shd w:val="clear" w:color="auto" w:fill="FFFFFF"/>
          </w:rPr>
          <w:t xml:space="preserve"> </w:t>
        </w:r>
        <w:r w:rsidRPr="00D2098F">
          <w:rPr>
            <w:rStyle w:val="Hyperlink"/>
          </w:rPr>
          <w:t>biomet/70.1.41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1805D0B0" w14:textId="28C29EE3" w:rsidR="00DF61F9" w:rsidRPr="00DF61F9" w:rsidRDefault="00DF61F9" w:rsidP="00EF2F1A">
      <w:pPr>
        <w:spacing w:line="480" w:lineRule="auto"/>
        <w:ind w:left="720" w:hanging="720"/>
      </w:pPr>
      <w:r>
        <w:t>Ruff, H.A., &amp; Rothbart, M.K. (1996).</w:t>
      </w:r>
      <w:r w:rsidR="00916BA8">
        <w:t xml:space="preserve"> </w:t>
      </w:r>
      <w:r>
        <w:rPr>
          <w:i/>
        </w:rPr>
        <w:t>Attention in early development: Themes and variations</w:t>
      </w:r>
      <w:r>
        <w:t xml:space="preserve">. </w:t>
      </w:r>
      <w:r w:rsidR="00795D78">
        <w:t>New York:</w:t>
      </w:r>
      <w:r w:rsidR="00916BA8">
        <w:t xml:space="preserve"> </w:t>
      </w:r>
      <w:r w:rsidR="00795D78">
        <w:t>Oxford University Press.</w:t>
      </w:r>
    </w:p>
    <w:p w14:paraId="577103C1" w14:textId="5FC0EB1C" w:rsidR="00EF2F1A" w:rsidRDefault="00EF2F1A" w:rsidP="00EF2F1A">
      <w:pPr>
        <w:spacing w:line="480" w:lineRule="auto"/>
        <w:ind w:left="720" w:hanging="720"/>
      </w:pPr>
      <w:r w:rsidRPr="002A1EF8">
        <w:t>Silberzahn, R., Uhlmann, E. L., Martin, D. P., Anselmi, P., Aust, F.,</w:t>
      </w:r>
      <w:r w:rsidR="00743A8E">
        <w:t xml:space="preserve"> Awtrey E., </w:t>
      </w:r>
      <w:r w:rsidR="002620E6" w:rsidRPr="002620E6">
        <w:t>Bahní</w:t>
      </w:r>
      <w:r w:rsidR="00743A8E">
        <w:t>k</w:t>
      </w:r>
      <w:r w:rsidR="00301B6C">
        <w:t xml:space="preserve">, </w:t>
      </w:r>
      <w:r w:rsidR="00301B6C" w:rsidRPr="00301B6C">
        <w:t>Š.</w:t>
      </w:r>
      <w:r w:rsidR="00743A8E">
        <w:t>, Bai, F., Bannard, C., Bonnier, E., Carlsson, R., Cheung, F., Christensen, G., Clay, R., Craig, M. A., Dall Rosa, A., Dam, L</w:t>
      </w:r>
      <w:r w:rsidR="00E444D8">
        <w:t xml:space="preserve">., Evans, M. H., Flores Cervantes, I., </w:t>
      </w:r>
      <w:r w:rsidR="00FA1DA9">
        <w:t>…</w:t>
      </w:r>
      <w:r w:rsidRPr="002A1EF8">
        <w:t xml:space="preserve"> Nosek, B. A. (201</w:t>
      </w:r>
      <w:r w:rsidR="007E4FFF">
        <w:t>8</w:t>
      </w:r>
      <w:r w:rsidRPr="002A1EF8">
        <w:t xml:space="preserve">). </w:t>
      </w:r>
      <w:r w:rsidRPr="00A70F47">
        <w:t xml:space="preserve">Many analysts, one dataset: Making transparent how variations in analytical </w:t>
      </w:r>
      <w:r w:rsidRPr="00A70F47">
        <w:lastRenderedPageBreak/>
        <w:t>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Simmons, J. P., Nelson, L. D., &amp; Simonsohn,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Smith, P. H., Dixon Jr, W. E., Jankowski, J. J., Sanscrainte,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r>
        <w:rPr>
          <w:shd w:val="clear" w:color="auto" w:fill="FFFFFF"/>
        </w:rPr>
        <w:t>L</w:t>
      </w:r>
      <w:r w:rsidRPr="00BD5755">
        <w:rPr>
          <w:shd w:val="clear" w:color="auto" w:fill="FFFFFF"/>
        </w:rPr>
        <w:t>oboschefski,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r>
        <w:t xml:space="preserve">Steegen, S., Tuerlinckx, F., Gelman, A., &amp; Vanpaemel, W. (2016). Increasing transparency through a multiverse analysis. </w:t>
      </w:r>
      <w:r>
        <w:rPr>
          <w:i/>
        </w:rPr>
        <w:t>Perspectives on Psychological Science, 11</w:t>
      </w:r>
      <w:r>
        <w:t xml:space="preserve">(5), 702-712. </w:t>
      </w:r>
      <w:hyperlink r:id="rId20"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Sullivan, E. L., Holton, K. F., Nousen, E. K., Barling, A. N., Sullivan, C. A., Propper, C. B., &amp; Nigg,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7405646" w14:textId="443260D6" w:rsidR="00EF2F1A" w:rsidRPr="00315E86" w:rsidRDefault="00EF2F1A" w:rsidP="00EF2F1A">
      <w:pPr>
        <w:spacing w:line="480" w:lineRule="auto"/>
        <w:ind w:left="720" w:hanging="720"/>
        <w:outlineLvl w:val="0"/>
      </w:pPr>
      <w:r w:rsidRPr="00BD5755">
        <w:rPr>
          <w:color w:val="222222"/>
          <w:shd w:val="clear" w:color="auto" w:fill="FFFFFF"/>
        </w:rPr>
        <w:t>Thomas, A., Chess, S., &amp; Birch, H. G.</w:t>
      </w:r>
      <w:r>
        <w:rPr>
          <w:color w:val="222222"/>
          <w:shd w:val="clear" w:color="auto" w:fill="FFFFFF"/>
        </w:rPr>
        <w:t xml:space="preserve"> </w:t>
      </w:r>
      <w:r w:rsidRPr="00BD5755">
        <w:rPr>
          <w:color w:val="222222"/>
          <w:shd w:val="clear" w:color="auto" w:fill="FFFFFF"/>
        </w:rPr>
        <w:t>(1968). </w:t>
      </w:r>
      <w:r w:rsidRPr="00BD5755">
        <w:rPr>
          <w:i/>
          <w:iCs/>
          <w:color w:val="222222"/>
          <w:shd w:val="clear" w:color="auto" w:fill="FFFFFF"/>
        </w:rPr>
        <w:t>Temperament a</w:t>
      </w:r>
      <w:r w:rsidR="00CF7D2D">
        <w:rPr>
          <w:i/>
          <w:iCs/>
          <w:color w:val="222222"/>
          <w:shd w:val="clear" w:color="auto" w:fill="FFFFFF"/>
        </w:rPr>
        <w:t>nd B</w:t>
      </w:r>
      <w:r w:rsidR="00FA1DA9">
        <w:rPr>
          <w:i/>
          <w:iCs/>
          <w:color w:val="222222"/>
          <w:shd w:val="clear" w:color="auto" w:fill="FFFFFF"/>
        </w:rPr>
        <w:t>ehavior</w:t>
      </w:r>
      <w:r w:rsidR="00483E3F">
        <w:rPr>
          <w:i/>
          <w:iCs/>
          <w:color w:val="222222"/>
          <w:shd w:val="clear" w:color="auto" w:fill="FFFFFF"/>
        </w:rPr>
        <w:t xml:space="preserve"> </w:t>
      </w:r>
      <w:r w:rsidR="00CF7D2D">
        <w:rPr>
          <w:i/>
          <w:iCs/>
          <w:color w:val="222222"/>
          <w:shd w:val="clear" w:color="auto" w:fill="FFFFFF"/>
        </w:rPr>
        <w:t>D</w:t>
      </w:r>
      <w:r w:rsidRPr="00BD5755">
        <w:rPr>
          <w:i/>
          <w:iCs/>
          <w:color w:val="222222"/>
          <w:shd w:val="clear" w:color="auto" w:fill="FFFFFF"/>
        </w:rPr>
        <w:t xml:space="preserve">isorders in </w:t>
      </w:r>
      <w:r w:rsidR="00CF7D2D">
        <w:rPr>
          <w:i/>
          <w:iCs/>
          <w:color w:val="222222"/>
          <w:shd w:val="clear" w:color="auto" w:fill="FFFFFF"/>
        </w:rPr>
        <w:t>C</w:t>
      </w:r>
      <w:r w:rsidRPr="00BD5755">
        <w:rPr>
          <w:i/>
          <w:iCs/>
          <w:color w:val="222222"/>
          <w:shd w:val="clear" w:color="auto" w:fill="FFFFFF"/>
        </w:rPr>
        <w:t>hildren</w:t>
      </w:r>
      <w:r w:rsidRPr="00BD5755">
        <w:rPr>
          <w:color w:val="222222"/>
          <w:shd w:val="clear" w:color="auto" w:fill="FFFFFF"/>
        </w:rPr>
        <w:t>.</w:t>
      </w:r>
      <w:r>
        <w:rPr>
          <w:color w:val="222222"/>
          <w:shd w:val="clear" w:color="auto" w:fill="FFFFFF"/>
        </w:rPr>
        <w:t xml:space="preserve"> </w:t>
      </w:r>
      <w:r w:rsidRPr="00BD5755">
        <w:rPr>
          <w:color w:val="222222"/>
          <w:shd w:val="clear" w:color="auto" w:fill="FFFFFF"/>
        </w:rPr>
        <w:t>New York: University Press.</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doi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r w:rsidRPr="002F7DCE">
        <w:rPr>
          <w:color w:val="222222"/>
          <w:shd w:val="clear" w:color="auto" w:fill="FFFFFF"/>
        </w:rPr>
        <w:lastRenderedPageBreak/>
        <w:t>Trzesniewski,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5055EEB9" w14:textId="0AEE0466" w:rsidR="00EF2F1A" w:rsidRDefault="00EF2F1A" w:rsidP="00EF2F1A">
      <w:pPr>
        <w:spacing w:line="480" w:lineRule="auto"/>
        <w:ind w:left="720" w:hanging="720"/>
      </w:pPr>
      <w:r w:rsidRPr="001F6F8D">
        <w:t>Vaala, S. E., &amp; Hornik, R. C. (2014). Predicting US infa</w:t>
      </w:r>
      <w:r w:rsidR="009A0D09">
        <w:t>nts</w:t>
      </w:r>
      <w:r w:rsidRPr="001F6F8D">
        <w:t>' and toddl</w:t>
      </w:r>
      <w:r w:rsidR="009A0D09">
        <w:t>e</w:t>
      </w:r>
      <w:r w:rsidRPr="001F6F8D">
        <w:t>rs' TV/video viewing rates: Moth</w:t>
      </w:r>
      <w:r w:rsidR="009A0D09">
        <w:t>e</w:t>
      </w:r>
      <w:r w:rsidRPr="001F6F8D">
        <w:t>rs' cognitions and structural life circumstances. </w:t>
      </w:r>
      <w:r w:rsidRPr="001F6F8D">
        <w:rPr>
          <w:i/>
          <w:iCs/>
        </w:rPr>
        <w:t>Journal of Children and Media</w:t>
      </w:r>
      <w:r w:rsidRPr="001F6F8D">
        <w:t>, </w:t>
      </w:r>
      <w:r w:rsidRPr="001F6F8D">
        <w:rPr>
          <w:i/>
          <w:iCs/>
        </w:rPr>
        <w:t>8</w:t>
      </w:r>
      <w:r w:rsidRPr="001F6F8D">
        <w:t>(2), 163-182.</w:t>
      </w:r>
      <w:r>
        <w:t xml:space="preserve"> </w:t>
      </w:r>
      <w:r w:rsidR="00DE5EC2">
        <w:t>https://</w:t>
      </w:r>
      <w:r w:rsidR="00504E39">
        <w:t>doi.org/</w:t>
      </w:r>
      <w:r w:rsidRPr="00CB13EB">
        <w:t>10.1080/17482798.2013.824494</w:t>
      </w:r>
    </w:p>
    <w:p w14:paraId="5F227F16" w14:textId="77777777" w:rsidR="00F161D1" w:rsidRDefault="00F161D1" w:rsidP="00D2098F">
      <w:pPr>
        <w:spacing w:line="480" w:lineRule="auto"/>
        <w:rPr>
          <w:color w:val="222222"/>
          <w:shd w:val="clear" w:color="auto" w:fill="FFFFFF"/>
        </w:rPr>
      </w:pPr>
      <w:r w:rsidRPr="00D2098F">
        <w:rPr>
          <w:color w:val="222222"/>
          <w:shd w:val="clear" w:color="auto" w:fill="FFFFFF"/>
        </w:rPr>
        <w:t xml:space="preserve">Valkenburg, P. M., &amp; Peter, J. (2013). The differential susceptibility to media effects </w:t>
      </w:r>
    </w:p>
    <w:p w14:paraId="46C37411" w14:textId="53D6E787" w:rsidR="00F161D1" w:rsidRPr="00F161D1" w:rsidRDefault="00F161D1" w:rsidP="00D2098F">
      <w:pPr>
        <w:spacing w:line="480" w:lineRule="auto"/>
      </w:pPr>
      <w:r>
        <w:rPr>
          <w:color w:val="222222"/>
          <w:shd w:val="clear" w:color="auto" w:fill="FFFFFF"/>
        </w:rPr>
        <w:tab/>
      </w:r>
      <w:r w:rsidRPr="00D2098F">
        <w:rPr>
          <w:color w:val="222222"/>
          <w:shd w:val="clear" w:color="auto" w:fill="FFFFFF"/>
        </w:rPr>
        <w:t>model. </w:t>
      </w:r>
      <w:r w:rsidRPr="00D2098F">
        <w:rPr>
          <w:i/>
          <w:iCs/>
          <w:color w:val="222222"/>
          <w:shd w:val="clear" w:color="auto" w:fill="FFFFFF"/>
        </w:rPr>
        <w:t>Journal of Communication</w:t>
      </w:r>
      <w:r w:rsidRPr="00D2098F">
        <w:rPr>
          <w:color w:val="222222"/>
          <w:shd w:val="clear" w:color="auto" w:fill="FFFFFF"/>
        </w:rPr>
        <w:t>, </w:t>
      </w:r>
      <w:r w:rsidRPr="00D2098F">
        <w:rPr>
          <w:i/>
          <w:iCs/>
          <w:color w:val="222222"/>
          <w:shd w:val="clear" w:color="auto" w:fill="FFFFFF"/>
        </w:rPr>
        <w:t>63</w:t>
      </w:r>
      <w:r w:rsidRPr="00D2098F">
        <w:rPr>
          <w:color w:val="222222"/>
          <w:shd w:val="clear" w:color="auto" w:fill="FFFFFF"/>
        </w:rPr>
        <w:t>, 221-243.</w:t>
      </w:r>
      <w:r>
        <w:rPr>
          <w:color w:val="222222"/>
          <w:shd w:val="clear" w:color="auto" w:fill="FFFFFF"/>
        </w:rPr>
        <w:t xml:space="preserve"> </w:t>
      </w:r>
      <w:r w:rsidR="00DE5EC2">
        <w:t>https://doi.org/</w:t>
      </w:r>
      <w:r>
        <w:t>10.1111/jcom.12024</w:t>
      </w:r>
    </w:p>
    <w:p w14:paraId="13397524" w14:textId="369BDADA" w:rsidR="00EF2F1A" w:rsidRPr="0003674E" w:rsidRDefault="00EF2F1A" w:rsidP="00EF2F1A">
      <w:pPr>
        <w:spacing w:line="480" w:lineRule="auto"/>
        <w:ind w:left="720" w:hanging="720"/>
      </w:pPr>
      <w:r w:rsidRPr="0003674E">
        <w:t xml:space="preserve">van Buuren, S., &amp; Groothuis-Oudshoorn,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E4F9A9B" w14:textId="50F0B999" w:rsidR="00EF2F1A" w:rsidRDefault="007473FE" w:rsidP="00EF2F1A">
      <w:pPr>
        <w:spacing w:line="480" w:lineRule="auto"/>
        <w:ind w:left="720" w:hanging="720"/>
      </w:pPr>
      <w:r>
        <w:t>Vandewater, E. A., Rideout, V.J., Wartella, E.A., Huang, X., Lee, J.H., &amp; Shim, M.</w:t>
      </w:r>
      <w:r w:rsidR="00EF2F1A" w:rsidRPr="001F6F8D">
        <w:t>S. (2007). Digital childhood: electronic media and technology use among infants, toddlers, and preschoolers. </w:t>
      </w:r>
      <w:r w:rsidR="00EF2F1A" w:rsidRPr="001F6F8D">
        <w:rPr>
          <w:i/>
          <w:iCs/>
        </w:rPr>
        <w:t>Pediatrics</w:t>
      </w:r>
      <w:r w:rsidR="00EF2F1A" w:rsidRPr="001F6F8D">
        <w:t>, </w:t>
      </w:r>
      <w:r w:rsidR="00EF2F1A" w:rsidRPr="001F6F8D">
        <w:rPr>
          <w:i/>
          <w:iCs/>
        </w:rPr>
        <w:t>119</w:t>
      </w:r>
      <w:r w:rsidR="00EF2F1A" w:rsidRPr="001F6F8D">
        <w:t>(5), e1006-e1015.</w:t>
      </w:r>
      <w:r w:rsidR="00EF2F1A">
        <w:t xml:space="preserve"> </w:t>
      </w:r>
      <w:r w:rsidR="00DE5EC2">
        <w:t>https://</w:t>
      </w:r>
      <w:r w:rsidR="00504E39">
        <w:t>doi.org/</w:t>
      </w:r>
      <w:r w:rsidR="00EF2F1A" w:rsidRPr="00A31969">
        <w:t>10.1542/peds.2006-1804</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ny, A., Linnell, J., Casson,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457DBDD6" w14:textId="150E37F5" w:rsidR="00EF2F1A" w:rsidRDefault="00EF2F1A" w:rsidP="00EF2F1A">
      <w:pPr>
        <w:spacing w:line="480" w:lineRule="auto"/>
        <w:ind w:left="720" w:hanging="720"/>
        <w:rPr>
          <w:color w:val="222222"/>
          <w:shd w:val="clear" w:color="auto" w:fill="FFFFFF"/>
        </w:rPr>
      </w:pPr>
      <w:r w:rsidRPr="006128F7">
        <w:rPr>
          <w:color w:val="222222"/>
          <w:shd w:val="clear" w:color="auto" w:fill="FFFFFF"/>
        </w:rPr>
        <w:t>Weisberg, D.</w:t>
      </w:r>
      <w:r w:rsidRPr="00246285">
        <w:rPr>
          <w:color w:val="222222"/>
          <w:shd w:val="clear" w:color="auto" w:fill="FFFFFF"/>
        </w:rPr>
        <w:t>S.,</w:t>
      </w:r>
      <w:r w:rsidRPr="006128F7">
        <w:rPr>
          <w:color w:val="222222"/>
          <w:shd w:val="clear" w:color="auto" w:fill="FFFFFF"/>
        </w:rPr>
        <w:t xml:space="preserve"> Hirsh-Pasek, K., Golinkoff, R.M., &amp; McCandliss, B.</w:t>
      </w:r>
      <w:r w:rsidRPr="00246285">
        <w:rPr>
          <w:color w:val="222222"/>
          <w:shd w:val="clear" w:color="auto" w:fill="FFFFFF"/>
        </w:rPr>
        <w:t>D. (2014). Mise en place: Setting the stage for thought and action. </w:t>
      </w:r>
      <w:r w:rsidRPr="00246285">
        <w:rPr>
          <w:i/>
          <w:iCs/>
          <w:color w:val="222222"/>
          <w:shd w:val="clear" w:color="auto" w:fill="FFFFFF"/>
        </w:rPr>
        <w:t>Trends in Cognitive Sciences</w:t>
      </w:r>
      <w:r w:rsidRPr="00246285">
        <w:rPr>
          <w:color w:val="222222"/>
          <w:shd w:val="clear" w:color="auto" w:fill="FFFFFF"/>
        </w:rPr>
        <w:t>, </w:t>
      </w:r>
      <w:r w:rsidRPr="00246285">
        <w:rPr>
          <w:i/>
          <w:iCs/>
          <w:color w:val="222222"/>
          <w:shd w:val="clear" w:color="auto" w:fill="FFFFFF"/>
        </w:rPr>
        <w:t>18</w:t>
      </w:r>
      <w:r w:rsidRPr="00246285">
        <w:rPr>
          <w:color w:val="222222"/>
          <w:shd w:val="clear" w:color="auto" w:fill="FFFFFF"/>
        </w:rPr>
        <w:t>(6), 276-278.</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EE50E0">
        <w:rPr>
          <w:color w:val="222222"/>
          <w:shd w:val="clear" w:color="auto" w:fill="FFFFFF"/>
        </w:rPr>
        <w:t>10.1016/j.tics.2014.02.012</w:t>
      </w:r>
    </w:p>
    <w:p w14:paraId="699C5EF0" w14:textId="6B8696BF" w:rsidR="00BC7FDC" w:rsidRPr="00BA09F4" w:rsidRDefault="00BC7FDC" w:rsidP="00EF2F1A">
      <w:pPr>
        <w:spacing w:line="480" w:lineRule="auto"/>
        <w:ind w:left="720" w:hanging="720"/>
      </w:pPr>
      <w:r w:rsidRPr="00BC7FDC">
        <w:t xml:space="preserve">Westfall, J., &amp; Yarkoni,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5C5775DF" w14:textId="3B091F39" w:rsidR="002D23D6" w:rsidRDefault="00067050">
      <w:r>
        <w:t>Table 1</w:t>
      </w:r>
    </w:p>
    <w:p w14:paraId="70E04F01" w14:textId="6EF0936E" w:rsidR="00810A7C" w:rsidRDefault="00810A7C">
      <w:r>
        <w:t>Conceptual map of analytic decisions for the multi</w:t>
      </w:r>
      <w:r w:rsidR="000422F6">
        <w:t>verse analyses</w:t>
      </w:r>
    </w:p>
    <w:p w14:paraId="3A925AA8" w14:textId="77777777" w:rsidR="002D23D6" w:rsidRDefault="002D23D6"/>
    <w:tbl>
      <w:tblPr>
        <w:tblW w:w="7360" w:type="dxa"/>
        <w:tblLook w:val="04A0" w:firstRow="1" w:lastRow="0" w:firstColumn="1" w:lastColumn="0" w:noHBand="0" w:noVBand="1"/>
      </w:tblPr>
      <w:tblGrid>
        <w:gridCol w:w="2580"/>
        <w:gridCol w:w="4780"/>
      </w:tblGrid>
      <w:tr w:rsidR="002D23D6" w14:paraId="712F3BF7" w14:textId="77777777" w:rsidTr="002D23D6">
        <w:trPr>
          <w:trHeight w:val="141"/>
        </w:trPr>
        <w:tc>
          <w:tcPr>
            <w:tcW w:w="258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478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2D23D6" w14:paraId="2689B994"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2D23D6" w14:paraId="1E0C9599"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2D23D6" w14:paraId="4A587EBE" w14:textId="77777777" w:rsidTr="002D23D6">
        <w:trPr>
          <w:trHeight w:val="141"/>
        </w:trPr>
        <w:tc>
          <w:tcPr>
            <w:tcW w:w="258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2D23D6" w14:paraId="20584BBB" w14:textId="77777777" w:rsidTr="002D23D6">
        <w:trPr>
          <w:trHeight w:val="501"/>
        </w:trPr>
        <w:tc>
          <w:tcPr>
            <w:tcW w:w="258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478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2D23D6" w14:paraId="4F65A914" w14:textId="77777777" w:rsidTr="002D23D6">
        <w:trPr>
          <w:trHeight w:val="141"/>
        </w:trPr>
        <w:tc>
          <w:tcPr>
            <w:tcW w:w="258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2D23D6" w14:paraId="049A3939" w14:textId="77777777" w:rsidTr="002D23D6">
        <w:trPr>
          <w:trHeight w:val="276"/>
        </w:trPr>
        <w:tc>
          <w:tcPr>
            <w:tcW w:w="258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Attention cutpoint</w:t>
            </w:r>
          </w:p>
        </w:tc>
        <w:tc>
          <w:tcPr>
            <w:tcW w:w="4780" w:type="dxa"/>
            <w:tcBorders>
              <w:top w:val="nil"/>
              <w:left w:val="nil"/>
              <w:bottom w:val="nil"/>
              <w:right w:val="nil"/>
            </w:tcBorders>
            <w:shd w:val="clear" w:color="auto" w:fill="auto"/>
            <w:noWrap/>
            <w:vAlign w:val="bottom"/>
            <w:hideMark/>
          </w:tcPr>
          <w:p w14:paraId="474030BA" w14:textId="77777777" w:rsidR="002D23D6" w:rsidRDefault="002D23D6">
            <w:pPr>
              <w:rPr>
                <w:color w:val="000000"/>
                <w:sz w:val="22"/>
                <w:szCs w:val="22"/>
              </w:rPr>
            </w:pPr>
            <w:r>
              <w:rPr>
                <w:color w:val="000000"/>
                <w:sz w:val="22"/>
                <w:szCs w:val="22"/>
              </w:rPr>
              <w:t>100, 102, 104, …., 130</w:t>
            </w:r>
            <w:r>
              <w:rPr>
                <w:i/>
                <w:iCs/>
                <w:color w:val="000000"/>
                <w:sz w:val="22"/>
                <w:szCs w:val="22"/>
              </w:rPr>
              <w:t xml:space="preserve"> (21 levels)</w:t>
            </w:r>
          </w:p>
        </w:tc>
      </w:tr>
      <w:tr w:rsidR="002D23D6" w14:paraId="22FB2D70" w14:textId="77777777" w:rsidTr="002D23D6">
        <w:trPr>
          <w:trHeight w:val="276"/>
        </w:trPr>
        <w:tc>
          <w:tcPr>
            <w:tcW w:w="258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19D1DC3F" w14:textId="23CCF53A" w:rsidR="002D23D6" w:rsidRDefault="002D23D6">
            <w:pPr>
              <w:rPr>
                <w:color w:val="000000"/>
                <w:sz w:val="22"/>
                <w:szCs w:val="22"/>
              </w:rPr>
            </w:pPr>
            <w:r>
              <w:rPr>
                <w:color w:val="000000"/>
                <w:sz w:val="22"/>
                <w:szCs w:val="22"/>
              </w:rPr>
              <w:t xml:space="preserve">Within-sex standardized </w:t>
            </w:r>
            <w:r w:rsidR="00E86D10">
              <w:rPr>
                <w:color w:val="000000"/>
                <w:sz w:val="22"/>
                <w:szCs w:val="22"/>
              </w:rPr>
              <w:t xml:space="preserve">  </w:t>
            </w:r>
            <w:r>
              <w:rPr>
                <w:color w:val="000000"/>
                <w:sz w:val="22"/>
                <w:szCs w:val="22"/>
              </w:rPr>
              <w:t>raw attention</w:t>
            </w:r>
          </w:p>
        </w:tc>
      </w:tr>
      <w:tr w:rsidR="002D23D6" w14:paraId="022DC418" w14:textId="77777777" w:rsidTr="002D23D6">
        <w:trPr>
          <w:trHeight w:val="276"/>
        </w:trPr>
        <w:tc>
          <w:tcPr>
            <w:tcW w:w="258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478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2D23D6" w14:paraId="3B678443" w14:textId="77777777" w:rsidTr="002D23D6">
        <w:trPr>
          <w:trHeight w:val="276"/>
        </w:trPr>
        <w:tc>
          <w:tcPr>
            <w:tcW w:w="258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2D23D6" w14:paraId="50D1A0CB" w14:textId="77777777" w:rsidTr="002D23D6">
        <w:trPr>
          <w:trHeight w:val="276"/>
        </w:trPr>
        <w:tc>
          <w:tcPr>
            <w:tcW w:w="258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2D23D6" w14:paraId="447931AC" w14:textId="77777777" w:rsidTr="002D23D6">
        <w:trPr>
          <w:trHeight w:val="276"/>
        </w:trPr>
        <w:tc>
          <w:tcPr>
            <w:tcW w:w="258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2D23D6" w14:paraId="5E47D9AD"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2D23D6" w14:paraId="7BA1CC93" w14:textId="77777777" w:rsidTr="002D23D6">
        <w:trPr>
          <w:trHeight w:val="141"/>
        </w:trPr>
        <w:tc>
          <w:tcPr>
            <w:tcW w:w="258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2D23D6" w14:paraId="622B32E3"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2D23D6" w14:paraId="370F7CB0"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2D23D6" w14:paraId="2F351F63" w14:textId="77777777" w:rsidTr="002D23D6">
        <w:trPr>
          <w:trHeight w:val="141"/>
        </w:trPr>
        <w:tc>
          <w:tcPr>
            <w:tcW w:w="258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2D23D6" w14:paraId="519854AA" w14:textId="77777777" w:rsidTr="002D23D6">
        <w:trPr>
          <w:trHeight w:val="276"/>
        </w:trPr>
        <w:tc>
          <w:tcPr>
            <w:tcW w:w="258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2D23D6" w14:paraId="7AC07C29" w14:textId="77777777" w:rsidTr="002D23D6">
        <w:trPr>
          <w:trHeight w:val="276"/>
        </w:trPr>
        <w:tc>
          <w:tcPr>
            <w:tcW w:w="258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478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2D23D6" w14:paraId="3DE3E8FC" w14:textId="77777777" w:rsidTr="002D23D6">
        <w:trPr>
          <w:trHeight w:val="276"/>
        </w:trPr>
        <w:tc>
          <w:tcPr>
            <w:tcW w:w="258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2D23D6" w14:paraId="09445F41" w14:textId="77777777" w:rsidTr="002D23D6">
        <w:trPr>
          <w:trHeight w:val="276"/>
        </w:trPr>
        <w:tc>
          <w:tcPr>
            <w:tcW w:w="258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2D23D6" w14:paraId="6875F60F" w14:textId="77777777" w:rsidTr="002D23D6">
        <w:trPr>
          <w:trHeight w:val="276"/>
        </w:trPr>
        <w:tc>
          <w:tcPr>
            <w:tcW w:w="258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2D23D6" w14:paraId="4D71A390"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2D23D6" w14:paraId="4E7D5055" w14:textId="77777777" w:rsidTr="002D23D6">
        <w:trPr>
          <w:trHeight w:val="141"/>
        </w:trPr>
        <w:tc>
          <w:tcPr>
            <w:tcW w:w="258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2D23D6" w14:paraId="154845B7"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2D23D6" w14:paraId="1FD2BC73" w14:textId="77777777" w:rsidTr="002D23D6">
        <w:trPr>
          <w:trHeight w:val="141"/>
        </w:trPr>
        <w:tc>
          <w:tcPr>
            <w:tcW w:w="258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2D23D6" w14:paraId="187855D2" w14:textId="77777777" w:rsidTr="002D23D6">
        <w:trPr>
          <w:trHeight w:val="276"/>
        </w:trPr>
        <w:tc>
          <w:tcPr>
            <w:tcW w:w="258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2D23D6" w14:paraId="79BFE621" w14:textId="77777777" w:rsidTr="002D23D6">
        <w:trPr>
          <w:trHeight w:val="276"/>
        </w:trPr>
        <w:tc>
          <w:tcPr>
            <w:tcW w:w="2580" w:type="dxa"/>
            <w:tcBorders>
              <w:top w:val="nil"/>
              <w:left w:val="nil"/>
              <w:bottom w:val="nil"/>
              <w:right w:val="nil"/>
            </w:tcBorders>
            <w:shd w:val="clear" w:color="auto" w:fill="auto"/>
            <w:noWrap/>
            <w:vAlign w:val="bottom"/>
            <w:hideMark/>
          </w:tcPr>
          <w:p w14:paraId="5B811C46" w14:textId="77777777" w:rsidR="002D23D6" w:rsidRDefault="002D23D6">
            <w:pPr>
              <w:rPr>
                <w:color w:val="000000"/>
                <w:sz w:val="22"/>
                <w:szCs w:val="22"/>
              </w:rPr>
            </w:pPr>
            <w:r>
              <w:rPr>
                <w:color w:val="000000"/>
                <w:sz w:val="22"/>
                <w:szCs w:val="22"/>
              </w:rPr>
              <w:t>TV cutpoint</w:t>
            </w:r>
          </w:p>
        </w:tc>
        <w:tc>
          <w:tcPr>
            <w:tcW w:w="4780" w:type="dxa"/>
            <w:tcBorders>
              <w:top w:val="nil"/>
              <w:left w:val="nil"/>
              <w:bottom w:val="nil"/>
              <w:right w:val="nil"/>
            </w:tcBorders>
            <w:shd w:val="clear" w:color="auto" w:fill="auto"/>
            <w:noWrap/>
            <w:vAlign w:val="bottom"/>
            <w:hideMark/>
          </w:tcPr>
          <w:p w14:paraId="0326921C" w14:textId="77777777" w:rsidR="002D23D6" w:rsidRDefault="002D23D6">
            <w:pPr>
              <w:rPr>
                <w:color w:val="000000"/>
                <w:sz w:val="22"/>
                <w:szCs w:val="22"/>
              </w:rPr>
            </w:pPr>
            <w:r>
              <w:rPr>
                <w:color w:val="000000"/>
                <w:sz w:val="22"/>
                <w:szCs w:val="22"/>
              </w:rPr>
              <w:t>20/80, 30/70, 40/60, 50, 60, 70</w:t>
            </w:r>
            <w:r>
              <w:rPr>
                <w:i/>
                <w:iCs/>
                <w:color w:val="000000"/>
                <w:sz w:val="22"/>
                <w:szCs w:val="22"/>
              </w:rPr>
              <w:t xml:space="preserve"> (6 levels)</w:t>
            </w:r>
          </w:p>
        </w:tc>
      </w:tr>
      <w:tr w:rsidR="002D23D6" w14:paraId="588F4863" w14:textId="77777777" w:rsidTr="002D23D6">
        <w:trPr>
          <w:trHeight w:val="276"/>
        </w:trPr>
        <w:tc>
          <w:tcPr>
            <w:tcW w:w="258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2D23D6" w14:paraId="2F1D4220" w14:textId="77777777" w:rsidTr="002D23D6">
        <w:trPr>
          <w:trHeight w:val="276"/>
        </w:trPr>
        <w:tc>
          <w:tcPr>
            <w:tcW w:w="258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2D23D6" w14:paraId="4F84D7BF" w14:textId="77777777" w:rsidTr="002D23D6">
        <w:trPr>
          <w:trHeight w:val="276"/>
        </w:trPr>
        <w:tc>
          <w:tcPr>
            <w:tcW w:w="258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2D23D6" w14:paraId="0A2DECA3" w14:textId="77777777" w:rsidTr="002D23D6">
        <w:trPr>
          <w:trHeight w:val="276"/>
        </w:trPr>
        <w:tc>
          <w:tcPr>
            <w:tcW w:w="258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478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2D23D6" w14:paraId="6C1040E2" w14:textId="77777777" w:rsidTr="0062634D">
        <w:trPr>
          <w:trHeight w:val="276"/>
        </w:trPr>
        <w:tc>
          <w:tcPr>
            <w:tcW w:w="258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r>
              <w:rPr>
                <w:color w:val="000000"/>
                <w:sz w:val="22"/>
                <w:szCs w:val="22"/>
              </w:rPr>
              <w:t>Doubly-robust estimation</w:t>
            </w:r>
          </w:p>
        </w:tc>
        <w:tc>
          <w:tcPr>
            <w:tcW w:w="478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2D23D6" w14:paraId="2C61012D"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2D23D6" w14:paraId="53CFA278" w14:textId="77777777" w:rsidTr="002D23D6">
        <w:trPr>
          <w:trHeight w:val="141"/>
        </w:trPr>
        <w:tc>
          <w:tcPr>
            <w:tcW w:w="258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2D23D6" w14:paraId="7E613492"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2D23D6" w14:paraId="6FF8DBA6" w14:textId="77777777" w:rsidTr="002D23D6">
        <w:trPr>
          <w:trHeight w:val="276"/>
        </w:trPr>
        <w:tc>
          <w:tcPr>
            <w:tcW w:w="258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2D23D6" w14:paraId="76417F8C" w14:textId="77777777" w:rsidTr="002D23D6">
        <w:trPr>
          <w:trHeight w:val="276"/>
        </w:trPr>
        <w:tc>
          <w:tcPr>
            <w:tcW w:w="258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2D23D6" w14:paraId="39C0D505" w14:textId="77777777" w:rsidTr="002D23D6">
        <w:trPr>
          <w:trHeight w:val="276"/>
        </w:trPr>
        <w:tc>
          <w:tcPr>
            <w:tcW w:w="2580" w:type="dxa"/>
            <w:tcBorders>
              <w:top w:val="nil"/>
              <w:left w:val="nil"/>
              <w:bottom w:val="nil"/>
              <w:right w:val="nil"/>
            </w:tcBorders>
            <w:shd w:val="clear" w:color="auto" w:fill="auto"/>
            <w:noWrap/>
            <w:vAlign w:val="bottom"/>
            <w:hideMark/>
          </w:tcPr>
          <w:p w14:paraId="49C711EC" w14:textId="77777777" w:rsidR="002D23D6" w:rsidRDefault="002D23D6">
            <w:pPr>
              <w:rPr>
                <w:color w:val="000000"/>
                <w:sz w:val="22"/>
                <w:szCs w:val="22"/>
              </w:rPr>
            </w:pPr>
            <w:r>
              <w:rPr>
                <w:color w:val="000000"/>
                <w:sz w:val="22"/>
                <w:szCs w:val="22"/>
              </w:rPr>
              <w:t>TV cutpoint</w:t>
            </w:r>
          </w:p>
        </w:tc>
        <w:tc>
          <w:tcPr>
            <w:tcW w:w="4780" w:type="dxa"/>
            <w:tcBorders>
              <w:top w:val="nil"/>
              <w:left w:val="nil"/>
              <w:bottom w:val="nil"/>
              <w:right w:val="nil"/>
            </w:tcBorders>
            <w:shd w:val="clear" w:color="auto" w:fill="auto"/>
            <w:noWrap/>
            <w:vAlign w:val="bottom"/>
            <w:hideMark/>
          </w:tcPr>
          <w:p w14:paraId="75077282" w14:textId="77777777" w:rsidR="002D23D6" w:rsidRDefault="002D23D6">
            <w:pPr>
              <w:rPr>
                <w:color w:val="000000"/>
                <w:sz w:val="22"/>
                <w:szCs w:val="22"/>
              </w:rPr>
            </w:pPr>
            <w:r>
              <w:rPr>
                <w:color w:val="000000"/>
                <w:sz w:val="22"/>
                <w:szCs w:val="22"/>
              </w:rPr>
              <w:t xml:space="preserve">20/80, 30/70, 40/60, 50, 60, 70 </w:t>
            </w:r>
            <w:r>
              <w:rPr>
                <w:i/>
                <w:iCs/>
                <w:color w:val="000000"/>
                <w:sz w:val="22"/>
                <w:szCs w:val="22"/>
              </w:rPr>
              <w:t>(6 levels)</w:t>
            </w:r>
          </w:p>
        </w:tc>
      </w:tr>
      <w:tr w:rsidR="002D23D6" w14:paraId="19910A58" w14:textId="77777777" w:rsidTr="002D23D6">
        <w:trPr>
          <w:trHeight w:val="276"/>
        </w:trPr>
        <w:tc>
          <w:tcPr>
            <w:tcW w:w="258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2D23D6" w14:paraId="19786E3D" w14:textId="77777777" w:rsidTr="002D23D6">
        <w:trPr>
          <w:trHeight w:val="276"/>
        </w:trPr>
        <w:tc>
          <w:tcPr>
            <w:tcW w:w="258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2D23D6" w14:paraId="1A4C795E" w14:textId="77777777" w:rsidTr="002D23D6">
        <w:trPr>
          <w:trHeight w:val="276"/>
        </w:trPr>
        <w:tc>
          <w:tcPr>
            <w:tcW w:w="258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2D23D6" w14:paraId="5DE84DF6" w14:textId="77777777" w:rsidTr="002D23D6">
        <w:trPr>
          <w:trHeight w:val="276"/>
        </w:trPr>
        <w:tc>
          <w:tcPr>
            <w:tcW w:w="258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478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2D23D6" w14:paraId="6B752224"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04A128B3" w14:textId="5CB1D130"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(yrs)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r>
              <w:rPr>
                <w:color w:val="000000"/>
                <w:sz w:val="22"/>
                <w:szCs w:val="22"/>
              </w:rPr>
              <w:t>.</w:t>
            </w:r>
            <w:r w:rsidR="00067050" w:rsidRPr="002434FE">
              <w:rPr>
                <w:color w:val="000000"/>
                <w:sz w:val="22"/>
                <w:szCs w:val="22"/>
              </w:rPr>
              <w:t>Attention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77777777" w:rsidR="004C75BC" w:rsidRDefault="004C75BC" w:rsidP="004C75BC">
      <w:r>
        <w:lastRenderedPageBreak/>
        <w:t>Table 2</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(urbanicty)</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669319EF" w:rsidR="004C75BC" w:rsidRDefault="004E594B" w:rsidP="004C75BC">
      <w:r>
        <w:lastRenderedPageBreak/>
        <w:t>Table 3</w:t>
      </w:r>
    </w:p>
    <w:p w14:paraId="2A8DBBF4" w14:textId="7FA3C9B7" w:rsidR="004E594B" w:rsidRDefault="00327795" w:rsidP="004C75BC">
      <w:r>
        <w:t>Inverse probability of treatment weighted (IPTW)</w:t>
      </w:r>
      <w:r w:rsidR="004E594B">
        <w:t xml:space="preserve"> propensity score model results by TV cutpoint</w:t>
      </w:r>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2A7A06">
        <w:trPr>
          <w:trHeight w:val="429"/>
          <w:tblCellSpacing w:w="15" w:type="dxa"/>
        </w:trPr>
        <w:tc>
          <w:tcPr>
            <w:tcW w:w="0" w:type="auto"/>
            <w:vAlign w:val="center"/>
            <w:hideMark/>
          </w:tcPr>
          <w:p w14:paraId="75662538" w14:textId="77777777" w:rsidR="008D058A" w:rsidRDefault="008D058A">
            <w:pPr>
              <w:rPr>
                <w:color w:val="000000"/>
              </w:rPr>
            </w:pPr>
            <w:r>
              <w:rPr>
                <w:color w:val="000000"/>
              </w:rPr>
              <w:t>TV cutpoint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When two numbers are given for the cutpoint percentile, this implies that TV use between those percentiles were dropped. So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cutpoint.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0EDA4101" w:rsidR="00F024F2" w:rsidRDefault="00F024F2" w:rsidP="008669FE">
      <w:r>
        <w:lastRenderedPageBreak/>
        <w:t xml:space="preserve">Table </w:t>
      </w:r>
      <w:r w:rsidR="00BA56F0">
        <w:t>4</w:t>
      </w:r>
    </w:p>
    <w:p w14:paraId="1C5E8E65" w14:textId="7F44D4C6" w:rsidR="00F024F2" w:rsidRDefault="00F024F2" w:rsidP="00FA5F0A">
      <w:r>
        <w:t xml:space="preserve">Logistic regression results by </w:t>
      </w:r>
      <w:r w:rsidR="00891C9C">
        <w:t xml:space="preserve">attention </w:t>
      </w:r>
      <w:r>
        <w:t>cutpoint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66462">
        <w:trPr>
          <w:trHeight w:val="663"/>
          <w:tblCellSpacing w:w="15" w:type="dxa"/>
        </w:trPr>
        <w:tc>
          <w:tcPr>
            <w:tcW w:w="1035" w:type="dxa"/>
            <w:vAlign w:val="center"/>
            <w:hideMark/>
          </w:tcPr>
          <w:p w14:paraId="2D3906F0" w14:textId="77777777" w:rsidR="00B83D5C" w:rsidRDefault="00B83D5C">
            <w:pPr>
              <w:rPr>
                <w:color w:val="000000"/>
              </w:rPr>
            </w:pPr>
            <w:r>
              <w:rPr>
                <w:color w:val="000000"/>
              </w:rPr>
              <w:t>Attention cutpoint</w:t>
            </w:r>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48765812" w:rsidR="00FA5F0A" w:rsidRDefault="00891C9C" w:rsidP="008669FE">
      <w:r>
        <w:t xml:space="preserve">Note: </w:t>
      </w:r>
      <w:r w:rsidRPr="008669FE">
        <w:rPr>
          <w:i/>
          <w:iCs/>
        </w:rPr>
        <w:t>Non-sig</w:t>
      </w:r>
      <w:r>
        <w:t xml:space="preserve">: the number of models using the specified attention cutpoint and missing data treatment that did not yield statistical significance. </w:t>
      </w:r>
      <w:r w:rsidRPr="008669FE">
        <w:rPr>
          <w:i/>
          <w:iCs/>
        </w:rPr>
        <w:t>Sig</w:t>
      </w:r>
      <w:r>
        <w:t>: the number of models that yielded statistical significance.</w:t>
      </w:r>
      <w:r w:rsidR="00B66462">
        <w:t xml:space="preserve"> </w:t>
      </w:r>
      <w:r w:rsidR="00A76A60">
        <w:t>Cutoffs are given for the within-sex standardized attention scores; p</w:t>
      </w:r>
      <w:r w:rsidR="00B66462">
        <w:t>ercentile-equivalent cutoffs were applied to the raw attention scores</w:t>
      </w:r>
      <w:r w:rsidR="00A76A60">
        <w:t>.</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(residualized) attention score with effect of covariates removed. Bottom panel: red ‘x’ points are adjusted based on imputed covariate values. Solid blue smoothing line fits to non-missing data only; red dashed smoothing line fit all data (including imputed values). P</w:t>
      </w:r>
      <w:r>
        <w:t>oint locations are slightly jittered to reduce overplotting</w:t>
      </w:r>
    </w:p>
    <w:p w14:paraId="51C5CA5B" w14:textId="77777777" w:rsidR="00053464" w:rsidRDefault="00053464">
      <w:pPr>
        <w:sectPr w:rsidR="00053464" w:rsidSect="00D2098F">
          <w:headerReference w:type="default" r:id="rId22"/>
          <w:footerReference w:type="even" r:id="rId23"/>
          <w:footerReference w:type="default" r:id="rId24"/>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6"/>
          <w:headerReference w:type="default" r:id="rId27"/>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cutpoint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50DDECA3"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r w:rsidR="004F212F">
        <w:rPr>
          <w:sz w:val="22"/>
          <w:szCs w:val="22"/>
        </w:rPr>
        <w:t xml:space="preserve"> </w:t>
      </w:r>
      <w:r w:rsidR="009B6CBC">
        <w:rPr>
          <w:sz w:val="22"/>
          <w:szCs w:val="22"/>
        </w:rPr>
        <w:t xml:space="preserve">The estimates describe the expected </w:t>
      </w:r>
      <w:r w:rsidR="001D1E3A">
        <w:rPr>
          <w:sz w:val="22"/>
          <w:szCs w:val="22"/>
        </w:rPr>
        <w:t xml:space="preserve">in </w:t>
      </w:r>
      <w:r w:rsidR="009B6CBC">
        <w:rPr>
          <w:sz w:val="22"/>
          <w:szCs w:val="22"/>
        </w:rPr>
        <w:t>attention</w:t>
      </w:r>
      <w:r w:rsidR="001D1E3A">
        <w:rPr>
          <w:sz w:val="22"/>
          <w:szCs w:val="22"/>
        </w:rPr>
        <w:t>, measured in standard deviation</w:t>
      </w:r>
      <w:r w:rsidR="001F3FB2">
        <w:rPr>
          <w:sz w:val="22"/>
          <w:szCs w:val="22"/>
        </w:rPr>
        <w:t xml:space="preserve"> units</w:t>
      </w:r>
      <w:r w:rsidR="001D1E3A">
        <w:rPr>
          <w:sz w:val="22"/>
          <w:szCs w:val="22"/>
        </w:rPr>
        <w:t xml:space="preserve">, </w:t>
      </w:r>
      <w:r w:rsidR="009B6CBC">
        <w:rPr>
          <w:sz w:val="22"/>
          <w:szCs w:val="22"/>
        </w:rPr>
        <w:t>for a one-hour increase in TV use. The dashed vertical reference line represents no association (</w:t>
      </w:r>
      <w:r w:rsidR="009B6CBC" w:rsidRPr="001D1E3A">
        <w:rPr>
          <w:i/>
          <w:iCs/>
          <w:sz w:val="22"/>
          <w:szCs w:val="22"/>
        </w:rPr>
        <w:t>b</w:t>
      </w:r>
      <w:r w:rsidR="009B6CBC">
        <w:rPr>
          <w:sz w:val="22"/>
          <w:szCs w:val="22"/>
        </w:rPr>
        <w:t>=0).</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104F4D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size</w:t>
      </w:r>
      <w:r w:rsidR="001D1E3A">
        <w:rPr>
          <w:sz w:val="22"/>
          <w:szCs w:val="22"/>
        </w:rPr>
        <w:t xml:space="preserve"> (Cohen’s </w:t>
      </w:r>
      <w:r w:rsidR="001D1E3A">
        <w:rPr>
          <w:i/>
          <w:iCs/>
          <w:sz w:val="22"/>
          <w:szCs w:val="22"/>
        </w:rPr>
        <w:t>d</w:t>
      </w:r>
      <w:r w:rsidR="001D1E3A">
        <w:rPr>
          <w:sz w:val="22"/>
          <w:szCs w:val="22"/>
        </w:rPr>
        <w:t>)</w:t>
      </w:r>
      <w:r>
        <w:rPr>
          <w:sz w:val="22"/>
          <w:szCs w:val="22"/>
        </w:rPr>
        <w:t xml:space="preserv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ATE = average treatment effect. ATT = average treatment effect for the treated. The outcomes are scaled such that higher scores indicate worse attention.</w:t>
      </w:r>
      <w:r w:rsidR="001D1E3A">
        <w:rPr>
          <w:sz w:val="22"/>
          <w:szCs w:val="22"/>
        </w:rPr>
        <w:t xml:space="preserve"> The dashed vertical reference line represents no association (</w:t>
      </w:r>
      <w:r w:rsidR="001D1E3A">
        <w:rPr>
          <w:i/>
          <w:iCs/>
          <w:sz w:val="22"/>
          <w:szCs w:val="22"/>
        </w:rPr>
        <w:t>d</w:t>
      </w:r>
      <w:r w:rsidR="001D1E3A">
        <w:rPr>
          <w:sz w:val="22"/>
          <w:szCs w:val="22"/>
        </w:rPr>
        <w:t>=0).</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42BF10A">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2F763CE4" w14:textId="085F9987" w:rsidR="000320C1" w:rsidRDefault="00642782">
      <w:pPr>
        <w:sectPr w:rsidR="000320C1"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001F3FB2">
        <w:rPr>
          <w:sz w:val="22"/>
          <w:szCs w:val="22"/>
        </w:rPr>
        <w:t xml:space="preserve">(Cohen’s </w:t>
      </w:r>
      <w:r w:rsidR="001F3FB2" w:rsidRPr="001F3FB2">
        <w:rPr>
          <w:i/>
          <w:iCs/>
          <w:sz w:val="22"/>
          <w:szCs w:val="22"/>
        </w:rPr>
        <w:t>d</w:t>
      </w:r>
      <w:r w:rsidR="001F3FB2">
        <w:rPr>
          <w:sz w:val="22"/>
          <w:szCs w:val="22"/>
        </w:rPr>
        <w:t xml:space="preserv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The outcomes are scaled such that higher scores indicate worse attention.</w:t>
      </w:r>
      <w:r w:rsidR="001F3FB2">
        <w:rPr>
          <w:sz w:val="22"/>
          <w:szCs w:val="22"/>
        </w:rPr>
        <w:t xml:space="preserve"> The dashed vertical reference line represents no association (</w:t>
      </w:r>
      <w:r w:rsidR="001F3FB2">
        <w:rPr>
          <w:i/>
          <w:iCs/>
          <w:sz w:val="22"/>
          <w:szCs w:val="22"/>
        </w:rPr>
        <w:t>d</w:t>
      </w:r>
      <w:r w:rsidR="001F3FB2">
        <w:rPr>
          <w:sz w:val="22"/>
          <w:szCs w:val="22"/>
        </w:rPr>
        <w:t>=0).</w:t>
      </w: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6A2FFAE6" w:rsidR="005B6601" w:rsidRPr="00A64A40" w:rsidRDefault="00913124" w:rsidP="00C4008A">
      <w:pPr>
        <w:rPr>
          <w:sz w:val="22"/>
          <w:szCs w:val="22"/>
        </w:rPr>
      </w:pPr>
      <w:r w:rsidRPr="00A64A40">
        <w:rPr>
          <w:i/>
          <w:iCs/>
          <w:sz w:val="22"/>
          <w:szCs w:val="22"/>
        </w:rPr>
        <w:t>Note</w:t>
      </w:r>
      <w:r w:rsidRPr="00A64A40">
        <w:rPr>
          <w:sz w:val="22"/>
          <w:szCs w:val="22"/>
        </w:rPr>
        <w:t>: Panels display the zoomed-in residualized attention outcome (e.g., controlling for covariates</w:t>
      </w:r>
      <w:r w:rsidR="005D0830">
        <w:rPr>
          <w:sz w:val="22"/>
          <w:szCs w:val="22"/>
        </w:rPr>
        <w:t>)</w:t>
      </w:r>
      <w:r w:rsidRPr="00A64A40">
        <w:rPr>
          <w:sz w:val="22"/>
          <w:szCs w:val="22"/>
        </w:rPr>
        <w:t xml:space="preserve"> versus TV measured at age ~3. Each panel depicts a different set of TV percentile cutpoints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C7ADA4F"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-axis), as defined by the attention cutpoint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sidR="00535FAD">
        <w:rPr>
          <w:sz w:val="22"/>
          <w:szCs w:val="22"/>
        </w:rPr>
        <w:t>represent</w:t>
      </w:r>
      <w:r w:rsidRPr="00F71468">
        <w:rPr>
          <w:sz w:val="22"/>
          <w:szCs w:val="22"/>
        </w:rPr>
        <w:t xml:space="preserve"> the performance of the logistic regression model in each situation. As the cutoff rise</w:t>
      </w:r>
      <w:r w:rsidR="00535FAD">
        <w:rPr>
          <w:sz w:val="22"/>
          <w:szCs w:val="22"/>
        </w:rPr>
        <w:t>s</w:t>
      </w:r>
      <w:r w:rsidRPr="00F71468">
        <w:rPr>
          <w:sz w:val="22"/>
          <w:szCs w:val="22"/>
        </w:rPr>
        <w:t>,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3"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docker run --rm -e PASSWORD=TV -p 8787:8787 mmcbee/rstudio_tvattention:psychscience</w:t>
      </w:r>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4"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r w:rsidRPr="00F71468">
        <w:rPr>
          <w:rFonts w:ascii="Consolas" w:hAnsi="Consolas"/>
          <w:sz w:val="18"/>
          <w:szCs w:val="18"/>
        </w:rPr>
        <w:t>rstudio</w:t>
      </w:r>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/Code/analysis.r</w:t>
      </w:r>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Cmd-A) and then </w:t>
      </w:r>
      <w:r w:rsidR="004F3C2F">
        <w:rPr>
          <w:sz w:val="22"/>
          <w:szCs w:val="22"/>
        </w:rPr>
        <w:t>Ctrl-Enter or Cmd-Enter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docker ps</w:t>
      </w:r>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r w:rsidR="00601F43" w:rsidRPr="00601F43">
        <w:rPr>
          <w:rFonts w:ascii="Consolas" w:hAnsi="Consolas"/>
          <w:sz w:val="18"/>
          <w:szCs w:val="18"/>
        </w:rPr>
        <w:t>priceless_galois</w:t>
      </w:r>
      <w:r w:rsidR="00601F43">
        <w:rPr>
          <w:sz w:val="22"/>
          <w:szCs w:val="22"/>
        </w:rPr>
        <w:t xml:space="preserve"> or </w:t>
      </w:r>
      <w:r w:rsidR="00601F43" w:rsidRPr="00715C41">
        <w:rPr>
          <w:rFonts w:ascii="Consolas" w:hAnsi="Consolas"/>
          <w:sz w:val="18"/>
          <w:szCs w:val="18"/>
        </w:rPr>
        <w:t>competent_ellis</w:t>
      </w:r>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docker ps</w:t>
      </w:r>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“c:\Users\Matt\Documents\TVAttention”</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docker cp CONTAINERID:home/rstudio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b1971e3eea21:home/rstudio</w:t>
      </w:r>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4C47" w16cex:dateUtc="2020-04-23T21:17:00Z"/>
  <w16cex:commentExtensible w16cex:durableId="224C5025" w16cex:dateUtc="2020-04-23T21:34:00Z"/>
  <w16cex:commentExtensible w16cex:durableId="224C5241" w16cex:dateUtc="2020-04-23T21:43:00Z"/>
  <w16cex:commentExtensible w16cex:durableId="224C4F53" w16cex:dateUtc="2020-04-23T21: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5286C" w14:textId="77777777" w:rsidR="00104911" w:rsidRDefault="00104911" w:rsidP="002D755C">
      <w:r>
        <w:separator/>
      </w:r>
    </w:p>
  </w:endnote>
  <w:endnote w:type="continuationSeparator" w:id="0">
    <w:p w14:paraId="6CF81D94" w14:textId="77777777" w:rsidR="00104911" w:rsidRDefault="00104911"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EndPr>
      <w:rPr>
        <w:rStyle w:val="PageNumber"/>
      </w:rPr>
    </w:sdtEndPr>
    <w:sdtContent>
      <w:p w14:paraId="014A6344" w14:textId="24DD9853" w:rsidR="00C94E1E" w:rsidRDefault="00C94E1E"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C94E1E" w:rsidRDefault="00C94E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EndPr>
      <w:rPr>
        <w:rStyle w:val="PageNumber"/>
      </w:rPr>
    </w:sdtEndPr>
    <w:sdtContent>
      <w:p w14:paraId="3266CBC4" w14:textId="670E1722" w:rsidR="00C94E1E" w:rsidRDefault="00C94E1E"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C94E1E" w:rsidRDefault="00C94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BB59F" w14:textId="77777777" w:rsidR="00104911" w:rsidRDefault="00104911" w:rsidP="002D755C">
      <w:r>
        <w:separator/>
      </w:r>
    </w:p>
  </w:footnote>
  <w:footnote w:type="continuationSeparator" w:id="0">
    <w:p w14:paraId="40374D98" w14:textId="77777777" w:rsidR="00104911" w:rsidRDefault="00104911" w:rsidP="002D755C">
      <w:r>
        <w:continuationSeparator/>
      </w:r>
    </w:p>
  </w:footnote>
  <w:footnote w:id="1">
    <w:p w14:paraId="50ABF931" w14:textId="0014EBC5" w:rsidR="00C94E1E" w:rsidRPr="00081AE4" w:rsidRDefault="00C94E1E">
      <w:pPr>
        <w:pStyle w:val="FootnoteText"/>
      </w:pPr>
      <w:r w:rsidRPr="00F71468">
        <w:rPr>
          <w:rStyle w:val="FootnoteReference"/>
          <w:sz w:val="22"/>
          <w:szCs w:val="22"/>
        </w:rPr>
        <w:footnoteRef/>
      </w:r>
      <w:r w:rsidRPr="00F71468">
        <w:rPr>
          <w:sz w:val="22"/>
          <w:szCs w:val="22"/>
        </w:rPr>
        <w:t xml:space="preserve"> While Christakis et al. (2004) describes this cutpoint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(p. 709), it is 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 SDs above the mean given that the standardized attention scores were constructed to have a standard deviation of 15.</w:t>
      </w:r>
    </w:p>
  </w:footnote>
  <w:footnote w:id="2">
    <w:p w14:paraId="13389569" w14:textId="0B7E2D76" w:rsidR="00C94E1E" w:rsidRDefault="00C94E1E">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1690DDD3" w14:textId="454F576A" w:rsidR="00C94E1E" w:rsidRPr="00F71468" w:rsidRDefault="00C94E1E">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doubly-robust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4">
    <w:p w14:paraId="335D0FFB" w14:textId="508B213E" w:rsidR="00C94E1E" w:rsidRPr="00DC3906" w:rsidRDefault="00C94E1E">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5">
    <w:p w14:paraId="6A0C6D74" w14:textId="0E4536A7" w:rsidR="00C94E1E" w:rsidRDefault="00C94E1E">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6">
    <w:p w14:paraId="08DFF164" w14:textId="1E98CF49" w:rsidR="00C94E1E" w:rsidRDefault="00C94E1E"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7">
    <w:p w14:paraId="31AB4893" w14:textId="42F64257" w:rsidR="00C94E1E" w:rsidRDefault="00C94E1E">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8">
    <w:p w14:paraId="6BA80EA6" w14:textId="1A773AF0" w:rsidR="00C94E1E" w:rsidRPr="008915AC" w:rsidRDefault="00C94E1E">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C94E1E" w:rsidRDefault="00C94E1E"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C94E1E" w:rsidRDefault="00C94E1E"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C94E1E" w:rsidRDefault="00C94E1E"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C94E1E" w:rsidRDefault="00C94E1E"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C94E1E" w:rsidRDefault="00C94E1E"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30D41"/>
    <w:rsid w:val="00230FC6"/>
    <w:rsid w:val="0023194A"/>
    <w:rsid w:val="0023270B"/>
    <w:rsid w:val="00233021"/>
    <w:rsid w:val="002332BF"/>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3003B8"/>
    <w:rsid w:val="00301249"/>
    <w:rsid w:val="0030193B"/>
    <w:rsid w:val="00301B6C"/>
    <w:rsid w:val="00303944"/>
    <w:rsid w:val="00303D03"/>
    <w:rsid w:val="00304134"/>
    <w:rsid w:val="00304287"/>
    <w:rsid w:val="003058DA"/>
    <w:rsid w:val="00305C52"/>
    <w:rsid w:val="00306957"/>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AF4"/>
    <w:rsid w:val="004E7E5B"/>
    <w:rsid w:val="004F15D3"/>
    <w:rsid w:val="004F212F"/>
    <w:rsid w:val="004F2492"/>
    <w:rsid w:val="004F2514"/>
    <w:rsid w:val="004F2544"/>
    <w:rsid w:val="004F38DF"/>
    <w:rsid w:val="004F3C2F"/>
    <w:rsid w:val="004F6916"/>
    <w:rsid w:val="00500FAD"/>
    <w:rsid w:val="0050204D"/>
    <w:rsid w:val="0050222F"/>
    <w:rsid w:val="0050450A"/>
    <w:rsid w:val="00504E39"/>
    <w:rsid w:val="0050575A"/>
    <w:rsid w:val="00506238"/>
    <w:rsid w:val="0050772C"/>
    <w:rsid w:val="00507E6E"/>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614"/>
    <w:rsid w:val="00545DEB"/>
    <w:rsid w:val="005471F1"/>
    <w:rsid w:val="005509CC"/>
    <w:rsid w:val="00551097"/>
    <w:rsid w:val="0055119F"/>
    <w:rsid w:val="00551781"/>
    <w:rsid w:val="00551F4D"/>
    <w:rsid w:val="00552FB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57AB"/>
    <w:rsid w:val="005A5A92"/>
    <w:rsid w:val="005A72F9"/>
    <w:rsid w:val="005B060A"/>
    <w:rsid w:val="005B097C"/>
    <w:rsid w:val="005B1674"/>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107A3"/>
    <w:rsid w:val="00611237"/>
    <w:rsid w:val="006128F7"/>
    <w:rsid w:val="00614FBD"/>
    <w:rsid w:val="00615961"/>
    <w:rsid w:val="00615B39"/>
    <w:rsid w:val="00616233"/>
    <w:rsid w:val="006174D1"/>
    <w:rsid w:val="006177CC"/>
    <w:rsid w:val="00621139"/>
    <w:rsid w:val="00621CC0"/>
    <w:rsid w:val="006238A7"/>
    <w:rsid w:val="00624707"/>
    <w:rsid w:val="0062492A"/>
    <w:rsid w:val="00625452"/>
    <w:rsid w:val="006255AE"/>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709EA"/>
    <w:rsid w:val="00670DE8"/>
    <w:rsid w:val="00670EBA"/>
    <w:rsid w:val="00671046"/>
    <w:rsid w:val="00671549"/>
    <w:rsid w:val="006715C3"/>
    <w:rsid w:val="006720C4"/>
    <w:rsid w:val="006720DC"/>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7454"/>
    <w:rsid w:val="006C0B6C"/>
    <w:rsid w:val="006C18E7"/>
    <w:rsid w:val="006C20CC"/>
    <w:rsid w:val="006C2DB9"/>
    <w:rsid w:val="006C4567"/>
    <w:rsid w:val="006C4682"/>
    <w:rsid w:val="006C46B3"/>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19E0"/>
    <w:rsid w:val="00791B56"/>
    <w:rsid w:val="00792137"/>
    <w:rsid w:val="00792350"/>
    <w:rsid w:val="00792481"/>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F4F"/>
    <w:rsid w:val="008D4075"/>
    <w:rsid w:val="008D4482"/>
    <w:rsid w:val="008D5849"/>
    <w:rsid w:val="008D6778"/>
    <w:rsid w:val="008D7857"/>
    <w:rsid w:val="008E0618"/>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D02"/>
    <w:rsid w:val="009D47DF"/>
    <w:rsid w:val="009D5459"/>
    <w:rsid w:val="009D5BD7"/>
    <w:rsid w:val="009D71B4"/>
    <w:rsid w:val="009D7CEA"/>
    <w:rsid w:val="009D7D08"/>
    <w:rsid w:val="009E2E6C"/>
    <w:rsid w:val="009E4582"/>
    <w:rsid w:val="009E6DF1"/>
    <w:rsid w:val="009E75F8"/>
    <w:rsid w:val="009E7AF5"/>
    <w:rsid w:val="009F14FC"/>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F6D"/>
    <w:rsid w:val="00A30FA4"/>
    <w:rsid w:val="00A31969"/>
    <w:rsid w:val="00A3199F"/>
    <w:rsid w:val="00A31AFF"/>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5777"/>
    <w:rsid w:val="00AB5E3E"/>
    <w:rsid w:val="00AB7F9F"/>
    <w:rsid w:val="00AC07F4"/>
    <w:rsid w:val="00AC3DF5"/>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50F8E"/>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DCA"/>
    <w:rsid w:val="00DC5559"/>
    <w:rsid w:val="00DC6370"/>
    <w:rsid w:val="00DC7AD7"/>
    <w:rsid w:val="00DC7B4E"/>
    <w:rsid w:val="00DC7B89"/>
    <w:rsid w:val="00DD0209"/>
    <w:rsid w:val="00DD07F9"/>
    <w:rsid w:val="00DD0BDE"/>
    <w:rsid w:val="00DD115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3B13"/>
    <w:rsid w:val="00EB3B3F"/>
    <w:rsid w:val="00EB5323"/>
    <w:rsid w:val="00EB5CFF"/>
    <w:rsid w:val="00EB6D1C"/>
    <w:rsid w:val="00EC04D1"/>
    <w:rsid w:val="00EC055D"/>
    <w:rsid w:val="00EC0DF5"/>
    <w:rsid w:val="00EC2D1D"/>
    <w:rsid w:val="00EC46B9"/>
    <w:rsid w:val="00EC52CE"/>
    <w:rsid w:val="00EC5989"/>
    <w:rsid w:val="00EC5A7C"/>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34FE"/>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dr.2016.12.002" TargetMode="External"/><Relationship Id="rId18" Type="http://schemas.openxmlformats.org/officeDocument/2006/relationships/hyperlink" Target="https://doi.org/10.1177/2515245917745629" TargetMode="External"/><Relationship Id="rId26" Type="http://schemas.openxmlformats.org/officeDocument/2006/relationships/header" Target="header2.xml"/><Relationship Id="rId21" Type="http://schemas.openxmlformats.org/officeDocument/2006/relationships/image" Target="media/image1.png"/><Relationship Id="rId34" Type="http://schemas.openxmlformats.org/officeDocument/2006/relationships/hyperlink" Target="localhost:8787" TargetMode="External"/><Relationship Id="rId7" Type="http://schemas.openxmlformats.org/officeDocument/2006/relationships/endnotes" Target="endnotes.xml"/><Relationship Id="rId12" Type="http://schemas.openxmlformats.org/officeDocument/2006/relationships/hyperlink" Target="http://CRAN.R-project.org/package=stargazer" TargetMode="External"/><Relationship Id="rId17" Type="http://schemas.openxmlformats.org/officeDocument/2006/relationships/hyperlink" Target="https://doi.org/10.1098/rstb.2017.0254" TargetMode="External"/><Relationship Id="rId25" Type="http://schemas.openxmlformats.org/officeDocument/2006/relationships/image" Target="media/image2.png"/><Relationship Id="rId33" Type="http://schemas.openxmlformats.org/officeDocument/2006/relationships/hyperlink" Target="http://www.docker.com" TargetMode="Externa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dx.doi.org/10.1037/a0037318" TargetMode="External"/><Relationship Id="rId20" Type="http://schemas.openxmlformats.org/officeDocument/2006/relationships/hyperlink" Target="https://doi.org/10.1177/1745691616658637"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t.columbia.edu/~gelman/research/" TargetMode="External"/><Relationship Id="rId24" Type="http://schemas.openxmlformats.org/officeDocument/2006/relationships/footer" Target="footer2.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lsinfo.org/content/cohorts/nlsy79-children/topical-guide/assessments/temperament-how-my-child-usually-acts" TargetMode="External"/><Relationship Id="rId23" Type="http://schemas.openxmlformats.org/officeDocument/2006/relationships/footer" Target="footer1.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tedxseattle.com/talks/dimitri-christakis-media-and-children/" TargetMode="External"/><Relationship Id="rId19" Type="http://schemas.openxmlformats.org/officeDocument/2006/relationships/hyperlink" Target="https://doi.org/10.1093/%20biomet/70.1.41"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www.nlsinfo.org/investigator/pages/search.jsp?s=NLSY79"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3E119-C038-4117-A1E8-DEB8B9706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51</Pages>
  <Words>12008</Words>
  <Characters>68447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61</cp:revision>
  <cp:lastPrinted>2018-08-29T17:22:00Z</cp:lastPrinted>
  <dcterms:created xsi:type="dcterms:W3CDTF">2020-04-25T16:44:00Z</dcterms:created>
  <dcterms:modified xsi:type="dcterms:W3CDTF">2020-04-26T03:31:00Z</dcterms:modified>
</cp:coreProperties>
</file>