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t>Proximus Belgium Client Memory</w:t>
      </w:r>
    </w:p>
    <w:p>
      <w:pPr>
        <w:spacing w:after="240"/>
      </w:pPr>
      <w:r>
        <w:rPr>
          <w:i/>
          <w:sz w:val="20"/>
        </w:rPr>
        <w:t>Consultant-facing client memory record for continuity. Synthetic mock data.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t>Client</w:t>
            </w:r>
          </w:p>
        </w:tc>
        <w:tc>
          <w:tcPr>
            <w:tcW w:type="dxa" w:w="5040"/>
            <w:vAlign w:val="center"/>
          </w:tcPr>
          <w:p>
            <w:r>
              <w:t>Proximus SA Belgium</w:t>
            </w:r>
          </w:p>
        </w:tc>
      </w:tr>
      <w:tr>
        <w:tc>
          <w:tcPr>
            <w:tcW w:type="dxa" w:w="5040"/>
            <w:vAlign w:val="center"/>
          </w:tcPr>
          <w:p>
            <w:r>
              <w:t>Client ID</w:t>
            </w:r>
          </w:p>
        </w:tc>
        <w:tc>
          <w:tcPr>
            <w:tcW w:type="dxa" w:w="5040"/>
            <w:vAlign w:val="center"/>
          </w:tcPr>
          <w:p>
            <w:r>
              <w:t>PROX-BE-001</w:t>
            </w:r>
          </w:p>
        </w:tc>
      </w:tr>
      <w:tr>
        <w:tc>
          <w:tcPr>
            <w:tcW w:type="dxa" w:w="5040"/>
            <w:vAlign w:val="center"/>
          </w:tcPr>
          <w:p>
            <w:r>
              <w:t>Primary country</w:t>
            </w:r>
          </w:p>
        </w:tc>
        <w:tc>
          <w:tcPr>
            <w:tcW w:type="dxa" w:w="5040"/>
            <w:vAlign w:val="center"/>
          </w:tcPr>
          <w:p>
            <w:r>
              <w:t>Belgium</w:t>
            </w:r>
          </w:p>
        </w:tc>
      </w:tr>
      <w:tr>
        <w:tc>
          <w:tcPr>
            <w:tcW w:type="dxa" w:w="5040"/>
            <w:vAlign w:val="center"/>
          </w:tcPr>
          <w:p>
            <w:r>
              <w:t>Memory owner</w:t>
            </w:r>
          </w:p>
        </w:tc>
        <w:tc>
          <w:tcPr>
            <w:tcW w:type="dxa" w:w="5040"/>
            <w:vAlign w:val="center"/>
          </w:tcPr>
          <w:p>
            <w:r>
              <w:t>Lina Smet, incoming SD Worx Payroll Consultant</w:t>
            </w:r>
          </w:p>
        </w:tc>
      </w:tr>
      <w:tr>
        <w:tc>
          <w:tcPr>
            <w:tcW w:type="dxa" w:w="5040"/>
            <w:vAlign w:val="center"/>
          </w:tcPr>
          <w:p>
            <w:r>
              <w:t>Review owner</w:t>
            </w:r>
          </w:p>
        </w:tc>
        <w:tc>
          <w:tcPr>
            <w:tcW w:type="dxa" w:w="5040"/>
            <w:vAlign w:val="center"/>
          </w:tcPr>
          <w:p>
            <w:r>
              <w:t>Jonas Vermeulen, Payroll Service Lead</w:t>
            </w:r>
          </w:p>
        </w:tc>
      </w:tr>
      <w:tr>
        <w:tc>
          <w:tcPr>
            <w:tcW w:type="dxa" w:w="5040"/>
            <w:vAlign w:val="center"/>
          </w:tcPr>
          <w:p>
            <w:r>
              <w:t>Last generated</w:t>
            </w:r>
          </w:p>
        </w:tc>
        <w:tc>
          <w:tcPr>
            <w:tcW w:type="dxa" w:w="5040"/>
            <w:vAlign w:val="center"/>
          </w:tcPr>
          <w:p>
            <w:r>
              <w:t>2026-09-30</w:t>
            </w:r>
          </w:p>
        </w:tc>
      </w:tr>
    </w:tbl>
    <w:p/>
    <w:p>
      <w:pPr>
        <w:pStyle w:val="Heading1"/>
      </w:pPr>
      <w:r>
        <w:t>Standing rules</w:t>
      </w:r>
    </w:p>
    <w:p>
      <w:pPr>
        <w:pStyle w:val="ListBullet"/>
      </w:pPr>
      <w:r>
        <w:t>Standard payroll input freeze is D-5 at 17:00.</w:t>
      </w:r>
    </w:p>
    <w:p>
      <w:pPr>
        <w:pStyle w:val="ListBullet"/>
      </w:pPr>
      <w:r>
        <w:t>Retail roster corrections have a standing exception until D-4 at 12:00 when fewer than 75 Belgian retail employees are affected.</w:t>
      </w:r>
    </w:p>
    <w:p>
      <w:pPr>
        <w:pStyle w:val="ListBullet"/>
      </w:pPr>
      <w:r>
        <w:t>Payment file must not be released without Finance Operations approval for the SEPA total.</w:t>
      </w:r>
    </w:p>
    <w:p>
      <w:pPr>
        <w:pStyle w:val="ListBullet"/>
      </w:pPr>
      <w:r>
        <w:t>Urgent off-cycle corrections use EUR 100 net impact as the normal threshold.</w:t>
      </w:r>
    </w:p>
    <w:p>
      <w:pPr>
        <w:pStyle w:val="ListBullet"/>
      </w:pPr>
      <w:r>
        <w:t>Payslips are normally available on D+1.</w:t>
      </w:r>
    </w:p>
    <w:p>
      <w:pPr>
        <w:pStyle w:val="Heading1"/>
      </w:pPr>
      <w:r>
        <w:t>Exceptions</w:t>
      </w:r>
    </w:p>
    <w:p>
      <w:pPr>
        <w:pStyle w:val="ListBullet"/>
      </w:pPr>
      <w:r>
        <w:t>August 2026 D-3 retail roster correction was accepted as a one-off only.</w:t>
      </w:r>
    </w:p>
    <w:p>
      <w:pPr>
        <w:pStyle w:val="ListBullet"/>
      </w:pPr>
      <w:r>
        <w:t>September 2026 PXS-RET-OLD to PXS-RET-BE mapping was approved for that payroll month only.</w:t>
      </w:r>
    </w:p>
    <w:p>
      <w:pPr>
        <w:pStyle w:val="ListBullet"/>
      </w:pPr>
      <w:r>
        <w:t>Emergency network intervention allowance requires event reference and Network Operations approval.</w:t>
      </w:r>
    </w:p>
    <w:p>
      <w:pPr>
        <w:pStyle w:val="ListBullet"/>
      </w:pPr>
      <w:r>
        <w:t>EUR 75 off-cycle precedent appears in handover notes but is not policy.</w:t>
      </w:r>
    </w:p>
    <w:p>
      <w:pPr>
        <w:pStyle w:val="Heading1"/>
      </w:pPr>
      <w:r>
        <w:t>Payroll deadlines</w:t>
      </w:r>
    </w:p>
    <w:p>
      <w:pPr>
        <w:pStyle w:val="ListBullet"/>
      </w:pPr>
      <w:r>
        <w:t>D-8: Proximus sends population changes and flagged absences.</w:t>
      </w:r>
    </w:p>
    <w:p>
      <w:pPr>
        <w:pStyle w:val="ListBullet"/>
      </w:pPr>
      <w:r>
        <w:t>D-6: SD Worx confirms import completeness.</w:t>
      </w:r>
    </w:p>
    <w:p>
      <w:pPr>
        <w:pStyle w:val="ListBullet"/>
      </w:pPr>
      <w:r>
        <w:t>D-5 17:00: standard input freeze.</w:t>
      </w:r>
    </w:p>
    <w:p>
      <w:pPr>
        <w:pStyle w:val="ListBullet"/>
      </w:pPr>
      <w:r>
        <w:t>D-4 12:00: approved retail roster exception cutoff.</w:t>
      </w:r>
    </w:p>
    <w:p>
      <w:pPr>
        <w:pStyle w:val="ListBullet"/>
      </w:pPr>
      <w:r>
        <w:t>D-2 16:00: final approval pack ready.</w:t>
      </w:r>
    </w:p>
    <w:p>
      <w:pPr>
        <w:pStyle w:val="ListBullet"/>
      </w:pPr>
      <w:r>
        <w:t>D-1 11:00: payment file release deadline.</w:t>
      </w:r>
    </w:p>
    <w:p>
      <w:pPr>
        <w:pStyle w:val="Heading1"/>
      </w:pPr>
      <w:r>
        <w:t>Decisions</w:t>
      </w:r>
    </w:p>
    <w:p>
      <w:pPr>
        <w:pStyle w:val="ListBullet"/>
      </w:pPr>
      <w:r>
        <w:t>May 2026: Finance Operations became final SEPA payment approver.</w:t>
      </w:r>
    </w:p>
    <w:p>
      <w:pPr>
        <w:pStyle w:val="ListBullet"/>
      </w:pPr>
      <w:r>
        <w:t>August 2026: D-3 retail roster correction accepted for August only.</w:t>
      </w:r>
    </w:p>
    <w:p>
      <w:pPr>
        <w:pStyle w:val="ListBullet"/>
      </w:pPr>
      <w:r>
        <w:t>September 2026: code 5413 not active without signed change request.</w:t>
      </w:r>
    </w:p>
    <w:p>
      <w:pPr>
        <w:pStyle w:val="ListBullet"/>
      </w:pPr>
      <w:r>
        <w:t>September 2026: old field technician code used for September payroll; October follow-up required.</w:t>
      </w:r>
    </w:p>
    <w:p>
      <w:pPr>
        <w:pStyle w:val="Heading1"/>
      </w:pPr>
      <w:r>
        <w:t>Open issues</w:t>
      </w:r>
    </w:p>
    <w:p>
      <w:pPr>
        <w:pStyle w:val="ListBullet"/>
      </w:pPr>
      <w:r>
        <w:t>SP-PROX-003 has no owner and conflicts with current payment approval practice.</w:t>
      </w:r>
    </w:p>
    <w:p>
      <w:pPr>
        <w:pStyle w:val="ListBullet"/>
      </w:pPr>
      <w:r>
        <w:t>SP-PROX-004 mixes Belgium and Luxembourg context.</w:t>
      </w:r>
    </w:p>
    <w:p>
      <w:pPr>
        <w:pStyle w:val="ListBullet"/>
      </w:pPr>
      <w:r>
        <w:t>Signed change request for field technician code 5413 is pending.</w:t>
      </w:r>
    </w:p>
    <w:p>
      <w:pPr>
        <w:pStyle w:val="ListBullet"/>
      </w:pPr>
      <w:r>
        <w:t>Retail cost center source cleanup must be completed before October payroll.</w:t>
      </w:r>
    </w:p>
    <w:p>
      <w:pPr>
        <w:pStyle w:val="Heading1"/>
      </w:pPr>
      <w:r>
        <w:t>Conflicting information</w:t>
      </w:r>
    </w:p>
    <w:p>
      <w:pPr>
        <w:pStyle w:val="ListBullet"/>
      </w:pPr>
      <w:r>
        <w:t>Calendar says D-4 retail cutoff; Teams and Outlook show an August-only D-3 exception.</w:t>
      </w:r>
    </w:p>
    <w:p>
      <w:pPr>
        <w:pStyle w:val="ListBullet"/>
      </w:pPr>
      <w:r>
        <w:t>Old payment procedure says HR Shared Services approves payment; current emails say Finance Operations approves payment release.</w:t>
      </w:r>
    </w:p>
    <w:p>
      <w:pPr>
        <w:pStyle w:val="ListBullet"/>
      </w:pPr>
      <w:r>
        <w:t>Allowance matrix uses code 5419; customer discussion plans code 5413 after signed request.</w:t>
      </w:r>
    </w:p>
    <w:p>
      <w:pPr>
        <w:pStyle w:val="ListBullet"/>
      </w:pPr>
      <w:r>
        <w:t>Manual says EUR 100 off-cycle threshold; handover notes mention EUR 75 precedent.</w:t>
      </w:r>
    </w:p>
    <w:p>
      <w:pPr>
        <w:pStyle w:val="Heading1"/>
      </w:pPr>
      <w:r>
        <w:t>Recent changes</w:t>
      </w:r>
    </w:p>
    <w:p>
      <w:pPr>
        <w:pStyle w:val="ListBullet"/>
      </w:pPr>
      <w:r>
        <w:t>2026-09-29: year-end tax owners confirmed by Proximus.</w:t>
      </w:r>
    </w:p>
    <w:p>
      <w:pPr>
        <w:pStyle w:val="ListBullet"/>
      </w:pPr>
      <w:r>
        <w:t>2026-09-26: weekend premium correction handling agreed.</w:t>
      </w:r>
    </w:p>
    <w:p>
      <w:pPr>
        <w:pStyle w:val="ListBullet"/>
      </w:pPr>
      <w:r>
        <w:t>2026-09-23: September payroll stayed on old field technician code.</w:t>
      </w:r>
    </w:p>
    <w:p>
      <w:pPr>
        <w:pStyle w:val="ListBullet"/>
      </w:pPr>
      <w:r>
        <w:t>2026-09-19: temporary retail cost center mapping approved.</w:t>
      </w:r>
    </w:p>
    <w:p>
      <w:pPr>
        <w:pStyle w:val="ListBullet"/>
      </w:pPr>
      <w:r>
        <w:t>2026-09-11: payroll calendar updated to clarify D-3 is not standing rule.</w:t>
      </w:r>
    </w:p>
    <w:p>
      <w:pPr>
        <w:pStyle w:val="Heading1"/>
      </w:pPr>
      <w:r>
        <w:t>People and owners</w:t>
      </w:r>
    </w:p>
    <w:p>
      <w:pPr>
        <w:pStyle w:val="ListBullet"/>
      </w:pPr>
      <w:r>
        <w:t>Jonas Vermeulen: SD Worx service lead and exception approver.</w:t>
      </w:r>
    </w:p>
    <w:p>
      <w:pPr>
        <w:pStyle w:val="ListBullet"/>
      </w:pPr>
      <w:r>
        <w:t>Lina Smet: incoming payroll consultant and memory maintainer.</w:t>
      </w:r>
    </w:p>
    <w:p>
      <w:pPr>
        <w:pStyle w:val="ListBullet"/>
      </w:pPr>
      <w:r>
        <w:t>Amina Rahman: Belgian payroll legal owner.</w:t>
      </w:r>
    </w:p>
    <w:p>
      <w:pPr>
        <w:pStyle w:val="ListBullet"/>
      </w:pPr>
      <w:r>
        <w:t>Tom De Smet: SD Worx integration owner.</w:t>
      </w:r>
    </w:p>
    <w:p>
      <w:pPr>
        <w:pStyle w:val="ListBullet"/>
      </w:pPr>
      <w:r>
        <w:t>Anne Peeters: Proximus HR Shared Services owner.</w:t>
      </w:r>
    </w:p>
    <w:p>
      <w:pPr>
        <w:pStyle w:val="ListBullet"/>
      </w:pPr>
      <w:r>
        <w:t>Pieter Claes: Proximus Finance Operations payment owner.</w:t>
      </w:r>
    </w:p>
    <w:p>
      <w:pPr>
        <w:pStyle w:val="ListBullet"/>
      </w:pPr>
      <w:r>
        <w:t>Sarah Van den Berghe: Proximus Retail Operations owner.</w:t>
      </w:r>
    </w:p>
    <w:p>
      <w:pPr>
        <w:pStyle w:val="ListBullet"/>
      </w:pPr>
      <w:r>
        <w:t>Olivier Janssens: Proximus Network Operations owner.</w:t>
      </w:r>
    </w:p>
    <w:p>
      <w:pPr>
        <w:pStyle w:val="ListBullet"/>
      </w:pPr>
      <w:r>
        <w:t>Nadia Leclercq: Proximus Labour Relations owner.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