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t>Proximus Belgium Payroll Operating Manual 2026</w:t>
      </w:r>
    </w:p>
    <w:p>
      <w:pPr>
        <w:spacing w:after="240"/>
      </w:pPr>
      <w:r>
        <w:rPr>
          <w:i/>
          <w:sz w:val="20"/>
        </w:rPr>
        <w:t>Client procedure for SD Worx managed payroll continuity. Synthetic mock data.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t>Document ID</w:t>
            </w:r>
          </w:p>
        </w:tc>
        <w:tc>
          <w:tcPr>
            <w:tcW w:type="dxa" w:w="5040"/>
            <w:vAlign w:val="center"/>
          </w:tcPr>
          <w:p>
            <w:r>
              <w:t>SP-PROX-001</w:t>
            </w:r>
          </w:p>
        </w:tc>
      </w:tr>
      <w:tr>
        <w:tc>
          <w:tcPr>
            <w:tcW w:type="dxa" w:w="5040"/>
            <w:vAlign w:val="center"/>
          </w:tcPr>
          <w:p>
            <w:r>
              <w:t>Source</w:t>
            </w:r>
          </w:p>
        </w:tc>
        <w:tc>
          <w:tcPr>
            <w:tcW w:type="dxa" w:w="5040"/>
            <w:vAlign w:val="center"/>
          </w:tcPr>
          <w:p>
            <w:r>
              <w:t>SharePoint / Client Procedures</w:t>
            </w:r>
          </w:p>
        </w:tc>
      </w:tr>
      <w:tr>
        <w:tc>
          <w:tcPr>
            <w:tcW w:type="dxa" w:w="5040"/>
            <w:vAlign w:val="center"/>
          </w:tcPr>
          <w:p>
            <w:r>
              <w:t>Owner</w:t>
            </w:r>
          </w:p>
        </w:tc>
        <w:tc>
          <w:tcPr>
            <w:tcW w:type="dxa" w:w="5040"/>
            <w:vAlign w:val="center"/>
          </w:tcPr>
          <w:p>
            <w:r>
              <w:t>Jonas Vermeulen, SD Worx Payroll Service Lead</w:t>
            </w:r>
          </w:p>
        </w:tc>
      </w:tr>
      <w:tr>
        <w:tc>
          <w:tcPr>
            <w:tcW w:type="dxa" w:w="5040"/>
            <w:vAlign w:val="center"/>
          </w:tcPr>
          <w:p>
            <w:r>
              <w:t>Status</w:t>
            </w:r>
          </w:p>
        </w:tc>
        <w:tc>
          <w:tcPr>
            <w:tcW w:type="dxa" w:w="5040"/>
            <w:vAlign w:val="center"/>
          </w:tcPr>
          <w:p>
            <w:r>
              <w:t>Validated procedure</w:t>
            </w:r>
          </w:p>
        </w:tc>
      </w:tr>
      <w:tr>
        <w:tc>
          <w:tcPr>
            <w:tcW w:type="dxa" w:w="5040"/>
            <w:vAlign w:val="center"/>
          </w:tcPr>
          <w:p>
            <w:r>
              <w:t>Last reviewed</w:t>
            </w:r>
          </w:p>
        </w:tc>
        <w:tc>
          <w:tcPr>
            <w:tcW w:type="dxa" w:w="5040"/>
            <w:vAlign w:val="center"/>
          </w:tcPr>
          <w:p>
            <w:r>
              <w:t>2026-07-12</w:t>
            </w:r>
          </w:p>
        </w:tc>
      </w:tr>
      <w:tr>
        <w:tc>
          <w:tcPr>
            <w:tcW w:type="dxa" w:w="5040"/>
            <w:vAlign w:val="center"/>
          </w:tcPr>
          <w:p>
            <w:r>
              <w:t>Scope</w:t>
            </w:r>
          </w:p>
        </w:tc>
        <w:tc>
          <w:tcPr>
            <w:tcW w:type="dxa" w:w="5040"/>
            <w:vAlign w:val="center"/>
          </w:tcPr>
          <w:p>
            <w:r>
              <w:t>Proximus SA Belgium monthly payroll</w:t>
            </w:r>
          </w:p>
        </w:tc>
      </w:tr>
    </w:tbl>
    <w:p/>
    <w:p>
      <w:pPr>
        <w:pStyle w:val="Heading1"/>
      </w:pPr>
      <w:r>
        <w:t>Purpose</w:t>
      </w:r>
    </w:p>
    <w:p>
      <w:r>
        <w:t>This manual describes the recurring payroll operating model for Proximus SA Belgium. It is intended for payroll consultants, backup consultants, service leads, integration support, and customer-facing escalation owners who need to understand the monthly process.</w:t>
      </w:r>
    </w:p>
    <w:p>
      <w:pPr>
        <w:pStyle w:val="Heading1"/>
      </w:pPr>
      <w:r>
        <w:t>Scope</w:t>
      </w:r>
    </w:p>
    <w:p>
      <w:pPr>
        <w:pStyle w:val="ListBullet"/>
      </w:pPr>
      <w:r>
        <w:t>Included populations: corporate employees, retail store employees, customer operations, and field technicians on Belgian payroll.</w:t>
      </w:r>
    </w:p>
    <w:p>
      <w:pPr>
        <w:pStyle w:val="ListBullet"/>
      </w:pPr>
      <w:r>
        <w:t>Excluded populations: non-Belgian subsidiaries, contractors, executive compensation, expat cases requiring individual tax review, and legal settlements.</w:t>
      </w:r>
    </w:p>
    <w:p>
      <w:pPr>
        <w:pStyle w:val="ListBullet"/>
      </w:pPr>
      <w:r>
        <w:t>Use separate validation when a request mentions Luxembourg, Netherlands, BICS, international mobility, or cross-border employment.</w:t>
      </w:r>
    </w:p>
    <w:p>
      <w:pPr>
        <w:pStyle w:val="Heading1"/>
      </w:pPr>
      <w:r>
        <w:t>Client aliases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Alias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How it appears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Proximus SA Belgium</w:t>
            </w:r>
          </w:p>
        </w:tc>
        <w:tc>
          <w:tcPr>
            <w:tcW w:type="dxa" w:w="3360"/>
            <w:vAlign w:val="center"/>
          </w:tcPr>
          <w:p>
            <w:r>
              <w:t>Formal payroll entity</w:t>
            </w:r>
          </w:p>
        </w:tc>
        <w:tc>
          <w:tcPr>
            <w:tcW w:type="dxa" w:w="3360"/>
            <w:vAlign w:val="center"/>
          </w:tcPr>
          <w:p>
            <w:r>
              <w:t>Primary scope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Proximus Belgium</w:t>
            </w:r>
          </w:p>
        </w:tc>
        <w:tc>
          <w:tcPr>
            <w:tcW w:type="dxa" w:w="3360"/>
            <w:vAlign w:val="center"/>
          </w:tcPr>
          <w:p>
            <w:r>
              <w:t>Common name in Teams and email</w:t>
            </w:r>
          </w:p>
        </w:tc>
        <w:tc>
          <w:tcPr>
            <w:tcW w:type="dxa" w:w="3360"/>
            <w:vAlign w:val="center"/>
          </w:tcPr>
          <w:p>
            <w:r>
              <w:t>Search alias</w:t>
            </w:r>
          </w:p>
        </w:tc>
      </w:tr>
      <w:tr>
        <w:tc>
          <w:tcPr>
            <w:tcW w:type="dxa" w:w="3360"/>
            <w:vAlign w:val="center"/>
          </w:tcPr>
          <w:p>
            <w:r>
              <w:t>PXS</w:t>
            </w:r>
          </w:p>
        </w:tc>
        <w:tc>
          <w:tcPr>
            <w:tcW w:type="dxa" w:w="3360"/>
            <w:vAlign w:val="center"/>
          </w:tcPr>
          <w:p>
            <w:r>
              <w:t>Older tickets and interface files</w:t>
            </w:r>
          </w:p>
        </w:tc>
        <w:tc>
          <w:tcPr>
            <w:tcW w:type="dxa" w:w="3360"/>
            <w:vAlign w:val="center"/>
          </w:tcPr>
          <w:p>
            <w:r>
              <w:t>Search alias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PROX-BE-001</w:t>
            </w:r>
          </w:p>
        </w:tc>
        <w:tc>
          <w:tcPr>
            <w:tcW w:type="dxa" w:w="3360"/>
            <w:vAlign w:val="center"/>
          </w:tcPr>
          <w:p>
            <w:r>
              <w:t>Internal account ID</w:t>
            </w:r>
          </w:p>
        </w:tc>
        <w:tc>
          <w:tcPr>
            <w:tcW w:type="dxa" w:w="3360"/>
            <w:vAlign w:val="center"/>
          </w:tcPr>
          <w:p>
            <w:r>
              <w:t>Canonical client ID</w:t>
            </w:r>
          </w:p>
        </w:tc>
      </w:tr>
    </w:tbl>
    <w:p/>
    <w:p>
      <w:pPr>
        <w:pStyle w:val="Heading1"/>
      </w:pPr>
      <w:r>
        <w:t>Monthly payroll rhythm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520"/>
            <w:vAlign w:val="center"/>
          </w:tcPr>
          <w:p>
            <w:r>
              <w:t>Population changes</w:t>
            </w:r>
          </w:p>
        </w:tc>
        <w:tc>
          <w:tcPr>
            <w:tcW w:type="dxa" w:w="2520"/>
            <w:vAlign w:val="center"/>
          </w:tcPr>
          <w:p>
            <w:r>
              <w:t>D-8</w:t>
            </w:r>
          </w:p>
        </w:tc>
        <w:tc>
          <w:tcPr>
            <w:tcW w:type="dxa" w:w="2520"/>
            <w:vAlign w:val="center"/>
          </w:tcPr>
          <w:p>
            <w:r>
              <w:t>Proximus HR Shared Services</w:t>
            </w:r>
          </w:p>
        </w:tc>
        <w:tc>
          <w:tcPr>
            <w:tcW w:type="dxa" w:w="2520"/>
            <w:vAlign w:val="center"/>
          </w:tcPr>
          <w:p>
            <w:r>
              <w:t>Includes starters, leavers, contract changes, and absence flags.</w:t>
            </w:r>
          </w:p>
        </w:tc>
      </w:tr>
      <w:tr>
        <w:tc>
          <w:tcPr>
            <w:tcW w:type="dxa" w:w="2520"/>
            <w:vAlign w:val="center"/>
          </w:tcPr>
          <w:p>
            <w:r>
              <w:t>Technical import check</w:t>
            </w:r>
          </w:p>
        </w:tc>
        <w:tc>
          <w:tcPr>
            <w:tcW w:type="dxa" w:w="2520"/>
            <w:vAlign w:val="center"/>
          </w:tcPr>
          <w:p>
            <w:r>
              <w:t>D-6</w:t>
            </w:r>
          </w:p>
        </w:tc>
        <w:tc>
          <w:tcPr>
            <w:tcW w:type="dxa" w:w="2520"/>
            <w:vAlign w:val="center"/>
          </w:tcPr>
          <w:p>
            <w:r>
              <w:t>SD Worx Integration Support</w:t>
            </w:r>
          </w:p>
        </w:tc>
        <w:tc>
          <w:tcPr>
            <w:tcW w:type="dxa" w:w="2520"/>
            <w:vAlign w:val="center"/>
          </w:tcPr>
          <w:p>
            <w:r>
              <w:t>Blocking file errors must be resolved before final validation.</w:t>
            </w:r>
          </w:p>
        </w:tc>
      </w:tr>
      <w:tr>
        <w:tc>
          <w:tcPr>
            <w:tcW w:type="dxa" w:w="2520"/>
            <w:vAlign w:val="center"/>
          </w:tcPr>
          <w:p>
            <w:r>
              <w:t>Standard input freeze</w:t>
            </w:r>
          </w:p>
        </w:tc>
        <w:tc>
          <w:tcPr>
            <w:tcW w:type="dxa" w:w="2520"/>
            <w:vAlign w:val="center"/>
          </w:tcPr>
          <w:p>
            <w:r>
              <w:t>D-5 at 17:00</w:t>
            </w:r>
          </w:p>
        </w:tc>
        <w:tc>
          <w:tcPr>
            <w:tcW w:type="dxa" w:w="2520"/>
            <w:vAlign w:val="center"/>
          </w:tcPr>
          <w:p>
            <w:r>
              <w:t>SD Worx Payroll Consultant</w:t>
            </w:r>
          </w:p>
        </w:tc>
        <w:tc>
          <w:tcPr>
            <w:tcW w:type="dxa" w:w="2520"/>
            <w:vAlign w:val="center"/>
          </w:tcPr>
          <w:p>
            <w:r>
              <w:t>Late input requires exception approval.</w:t>
            </w:r>
          </w:p>
        </w:tc>
      </w:tr>
      <w:tr>
        <w:tc>
          <w:tcPr>
            <w:tcW w:type="dxa" w:w="2520"/>
            <w:vAlign w:val="center"/>
          </w:tcPr>
          <w:p>
            <w:r>
              <w:t>Retail roster exception</w:t>
            </w:r>
          </w:p>
        </w:tc>
        <w:tc>
          <w:tcPr>
            <w:tcW w:type="dxa" w:w="2520"/>
            <w:vAlign w:val="center"/>
          </w:tcPr>
          <w:p>
            <w:r>
              <w:t>D-4 at 12:00</w:t>
            </w:r>
          </w:p>
        </w:tc>
        <w:tc>
          <w:tcPr>
            <w:tcW w:type="dxa" w:w="2520"/>
            <w:vAlign w:val="center"/>
          </w:tcPr>
          <w:p>
            <w:r>
              <w:t>Retail Operations and Service Lead</w:t>
            </w:r>
          </w:p>
        </w:tc>
        <w:tc>
          <w:tcPr>
            <w:tcW w:type="dxa" w:w="2520"/>
            <w:vAlign w:val="center"/>
          </w:tcPr>
          <w:p>
            <w:r>
              <w:t>Belgian retail only, fewer than 75 employee records.</w:t>
            </w:r>
          </w:p>
        </w:tc>
      </w:tr>
      <w:tr>
        <w:tc>
          <w:tcPr>
            <w:tcW w:type="dxa" w:w="2520"/>
            <w:vAlign w:val="center"/>
          </w:tcPr>
          <w:p>
            <w:r>
              <w:t>Approval pack</w:t>
            </w:r>
          </w:p>
        </w:tc>
        <w:tc>
          <w:tcPr>
            <w:tcW w:type="dxa" w:w="2520"/>
            <w:vAlign w:val="center"/>
          </w:tcPr>
          <w:p>
            <w:r>
              <w:t>D-2 at 16:00</w:t>
            </w:r>
          </w:p>
        </w:tc>
        <w:tc>
          <w:tcPr>
            <w:tcW w:type="dxa" w:w="2520"/>
            <w:vAlign w:val="center"/>
          </w:tcPr>
          <w:p>
            <w:r>
              <w:t>SD Worx Payroll Consultant</w:t>
            </w:r>
          </w:p>
        </w:tc>
        <w:tc>
          <w:tcPr>
            <w:tcW w:type="dxa" w:w="2520"/>
            <w:vAlign w:val="center"/>
          </w:tcPr>
          <w:p>
            <w:r>
              <w:t>Includes totals, variance report, and correction summary.</w:t>
            </w:r>
          </w:p>
        </w:tc>
      </w:tr>
      <w:tr>
        <w:tc>
          <w:tcPr>
            <w:tcW w:type="dxa" w:w="2520"/>
            <w:vAlign w:val="center"/>
          </w:tcPr>
          <w:p>
            <w:r>
              <w:t>Payment file release</w:t>
            </w:r>
          </w:p>
        </w:tc>
        <w:tc>
          <w:tcPr>
            <w:tcW w:type="dxa" w:w="2520"/>
            <w:vAlign w:val="center"/>
          </w:tcPr>
          <w:p>
            <w:r>
              <w:t>D-1 at 11:00</w:t>
            </w:r>
          </w:p>
        </w:tc>
        <w:tc>
          <w:tcPr>
            <w:tcW w:type="dxa" w:w="2520"/>
            <w:vAlign w:val="center"/>
          </w:tcPr>
          <w:p>
            <w:r>
              <w:t>Finance Operations approval required</w:t>
            </w:r>
          </w:p>
        </w:tc>
        <w:tc>
          <w:tcPr>
            <w:tcW w:type="dxa" w:w="2520"/>
            <w:vAlign w:val="center"/>
          </w:tcPr>
          <w:p>
            <w:r>
              <w:t>See payment approval procedure and recent email decision.</w:t>
            </w:r>
          </w:p>
        </w:tc>
      </w:tr>
      <w:tr>
        <w:tc>
          <w:tcPr>
            <w:tcW w:type="dxa" w:w="2520"/>
            <w:vAlign w:val="center"/>
          </w:tcPr>
          <w:p>
            <w:r>
              <w:t>Payslip availability</w:t>
            </w:r>
          </w:p>
        </w:tc>
        <w:tc>
          <w:tcPr>
            <w:tcW w:type="dxa" w:w="2520"/>
            <w:vAlign w:val="center"/>
          </w:tcPr>
          <w:p>
            <w:r>
              <w:t>D+1</w:t>
            </w:r>
          </w:p>
        </w:tc>
        <w:tc>
          <w:tcPr>
            <w:tcW w:type="dxa" w:w="2520"/>
            <w:vAlign w:val="center"/>
          </w:tcPr>
          <w:p>
            <w:r>
              <w:t>SD Worx Payroll Operations</w:t>
            </w:r>
          </w:p>
        </w:tc>
        <w:tc>
          <w:tcPr>
            <w:tcW w:type="dxa" w:w="2520"/>
            <w:vAlign w:val="center"/>
          </w:tcPr>
          <w:p>
            <w:r>
              <w:t>Weekend availability may move to next business day.</w:t>
            </w:r>
          </w:p>
        </w:tc>
      </w:tr>
    </w:tbl>
    <w:p/>
    <w:p>
      <w:pPr>
        <w:pStyle w:val="Heading1"/>
      </w:pPr>
      <w:r>
        <w:t>Validation checks</w:t>
      </w:r>
    </w:p>
    <w:p>
      <w:pPr>
        <w:pStyle w:val="ListBullet"/>
      </w:pPr>
      <w:r>
        <w:t>Compare active employee count with the previous payroll month.</w:t>
      </w:r>
    </w:p>
    <w:p>
      <w:pPr>
        <w:pStyle w:val="ListBullet"/>
      </w:pPr>
      <w:r>
        <w:t>Reconcile starters and leavers against the Proximus HR report.</w:t>
      </w:r>
    </w:p>
    <w:p>
      <w:pPr>
        <w:pStyle w:val="ListBullet"/>
      </w:pPr>
      <w:r>
        <w:t>Check gross recurring pay total against the previous month.</w:t>
      </w:r>
    </w:p>
    <w:p>
      <w:pPr>
        <w:pStyle w:val="ListBullet"/>
      </w:pPr>
      <w:r>
        <w:t>Review exceptional variable pay above threshold.</w:t>
      </w:r>
    </w:p>
    <w:p>
      <w:pPr>
        <w:pStyle w:val="ListBullet"/>
      </w:pPr>
      <w:r>
        <w:t>Check negative net salaries individually.</w:t>
      </w:r>
    </w:p>
    <w:p>
      <w:pPr>
        <w:pStyle w:val="ListBullet"/>
      </w:pPr>
      <w:r>
        <w:t>Review bank account changes submitted late in the cycle.</w:t>
      </w:r>
    </w:p>
    <w:p>
      <w:pPr>
        <w:pStyle w:val="ListBullet"/>
      </w:pPr>
      <w:r>
        <w:t>Compare absence totals with the absence interface report.</w:t>
      </w:r>
    </w:p>
    <w:p>
      <w:pPr>
        <w:pStyle w:val="ListBullet"/>
      </w:pPr>
      <w:r>
        <w:t>Check field technician standby totals against the approved roster.</w:t>
      </w:r>
    </w:p>
    <w:p>
      <w:pPr>
        <w:pStyle w:val="ListBullet"/>
      </w:pPr>
      <w:r>
        <w:t>Review retail overtime totals for unusual spikes.</w:t>
      </w:r>
    </w:p>
    <w:p>
      <w:pPr>
        <w:pStyle w:val="ListBullet"/>
      </w:pPr>
      <w:r>
        <w:t>Record late corrections in the monthly exception tracker.</w:t>
      </w:r>
    </w:p>
    <w:p>
      <w:pPr>
        <w:pStyle w:val="Heading1"/>
      </w:pPr>
      <w:r>
        <w:t>Known fragile areas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Current handling</w:t>
            </w:r>
          </w:p>
        </w:tc>
      </w:tr>
      <w:tr>
        <w:tc>
          <w:tcPr>
            <w:tcW w:type="dxa" w:w="3360"/>
            <w:vAlign w:val="center"/>
          </w:tcPr>
          <w:p>
            <w:r>
              <w:t>Retail roster corrections</w:t>
            </w:r>
          </w:p>
        </w:tc>
        <w:tc>
          <w:tcPr>
            <w:tcW w:type="dxa" w:w="3360"/>
            <w:vAlign w:val="center"/>
          </w:tcPr>
          <w:p>
            <w:r>
              <w:t>Teams and email mention one-off D-3 acceptance.</w:t>
            </w:r>
          </w:p>
        </w:tc>
        <w:tc>
          <w:tcPr>
            <w:tcW w:type="dxa" w:w="3360"/>
            <w:vAlign w:val="center"/>
          </w:tcPr>
          <w:p>
            <w:r>
              <w:t>Standing rule remains D-4 unless service lead approves a one-off.</w:t>
            </w:r>
          </w:p>
        </w:tc>
      </w:tr>
      <w:tr>
        <w:tc>
          <w:tcPr>
            <w:tcW w:type="dxa" w:w="3360"/>
            <w:vAlign w:val="center"/>
          </w:tcPr>
          <w:p>
            <w:r>
              <w:t>Payment approval owner</w:t>
            </w:r>
          </w:p>
        </w:tc>
        <w:tc>
          <w:tcPr>
            <w:tcW w:type="dxa" w:w="3360"/>
            <w:vAlign w:val="center"/>
          </w:tcPr>
          <w:p>
            <w:r>
              <w:t>Old procedure still lists HR Shared Services.</w:t>
            </w:r>
          </w:p>
        </w:tc>
        <w:tc>
          <w:tcPr>
            <w:tcW w:type="dxa" w:w="3360"/>
            <w:vAlign w:val="center"/>
          </w:tcPr>
          <w:p>
            <w:r>
              <w:t>Recent customer email says Finance Operations approves SEPA release.</w:t>
            </w:r>
          </w:p>
        </w:tc>
      </w:tr>
      <w:tr>
        <w:tc>
          <w:tcPr>
            <w:tcW w:type="dxa" w:w="3360"/>
            <w:vAlign w:val="center"/>
          </w:tcPr>
          <w:p>
            <w:r>
              <w:t>Field technician standby</w:t>
            </w:r>
          </w:p>
        </w:tc>
        <w:tc>
          <w:tcPr>
            <w:tcW w:type="dxa" w:w="3360"/>
            <w:vAlign w:val="center"/>
          </w:tcPr>
          <w:p>
            <w:r>
              <w:t>Allowance matrix mixes Belgium and Luxembourg notes.</w:t>
            </w:r>
          </w:p>
        </w:tc>
        <w:tc>
          <w:tcPr>
            <w:tcW w:type="dxa" w:w="3360"/>
            <w:vAlign w:val="center"/>
          </w:tcPr>
          <w:p>
            <w:r>
              <w:t>Ask legal owner before changing codes.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Off-cycle correction threshold</w:t>
            </w:r>
          </w:p>
        </w:tc>
        <w:tc>
          <w:tcPr>
            <w:tcW w:type="dxa" w:w="3360"/>
            <w:vAlign w:val="center"/>
          </w:tcPr>
          <w:p>
            <w:r>
              <w:t>Handover notes mention EUR 75 precedent.</w:t>
            </w:r>
          </w:p>
        </w:tc>
        <w:tc>
          <w:tcPr>
            <w:tcW w:type="dxa" w:w="3360"/>
            <w:vAlign w:val="center"/>
          </w:tcPr>
          <w:p>
            <w:r>
              <w:t>Manual threshold remains EUR 100 unless service lead approves otherwise.</w:t>
            </w:r>
          </w:p>
        </w:tc>
      </w:tr>
    </w:tbl>
    <w:p/>
    <w:p>
      <w:pPr>
        <w:pStyle w:val="Heading1"/>
      </w:pPr>
      <w:r>
        <w:t>Escalation path</w:t>
      </w:r>
    </w:p>
    <w:p>
      <w:pPr>
        <w:pStyle w:val="ListBullet"/>
      </w:pPr>
      <w:r>
        <w:t>Assigned payroll consultant.</w:t>
      </w:r>
    </w:p>
    <w:p>
      <w:pPr>
        <w:pStyle w:val="ListBullet"/>
      </w:pPr>
      <w:r>
        <w:t>Backup consultant.</w:t>
      </w:r>
    </w:p>
    <w:p>
      <w:pPr>
        <w:pStyle w:val="ListBullet"/>
      </w:pPr>
      <w:r>
        <w:t>Payroll service lead.</w:t>
      </w:r>
    </w:p>
    <w:p>
      <w:pPr>
        <w:pStyle w:val="ListBullet"/>
      </w:pPr>
      <w:r>
        <w:t>Integration support, if file or import related.</w:t>
      </w:r>
    </w:p>
    <w:p>
      <w:pPr>
        <w:pStyle w:val="ListBullet"/>
      </w:pPr>
      <w:r>
        <w:t>Belgian payroll legal expert, if legal interpretation related.</w:t>
      </w:r>
    </w:p>
    <w:p>
      <w:pPr>
        <w:pStyle w:val="ListBullet"/>
      </w:pPr>
      <w:r>
        <w:t>Account manager, if SLA, contract, or customer relationship impact.</w:t>
      </w:r>
    </w:p>
    <w:p>
      <w:pPr>
        <w:pStyle w:val="Heading1"/>
      </w:pPr>
      <w:r>
        <w:t>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5040"/>
            <w:vAlign w:val="center"/>
          </w:tcPr>
          <w:p>
            <w:r>
              <w:t>2026-07-12</w:t>
            </w:r>
          </w:p>
        </w:tc>
        <w:tc>
          <w:tcPr>
            <w:tcW w:type="dxa" w:w="5040"/>
            <w:vAlign w:val="center"/>
          </w:tcPr>
          <w:p>
            <w:r>
              <w:t>Refreshed monthly rhythm and validation checks.</w:t>
            </w:r>
          </w:p>
        </w:tc>
      </w:tr>
      <w:tr>
        <w:tc>
          <w:tcPr>
            <w:tcW w:type="dxa" w:w="5040"/>
            <w:vAlign w:val="center"/>
          </w:tcPr>
          <w:p>
            <w:r>
              <w:t>2026-05-26</w:t>
            </w:r>
          </w:p>
        </w:tc>
        <w:tc>
          <w:tcPr>
            <w:tcW w:type="dxa" w:w="5040"/>
            <w:vAlign w:val="center"/>
          </w:tcPr>
          <w:p>
            <w:r>
              <w:t>Added warning to verify payment approval owner against current customer confirmation.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2026-03-18</w:t>
            </w:r>
          </w:p>
        </w:tc>
        <w:tc>
          <w:tcPr>
            <w:tcW w:type="dxa" w:w="5040"/>
            <w:vAlign w:val="center"/>
          </w:tcPr>
          <w:p>
            <w:r>
              <w:t>Linked field technician allowance matrix.</w:t>
            </w:r>
          </w:p>
        </w:tc>
      </w:tr>
      <w:tr>
        <w:tc>
          <w:tcPr>
            <w:tcW w:type="dxa" w:w="5040"/>
            <w:vAlign w:val="center"/>
          </w:tcPr>
          <w:p>
            <w:r>
              <w:t>2025-12-08</w:t>
            </w:r>
          </w:p>
        </w:tc>
        <w:tc>
          <w:tcPr>
            <w:tcW w:type="dxa" w:w="5040"/>
            <w:vAlign w:val="center"/>
          </w:tcPr>
          <w:p>
            <w:r>
              <w:t>Created 2026 version.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