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Consultant Handover Notes Proximus Belgium</w:t>
      </w:r>
    </w:p>
    <w:p>
      <w:pPr>
        <w:spacing w:after="240"/>
      </w:pPr>
      <w:r>
        <w:rPr>
          <w:i/>
          <w:sz w:val="20"/>
        </w:rPr>
        <w:t>Outgoing consultant notes from Marie Dubois for the July 2026 payroll handover. Synthetic mock data.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Document ID</w:t>
            </w:r>
          </w:p>
        </w:tc>
        <w:tc>
          <w:tcPr>
            <w:tcW w:type="dxa" w:w="5040"/>
            <w:vAlign w:val="center"/>
          </w:tcPr>
          <w:p>
            <w:r>
              <w:t>SP-PROX-005</w:t>
            </w:r>
          </w:p>
        </w:tc>
      </w:tr>
      <w:tr>
        <w:tc>
          <w:tcPr>
            <w:tcW w:type="dxa" w:w="5040"/>
            <w:vAlign w:val="center"/>
          </w:tcPr>
          <w:p>
            <w:r>
              <w:t>Source</w:t>
            </w:r>
          </w:p>
        </w:tc>
        <w:tc>
          <w:tcPr>
            <w:tcW w:type="dxa" w:w="5040"/>
            <w:vAlign w:val="center"/>
          </w:tcPr>
          <w:p>
            <w:r>
              <w:t>OneDrive / Shared Handover Notes</w:t>
            </w:r>
          </w:p>
        </w:tc>
      </w:tr>
      <w:tr>
        <w:tc>
          <w:tcPr>
            <w:tcW w:type="dxa" w:w="5040"/>
            <w:vAlign w:val="center"/>
          </w:tcPr>
          <w:p>
            <w:r>
              <w:t>Owner</w:t>
            </w:r>
          </w:p>
        </w:tc>
        <w:tc>
          <w:tcPr>
            <w:tcW w:type="dxa" w:w="5040"/>
            <w:vAlign w:val="center"/>
          </w:tcPr>
          <w:p>
            <w:r>
              <w:t>Marie Dubois, outgoing SD Worx Payroll Consultant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Status</w:t>
            </w:r>
          </w:p>
        </w:tc>
        <w:tc>
          <w:tcPr>
            <w:tcW w:type="dxa" w:w="5040"/>
            <w:vAlign w:val="center"/>
          </w:tcPr>
          <w:p>
            <w:r>
              <w:t>Informal handover</w:t>
            </w:r>
          </w:p>
        </w:tc>
      </w:tr>
      <w:tr>
        <w:tc>
          <w:tcPr>
            <w:tcW w:type="dxa" w:w="5040"/>
            <w:vAlign w:val="center"/>
          </w:tcPr>
          <w:p>
            <w:r>
              <w:t>Last modified</w:t>
            </w:r>
          </w:p>
        </w:tc>
        <w:tc>
          <w:tcPr>
            <w:tcW w:type="dxa" w:w="5040"/>
            <w:vAlign w:val="center"/>
          </w:tcPr>
          <w:p>
            <w:r>
              <w:t>2026-07-29</w:t>
            </w:r>
          </w:p>
        </w:tc>
      </w:tr>
      <w:tr>
        <w:tc>
          <w:tcPr>
            <w:tcW w:type="dxa" w:w="5040"/>
            <w:vAlign w:val="center"/>
          </w:tcPr>
          <w:p>
            <w:r>
              <w:t>Authority</w:t>
            </w:r>
          </w:p>
        </w:tc>
        <w:tc>
          <w:tcPr>
            <w:tcW w:type="dxa" w:w="5040"/>
            <w:vAlign w:val="center"/>
          </w:tcPr>
          <w:p>
            <w:r>
              <w:t>High practical value, not authoritative procedure</w:t>
            </w:r>
          </w:p>
        </w:tc>
      </w:tr>
    </w:tbl>
    <w:p/>
    <w:p>
      <w:pPr>
        <w:pStyle w:val="Heading1"/>
      </w:pPr>
      <w:r>
        <w:t>Core rhythm</w:t>
      </w:r>
    </w:p>
    <w:p>
      <w:r>
        <w:t>The calendar says D-5 for the standard freeze and D-4 for retail roster corrections. Retail sometimes asks for D-3 noon when their store roster export fails. Do not present D-3 as an agreed standing rule. Treat it as an emergency exception and ask the service lead before accepting.</w:t>
      </w:r>
    </w:p>
    <w:p>
      <w:pPr>
        <w:pStyle w:val="Heading1"/>
      </w:pPr>
      <w:r>
        <w:t>Key contacts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Organisation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520"/>
            <w:vAlign w:val="center"/>
          </w:tcPr>
          <w:p>
            <w:r>
              <w:t>Anne Peeters</w:t>
            </w:r>
          </w:p>
        </w:tc>
        <w:tc>
          <w:tcPr>
            <w:tcW w:type="dxa" w:w="2520"/>
            <w:vAlign w:val="center"/>
          </w:tcPr>
          <w:p>
            <w:r>
              <w:t>Proximus</w:t>
            </w:r>
          </w:p>
        </w:tc>
        <w:tc>
          <w:tcPr>
            <w:tcW w:type="dxa" w:w="2520"/>
            <w:vAlign w:val="center"/>
          </w:tcPr>
          <w:p>
            <w:r>
              <w:t>HR Shared Services payroll coordination</w:t>
            </w:r>
          </w:p>
        </w:tc>
        <w:tc>
          <w:tcPr>
            <w:tcW w:type="dxa" w:w="2520"/>
            <w:vAlign w:val="center"/>
          </w:tcPr>
          <w:p>
            <w:r>
              <w:t>HR input validation and payroll exceptions</w:t>
            </w:r>
          </w:p>
        </w:tc>
      </w:tr>
      <w:tr>
        <w:tc>
          <w:tcPr>
            <w:tcW w:type="dxa" w:w="2520"/>
            <w:vAlign w:val="center"/>
          </w:tcPr>
          <w:p>
            <w:r>
              <w:t>Pieter Claes</w:t>
            </w:r>
          </w:p>
        </w:tc>
        <w:tc>
          <w:tcPr>
            <w:tcW w:type="dxa" w:w="2520"/>
            <w:vAlign w:val="center"/>
          </w:tcPr>
          <w:p>
            <w:r>
              <w:t>Proximus</w:t>
            </w:r>
          </w:p>
        </w:tc>
        <w:tc>
          <w:tcPr>
            <w:tcW w:type="dxa" w:w="2520"/>
            <w:vAlign w:val="center"/>
          </w:tcPr>
          <w:p>
            <w:r>
              <w:t>Finance Operations</w:t>
            </w:r>
          </w:p>
        </w:tc>
        <w:tc>
          <w:tcPr>
            <w:tcW w:type="dxa" w:w="2520"/>
            <w:vAlign w:val="center"/>
          </w:tcPr>
          <w:p>
            <w:r>
              <w:t>SEPA total and payment approval</w:t>
            </w:r>
          </w:p>
        </w:tc>
      </w:tr>
      <w:tr>
        <w:tc>
          <w:tcPr>
            <w:tcW w:type="dxa" w:w="2520"/>
            <w:vAlign w:val="center"/>
          </w:tcPr>
          <w:p>
            <w:r>
              <w:t>Sarah Van den Berghe</w:t>
            </w:r>
          </w:p>
        </w:tc>
        <w:tc>
          <w:tcPr>
            <w:tcW w:type="dxa" w:w="2520"/>
            <w:vAlign w:val="center"/>
          </w:tcPr>
          <w:p>
            <w:r>
              <w:t>Proximus</w:t>
            </w:r>
          </w:p>
        </w:tc>
        <w:tc>
          <w:tcPr>
            <w:tcW w:type="dxa" w:w="2520"/>
            <w:vAlign w:val="center"/>
          </w:tcPr>
          <w:p>
            <w:r>
              <w:t>Retail Operations</w:t>
            </w:r>
          </w:p>
        </w:tc>
        <w:tc>
          <w:tcPr>
            <w:tcW w:type="dxa" w:w="2520"/>
            <w:vAlign w:val="center"/>
          </w:tcPr>
          <w:p>
            <w:r>
              <w:t>Late store roster corrections</w:t>
            </w:r>
          </w:p>
        </w:tc>
      </w:tr>
      <w:tr>
        <w:tc>
          <w:tcPr>
            <w:tcW w:type="dxa" w:w="2520"/>
            <w:vAlign w:val="center"/>
          </w:tcPr>
          <w:p>
            <w:r>
              <w:t>Olivier Janssens</w:t>
            </w:r>
          </w:p>
        </w:tc>
        <w:tc>
          <w:tcPr>
            <w:tcW w:type="dxa" w:w="2520"/>
            <w:vAlign w:val="center"/>
          </w:tcPr>
          <w:p>
            <w:r>
              <w:t>Proximus</w:t>
            </w:r>
          </w:p>
        </w:tc>
        <w:tc>
          <w:tcPr>
            <w:tcW w:type="dxa" w:w="2520"/>
            <w:vAlign w:val="center"/>
          </w:tcPr>
          <w:p>
            <w:r>
              <w:t>Network Operations</w:t>
            </w:r>
          </w:p>
        </w:tc>
        <w:tc>
          <w:tcPr>
            <w:tcW w:type="dxa" w:w="2520"/>
            <w:vAlign w:val="center"/>
          </w:tcPr>
          <w:p>
            <w:r>
              <w:t>Field technician standby validation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Nadia Leclercq</w:t>
            </w:r>
          </w:p>
        </w:tc>
        <w:tc>
          <w:tcPr>
            <w:tcW w:type="dxa" w:w="2520"/>
            <w:vAlign w:val="center"/>
          </w:tcPr>
          <w:p>
            <w:r>
              <w:t>Proximus</w:t>
            </w:r>
          </w:p>
        </w:tc>
        <w:tc>
          <w:tcPr>
            <w:tcW w:type="dxa" w:w="2520"/>
            <w:vAlign w:val="center"/>
          </w:tcPr>
          <w:p>
            <w:r>
              <w:t>Labour Relations</w:t>
            </w:r>
          </w:p>
        </w:tc>
        <w:tc>
          <w:tcPr>
            <w:tcW w:type="dxa" w:w="2520"/>
            <w:vAlign w:val="center"/>
          </w:tcPr>
          <w:p>
            <w:r>
              <w:t>Allowance interpretation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Jonas Vermeulen</w:t>
            </w:r>
          </w:p>
        </w:tc>
        <w:tc>
          <w:tcPr>
            <w:tcW w:type="dxa" w:w="2520"/>
            <w:vAlign w:val="center"/>
          </w:tcPr>
          <w:p>
            <w:r>
              <w:t>SD Worx</w:t>
            </w:r>
          </w:p>
        </w:tc>
        <w:tc>
          <w:tcPr>
            <w:tcW w:type="dxa" w:w="2520"/>
            <w:vAlign w:val="center"/>
          </w:tcPr>
          <w:p>
            <w:r>
              <w:t>Payroll Service Lead</w:t>
            </w:r>
          </w:p>
        </w:tc>
        <w:tc>
          <w:tcPr>
            <w:tcW w:type="dxa" w:w="2520"/>
            <w:vAlign w:val="center"/>
          </w:tcPr>
          <w:p>
            <w:r>
              <w:t>Exception approval and policy decisions</w:t>
            </w:r>
          </w:p>
        </w:tc>
      </w:tr>
      <w:tr>
        <w:tc>
          <w:tcPr>
            <w:tcW w:type="dxa" w:w="2520"/>
            <w:vAlign w:val="center"/>
          </w:tcPr>
          <w:p>
            <w:r>
              <w:t>Amina Rahman</w:t>
            </w:r>
          </w:p>
        </w:tc>
        <w:tc>
          <w:tcPr>
            <w:tcW w:type="dxa" w:w="2520"/>
            <w:vAlign w:val="center"/>
          </w:tcPr>
          <w:p>
            <w:r>
              <w:t>SD Worx</w:t>
            </w:r>
          </w:p>
        </w:tc>
        <w:tc>
          <w:tcPr>
            <w:tcW w:type="dxa" w:w="2520"/>
            <w:vAlign w:val="center"/>
          </w:tcPr>
          <w:p>
            <w:r>
              <w:t>Belgian Payroll Legal Expert</w:t>
            </w:r>
          </w:p>
        </w:tc>
        <w:tc>
          <w:tcPr>
            <w:tcW w:type="dxa" w:w="2520"/>
            <w:vAlign w:val="center"/>
          </w:tcPr>
          <w:p>
            <w:r>
              <w:t>Legal and country applicability review</w:t>
            </w:r>
          </w:p>
        </w:tc>
      </w:tr>
    </w:tbl>
    <w:p/>
    <w:p>
      <w:pPr>
        <w:pStyle w:val="Heading1"/>
      </w:pPr>
      <w:r>
        <w:t>Things to watch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5040"/>
            <w:vAlign w:val="center"/>
          </w:tcPr>
          <w:p>
            <w:r>
              <w:t>Retail roster corrections</w:t>
            </w:r>
          </w:p>
        </w:tc>
        <w:tc>
          <w:tcPr>
            <w:tcW w:type="dxa" w:w="5040"/>
            <w:vAlign w:val="center"/>
          </w:tcPr>
          <w:p>
            <w:r>
              <w:t>D-3 happened before, but only as emergency exception. Link email approval before accepting again.</w:t>
            </w:r>
          </w:p>
        </w:tc>
      </w:tr>
      <w:tr>
        <w:tc>
          <w:tcPr>
            <w:tcW w:type="dxa" w:w="5040"/>
            <w:vAlign w:val="center"/>
          </w:tcPr>
          <w:p>
            <w:r>
              <w:t>Payment approval</w:t>
            </w:r>
          </w:p>
        </w:tc>
        <w:tc>
          <w:tcPr>
            <w:tcW w:type="dxa" w:w="5040"/>
            <w:vAlign w:val="center"/>
          </w:tcPr>
          <w:p>
            <w:r>
              <w:t>SP-PROX-003 still says HR Shared Services. Since May, Pieter from Finance Operations has been the practical final approver.</w:t>
            </w:r>
          </w:p>
        </w:tc>
      </w:tr>
      <w:tr>
        <w:tc>
          <w:tcPr>
            <w:tcW w:type="dxa" w:w="5040"/>
            <w:vAlign w:val="center"/>
          </w:tcPr>
          <w:p>
            <w:r>
              <w:t>Field technician standby</w:t>
            </w:r>
          </w:p>
        </w:tc>
        <w:tc>
          <w:tcPr>
            <w:tcW w:type="dxa" w:w="5040"/>
            <w:vAlign w:val="center"/>
          </w:tcPr>
          <w:p>
            <w:r>
              <w:t>Do not switch allowance code based only on Teams messages. Wait for legal confirmation and signed change request.</w:t>
            </w:r>
          </w:p>
        </w:tc>
      </w:tr>
      <w:tr>
        <w:tc>
          <w:tcPr>
            <w:tcW w:type="dxa" w:w="5040"/>
            <w:vAlign w:val="center"/>
          </w:tcPr>
          <w:p>
            <w:r>
              <w:t>Payslip corrections</w:t>
            </w:r>
          </w:p>
        </w:tc>
        <w:tc>
          <w:tcPr>
            <w:tcW w:type="dxa" w:w="5040"/>
            <w:vAlign w:val="center"/>
          </w:tcPr>
          <w:p>
            <w:r>
              <w:t>Manual says EUR 100 for urgent off-cycle. I have seen EUR 75 accepted once, but that is precedent only.</w:t>
            </w:r>
          </w:p>
        </w:tc>
      </w:tr>
      <w:tr>
        <w:tc>
          <w:tcPr>
            <w:tcW w:type="dxa" w:w="5040"/>
            <w:vAlign w:val="center"/>
          </w:tcPr>
          <w:p>
            <w:r>
              <w:t>Import issues</w:t>
            </w:r>
          </w:p>
        </w:tc>
        <w:tc>
          <w:tcPr>
            <w:tcW w:type="dxa" w:w="5040"/>
            <w:vAlign w:val="center"/>
          </w:tcPr>
          <w:p>
            <w:r>
              <w:t>Older cost center PXS-RET-OLD can still appear in retail files. Confirm temporary mapping with Proximus before applying.</w:t>
            </w:r>
          </w:p>
        </w:tc>
      </w:tr>
    </w:tbl>
    <w:p/>
    <w:p>
      <w:pPr>
        <w:pStyle w:val="Heading1"/>
      </w:pPr>
      <w:r>
        <w:t>Open questions</w:t>
      </w:r>
    </w:p>
    <w:p>
      <w:pPr>
        <w:pStyle w:val="ListBullet"/>
      </w:pPr>
      <w:r>
        <w:t>Who owns SP-PROX-003 now?</w:t>
      </w:r>
    </w:p>
    <w:p>
      <w:pPr>
        <w:pStyle w:val="ListBullet"/>
      </w:pPr>
      <w:r>
        <w:t>Is Finance Operations officially documented as final payment approver?</w:t>
      </w:r>
    </w:p>
    <w:p>
      <w:pPr>
        <w:pStyle w:val="ListBullet"/>
      </w:pPr>
      <w:r>
        <w:t>Is D-3 ever allowed as a standing retail exception?</w:t>
      </w:r>
    </w:p>
    <w:p>
      <w:pPr>
        <w:pStyle w:val="ListBullet"/>
      </w:pPr>
      <w:r>
        <w:t>What is the effective date for allowance code 5413?</w:t>
      </w:r>
    </w:p>
    <w:p>
      <w:pPr>
        <w:pStyle w:val="ListBullet"/>
      </w:pPr>
      <w:r>
        <w:t>Should the EUR 75 off-cycle precedent be documented or removed?</w:t>
      </w:r>
    </w:p>
    <w:p>
      <w:pPr>
        <w:pStyle w:val="Heading1"/>
      </w:pPr>
      <w:r>
        <w:t>Suggested first week for the new consultant</w:t>
      </w:r>
    </w:p>
    <w:p>
      <w:pPr>
        <w:pStyle w:val="ListBullet"/>
      </w:pPr>
      <w:r>
        <w:t>Read the operating manual and payroll calendar first.</w:t>
      </w:r>
    </w:p>
    <w:p>
      <w:pPr>
        <w:pStyle w:val="ListBullet"/>
      </w:pPr>
      <w:r>
        <w:t>Ask Jonas to confirm payment approval ownership.</w:t>
      </w:r>
    </w:p>
    <w:p>
      <w:pPr>
        <w:pStyle w:val="ListBullet"/>
      </w:pPr>
      <w:r>
        <w:t>Ask Amina for the current position on field technician code 5413.</w:t>
      </w:r>
    </w:p>
    <w:p>
      <w:pPr>
        <w:pStyle w:val="ListBullet"/>
      </w:pPr>
      <w:r>
        <w:t>Review August and September Teams threads before giving a customer answer.</w:t>
      </w:r>
    </w:p>
    <w:p>
      <w:pPr>
        <w:pStyle w:val="ListBullet"/>
      </w:pPr>
      <w:r>
        <w:t>Promote validated notes into the client memory record.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