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THE BUSINESS  /  CONTROLLED CREATIVE ARTIFACT</w:t>
      </w:r>
    </w:p>
    <w:p>
      <w:pPr>
        <w:pStyle w:val="Title"/>
        <w:jc w:val="center"/>
      </w:pPr>
      <w:r>
        <w:t>Creative-to-Systems Impact Matrix</w:t>
      </w:r>
    </w:p>
    <w:p>
      <w:pPr>
        <w:jc w:val="center"/>
      </w:pPr>
      <w:r>
        <w:rPr>
          <w:rFonts w:ascii="Liberation Serif" w:hAnsi="Liberation Serif"/>
          <w:i/>
          <w:color w:val="3D4C59"/>
          <w:sz w:val="24"/>
        </w:rPr>
        <w:t>Traceability from creative law to implementation seams, future ownership, risk, and acceptance</w:t>
      </w:r>
    </w:p>
    <w:p>
      <w:pPr>
        <w:jc w:val="center"/>
      </w:pPr>
      <w:r>
        <w:rPr>
          <w:b/>
        </w:rPr>
        <w:t>v0.1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2088"/>
            <w:shd w:fill="17212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1088"/>
            <w:shd w:fill="F5F7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t>Controlled</w:t>
            </w:r>
          </w:p>
        </w:tc>
      </w:tr>
      <w:tr>
        <w:tc>
          <w:tcPr>
            <w:tcW w:type="dxa" w:w="2088"/>
            <w:shd w:fill="17212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rPr>
                <w:b/>
                <w:color w:val="FFFFFF"/>
              </w:rPr>
              <w:t>Authority</w:t>
            </w:r>
          </w:p>
        </w:tc>
        <w:tc>
          <w:tcPr>
            <w:tcW w:type="dxa" w:w="11088"/>
            <w:shd w:fill="F5F7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t>GDD v0.3 + Architecture v0.3; Phase F-R implementation baseline</w:t>
            </w:r>
          </w:p>
        </w:tc>
      </w:tr>
      <w:tr>
        <w:tc>
          <w:tcPr>
            <w:tcW w:type="dxa" w:w="2088"/>
            <w:shd w:fill="17212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1088"/>
            <w:shd w:fill="F5F7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t>Post-Phase-F reconciliation / Phase F-R</w:t>
            </w:r>
          </w:p>
        </w:tc>
      </w:tr>
      <w:tr>
        <w:tc>
          <w:tcPr>
            <w:tcW w:type="dxa" w:w="2088"/>
            <w:shd w:fill="17212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1088"/>
            <w:shd w:fill="F5F7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</w:tcPr>
          <w:p>
            <w:r>
              <w:t>7 September 2026</w:t>
            </w:r>
          </w:p>
        </w:tc>
      </w:tr>
    </w:tbl>
    <w:p/>
    <w:p>
      <w:pPr>
        <w:jc w:val="center"/>
      </w:pPr>
      <w:r>
        <w:rPr>
          <w:color w:val="3D4C59"/>
          <w:sz w:val="17"/>
        </w:rPr>
        <w:t>This artifact is subordinate to the Game Design Document v0.3 and Technical Architecture v0.3. It converts settled direction into practical law; it does not reopen settled product or engineering authority.</w:t>
      </w:r>
    </w:p>
    <w:p>
      <w:r>
        <w:br w:type="page"/>
      </w:r>
    </w:p>
    <w:p>
      <w:pPr>
        <w:pStyle w:val="Heading1"/>
      </w:pPr>
      <w:r>
        <w:t>1. How to use this matrix</w:t>
      </w:r>
    </w:p>
    <w:p>
      <w:r>
        <w:t>This is a design-to-engineering traceability artifact. A creative principle is not “covered” because a document mentions it: it is covered only when the required system seam exists, current F-R impact is explicit, deferred ownership is named, and future acceptance can prove the intended behavior without violating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9EEF2"/>
            <w:tcBorders>
              <w:top w:val="single" w:sz="8" w:color="AAB7C1"/>
              <w:left w:val="single" w:sz="8" w:color="AAB7C1"/>
              <w:bottom w:val="single" w:sz="8" w:color="AAB7C1"/>
              <w:right w:val="single" w:sz="8" w:color="AAB7C1"/>
              <w:insideH w:val="single" w:sz="8" w:color="AAB7C1"/>
              <w:insideV w:val="single" w:sz="8" w:color="AAB7C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212B"/>
              </w:rPr>
              <w:t xml:space="preserve">RISK RULE: </w:t>
            </w:r>
            <w:r>
              <w:t>HIGH means a later feature could force a structural rewrite or violate a locked rule if the seam is absent. MEDIUM means the seam exists but future depth requires careful contract design. LOW means current architecture already supports the intended extension shape.</w:t>
            </w:r>
          </w:p>
        </w:tc>
      </w:tr>
    </w:tbl>
    <w:p>
      <w:pPr>
        <w:pStyle w:val="Heading1"/>
      </w:pPr>
      <w:r>
        <w:t>2. Impact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656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Principle</w:t>
            </w:r>
          </w:p>
        </w:tc>
        <w:tc>
          <w:tcPr>
            <w:tcW w:type="dxa" w:w="2088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Required system support</w:t>
            </w:r>
          </w:p>
        </w:tc>
        <w:tc>
          <w:tcPr>
            <w:tcW w:type="dxa" w:w="2232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Existing implementation support</w:t>
            </w:r>
          </w:p>
        </w:tc>
        <w:tc>
          <w:tcPr>
            <w:tcW w:type="dxa" w:w="2088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Missing future support</w:t>
            </w:r>
          </w:p>
        </w:tc>
        <w:tc>
          <w:tcPr>
            <w:tcW w:type="dxa" w:w="1728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F-R impact</w:t>
            </w:r>
          </w:p>
        </w:tc>
        <w:tc>
          <w:tcPr>
            <w:tcW w:type="dxa" w:w="1944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Owning future phase / system</w:t>
            </w:r>
          </w:p>
        </w:tc>
        <w:tc>
          <w:tcPr>
            <w:tcW w:type="dxa" w:w="893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2232"/>
            <w:shd w:fill="17212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Acceptance / test implication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The Owner = non-person seat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Control identity independent of Person; commands scoped to seat; save/history preserve distinction.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OwnershipSeat + Promotion owner separate; command/query architecture.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NPC governance/succession depth only.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REQUIRED: state schema v2; v1 migration; reject player person_id; separate Chronicle seat.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F-R complete; later ownership/succession system for NPCs.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8A2B2B"/>
                <w:sz w:val="14"/>
              </w:rPr>
              <w:t>HIGH -&gt; LOW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Campaign runs with controlled promotion owner Person = null; NPC owners still validate; migration preserves promotion owner.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Map-first experience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Queryable markets/routes/people/influence/media/history; map remains presentation client.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Market/Region/Touring/Influence/Media state; presentation/map boundary; HistoricalProjection.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Production map, overlays, significance/navigation, touch UX.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code beyond audit; viable seam.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Phase G presentation.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LOW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Map commands must enter canonical application layer; no authoritative state in scene nodes.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World -&gt; People -&gt; Wrestling -&gt; World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Cross-system causal effects and explainability.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Monthly pipeline, contracts, touring, booking, audience, economy, influence, Chronicle.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Deep careers, injuries, media, institutions, psychology feedback.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Phases I/J and system-specific depth.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MED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Tests should prove causal chains cross at least one world/person/wrestling boundary and remain deterministic.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Reality / Perception / Presentation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Separate truth, observer knowledge, deliberate communicative intent.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CampaignState reality; KnowledgeBase/Projection perception.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Belief/interpretation models, gimmick/publicity/media intent.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REQUIRED: explicit ShowPlan.presentation_context carrier.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psychology/narrative/media systems.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8A2B2B"/>
                <w:sz w:val="14"/>
              </w:rPr>
              <w:t>HIGH -&gt; MED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No hidden truth via presentation; prose/query tests use permitted NarrativeContext; intent can disagree with perception.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Wrestling language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Context profile by era/region/audience/promotion/performer/booker; resolution can consume it.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Market/era/content seams; BookingSystem/ShowResolver.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Formal WrestlingLanguageProfile, fluency/compatibility/evolution.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REQUIRED: ShowPlan.wrestling_language_context carrier.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psychology/content simulation.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8A2B2B"/>
                <w:sz w:val="14"/>
              </w:rPr>
              <w:t>HIGH -&gt; MED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Same act may resolve/interpret differently under governed context; no Great Lakes/era hard-code.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Audience psychology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Local audience state, perception, expectation, memory and response.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Local overness/heat/shine/momentum; market interest; hot/cold.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Taste segments, belief, novelty/fatigue, language literacy, social diffusion.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current blocker.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audience/psychology depth.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MED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Different audiences can respond differently to same presentation for explainable contextual reasons.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Booker / agent psychology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Human staff attributes + context + intent feeding one booking engine.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Person skills/roles; booker assignment; BookingSystem; BookerAI priorities.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Agent role mechanics, preferences, biases, language fluency, politics.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people/booking depth.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MED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Delegated cards differ by staff/context while remaining valid; no hidden-truth leakage to AI.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Shoot relationships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Stable person links with trust/grievance and knowledge-limited consequences.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RelationshipState person IDs, strength/trust/grievance/tag_ids; Chronicle identity.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Typed relationship events, loyalty, resentment, romance, factions, reputation diffusion.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people/relationship systems.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LOW-MED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Relationship changes preserve stable IDs and historical reconstruction; knowledge of relationships must be scoped.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Family / mentor / lineage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Persistent identity plus typed kinship/training/mentorship links across careers/generations.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Stable Person IDs; RelationshipState tags; identity catalogue/tombstones.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Family graph, schools/institutions, inheritance, dynasties, mentoring effects.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dynasty/people depth, post-slice.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LOW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Retirement/death cannot erase lineage references; multi-generation history reconstructs without identity replacement.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Optional microbooking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Player overrides feed same ShowPlan / commands / resolver used by delegation.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ShowPlan; approve outcomes; programs; pushes/protection; BookingSystem + ShowResolver.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Card/segment editor, finish/agent detail, override UX.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Audit only; existing seam accepted.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booking depth + Phase G/I UX.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LOW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Manual and delegated cards use identical validation/resolution path; no second engine.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Emergent narrative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Narrative selects/framing facts from simulation/Chronicle, not authored railroad.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DomainEvents, Chronicle, causal factors, HistoricalProjection.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Significance selection, narrative templates/models, contextual voice, story clustering.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narrative/Chronicle presentation.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MED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Narrative output must cite/rely on recorded facts and permitted knowledge; simulation runs without narrative layer.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Chronicle / history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Authoritative append/history store, stable identity, no historical resimulation.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ChronicleStore/Committer/QueryService, checkpoints+deltas, identity catalogue, save codec.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Scale/chunking/compaction, richer indexes/artifacts/replay presentation.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Add separate non-person ownership seat projection.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Ongoing Chronicle system; Phase G/I presentation.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LOW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Prior state reconstructs with simulation/RNG disabled and does not mutate current state.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Spectacle significance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Event significance/rarity drives presentation weight and interruption.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DomainEvent permanence, Chronicle, event causal data; presentation shell boundary.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Significance scoring, ceremony tiers, animation/audio/UI policies.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Phase G/I presentation.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LOW-MED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Routine months stay low-friction; high spectacle must correspond to governed significance data.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Scandal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Reality/evidence/knowledge/reputation/relationship/media consequences remain separable.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Knowledge projection, relationships, Chronicle, events, media seams.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Allegation/evidence model, privacy, legal/social spread, institutional responses.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change; R/P/P seam is prerequisite.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people/media/narrative depth.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8A2B2B"/>
                <w:sz w:val="14"/>
              </w:rPr>
              <w:t>MED-HIGH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No omniscient scandal propagation; tests distinguish truth, known allegation and public presentation.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Era / regional authenticity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Content-driven era/place context affects language, economics, travel, media, art and prose.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Data-driven campaigns, markets/regions, media, touring; no GL/1975 engine branches.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Century content, contextual art metadata, technology/regulation evolution.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special-case added; WrestlingLanguage carrier created.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Full-game content systems / Phase I-J.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MED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Static gate rejects scenario hard-codes; cross-era fixtures eventually prove same engine with different data.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Hidden information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Organization/person knowledge boundaries; AI and player consume projections rather than truth.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KnowledgeBase/KnowledgeProjection, AIPlanningView, static leakage gates.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Richer social/info propagation, rumors, source reliability.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Preserved unchanged.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Future perception/knowledge depth.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LOW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Unknown remains unknown; estimates bounded; no true_value escape hatch; AI/player parity where required.</w:t>
            </w:r>
          </w:p>
        </w:tc>
      </w:tr>
      <w:tr>
        <w:trPr>
          <w:cantSplit/>
        </w:trPr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Kayfabe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NarrativeContext separates public kayfabe, backstage business, system-neutral output.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Content validator NarrativeContext; architecture/prose boundary.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Production prose generator/templates, media/publicity, character voice.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code change.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Phase G/I narrative/content.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MED</w:t>
            </w:r>
          </w:p>
        </w:tc>
        <w:tc>
          <w:tcPr>
            <w:tcW w:type="dxa" w:w="1818"/>
            <w:shd w:fill="F5F7F8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Public output cannot use backstage/meta knowledge; backstage may use wrestling-business terminology without wink-at-player humor.</w:t>
            </w:r>
          </w:p>
        </w:tc>
      </w:tr>
      <w:tr>
        <w:trPr>
          <w:cantSplit/>
        </w:trPr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Prose knowledge boundaries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Speaker/role/time/place knowledge plus period/region voice; significance-based output.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KnowledgeProjection, DomainEvents/Chronicle, NarrativeContext content validation.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Narrative orchestration, style packs, significance selection, provenance/debugging.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No structural change; Bible locks standard.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Phase G/I narrative presentation.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sz w:val="14"/>
              </w:rPr>
              <w:t>MED</w:t>
            </w:r>
          </w:p>
        </w:tc>
        <w:tc>
          <w:tcPr>
            <w:tcW w:type="dxa" w:w="1818"/>
            <w:shd w:fill="FFFFFF"/>
            <w:tcBorders>
              <w:top w:val="single" w:sz="4" w:color="CCD3D8"/>
              <w:left w:val="single" w:sz="4" w:color="CCD3D8"/>
              <w:bottom w:val="single" w:sz="4" w:color="CCD3D8"/>
              <w:right w:val="single" w:sz="4" w:color="CCD3D8"/>
              <w:insideH w:val="single" w:sz="4" w:color="CCD3D8"/>
              <w:insideV w:val="single" w:sz="4" w:color="CCD3D8"/>
            </w:tcBorders>
            <w:tcMar>
              <w:top w:w="65" w:type="dxa"/>
              <w:start w:w="55" w:type="dxa"/>
              <w:bottom w:w="6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sz w:val="14"/>
              </w:rPr>
              <w:t>Generated text test fixtures must prove no inaccessible hidden facts and reject generic omniscient templates.</w:t>
            </w:r>
          </w:p>
        </w:tc>
      </w:tr>
    </w:tbl>
    <w:p>
      <w:pPr>
        <w:pStyle w:val="Heading1"/>
      </w:pPr>
      <w:r>
        <w:t>3. Phase F-R contradiction review</w:t>
      </w:r>
    </w:p>
    <w:p>
      <w:r>
        <w:t>The matrix was reviewed specifically for current contradictions with locked product direction. One known contradiction, player control represented through an owner Person, required and received a state/schema/save/command reconciliation. Two future rewrite hazards were also found at the booking seam: deliberate Presentation intent and WrestlingLanguage context had no explicit carrier through ShowPlan. F-R adds narrow context fields for both. No other row requires current implementation to be rewritten before the F-&gt;G adversarial gate.</w:t>
      </w:r>
    </w:p>
    <w:p>
      <w:pPr>
        <w:pStyle w:val="Heading1"/>
      </w:pPr>
      <w:r>
        <w:t>4. Deferred-depth guardrails</w:t>
      </w:r>
    </w:p>
    <w:p>
      <w:pPr>
        <w:pStyle w:val="ListBullet"/>
        <w:spacing w:after="40"/>
      </w:pPr>
      <w:r>
        <w:t>Deferred does not mean unowned. Each deferred area has a named architectural seam and future owning system/phase.</w:t>
      </w:r>
    </w:p>
    <w:p>
      <w:pPr>
        <w:pStyle w:val="ListBullet"/>
        <w:spacing w:after="40"/>
      </w:pPr>
      <w:r>
        <w:t>Future implementation must extend these seams rather than introduce parallel authority, especially for manual booking, UI/map state, knowledge, history and narrative.</w:t>
      </w:r>
    </w:p>
    <w:p>
      <w:pPr>
        <w:pStyle w:val="ListBullet"/>
        <w:spacing w:after="40"/>
      </w:pPr>
      <w:r>
        <w:t>A future feature that needs player Person state, omniscient prose, scenario hard-coding, historical resimulation, UI-owned truth or a second booking resolver is a governing conflict, not a convenience refactor.</w:t>
      </w:r>
    </w:p>
    <w:p>
      <w:pPr>
        <w:pStyle w:val="ListBullet"/>
        <w:spacing w:after="40"/>
      </w:pPr>
      <w:r>
        <w:t>The first F-&gt;G adversarial package must target the verified F-R baseline and include the non-person Ownership Seat as a player-boundary assumption.</w:t>
      </w:r>
    </w:p>
    <w:p>
      <w:pPr>
        <w:pStyle w:val="Heading1"/>
      </w:pPr>
      <w:r>
        <w:t>5. Acceptance trace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1944"/>
            <w:shd w:fill="3D4C59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2528"/>
            <w:shd w:fill="3D4C59"/>
          </w:tcPr>
          <w:p>
            <w:r>
              <w:rPr>
                <w:b/>
                <w:color w:val="FFFFFF"/>
              </w:rPr>
              <w:t>Trace obligation</w:t>
            </w:r>
          </w:p>
        </w:tc>
      </w:tr>
      <w:tr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5F7F8"/>
          </w:tcPr>
          <w:p>
            <w:r>
              <w:t>F-R now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5F7F8"/>
          </w:tcPr>
          <w:p>
            <w:r>
              <w:t>State v2 migration; player issuer boundary; 32+ retained tests; static gates; competition/soak; Chronicle/save; editor import.</w:t>
            </w:r>
          </w:p>
        </w:tc>
      </w:tr>
      <w:tr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FFFFF"/>
          </w:tcPr>
          <w:p>
            <w:r>
              <w:t>F-&gt;G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FFFFF"/>
          </w:tcPr>
          <w:p>
            <w:r>
              <w:t>Attack legal strategy through non-person seat and knowledge-limited queries; look for exploit, truth leakage, history/persistence failure.</w:t>
            </w:r>
          </w:p>
        </w:tc>
      </w:tr>
      <w:tr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5F7F8"/>
          </w:tcPr>
          <w:p>
            <w:r>
              <w:t>Phase G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5F7F8"/>
          </w:tcPr>
          <w:p>
            <w:r>
              <w:t>Map-first presentation remains client of application/domain truth; significance and contextual world art can be layered without authority leakage.</w:t>
            </w:r>
          </w:p>
        </w:tc>
      </w:tr>
      <w:tr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FFFFF"/>
          </w:tcPr>
          <w:p>
            <w:r>
              <w:t>Later depth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4CCD2"/>
              <w:left w:val="single" w:sz="6" w:color="C4CCD2"/>
              <w:bottom w:val="single" w:sz="6" w:color="C4CCD2"/>
              <w:right w:val="single" w:sz="6" w:color="C4CCD2"/>
              <w:insideH w:val="single" w:sz="6" w:color="C4CCD2"/>
              <w:insideV w:val="single" w:sz="6" w:color="C4CCD2"/>
            </w:tcBorders>
            <w:shd w:fill="FFFFFF"/>
          </w:tcPr>
          <w:p>
            <w:r>
              <w:t>Psychology, lineage, scandal, era language and microbooking must add governed data/commands/queries around the seams above rather than replace them.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3D4C59"/>
        <w:sz w:val="15"/>
      </w:rPr>
      <w:t>Creative-to-Systems Impact Matrix  |  v0.1  |  Controlled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1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D4C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118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21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60"/>
    </w:pPr>
    <w:rPr>
      <w:rFonts w:ascii="Liberation Sans" w:hAnsi="Liberation Sans"/>
      <w:b/>
      <w:color w:val="8B6F2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