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192C4" w14:textId="03A92A2A" w:rsidR="004C1BA6" w:rsidRDefault="00817A96"/>
    <w:p w14:paraId="0BC33D2E" w14:textId="390CF129" w:rsidR="00282586" w:rsidRDefault="00282586" w:rsidP="00282586">
      <w:pPr>
        <w:pStyle w:val="Titel"/>
      </w:pPr>
      <w:r>
        <w:t>Data Archiving for WG</w:t>
      </w:r>
      <w:r w:rsidR="005A5806">
        <w:t xml:space="preserve"> III</w:t>
      </w:r>
    </w:p>
    <w:p w14:paraId="527196F7" w14:textId="6AB96682" w:rsidR="00282586" w:rsidRDefault="00282586" w:rsidP="00282586"/>
    <w:p w14:paraId="659E6ED4" w14:textId="7E655FF9" w:rsidR="00282586" w:rsidRPr="00282586" w:rsidRDefault="00282586" w:rsidP="00282586">
      <w:pPr>
        <w:rPr>
          <w:b/>
          <w:bCs/>
          <w:color w:val="FF0000"/>
        </w:rPr>
      </w:pPr>
      <w:r w:rsidRPr="00282586">
        <w:rPr>
          <w:b/>
          <w:bCs/>
          <w:color w:val="FF0000"/>
        </w:rPr>
        <w:t xml:space="preserve">Instructions: Please complete one file per figure.  </w:t>
      </w:r>
    </w:p>
    <w:p w14:paraId="79F59935" w14:textId="5E0371B3" w:rsidR="00282586" w:rsidRDefault="00282586" w:rsidP="00282586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7"/>
        <w:gridCol w:w="7323"/>
      </w:tblGrid>
      <w:tr w:rsidR="00282586" w14:paraId="318BD4B3" w14:textId="77777777" w:rsidTr="005C2945">
        <w:tc>
          <w:tcPr>
            <w:tcW w:w="4106" w:type="dxa"/>
          </w:tcPr>
          <w:p w14:paraId="27FDBE6A" w14:textId="3FEA4CE4" w:rsidR="00282586" w:rsidRPr="00282586" w:rsidRDefault="00282586" w:rsidP="00282586">
            <w:pPr>
              <w:rPr>
                <w:b/>
                <w:bCs/>
              </w:rPr>
            </w:pPr>
            <w:r w:rsidRPr="00282586">
              <w:rPr>
                <w:b/>
                <w:bCs/>
              </w:rPr>
              <w:t>Report</w:t>
            </w:r>
          </w:p>
        </w:tc>
        <w:tc>
          <w:tcPr>
            <w:tcW w:w="4904" w:type="dxa"/>
          </w:tcPr>
          <w:p w14:paraId="4C7EA4F9" w14:textId="723884A5" w:rsidR="00282586" w:rsidRDefault="00282586" w:rsidP="00361EDB">
            <w:r>
              <w:t>WG</w:t>
            </w:r>
            <w:r w:rsidR="002C7D37">
              <w:t xml:space="preserve"> III</w:t>
            </w:r>
            <w:r>
              <w:t xml:space="preserve"> </w:t>
            </w:r>
            <w:r w:rsidR="00361EDB">
              <w:t>SPM</w:t>
            </w:r>
          </w:p>
        </w:tc>
      </w:tr>
      <w:tr w:rsidR="00282586" w14:paraId="3D58FFB6" w14:textId="77777777" w:rsidTr="005C2945">
        <w:tc>
          <w:tcPr>
            <w:tcW w:w="4106" w:type="dxa"/>
          </w:tcPr>
          <w:p w14:paraId="0FE883FB" w14:textId="661BEF3A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>Figure Number</w:t>
            </w:r>
          </w:p>
          <w:p w14:paraId="5C6BB49D" w14:textId="1EA89387" w:rsidR="00282586" w:rsidRPr="00282586" w:rsidRDefault="00282586" w:rsidP="00282586">
            <w:r>
              <w:t>(e.g. SPM</w:t>
            </w:r>
            <w:r w:rsidR="002C7D37">
              <w:t>.</w:t>
            </w:r>
            <w:r>
              <w:t>1)</w:t>
            </w:r>
          </w:p>
        </w:tc>
        <w:tc>
          <w:tcPr>
            <w:tcW w:w="4904" w:type="dxa"/>
          </w:tcPr>
          <w:p w14:paraId="2AFCBFDB" w14:textId="44B006B0" w:rsidR="00282586" w:rsidRDefault="00817A96" w:rsidP="003E341B">
            <w:r>
              <w:t>SPM2</w:t>
            </w:r>
          </w:p>
        </w:tc>
      </w:tr>
      <w:tr w:rsidR="00282586" w14:paraId="3BCECBDA" w14:textId="77777777" w:rsidTr="005C2945">
        <w:tc>
          <w:tcPr>
            <w:tcW w:w="4106" w:type="dxa"/>
          </w:tcPr>
          <w:p w14:paraId="1A56CA14" w14:textId="7AF7B30A" w:rsidR="00282586" w:rsidRPr="00282586" w:rsidRDefault="00282586" w:rsidP="00282586">
            <w:pPr>
              <w:rPr>
                <w:b/>
                <w:bCs/>
              </w:rPr>
            </w:pPr>
            <w:r w:rsidRPr="00282586">
              <w:rPr>
                <w:b/>
                <w:bCs/>
              </w:rPr>
              <w:t>Authors Names</w:t>
            </w:r>
          </w:p>
        </w:tc>
        <w:tc>
          <w:tcPr>
            <w:tcW w:w="4904" w:type="dxa"/>
          </w:tcPr>
          <w:p w14:paraId="0E931665" w14:textId="39B29F90" w:rsidR="003E341B" w:rsidRDefault="00817A96" w:rsidP="00282586">
            <w:r>
              <w:t>William F. Lamb</w:t>
            </w:r>
          </w:p>
        </w:tc>
      </w:tr>
      <w:tr w:rsidR="00282586" w14:paraId="0C5331F0" w14:textId="77777777" w:rsidTr="005C2945">
        <w:tc>
          <w:tcPr>
            <w:tcW w:w="4106" w:type="dxa"/>
          </w:tcPr>
          <w:p w14:paraId="5BAE240A" w14:textId="52AD05B0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List of </w:t>
            </w:r>
            <w:r w:rsidR="00A526DB">
              <w:rPr>
                <w:b/>
                <w:bCs/>
              </w:rPr>
              <w:t>all</w:t>
            </w:r>
            <w:r>
              <w:rPr>
                <w:b/>
                <w:bCs/>
              </w:rPr>
              <w:t xml:space="preserve"> input </w:t>
            </w:r>
            <w:r w:rsidR="00AF1C57">
              <w:rPr>
                <w:b/>
                <w:bCs/>
              </w:rPr>
              <w:t xml:space="preserve">research </w:t>
            </w:r>
            <w:r>
              <w:rPr>
                <w:b/>
                <w:bCs/>
              </w:rPr>
              <w:t>papers</w:t>
            </w:r>
            <w:r w:rsidR="00A526DB">
              <w:rPr>
                <w:b/>
                <w:bCs/>
              </w:rPr>
              <w:t xml:space="preserve"> and </w:t>
            </w:r>
            <w:r w:rsidR="00AF1C57">
              <w:rPr>
                <w:b/>
                <w:bCs/>
              </w:rPr>
              <w:t xml:space="preserve">grey literature </w:t>
            </w:r>
            <w:r w:rsidR="00A526DB">
              <w:rPr>
                <w:b/>
                <w:bCs/>
              </w:rPr>
              <w:t>sources</w:t>
            </w:r>
          </w:p>
          <w:p w14:paraId="79C821E4" w14:textId="77777777" w:rsidR="00282586" w:rsidRDefault="00282586" w:rsidP="00282586">
            <w:pPr>
              <w:rPr>
                <w:b/>
                <w:bCs/>
              </w:rPr>
            </w:pPr>
          </w:p>
          <w:p w14:paraId="076F35A7" w14:textId="189A9176" w:rsidR="00282586" w:rsidRPr="00282586" w:rsidRDefault="00282586" w:rsidP="00282586">
            <w:r>
              <w:t>Please provide links or DOIs where applicable</w:t>
            </w:r>
            <w:r w:rsidR="00B9516D">
              <w:t>. This step is crucial for traceability.</w:t>
            </w:r>
          </w:p>
        </w:tc>
        <w:tc>
          <w:tcPr>
            <w:tcW w:w="4904" w:type="dxa"/>
          </w:tcPr>
          <w:p w14:paraId="331C9C9D" w14:textId="77777777" w:rsidR="00817A96" w:rsidRPr="00817A96" w:rsidRDefault="00817A96" w:rsidP="00817A96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 xml:space="preserve">Minx, J. C., Lamb, W. F., Andrew, R. M., </w:t>
            </w:r>
            <w:proofErr w:type="spellStart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>Canadell</w:t>
            </w:r>
            <w:proofErr w:type="spellEnd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 xml:space="preserve">, J. G., </w:t>
            </w:r>
            <w:proofErr w:type="spellStart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>Crippa</w:t>
            </w:r>
            <w:proofErr w:type="spellEnd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 xml:space="preserve">, M., Döbbeling, N., Forster, P. M., </w:t>
            </w:r>
            <w:proofErr w:type="spellStart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>Guizzardi</w:t>
            </w:r>
            <w:proofErr w:type="spellEnd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 xml:space="preserve">, D., Olivier, J., Peters, G. P., Pongratz, J., Reisinger, A., Rigby, M., </w:t>
            </w:r>
            <w:proofErr w:type="spellStart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>Saunois</w:t>
            </w:r>
            <w:proofErr w:type="spellEnd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 xml:space="preserve">, M., Smith, S. J., </w:t>
            </w:r>
            <w:proofErr w:type="spellStart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>Solazzo</w:t>
            </w:r>
            <w:proofErr w:type="spellEnd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 xml:space="preserve">, E., &amp; Tian, H. (2021). A comprehensive and synthetic dataset for global, regional, and national greenhouse gas emissions by sector 1970–2018 with an extension to 2019. </w:t>
            </w:r>
            <w:r w:rsidRPr="00817A96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Earth System Science Data</w:t>
            </w:r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817A96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13</w:t>
            </w:r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>, 5213–5252. https://doi.org/10.5194/essd-13-5213-2021</w:t>
            </w:r>
          </w:p>
          <w:p w14:paraId="4CD9D64E" w14:textId="77777777" w:rsidR="00A17C0A" w:rsidRDefault="00817A96" w:rsidP="00817A96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AR7 Scenario database</w:t>
            </w:r>
          </w:p>
          <w:p w14:paraId="5069F7C5" w14:textId="2AE2761C" w:rsidR="00817A96" w:rsidRPr="00A17C0A" w:rsidRDefault="00817A96" w:rsidP="00817A96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82586" w14:paraId="2FC05F60" w14:textId="77777777" w:rsidTr="005C2945">
        <w:tc>
          <w:tcPr>
            <w:tcW w:w="4106" w:type="dxa"/>
          </w:tcPr>
          <w:p w14:paraId="3905DD83" w14:textId="77777777" w:rsidR="00282586" w:rsidRDefault="00282586" w:rsidP="00282586">
            <w:pPr>
              <w:rPr>
                <w:b/>
                <w:bCs/>
              </w:rPr>
            </w:pPr>
            <w:r>
              <w:rPr>
                <w:b/>
                <w:bCs/>
              </w:rPr>
              <w:t>Data Source</w:t>
            </w:r>
          </w:p>
          <w:p w14:paraId="4517BFD2" w14:textId="77777777" w:rsidR="00282586" w:rsidRDefault="00282586" w:rsidP="00282586">
            <w:pPr>
              <w:rPr>
                <w:b/>
                <w:bCs/>
              </w:rPr>
            </w:pPr>
          </w:p>
          <w:p w14:paraId="68E23BD8" w14:textId="77777777" w:rsidR="001660E1" w:rsidRDefault="00285EF2" w:rsidP="001660E1">
            <w:r>
              <w:t>If the data is provided by IEA (</w:t>
            </w:r>
            <w:r w:rsidR="00282586">
              <w:t xml:space="preserve">International Energy Agency) </w:t>
            </w:r>
            <w:r>
              <w:t>then we will use the follow statement:</w:t>
            </w:r>
          </w:p>
          <w:p w14:paraId="16BFFF75" w14:textId="37407B86" w:rsidR="001660E1" w:rsidRDefault="001660E1" w:rsidP="001660E1">
            <w:pPr>
              <w:rPr>
                <w:i/>
                <w:iCs/>
              </w:rPr>
            </w:pPr>
          </w:p>
          <w:p w14:paraId="3FCFA456" w14:textId="09650F5B" w:rsidR="008638E8" w:rsidRDefault="008638E8" w:rsidP="001660E1">
            <w:pPr>
              <w:rPr>
                <w:i/>
                <w:iCs/>
              </w:rPr>
            </w:pPr>
            <w:r>
              <w:rPr>
                <w:i/>
                <w:iCs/>
              </w:rPr>
              <w:t>OR</w:t>
            </w:r>
          </w:p>
          <w:p w14:paraId="37B21661" w14:textId="77777777" w:rsidR="00285EF2" w:rsidRDefault="00285EF2" w:rsidP="00285EF2"/>
          <w:p w14:paraId="74A8976A" w14:textId="60910A2E" w:rsidR="00EF64B3" w:rsidRDefault="00EF64B3" w:rsidP="001660E1">
            <w:r>
              <w:t>EDGAR (</w:t>
            </w:r>
            <w:r w:rsidR="00282586">
              <w:t xml:space="preserve">Emission Database for Global Atmospheric research) </w:t>
            </w:r>
            <w:r>
              <w:t xml:space="preserve">then we will use the </w:t>
            </w:r>
            <w:r>
              <w:lastRenderedPageBreak/>
              <w:t>following statement:</w:t>
            </w:r>
          </w:p>
          <w:p w14:paraId="6EAF70D8" w14:textId="4C03BDA9" w:rsidR="00282586" w:rsidRPr="00282586" w:rsidRDefault="00282586" w:rsidP="00285EF2"/>
        </w:tc>
        <w:tc>
          <w:tcPr>
            <w:tcW w:w="4904" w:type="dxa"/>
          </w:tcPr>
          <w:p w14:paraId="5273850E" w14:textId="0CF11C40" w:rsidR="00817A96" w:rsidRDefault="00817A96" w:rsidP="00817A96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lastRenderedPageBreak/>
              <w:t xml:space="preserve">Minx, J. C., Lamb, W. F., Andrew, R. M., </w:t>
            </w:r>
            <w:proofErr w:type="spellStart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>Canadell</w:t>
            </w:r>
            <w:proofErr w:type="spellEnd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 xml:space="preserve">, J. G., </w:t>
            </w:r>
            <w:proofErr w:type="spellStart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>Crippa</w:t>
            </w:r>
            <w:proofErr w:type="spellEnd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 xml:space="preserve">, M., Döbbeling, N., Forster, P. M., </w:t>
            </w:r>
            <w:proofErr w:type="spellStart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>Guizzardi</w:t>
            </w:r>
            <w:proofErr w:type="spellEnd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 xml:space="preserve">, D., Olivier, J., Peters, G. P., Pongratz, J., Reisinger, A., Rigby, M., </w:t>
            </w:r>
            <w:proofErr w:type="spellStart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>Saunois</w:t>
            </w:r>
            <w:proofErr w:type="spellEnd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 xml:space="preserve">, M., Smith, S. J., </w:t>
            </w:r>
            <w:proofErr w:type="spellStart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>Solazzo</w:t>
            </w:r>
            <w:proofErr w:type="spellEnd"/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 xml:space="preserve">, E., &amp; Tian, H. (2021). A comprehensive and synthetic dataset for global, regional, and national greenhouse gas emissions by sector 1970–2018 with an extension to 2019. </w:t>
            </w:r>
            <w:r w:rsidRPr="00817A96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Earth System Science Data</w:t>
            </w:r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 xml:space="preserve">, </w:t>
            </w:r>
            <w:r w:rsidRPr="00817A96">
              <w:rPr>
                <w:rFonts w:ascii="Times New Roman" w:eastAsia="Times New Roman" w:hAnsi="Times New Roman" w:cs="Times New Roman"/>
                <w:i/>
                <w:iCs/>
                <w:lang w:eastAsia="en-GB"/>
              </w:rPr>
              <w:t>13</w:t>
            </w:r>
            <w:r w:rsidRPr="00817A96">
              <w:rPr>
                <w:rFonts w:ascii="Times New Roman" w:eastAsia="Times New Roman" w:hAnsi="Times New Roman" w:cs="Times New Roman"/>
                <w:lang w:eastAsia="en-GB"/>
              </w:rPr>
              <w:t xml:space="preserve">, 5213–5252. </w:t>
            </w:r>
            <w:hyperlink r:id="rId5" w:history="1">
              <w:r w:rsidRPr="00057AF0">
                <w:rPr>
                  <w:rStyle w:val="Hyperlink"/>
                  <w:rFonts w:ascii="Times New Roman" w:eastAsia="Times New Roman" w:hAnsi="Times New Roman" w:cs="Times New Roman"/>
                  <w:lang w:eastAsia="en-GB"/>
                </w:rPr>
                <w:t>https://doi.org/10.5194/essd-13-5213-2021</w:t>
              </w:r>
            </w:hyperlink>
          </w:p>
          <w:p w14:paraId="3653C055" w14:textId="18D5693E" w:rsidR="00817A96" w:rsidRDefault="00817A96" w:rsidP="00817A96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B59A299" w14:textId="77777777" w:rsidR="00817A96" w:rsidRDefault="00817A96" w:rsidP="00817A96">
            <w:pPr>
              <w:spacing w:before="100" w:beforeAutospacing="1" w:after="100" w:afterAutospacing="1"/>
              <w:ind w:left="480" w:hanging="480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AR7 Scenario database</w:t>
            </w:r>
          </w:p>
          <w:p w14:paraId="5B88F232" w14:textId="6C1A9282" w:rsidR="001660E1" w:rsidRDefault="001660E1" w:rsidP="00817A96">
            <w:pPr>
              <w:spacing w:before="100" w:beforeAutospacing="1" w:after="100" w:afterAutospacing="1"/>
            </w:pPr>
          </w:p>
        </w:tc>
      </w:tr>
      <w:tr w:rsidR="00282586" w14:paraId="782D1D1A" w14:textId="77777777" w:rsidTr="005C2945">
        <w:tc>
          <w:tcPr>
            <w:tcW w:w="4106" w:type="dxa"/>
          </w:tcPr>
          <w:p w14:paraId="3561E7C4" w14:textId="77777777" w:rsidR="00282586" w:rsidRDefault="00282586" w:rsidP="00282586">
            <w:pPr>
              <w:rPr>
                <w:b/>
              </w:rPr>
            </w:pPr>
            <w:r>
              <w:rPr>
                <w:b/>
              </w:rPr>
              <w:t>Data processing or treatment</w:t>
            </w:r>
          </w:p>
          <w:p w14:paraId="45BAE8E5" w14:textId="77777777" w:rsidR="00282586" w:rsidRDefault="00282586" w:rsidP="00282586">
            <w:pPr>
              <w:rPr>
                <w:b/>
              </w:rPr>
            </w:pPr>
          </w:p>
          <w:p w14:paraId="6C2F4EB1" w14:textId="77777777" w:rsidR="00282586" w:rsidRDefault="00E870C8" w:rsidP="00282586">
            <w:pPr>
              <w:rPr>
                <w:bCs/>
              </w:rPr>
            </w:pPr>
            <w:r>
              <w:rPr>
                <w:bCs/>
              </w:rPr>
              <w:t xml:space="preserve">Please provide a text based description of any data pre-processing or transformations undertaken to the input or source data in order to produce the figure in the report.  </w:t>
            </w:r>
          </w:p>
          <w:p w14:paraId="61FE01F1" w14:textId="77777777" w:rsidR="00CC0ED9" w:rsidRDefault="00CC0ED9" w:rsidP="00282586">
            <w:pPr>
              <w:rPr>
                <w:bCs/>
              </w:rPr>
            </w:pPr>
          </w:p>
          <w:p w14:paraId="0217BF58" w14:textId="39718710" w:rsidR="00CC0ED9" w:rsidRPr="00E870C8" w:rsidRDefault="0008421F" w:rsidP="00282586">
            <w:pPr>
              <w:rPr>
                <w:bCs/>
              </w:rPr>
            </w:pPr>
            <w:r>
              <w:rPr>
                <w:bCs/>
              </w:rPr>
              <w:t xml:space="preserve">This is important if the traceable dataset or numbers are different from those appearing on the figure. </w:t>
            </w:r>
            <w:r w:rsidR="00D43006">
              <w:rPr>
                <w:bCs/>
              </w:rPr>
              <w:t xml:space="preserve">The reader should be able to understand how we arrived to the final data appearing </w:t>
            </w:r>
            <w:r w:rsidR="00F377A7">
              <w:rPr>
                <w:bCs/>
              </w:rPr>
              <w:t xml:space="preserve">on the SPM figure from reading this field, and should be able to replicate the steps. </w:t>
            </w:r>
            <w:r w:rsidR="00A827AE">
              <w:rPr>
                <w:bCs/>
              </w:rPr>
              <w:t xml:space="preserve">Therefore, the level of details presented here should be </w:t>
            </w:r>
            <w:r w:rsidR="00A827AE">
              <w:rPr>
                <w:bCs/>
              </w:rPr>
              <w:lastRenderedPageBreak/>
              <w:t xml:space="preserve">enabling such replication. </w:t>
            </w:r>
          </w:p>
        </w:tc>
        <w:tc>
          <w:tcPr>
            <w:tcW w:w="4904" w:type="dxa"/>
          </w:tcPr>
          <w:p w14:paraId="796A17FE" w14:textId="77777777" w:rsidR="00361EDB" w:rsidRDefault="00817A96" w:rsidP="00817A96">
            <w:pPr>
              <w:pStyle w:val="Listenabsatz"/>
              <w:numPr>
                <w:ilvl w:val="0"/>
                <w:numId w:val="7"/>
              </w:numPr>
            </w:pPr>
            <w:r>
              <w:lastRenderedPageBreak/>
              <w:t>We apply global warming potential values with a 100 year time horizon</w:t>
            </w:r>
          </w:p>
          <w:p w14:paraId="59099909" w14:textId="77777777" w:rsidR="00817A96" w:rsidRDefault="00817A96" w:rsidP="00817A96">
            <w:pPr>
              <w:pStyle w:val="Listenabsatz"/>
              <w:numPr>
                <w:ilvl w:val="0"/>
                <w:numId w:val="7"/>
              </w:numPr>
            </w:pPr>
            <w:r>
              <w:t>We calculate the average annual change in emissions using the method described in Annex II</w:t>
            </w:r>
          </w:p>
          <w:p w14:paraId="2BB92E13" w14:textId="24B19B7C" w:rsidR="00817A96" w:rsidRDefault="00817A96" w:rsidP="00817A96">
            <w:pPr>
              <w:pStyle w:val="Listenabsatz"/>
              <w:numPr>
                <w:ilvl w:val="0"/>
                <w:numId w:val="7"/>
              </w:numPr>
            </w:pPr>
            <w:r>
              <w:t>We group scenario categories according to the classification described in TS Table 3</w:t>
            </w:r>
          </w:p>
          <w:p w14:paraId="4CA6992C" w14:textId="465F3B32" w:rsidR="00817A96" w:rsidRDefault="00817A96" w:rsidP="00817A96">
            <w:pPr>
              <w:pStyle w:val="Listenabsatz"/>
              <w:numPr>
                <w:ilvl w:val="0"/>
                <w:numId w:val="7"/>
              </w:numPr>
            </w:pPr>
            <w:r>
              <w:t>We select only scenarios within the 5</w:t>
            </w:r>
            <w:r w:rsidRPr="00817A96">
              <w:rPr>
                <w:vertAlign w:val="superscript"/>
              </w:rPr>
              <w:t>th</w:t>
            </w:r>
            <w:r>
              <w:t xml:space="preserve"> and 95</w:t>
            </w:r>
            <w:r w:rsidRPr="00817A96">
              <w:rPr>
                <w:vertAlign w:val="superscript"/>
              </w:rPr>
              <w:t>th</w:t>
            </w:r>
            <w:r>
              <w:t xml:space="preserve"> percentiles of each scenario category</w:t>
            </w:r>
            <w:bookmarkStart w:id="0" w:name="_GoBack"/>
            <w:bookmarkEnd w:id="0"/>
          </w:p>
          <w:p w14:paraId="63EC3356" w14:textId="77777777" w:rsidR="00817A96" w:rsidRDefault="00817A96" w:rsidP="00817A96"/>
          <w:p w14:paraId="3E1736E4" w14:textId="67B151DC" w:rsidR="00817A96" w:rsidRDefault="00817A96" w:rsidP="00817A96">
            <w:r>
              <w:t xml:space="preserve">Our code is available online: </w:t>
            </w:r>
            <w:hyperlink r:id="rId6" w:history="1">
              <w:r w:rsidRPr="00057AF0">
                <w:rPr>
                  <w:rStyle w:val="Hyperlink"/>
                </w:rPr>
                <w:t>https://github.com/mcc-apsis/AR6-Emissions-trends-and-drivers/blob/master/R/Analysis%20and%20figures/emissions_by_region.Rmd</w:t>
              </w:r>
            </w:hyperlink>
          </w:p>
          <w:p w14:paraId="641441CC" w14:textId="2EA654FD" w:rsidR="00817A96" w:rsidRDefault="00817A96" w:rsidP="00817A96"/>
        </w:tc>
      </w:tr>
    </w:tbl>
    <w:p w14:paraId="452DCC26" w14:textId="1E3D8F6B" w:rsidR="00282586" w:rsidRDefault="00282586" w:rsidP="00282586"/>
    <w:p w14:paraId="66EC2113" w14:textId="77777777" w:rsidR="00282586" w:rsidRPr="00282586" w:rsidRDefault="00282586" w:rsidP="00282586"/>
    <w:sectPr w:rsidR="00282586" w:rsidRPr="00282586" w:rsidSect="000813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0481A" w16cex:dateUtc="2021-10-12T16:44:00Z"/>
  <w16cex:commentExtensible w16cex:durableId="25104828" w16cex:dateUtc="2021-10-12T1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223B42" w16cid:durableId="2510481A"/>
  <w16cid:commentId w16cid:paraId="14483330" w16cid:durableId="251048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54F2"/>
    <w:multiLevelType w:val="hybridMultilevel"/>
    <w:tmpl w:val="23667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76C1D"/>
    <w:multiLevelType w:val="hybridMultilevel"/>
    <w:tmpl w:val="6FBC130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7BA10CE"/>
    <w:multiLevelType w:val="multilevel"/>
    <w:tmpl w:val="9E18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90F9B"/>
    <w:multiLevelType w:val="hybridMultilevel"/>
    <w:tmpl w:val="A630FF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64C05"/>
    <w:multiLevelType w:val="multilevel"/>
    <w:tmpl w:val="5E1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267DE"/>
    <w:multiLevelType w:val="hybridMultilevel"/>
    <w:tmpl w:val="E904F0E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F7D5F45"/>
    <w:multiLevelType w:val="hybridMultilevel"/>
    <w:tmpl w:val="3D3A4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86"/>
    <w:rsid w:val="00081356"/>
    <w:rsid w:val="0008421F"/>
    <w:rsid w:val="00130652"/>
    <w:rsid w:val="001660E1"/>
    <w:rsid w:val="00282586"/>
    <w:rsid w:val="00285EF2"/>
    <w:rsid w:val="002C7D37"/>
    <w:rsid w:val="00361EDB"/>
    <w:rsid w:val="003E341B"/>
    <w:rsid w:val="005A402F"/>
    <w:rsid w:val="005A5806"/>
    <w:rsid w:val="005C2945"/>
    <w:rsid w:val="005E5B9E"/>
    <w:rsid w:val="00621957"/>
    <w:rsid w:val="00622E9A"/>
    <w:rsid w:val="006A4E3C"/>
    <w:rsid w:val="007062A1"/>
    <w:rsid w:val="0080274E"/>
    <w:rsid w:val="00817A96"/>
    <w:rsid w:val="008638E8"/>
    <w:rsid w:val="008D7B92"/>
    <w:rsid w:val="008F45CD"/>
    <w:rsid w:val="009360CE"/>
    <w:rsid w:val="00951FCD"/>
    <w:rsid w:val="009E03A0"/>
    <w:rsid w:val="00A15324"/>
    <w:rsid w:val="00A17C0A"/>
    <w:rsid w:val="00A40155"/>
    <w:rsid w:val="00A526DB"/>
    <w:rsid w:val="00A827AE"/>
    <w:rsid w:val="00AF1C57"/>
    <w:rsid w:val="00B9516D"/>
    <w:rsid w:val="00BA65CB"/>
    <w:rsid w:val="00CC0ED9"/>
    <w:rsid w:val="00D43006"/>
    <w:rsid w:val="00DC6EAC"/>
    <w:rsid w:val="00E0168C"/>
    <w:rsid w:val="00E32701"/>
    <w:rsid w:val="00E870C8"/>
    <w:rsid w:val="00EF64B3"/>
    <w:rsid w:val="00F3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AD903"/>
  <w15:chartTrackingRefBased/>
  <w15:docId w15:val="{49C1E362-D09F-6947-92BF-5E6AB1A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258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2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28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82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2195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21957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2195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219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2195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C6EAC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C6EAC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951FC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17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cc-apsis/AR6-Emissions-trends-and-drivers/blob/master/R/Analysis%20and%20figures/emissions_by_region.Rmd" TargetMode="External"/><Relationship Id="rId5" Type="http://schemas.openxmlformats.org/officeDocument/2006/relationships/hyperlink" Target="https://doi.org/10.5194/essd-13-5213-2021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Irwin</dc:creator>
  <cp:keywords/>
  <dc:description/>
  <cp:lastModifiedBy>William Lamb</cp:lastModifiedBy>
  <cp:revision>14</cp:revision>
  <dcterms:created xsi:type="dcterms:W3CDTF">2021-12-10T13:43:00Z</dcterms:created>
  <dcterms:modified xsi:type="dcterms:W3CDTF">2022-01-25T10:12:00Z</dcterms:modified>
</cp:coreProperties>
</file>