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92C4" w14:textId="03A92A2A" w:rsidR="004C1BA6" w:rsidRDefault="00CB5823"/>
    <w:p w14:paraId="0BC33D2E" w14:textId="390CF129" w:rsidR="00282586" w:rsidRDefault="00282586" w:rsidP="00282586">
      <w:pPr>
        <w:pStyle w:val="Titel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8"/>
        <w:gridCol w:w="7392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6263EF25" w:rsidR="00282586" w:rsidRDefault="00282586" w:rsidP="006A4E3C">
            <w:r>
              <w:t>WG</w:t>
            </w:r>
            <w:r w:rsidR="002C7D37">
              <w:t xml:space="preserve"> III</w:t>
            </w:r>
            <w:r>
              <w:t xml:space="preserve"> </w:t>
            </w:r>
            <w:r w:rsidR="006A4E3C">
              <w:t>TS</w:t>
            </w:r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269C4920" w:rsidR="00282586" w:rsidRDefault="00A17C0A" w:rsidP="001B5E96">
            <w:r>
              <w:t>TS.</w:t>
            </w:r>
            <w:r w:rsidR="001B5E96">
              <w:t>6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0E931665" w14:textId="06AD9076" w:rsidR="003E341B" w:rsidRDefault="001B5E96" w:rsidP="00282586">
            <w:r>
              <w:t>William F. Lamb</w:t>
            </w:r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0698673D" w14:textId="77777777" w:rsidR="001B5E96" w:rsidRPr="001B5E96" w:rsidRDefault="001B5E96" w:rsidP="001B5E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Minx, J. C., Lamb, W. F., Andrew, R. M.,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Canadell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J. G.,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Crippa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M., Döbbeling, N., Forster, P. M.,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Guizzardi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D., Olivier, J., Peters, G. P., Pongratz, J., Reisinger, A., Rigby, M.,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Saunois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M., Smith, S. J.,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Solazzo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E., &amp; Tian, H. (2021). A comprehensive and synthetic dataset for global, regional, and national greenhouse gas emissions by sector 1970–2018 with an extension to 2019. </w:t>
            </w:r>
            <w:r w:rsidRPr="001B5E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Earth System Science Data</w:t>
            </w: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1B5E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13</w:t>
            </w: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, 5213–5252. https://doi.org/10.5194/essd-13-5213-2021</w:t>
            </w:r>
          </w:p>
          <w:p w14:paraId="3A812987" w14:textId="77777777" w:rsidR="001B5E96" w:rsidRPr="001B5E96" w:rsidRDefault="001B5E96" w:rsidP="001B5E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IEA. (2021). </w:t>
            </w:r>
            <w:r w:rsidRPr="001B5E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CO2 emissions from fossil fuel combustion 2020</w:t>
            </w: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  <w:p w14:paraId="2CD053A1" w14:textId="61B2C233" w:rsidR="001B5E96" w:rsidRPr="001B5E96" w:rsidRDefault="001B5E96" w:rsidP="001B5E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Lamb, W. F., Wiedmann, T., Pongratz, J., Andrew, R.,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Crippa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M., Olivier, J. G. J.,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Wiedenhofer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D., Mattioli, G., Al Khourdajie, A., House, J., Pachauri, S., Figueroa, M.,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Saheb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Y., Slade, R., Hubacek, K., Sun, L., Ribeiro, S. K., </w:t>
            </w:r>
            <w:proofErr w:type="spellStart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Khennas</w:t>
            </w:r>
            <w:proofErr w:type="spellEnd"/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S., de la Rue du Can, S., … Minx, J. C. (2021). A review of trends and drivers of greenhouse gas emissions by sector from 1990 to 2018. </w:t>
            </w:r>
            <w:r w:rsidRPr="001B5E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Environmental Research Letters</w:t>
            </w: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1B5E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16</w:t>
            </w:r>
            <w:r w:rsidRPr="001B5E96">
              <w:rPr>
                <w:rFonts w:ascii="Times New Roman" w:eastAsia="Times New Roman" w:hAnsi="Times New Roman" w:cs="Times New Roman"/>
                <w:lang w:eastAsia="en-GB"/>
              </w:rPr>
              <w:t>, 073005. https://doi.org/10.1088/1748-9326/abee4e</w:t>
            </w:r>
          </w:p>
          <w:p w14:paraId="5069F7C5" w14:textId="1FBD4B8E" w:rsidR="001B5E96" w:rsidRPr="00A17C0A" w:rsidRDefault="001B5E96" w:rsidP="001B5E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</w:t>
            </w:r>
            <w:r w:rsidR="00282586">
              <w:lastRenderedPageBreak/>
              <w:t xml:space="preserve">Database for Global Atmospheric research) </w:t>
            </w:r>
            <w:r>
              <w:t>then we will use the 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5B88F232" w14:textId="4DC10457" w:rsidR="001660E1" w:rsidRDefault="001B5E96" w:rsidP="001B5E96">
            <w:r>
              <w:lastRenderedPageBreak/>
              <w:t>Minx et al. (2021), IEA (2021). References above.</w:t>
            </w:r>
          </w:p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</w:t>
            </w:r>
            <w:r w:rsidR="00F377A7">
              <w:rPr>
                <w:bCs/>
              </w:rPr>
              <w:lastRenderedPageBreak/>
              <w:t xml:space="preserve">figure from reading this 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enabling such replication. </w:t>
            </w:r>
          </w:p>
        </w:tc>
        <w:tc>
          <w:tcPr>
            <w:tcW w:w="4904" w:type="dxa"/>
          </w:tcPr>
          <w:p w14:paraId="357069D5" w14:textId="262FA8F3" w:rsidR="005E5B9E" w:rsidRDefault="001B5E96" w:rsidP="001B5E96">
            <w:pPr>
              <w:pStyle w:val="Listenabsatz"/>
              <w:numPr>
                <w:ilvl w:val="0"/>
                <w:numId w:val="7"/>
              </w:numPr>
            </w:pPr>
            <w:r>
              <w:lastRenderedPageBreak/>
              <w:t>Direct GHG emissions are allocated to sectors using IPCC 2006 codes, as described in Annex II</w:t>
            </w:r>
          </w:p>
          <w:p w14:paraId="2641202B" w14:textId="09110004" w:rsidR="001B5E96" w:rsidRDefault="001B5E96" w:rsidP="001B5E96">
            <w:pPr>
              <w:pStyle w:val="Listenabsatz"/>
              <w:numPr>
                <w:ilvl w:val="0"/>
                <w:numId w:val="7"/>
              </w:numPr>
            </w:pPr>
            <w:r>
              <w:t>Indirect CO2 emissions are sourced from the IEA dataset “CO2 emissions from fossil fuel combustion”</w:t>
            </w:r>
          </w:p>
          <w:p w14:paraId="122CC6BC" w14:textId="29E681CD" w:rsidR="001B5E96" w:rsidRDefault="001B5E96" w:rsidP="001B5E96">
            <w:pPr>
              <w:pStyle w:val="Listenabsatz"/>
              <w:numPr>
                <w:ilvl w:val="0"/>
                <w:numId w:val="7"/>
              </w:numPr>
            </w:pPr>
            <w:r>
              <w:t>Indirect CO2 emissions are harmonized with the direct GHG emissions database using the 2019 data points</w:t>
            </w:r>
            <w:r w:rsidR="00423EF9">
              <w:t xml:space="preserve"> as follows</w:t>
            </w:r>
            <w:r>
              <w:t>:</w:t>
            </w:r>
          </w:p>
          <w:p w14:paraId="3D10FDCD" w14:textId="77777777" w:rsidR="001B5E96" w:rsidRDefault="001B5E96" w:rsidP="001B5E96">
            <w:pPr>
              <w:pStyle w:val="Listenabsatz"/>
              <w:numPr>
                <w:ilvl w:val="0"/>
                <w:numId w:val="7"/>
              </w:numPr>
              <w:rPr>
                <w:rStyle w:val="pl-s"/>
              </w:rPr>
            </w:pPr>
            <w:r>
              <w:t>Aggregate emissions categories are removed to avoid double counting (</w:t>
            </w:r>
            <w:r>
              <w:rPr>
                <w:rStyle w:val="pl-s"/>
              </w:rPr>
              <w:t>TOTIND</w:t>
            </w:r>
            <w:r>
              <w:rPr>
                <w:rStyle w:val="pl-s"/>
              </w:rPr>
              <w:t xml:space="preserve">, TOTTRANS, </w:t>
            </w:r>
            <w:r>
              <w:rPr>
                <w:rStyle w:val="pl-s"/>
              </w:rPr>
              <w:t>MANUFACT</w:t>
            </w:r>
            <w:r>
              <w:rPr>
                <w:rStyle w:val="pl-s"/>
              </w:rPr>
              <w:t>)</w:t>
            </w:r>
          </w:p>
          <w:p w14:paraId="4C8BF751" w14:textId="77777777" w:rsidR="001B5E96" w:rsidRDefault="001B5E96" w:rsidP="001B5E96">
            <w:pPr>
              <w:pStyle w:val="Listenabsatz"/>
              <w:numPr>
                <w:ilvl w:val="0"/>
                <w:numId w:val="7"/>
              </w:numPr>
              <w:rPr>
                <w:rStyle w:val="pl-c"/>
              </w:rPr>
            </w:pPr>
            <w:r>
              <w:rPr>
                <w:rStyle w:val="pl-c"/>
              </w:rPr>
              <w:t>ONONSPEC</w:t>
            </w:r>
            <w:r>
              <w:rPr>
                <w:rStyle w:val="pl-c"/>
              </w:rPr>
              <w:t xml:space="preserve"> is allocated to the residential, commercial, agriculture/forestry/fishing sectors, based on the fraction of CO2 relative to the total in each of these sectors</w:t>
            </w:r>
          </w:p>
          <w:p w14:paraId="6559C422" w14:textId="77777777" w:rsidR="001B5E96" w:rsidRDefault="001B5E96" w:rsidP="001B5E96">
            <w:pPr>
              <w:pStyle w:val="Listenabsatz"/>
              <w:numPr>
                <w:ilvl w:val="0"/>
                <w:numId w:val="7"/>
              </w:numPr>
            </w:pPr>
            <w:r>
              <w:t>IEA sectors are then matched to the IPCC AR7 sectors, described in Annex II</w:t>
            </w:r>
          </w:p>
          <w:p w14:paraId="3FBAEB9F" w14:textId="5045D86A" w:rsidR="001B5E96" w:rsidRDefault="001B5E96" w:rsidP="001B5E96">
            <w:pPr>
              <w:pStyle w:val="Listenabsatz"/>
              <w:numPr>
                <w:ilvl w:val="0"/>
                <w:numId w:val="7"/>
              </w:numPr>
            </w:pPr>
            <w:r>
              <w:t>The fraction of total IEA electricity and heat emissions is calculated for each subsector</w:t>
            </w:r>
          </w:p>
          <w:p w14:paraId="0B257221" w14:textId="766E07B4" w:rsidR="001B5E96" w:rsidRDefault="001B5E96" w:rsidP="001B5E96">
            <w:pPr>
              <w:pStyle w:val="Listenabsatz"/>
              <w:numPr>
                <w:ilvl w:val="0"/>
                <w:numId w:val="7"/>
              </w:numPr>
            </w:pPr>
            <w:r>
              <w:t>This fraction is then multiplied by the electricity and heat emissions value in the EDGAR database to harmonize the IEA indirect emissions with the EDGAR direct emissions</w:t>
            </w:r>
          </w:p>
          <w:p w14:paraId="762A7E72" w14:textId="313FFFA8" w:rsidR="00CB5823" w:rsidRDefault="00CB5823" w:rsidP="001B5E96">
            <w:pPr>
              <w:pStyle w:val="Listenabsatz"/>
              <w:numPr>
                <w:ilvl w:val="0"/>
                <w:numId w:val="7"/>
              </w:numPr>
            </w:pPr>
            <w:r>
              <w:t>These steps are all described in Annex II</w:t>
            </w:r>
            <w:bookmarkStart w:id="0" w:name="_GoBack"/>
            <w:bookmarkEnd w:id="0"/>
          </w:p>
          <w:p w14:paraId="035351EF" w14:textId="0B0E67E6" w:rsidR="001B5E96" w:rsidRDefault="001B5E96" w:rsidP="001B5E96"/>
          <w:p w14:paraId="42B48E8A" w14:textId="6E85FDB0" w:rsidR="00423EF9" w:rsidRDefault="00423EF9" w:rsidP="001B5E96">
            <w:r>
              <w:t xml:space="preserve">The code for the data processing procedure is available online: </w:t>
            </w:r>
            <w:hyperlink r:id="rId5" w:history="1">
              <w:r w:rsidRPr="00EB339D">
                <w:rPr>
                  <w:rStyle w:val="Hyperlink"/>
                </w:rPr>
                <w:t>https://github.com/mcc-apsis/AR6-Emissions-trends-and-drivers/blob/master/R/Data%20preparation/build_indirect_emissions.Rmd</w:t>
              </w:r>
            </w:hyperlink>
          </w:p>
          <w:p w14:paraId="7124F583" w14:textId="256242EC" w:rsidR="00423EF9" w:rsidRDefault="00423EF9" w:rsidP="001B5E96"/>
          <w:p w14:paraId="641441CC" w14:textId="75A8564B" w:rsidR="001B5E96" w:rsidRDefault="00423EF9" w:rsidP="00423EF9">
            <w:r>
              <w:t xml:space="preserve">And the code for producing the figure and figure data: </w:t>
            </w:r>
            <w:hyperlink r:id="rId6" w:history="1">
              <w:r w:rsidRPr="00EB339D">
                <w:rPr>
                  <w:rStyle w:val="Hyperlink"/>
                </w:rPr>
                <w:t>https://github.com/mcc-apsis/AR6-Emissions-trends-and-drivers/blob/master/R/Analysis%20and%20figures/direct_indirect_emissions.Rmd</w:t>
              </w:r>
            </w:hyperlink>
            <w:r>
              <w:t xml:space="preserve"> </w:t>
            </w:r>
          </w:p>
        </w:tc>
      </w:tr>
      <w:tr w:rsidR="001B5E96" w14:paraId="190BFFA6" w14:textId="77777777" w:rsidTr="005C2945">
        <w:tc>
          <w:tcPr>
            <w:tcW w:w="4106" w:type="dxa"/>
          </w:tcPr>
          <w:p w14:paraId="754BA299" w14:textId="77777777" w:rsidR="001B5E96" w:rsidRDefault="001B5E96" w:rsidP="00282586">
            <w:pPr>
              <w:rPr>
                <w:b/>
              </w:rPr>
            </w:pPr>
          </w:p>
        </w:tc>
        <w:tc>
          <w:tcPr>
            <w:tcW w:w="4904" w:type="dxa"/>
          </w:tcPr>
          <w:p w14:paraId="71A9C589" w14:textId="77777777" w:rsidR="001B5E96" w:rsidRDefault="001B5E96" w:rsidP="001B5E96">
            <w:pPr>
              <w:pStyle w:val="Listenabsatz"/>
              <w:numPr>
                <w:ilvl w:val="0"/>
                <w:numId w:val="7"/>
              </w:numPr>
            </w:pPr>
          </w:p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481A" w16cex:dateUtc="2021-10-12T16:44:00Z"/>
  <w16cex:commentExtensible w16cex:durableId="25104828" w16cex:dateUtc="2021-10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23B42" w16cid:durableId="2510481A"/>
  <w16cid:commentId w16cid:paraId="14483330" w16cid:durableId="251048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5B0"/>
    <w:multiLevelType w:val="hybridMultilevel"/>
    <w:tmpl w:val="24DE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54F2"/>
    <w:multiLevelType w:val="hybridMultilevel"/>
    <w:tmpl w:val="2366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6C1D"/>
    <w:multiLevelType w:val="hybridMultilevel"/>
    <w:tmpl w:val="6FBC13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267DE"/>
    <w:multiLevelType w:val="hybridMultilevel"/>
    <w:tmpl w:val="E904F0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7D5F45"/>
    <w:multiLevelType w:val="hybridMultilevel"/>
    <w:tmpl w:val="3D3A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6"/>
    <w:rsid w:val="00081356"/>
    <w:rsid w:val="0008421F"/>
    <w:rsid w:val="00130652"/>
    <w:rsid w:val="001660E1"/>
    <w:rsid w:val="001B5E96"/>
    <w:rsid w:val="00282586"/>
    <w:rsid w:val="00285EF2"/>
    <w:rsid w:val="002C7D37"/>
    <w:rsid w:val="003E341B"/>
    <w:rsid w:val="00423EF9"/>
    <w:rsid w:val="005A402F"/>
    <w:rsid w:val="005A5806"/>
    <w:rsid w:val="005C2945"/>
    <w:rsid w:val="005E5B9E"/>
    <w:rsid w:val="00621957"/>
    <w:rsid w:val="00622E9A"/>
    <w:rsid w:val="006A4E3C"/>
    <w:rsid w:val="007062A1"/>
    <w:rsid w:val="0080274E"/>
    <w:rsid w:val="008638E8"/>
    <w:rsid w:val="008D7B92"/>
    <w:rsid w:val="008F45CD"/>
    <w:rsid w:val="009360CE"/>
    <w:rsid w:val="00951FCD"/>
    <w:rsid w:val="009E03A0"/>
    <w:rsid w:val="00A15324"/>
    <w:rsid w:val="00A17C0A"/>
    <w:rsid w:val="00A526DB"/>
    <w:rsid w:val="00A827AE"/>
    <w:rsid w:val="00AF1C57"/>
    <w:rsid w:val="00B9516D"/>
    <w:rsid w:val="00BA65CB"/>
    <w:rsid w:val="00CB5823"/>
    <w:rsid w:val="00CC0ED9"/>
    <w:rsid w:val="00D43006"/>
    <w:rsid w:val="00DC6EAC"/>
    <w:rsid w:val="00E0168C"/>
    <w:rsid w:val="00E32701"/>
    <w:rsid w:val="00E870C8"/>
    <w:rsid w:val="00EF64B3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19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95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9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9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95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51F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7C0A"/>
    <w:pPr>
      <w:ind w:left="720"/>
      <w:contextualSpacing/>
    </w:pPr>
  </w:style>
  <w:style w:type="character" w:customStyle="1" w:styleId="pl-s">
    <w:name w:val="pl-s"/>
    <w:basedOn w:val="Absatz-Standardschriftart"/>
    <w:rsid w:val="001B5E96"/>
  </w:style>
  <w:style w:type="character" w:customStyle="1" w:styleId="pl-c">
    <w:name w:val="pl-c"/>
    <w:basedOn w:val="Absatz-Standardschriftart"/>
    <w:rsid w:val="001B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-apsis/AR6-Emissions-trends-and-drivers/blob/master/R/Analysis%20and%20figures/direct_indirect_emissions.Rmd" TargetMode="External"/><Relationship Id="rId5" Type="http://schemas.openxmlformats.org/officeDocument/2006/relationships/hyperlink" Target="https://github.com/mcc-apsis/AR6-Emissions-trends-and-drivers/blob/master/R/Data%20preparation/build_indirect_emissions.Rmd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William Lamb</cp:lastModifiedBy>
  <cp:revision>13</cp:revision>
  <dcterms:created xsi:type="dcterms:W3CDTF">2021-12-10T13:43:00Z</dcterms:created>
  <dcterms:modified xsi:type="dcterms:W3CDTF">2022-01-25T10:40:00Z</dcterms:modified>
</cp:coreProperties>
</file>