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31F" w:rsidRDefault="0013031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3.5pt">
            <v:imagedata r:id="rId5" o:title="TS1_covid"/>
          </v:shape>
        </w:pict>
      </w:r>
    </w:p>
    <w:p w:rsidR="00402C52" w:rsidRDefault="00402C52" w:rsidP="00402C52">
      <w:pPr>
        <w:rPr>
          <w:rFonts w:cs="Times New Roman"/>
        </w:rPr>
      </w:pPr>
      <w:r w:rsidRPr="00402C52">
        <w:rPr>
          <w:rFonts w:cs="Times New Roman"/>
          <w:b/>
        </w:rPr>
        <w:t>Global fossil fuel and industry (FFI) CO</w:t>
      </w:r>
      <w:r w:rsidRPr="0062442C">
        <w:rPr>
          <w:rFonts w:cs="Times New Roman"/>
          <w:b/>
          <w:vertAlign w:val="subscript"/>
        </w:rPr>
        <w:t>2</w:t>
      </w:r>
      <w:r w:rsidRPr="00402C52">
        <w:rPr>
          <w:rFonts w:cs="Times New Roman"/>
          <w:b/>
        </w:rPr>
        <w:t xml:space="preserve"> emissions before and during the COVID-19 pandemic</w:t>
      </w:r>
      <w:r>
        <w:rPr>
          <w:rFonts w:cs="Times New Roman"/>
        </w:rPr>
        <w:t>. Panel a: the total trend in FFI CO</w:t>
      </w:r>
      <w:r w:rsidRPr="0062442C">
        <w:rPr>
          <w:rFonts w:cs="Times New Roman"/>
          <w:vertAlign w:val="subscript"/>
        </w:rPr>
        <w:t>2</w:t>
      </w:r>
      <w:r>
        <w:rPr>
          <w:rFonts w:cs="Times New Roman"/>
        </w:rPr>
        <w:t xml:space="preserve"> emissions since 1970, indicating the 1 year reduction in emissions following different economic and geopolitical events. Four estimates are given for the 2020 decline in emissions, with a median value of 5.7%. Panel b: the daily perturbation in CO</w:t>
      </w:r>
      <w:r w:rsidRPr="0062442C">
        <w:rPr>
          <w:rFonts w:cs="Times New Roman"/>
          <w:vertAlign w:val="subscript"/>
        </w:rPr>
        <w:t>2</w:t>
      </w:r>
      <w:r>
        <w:rPr>
          <w:rFonts w:cs="Times New Roman"/>
        </w:rPr>
        <w:t xml:space="preserve"> FFI emissions for different sectors, comparing 2020 and 2019.</w:t>
      </w:r>
      <w:r w:rsidR="0013031F" w:rsidRPr="00560059">
        <w:rPr>
          <w:rFonts w:cs="Times New Roman"/>
        </w:rPr>
        <w:t xml:space="preserve"> Reproduced based on Le Quere et al. </w:t>
      </w:r>
      <w:r w:rsidR="0013031F" w:rsidRPr="00560059">
        <w:rPr>
          <w:rFonts w:cs="Times New Roman"/>
        </w:rPr>
        <w:fldChar w:fldCharType="begin" w:fldLock="1"/>
      </w:r>
      <w:r w:rsidR="0062442C">
        <w:rPr>
          <w:rFonts w:cs="Times New Roman"/>
        </w:rPr>
        <w:instrText>ADDIN CSL_CITATION {"citationItems":[{"id":"ITEM-1","itemData":{"DOI":"10.1038/s41558-020-0797-x","ISBN":"4155802007","ISSN":"17586798","abstract":"Government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–17% (–11 to –25% for ±1σ) by early April 2020 compared with the mean 2019 levels, just under half from changes in surface transport. At their peak, emissions in individual countries decreased by –26% on average. The impact on 2020 annual emissions depends on the duration of the confinement, with a low estimate of –4% (–2 to –7%) if prepandemic conditions return by mid-June, and a high estimate of –7% (–3 to –13%) if some restrictions remain worldwide until the end of 2020. Government actions and economic incentives postcrisis will likely influence the global CO2 emissions path for decades.","author":[{"dropping-particle":"","family":"Quéré","given":"Corinne","non-dropping-particle":"Le","parse-names":false,"suffix":""},{"dropping-particle":"","family":"Jackson","given":"Robert B.","non-dropping-particle":"","parse-names":false,"suffix":""},{"dropping-particle":"","family":"Jones","given":"Matthew W.","non-dropping-particle":"","parse-names":false,"suffix":""},{"dropping-particle":"","family":"Smith","given":"Adam J.P.","non-dropping-particle":"","parse-names":false,"suffix":""},{"dropping-particle":"","family":"Abernethy","given":"Sam","non-dropping-particle":"","parse-names":false,"suffix":""},{"dropping-particle":"","family":"Andrew","given":"Robbie M.","non-dropping-particle":"","parse-names":false,"suffix":""},{"dropping-particle":"","family":"De-Gol","given":"Anthony J.","non-dropping-particle":"","parse-names":false,"suffix":""},{"dropping-particle":"","family":"Willis","given":"David R.","non-dropping-particle":"","parse-names":false,"suffix":""},{"dropping-particle":"","family":"Shan","given":"Yuli","non-dropping-particle":"","parse-names":false,"suffix":""},{"dropping-particle":"","family":"Canadell","given":"Josep G.","non-dropping-particle":"","parse-names":false,"suffix":""},{"dropping-particle":"","family":"Friedlingstein","given":"Pierre","non-dropping-particle":"","parse-names":false,"suffix":""},{"dropping-particle":"","family":"Creutzig","given":"Felix","non-dropping-particle":"","parse-names":false,"suffix":""},{"dropping-particle":"","family":"Peters","given":"Glen P.","non-dropping-particle":"","parse-names":false,"suffix":""}],"container-title":"Nature Climate Change","id":"ITEM-1","issue":"7","issued":{"date-parts":[["2020"]]},"page":"647-653","title":"Temporary reduction in daily global CO2 emissions during the COVID-19 forced confinement","type":"article-journal","volume":"10"},"suppress-author":1,"uris":["http://www.mendeley.com/documents/?uuid=74e7b40c-3573-4c28-b19b-1450a1c7658f"]}],"mendeley":{"formattedCitation":"(2020)","plainTextFormattedCitation":"(2020)","previouslyFormattedCitation":"(2020)"},"properties":{"noteIndex":0},"schema":"https://github.com/citation-style-language/schema/raw/master/csl-citation.json"}</w:instrText>
      </w:r>
      <w:r w:rsidR="0013031F" w:rsidRPr="00560059">
        <w:rPr>
          <w:rFonts w:cs="Times New Roman"/>
        </w:rPr>
        <w:fldChar w:fldCharType="separate"/>
      </w:r>
      <w:r w:rsidR="0062442C" w:rsidRPr="0062442C">
        <w:rPr>
          <w:rFonts w:cs="Times New Roman"/>
          <w:noProof/>
        </w:rPr>
        <w:t>(2020)</w:t>
      </w:r>
      <w:r w:rsidR="0013031F" w:rsidRPr="00560059">
        <w:rPr>
          <w:rFonts w:cs="Times New Roman"/>
        </w:rPr>
        <w:fldChar w:fldCharType="end"/>
      </w:r>
      <w:r w:rsidR="0013031F" w:rsidRPr="00560059">
        <w:rPr>
          <w:rFonts w:cs="Times New Roman"/>
        </w:rPr>
        <w:t xml:space="preserve"> and Peters et al. </w:t>
      </w:r>
      <w:r w:rsidR="0013031F" w:rsidRPr="00560059">
        <w:rPr>
          <w:rFonts w:cs="Times New Roman"/>
        </w:rPr>
        <w:fldChar w:fldCharType="begin" w:fldLock="1"/>
      </w:r>
      <w:r w:rsidR="0062442C">
        <w:rPr>
          <w:rFonts w:cs="Times New Roman"/>
        </w:rPr>
        <w:instrText>ADDIN CSL_CITATION {"citationItems":[{"id":"ITEM-1","itemData":{"DOI":"10.1038/nclimate1332","ISSN":"1758-678X","abstract":"Nature Climate Change 2, (2011). doi:10.1038/nclimate1332","author":[{"dropping-particle":"","family":"Peters","given":"Glen P.","non-dropping-particle":"","parse-names":false,"suffix":""},{"dropping-particle":"","family":"Marland","given":"Gregg","non-dropping-particle":"","parse-names":false,"suffix":""},{"dropping-particle":"","family":"Quéré","given":"Corinne","non-dropping-particle":"Le","parse-names":false,"suffix":""},{"dropping-particle":"","family":"Boden","given":"Thomas","non-dropping-particle":"","parse-names":false,"suffix":""},{"dropping-particle":"","family":"Canadell","given":"Josep G.","non-dropping-particle":"","parse-names":false,"suffix":""},{"dropping-particle":"","family":"Raupach","given":"Michael R.","non-dropping-particle":"","parse-names":false,"suffix":""}],"container-title":"Nature Climate Change","id":"ITEM-1","issued":{"date-parts":[["2012"]]},"title":"Rapid growth in CO2 emissions after the 2008–2009 global financial crisis","type":"article-journal"},"suppress-author":1,"uris":["http://www.mendeley.com/documents/?uuid=2d5f236a-1de6-4299-b27a-a3dd950fd110"]}],"mendeley":{"formattedCitation":"(2012)","plainTextFormattedCitation":"(2012)","previouslyFormattedCitation":"(2012)"},"properties":{"noteIndex":0},"schema":"https://github.com/citation-style-language/schema/raw/master/csl-citation.json"}</w:instrText>
      </w:r>
      <w:r w:rsidR="0013031F" w:rsidRPr="00560059">
        <w:rPr>
          <w:rFonts w:cs="Times New Roman"/>
        </w:rPr>
        <w:fldChar w:fldCharType="separate"/>
      </w:r>
      <w:r w:rsidR="0062442C" w:rsidRPr="0062442C">
        <w:rPr>
          <w:rFonts w:cs="Times New Roman"/>
          <w:noProof/>
        </w:rPr>
        <w:t>(2012)</w:t>
      </w:r>
      <w:r w:rsidR="0013031F" w:rsidRPr="00560059">
        <w:rPr>
          <w:rFonts w:cs="Times New Roman"/>
        </w:rPr>
        <w:fldChar w:fldCharType="end"/>
      </w:r>
      <w:r>
        <w:rPr>
          <w:rFonts w:cs="Times New Roman"/>
        </w:rPr>
        <w:t xml:space="preserve">, with additional data from Liu et al. </w:t>
      </w:r>
      <w:r>
        <w:rPr>
          <w:rFonts w:cs="Times New Roman"/>
        </w:rPr>
        <w:fldChar w:fldCharType="begin" w:fldLock="1"/>
      </w:r>
      <w:r w:rsidR="0062442C">
        <w:rPr>
          <w:rFonts w:cs="Times New Roman"/>
        </w:rPr>
        <w:instrText>ADDIN CSL_CITATION {"citationItems":[{"id":"ITEM-1","itemData":{"abstract":"The unprecedented cessation of human activities during the COVID-19 pandemic has affected global energy use and CO2 emissions from fossil fuel use and cement production. Here we show that the decrease in global fossil CO2 emissions during the first quarter of 2020 was of 5.8% (542 Mt CO2 with a 20% 1-{\\sigma} uncertainty). Unlike other emerging estimates, ours show the temporal dynamics of emissions based on actual emissions data from power generation (for 29 countries) and industry (for 73 countries), on near real time activity data for road transportation (for 132 countries), aviation and maritime transportation, and on heating degree days for commercial and residential sectors emissions (for 206 countries). These dynamic estimates cover all of the human induced CO2 emissions from fossil fuel combustion and cement production. The largest share of COVID-related decreases in emissions are due to decreases in industry (157.9 Mt CO2, -7.1% compared to 2019), followed by road transportation (145.7 Mt CO2, -8.3%), power generation (131.6 Mt CO2, -3.8%), residential (47.8 Mt CO2, -3.6%), fishing and maritime transport (35.5Mt CO2, -13.3%) and aviation (33.4 Mt CO2, -8.0%). Regionally, decreases in emissions from China were the largest and earliest (-10.3%), followed by Europe (EU-27 &amp; UK) (-4.3%) and the U.S. (-4.2%). Relative decreases of regional CO2 emissions are consistent with regional nitrogen oxides concentrations observed by satellites and ground-based networks. Despite the unprecedented decreases in CO2 emissions and comparable decreases in economic activities, we monitored decreases in the carbon intensity (Emission per unit of GDP) in China (3.5%), the U.S. (4.5%) and Europe (5.4%) over the first quarter, suggesting that carbon-intensive activities have been disproportionally impacted.","author":[{"dropping-particle":"","family":"Liu","given":"Zhu","non-dropping-particle":"","parse-names":false,"suffix":""},{"dropping-particle":"","family":"Deng","given":"Zhu","non-dropping-particle":"","parse-names":false,"suffix":""},{"dropping-particle":"","family":"Ciais","given":"Philippe","non-dropping-particle":"","parse-names":false,"suffix":""},{"dropping-particle":"","family":"Lei","given":"Ruixue","non-dropping-particle":"","parse-names":false,"suffix":""},{"dropping-particle":"","family":"Davis","given":"Steven J.","non-dropping-particle":"","parse-names":false,"suffix":""},{"dropping-particle":"","family":"Feng","given":"Sha","non-dropping-particle":"","parse-names":false,"suffix":""},{"dropping-particle":"","family":"Zheng","given":"Bo","non-dropping-particle":"","parse-names":false,"suffix":""},{"dropping-particle":"","family":"Cui","given":"Duo","non-dropping-particle":"","parse-names":false,"suffix":""},{"dropping-particle":"","family":"Dou","given":"Xinyu","non-dropping-particle":"","parse-names":false,"suffix":""},{"dropping-particle":"","family":"He","given":"Pan","non-dropping-particle":"","parse-names":false,"suffix":""},{"dropping-particle":"","family":"Zhu","given":"Biqing","non-dropping-particle":"","parse-names":false,"suffix":""},{"dropping-particle":"","family":"Lu","given":"Chenxi","non-dropping-particle":"","parse-names":false,"suffix":""},{"dropping-particle":"","family":"Ke","given":"Piyu","non-dropping-particle":"","parse-names":false,"suffix":""},{"dropping-particle":"","family":"Sun","given":"Taochun","non-dropping-particle":"","parse-names":false,"suffix":""},{"dropping-particle":"","family":"Wang","given":"Yuan","non-dropping-particle":"","parse-names":false,"suffix":""},{"dropping-particle":"","family":"Yue","given":"Xu","non-dropping-particle":"","parse-names":false,"suffix":""},{"dropping-particle":"","family":"Wang","given":"Yilong","non-dropping-particle":"","parse-names":false,"suffix":""},{"dropping-particle":"","family":"Lei","given":"Yadong","non-dropping-particle":"","parse-names":false,"suffix":""},{"dropping-particle":"","family":"Zhou","given":"Hao","non-dropping-particle":"","parse-names":false,"suffix":""},{"dropping-particle":"","family":"Cai","given":"Zhaonan","non-dropping-particle":"","parse-names":false,"suffix":""},{"dropping-particle":"","family":"Wu","given":"Yuhui","non-dropping-particle":"","parse-names":false,"suffix":""},{"dropping-particle":"","family":"Guo","given":"Runtao","non-dropping-particle":"","parse-names":false,"suffix":""},{"dropping-particle":"","family":"Han","given":"Tingxuan","non-dropping-particle":"","parse-names":false,"suffix":""},{"dropping-particle":"","family":"Xue","given":"Jinjun","non-dropping-particle":"","parse-names":false,"suffix":""},{"dropping-particle":"","family":"Boucher","given":"Olivier","non-dropping-particle":"","parse-names":false,"suffix":""},{"dropping-particle":"","family":"Chevallier","given":"Frederic","non-dropping-particle":"","parse-names":false,"suffix":""},{"dropping-particle":"","family":"Boucher","given":"Eulalie","non-dropping-particle":"","parse-names":false,"suffix":""},{"dropping-particle":"","family":"Wei","given":"Yimin","non-dropping-particle":"","parse-names":false,"suffix":""},{"dropping-particle":"","family":"Zhang","given":"Qiang","non-dropping-particle":"","parse-names":false,"suffix":""},{"dropping-particle":"","family":"Guan","given":"Dabo","non-dropping-particle":"","parse-names":false,"suffix":""},{"dropping-particle":"","family":"Gong","given":"Peng","non-dropping-particle":"","parse-names":false,"suffix":""},{"dropping-particle":"","family":"Kammen","given":"Daniel M.","non-dropping-particle":"","parse-names":false,"suffix":""},{"dropping-particle":"","family":"He","given":"Kebin","non-dropping-particle":"","parse-names":false,"suffix":""},{"dropping-particle":"","family":"Schellnhuber","given":"Hans Joachim","non-dropping-particle":"","parse-names":false,"suffix":""}],"id":"ITEM-1","issued":{"date-parts":[["2020"]]},"title":"COVID-19 causes record decline in global CO2 emissions","type":"article-journal"},"suppress-author":1,"uris":["http://www.mendeley.com/documents/?uuid=d2565c61-b796-456e-b2d0-0a18c3bae16b"]}],"mendeley":{"formattedCitation":"(2020)","plainTextFormattedCitation":"(2020)","previouslyFormattedCitation":"(2020)"},"properties":{"noteIndex":0},"schema":"https://github.com/citation-style-language/schema/raw/master/csl-citation.json"}</w:instrText>
      </w:r>
      <w:r>
        <w:rPr>
          <w:rFonts w:cs="Times New Roman"/>
        </w:rPr>
        <w:fldChar w:fldCharType="separate"/>
      </w:r>
      <w:r w:rsidR="0062442C" w:rsidRPr="0062442C">
        <w:rPr>
          <w:rFonts w:cs="Times New Roman"/>
          <w:noProof/>
        </w:rPr>
        <w:t>(2020)</w:t>
      </w:r>
      <w:r>
        <w:rPr>
          <w:rFonts w:cs="Times New Roman"/>
        </w:rPr>
        <w:fldChar w:fldCharType="end"/>
      </w:r>
      <w:r>
        <w:rPr>
          <w:rFonts w:cs="Times New Roman"/>
        </w:rPr>
        <w:t>, EDGAR</w:t>
      </w:r>
      <w:r w:rsidR="0062442C">
        <w:rPr>
          <w:rFonts w:cs="Times New Roman"/>
        </w:rPr>
        <w:t xml:space="preserve"> </w:t>
      </w:r>
      <w:r w:rsidR="0062442C">
        <w:rPr>
          <w:rFonts w:cs="Times New Roman"/>
        </w:rPr>
        <w:fldChar w:fldCharType="begin" w:fldLock="1"/>
      </w:r>
      <w:r w:rsidR="00666943">
        <w:rPr>
          <w:rFonts w:cs="Times New Roman"/>
        </w:rPr>
        <w:instrText>ADDIN CSL_CITATION {"citationItems":[{"id":"ITEM-1","itemData":{"author":[{"dropping-particle":"","family":"Crippa","given":"M.","non-dropping-particle":"","parse-names":false,"suffix":""},{"dropping-particle":"","family":"Guizzardi","given":"D.","non-dropping-particle":"","parse-names":false,"suffix":""},{"dropping-particle":"","family":"Schaaf","given":"E.","non-dropping-particle":"","parse-names":false,"suffix":""},{"dropping-particle":"","family":"Solazzo","given":"E.","non-dropping-particle":"","parse-names":false,"suffix":""},{"dropping-particle":"","family":"Muntean","given":"M.","non-dropping-particle":"","parse-names":false,"suffix":""},{"dropping-particle":"","family":"Monforti-Ferrario","given":"F.","non-dropping-particle":"","parse-names":false,"suffix":""},{"dropping-particle":"","family":"Olivier","given":"J.G.J.","non-dropping-particle":"","parse-names":false,"suffix":""},{"dropping-particle":"","family":"Vignati","given":"E.","non-dropping-particle":"","parse-names":false,"suffix":""}],"id":"ITEM-1","issued":{"date-parts":[["2021"]]},"title":"Fossil CO2 and GHG emissions of all world countries - 2021 Report","type":"report"},"suppress-author":1,"uris":["http://www.mendeley.com/documents/?uuid=3b54c79d-d415-4243-a0b8-aa7ecabc0aec"]}],"mendeley":{"formattedCitation":"(2021)","plainTextFormattedCitation":"(2021)","previouslyFormattedCitation":"(2021)"},"properties":{"noteIndex":0},"schema":"https://github.com/citation-style-language/schema/raw/master/csl-citation.json"}</w:instrText>
      </w:r>
      <w:r w:rsidR="0062442C">
        <w:rPr>
          <w:rFonts w:cs="Times New Roman"/>
        </w:rPr>
        <w:fldChar w:fldCharType="separate"/>
      </w:r>
      <w:r w:rsidR="0062442C" w:rsidRPr="0062442C">
        <w:rPr>
          <w:rFonts w:cs="Times New Roman"/>
          <w:noProof/>
        </w:rPr>
        <w:t>(2021)</w:t>
      </w:r>
      <w:r w:rsidR="0062442C">
        <w:rPr>
          <w:rFonts w:cs="Times New Roman"/>
        </w:rPr>
        <w:fldChar w:fldCharType="end"/>
      </w:r>
      <w:r>
        <w:rPr>
          <w:rFonts w:cs="Times New Roman"/>
        </w:rPr>
        <w:t xml:space="preserve">, BP </w:t>
      </w:r>
      <w:r>
        <w:rPr>
          <w:rFonts w:cs="Times New Roman"/>
        </w:rPr>
        <w:fldChar w:fldCharType="begin" w:fldLock="1"/>
      </w:r>
      <w:r>
        <w:rPr>
          <w:rFonts w:cs="Times New Roman"/>
        </w:rPr>
        <w:instrText>ADDIN CSL_CITATION {"citationItems":[{"id":"ITEM-1","itemData":{"author":[{"dropping-particle":"","family":"BP","given":"","non-dropping-particle":"","parse-names":false,"suffix":""}],"id":"ITEM-1","issued":{"date-parts":[["2021"]]},"publisher-place":"London, UK","title":"Statistical Review of World Energy 2020","type":"report"},"suppress-author":1,"uris":["http://www.mendeley.com/documents/?uuid=32a026f3-6287-4485-9dc2-0c1ef9de95ce"]}],"mendeley":{"formattedCitation":"(2021)","plainTextFormattedCitation":"(2021)","previouslyFormattedCitation":"(2021)"},"properties":{"noteIndex":0},"schema":"https://github.com/citation-style-language/schema/raw/master/csl-citation.json"}</w:instrText>
      </w:r>
      <w:r>
        <w:rPr>
          <w:rFonts w:cs="Times New Roman"/>
        </w:rPr>
        <w:fldChar w:fldCharType="separate"/>
      </w:r>
      <w:r w:rsidRPr="00402C52">
        <w:rPr>
          <w:rFonts w:cs="Times New Roman"/>
          <w:noProof/>
        </w:rPr>
        <w:t>(2021)</w:t>
      </w:r>
      <w:r>
        <w:rPr>
          <w:rFonts w:cs="Times New Roman"/>
        </w:rPr>
        <w:fldChar w:fldCharType="end"/>
      </w:r>
      <w:r>
        <w:rPr>
          <w:rFonts w:cs="Times New Roman"/>
        </w:rPr>
        <w:t xml:space="preserve"> and IEA </w:t>
      </w:r>
      <w:r>
        <w:rPr>
          <w:rFonts w:cs="Times New Roman"/>
        </w:rPr>
        <w:fldChar w:fldCharType="begin" w:fldLock="1"/>
      </w:r>
      <w:r w:rsidR="0062442C">
        <w:rPr>
          <w:rFonts w:cs="Times New Roman"/>
        </w:rPr>
        <w:instrText>ADDIN CSL_CITATION {"citationItems":[{"id":"ITEM-1","itemData":{"author":[{"dropping-particle":"","family":"IEA","given":"","non-dropping-particle":"","parse-names":false,"suffix":""}],"id":"ITEM-1","issued":{"date-parts":[["2021"]]},"publisher-place":"Paris, France","title":"CO2 emissions from fossil fuel combustion 2020","type":"report"},"suppress-author":1,"uris":["http://www.mendeley.com/documents/?uuid=0d2341ff-566c-4ce1-8215-c8eb0ff1b3e9"]}],"mendeley":{"formattedCitation":"(2021)","plainTextFormattedCitation":"(2021)","previouslyFormattedCitation":"(2021)"},"properties":{"noteIndex":0},"schema":"https://github.com/citation-style-language/schema/raw/master/csl-citation.json"}</w:instrText>
      </w:r>
      <w:r>
        <w:rPr>
          <w:rFonts w:cs="Times New Roman"/>
        </w:rPr>
        <w:fldChar w:fldCharType="separate"/>
      </w:r>
      <w:r w:rsidR="00FA2506" w:rsidRPr="00FA2506">
        <w:rPr>
          <w:rFonts w:cs="Times New Roman"/>
          <w:noProof/>
        </w:rPr>
        <w:t>(2021)</w:t>
      </w:r>
      <w:r>
        <w:rPr>
          <w:rFonts w:cs="Times New Roman"/>
        </w:rPr>
        <w:fldChar w:fldCharType="end"/>
      </w:r>
      <w:r>
        <w:rPr>
          <w:rFonts w:cs="Times New Roman"/>
        </w:rPr>
        <w:t>.</w:t>
      </w:r>
    </w:p>
    <w:p w:rsidR="0013031F" w:rsidRDefault="0013031F"/>
    <w:p w:rsidR="0013031F" w:rsidRDefault="0013031F">
      <w:r>
        <w:lastRenderedPageBreak/>
        <w:pict>
          <v:shape id="_x0000_i1026" type="#_x0000_t75" style="width:453.75pt;height:331.5pt">
            <v:imagedata r:id="rId6" o:title="TS4_gases"/>
          </v:shape>
        </w:pict>
      </w:r>
    </w:p>
    <w:p w:rsidR="00672810" w:rsidRPr="00672810" w:rsidRDefault="00672810" w:rsidP="00672810">
      <w:pPr>
        <w:spacing w:line="276" w:lineRule="auto"/>
        <w:rPr>
          <w:sz w:val="28"/>
        </w:rPr>
      </w:pPr>
      <w:r w:rsidRPr="00672810">
        <w:rPr>
          <w:b/>
          <w:bCs/>
          <w:szCs w:val="18"/>
        </w:rPr>
        <w:t>Figure SPM.1</w:t>
      </w:r>
      <w:r w:rsidRPr="00672810">
        <w:rPr>
          <w:szCs w:val="18"/>
        </w:rPr>
        <w:t>: Total anthropogen</w:t>
      </w:r>
      <w:r w:rsidR="00A94AC9">
        <w:rPr>
          <w:szCs w:val="18"/>
        </w:rPr>
        <w:t>ic GHG emissions (Gt</w:t>
      </w:r>
      <w:r w:rsidR="00E409C1" w:rsidRPr="00097527">
        <w:rPr>
          <w:szCs w:val="18"/>
        </w:rPr>
        <w:t>CO</w:t>
      </w:r>
      <w:r w:rsidR="00E409C1" w:rsidRPr="00097527">
        <w:rPr>
          <w:szCs w:val="18"/>
          <w:vertAlign w:val="subscript"/>
        </w:rPr>
        <w:t>2</w:t>
      </w:r>
      <w:r w:rsidR="00A94AC9">
        <w:rPr>
          <w:szCs w:val="18"/>
        </w:rPr>
        <w:t>-eq yr-1</w:t>
      </w:r>
      <w:r w:rsidRPr="00672810">
        <w:rPr>
          <w:szCs w:val="18"/>
        </w:rPr>
        <w:t xml:space="preserve">) 1990-2019: </w:t>
      </w:r>
      <w:r w:rsidR="00097527" w:rsidRPr="00097527">
        <w:rPr>
          <w:szCs w:val="18"/>
        </w:rPr>
        <w:t>CO</w:t>
      </w:r>
      <w:r w:rsidR="00097527" w:rsidRPr="00097527">
        <w:rPr>
          <w:szCs w:val="18"/>
          <w:vertAlign w:val="subscript"/>
        </w:rPr>
        <w:t>2</w:t>
      </w:r>
      <w:r w:rsidR="00097527" w:rsidRPr="00097527">
        <w:rPr>
          <w:szCs w:val="18"/>
        </w:rPr>
        <w:t xml:space="preserve"> </w:t>
      </w:r>
      <w:r w:rsidRPr="00672810">
        <w:rPr>
          <w:szCs w:val="18"/>
        </w:rPr>
        <w:t xml:space="preserve">from fossil fuel combustion and industrial processes (FFI); </w:t>
      </w:r>
      <w:r w:rsidR="00472931" w:rsidRPr="00097527">
        <w:rPr>
          <w:szCs w:val="18"/>
        </w:rPr>
        <w:t>CO</w:t>
      </w:r>
      <w:r w:rsidR="00472931" w:rsidRPr="00097527">
        <w:rPr>
          <w:szCs w:val="18"/>
          <w:vertAlign w:val="subscript"/>
        </w:rPr>
        <w:t>2</w:t>
      </w:r>
      <w:r w:rsidRPr="00672810">
        <w:rPr>
          <w:szCs w:val="18"/>
        </w:rPr>
        <w:t>from Land use, land use change and forestry (</w:t>
      </w:r>
      <w:r w:rsidR="00472931" w:rsidRPr="00097527">
        <w:rPr>
          <w:szCs w:val="18"/>
        </w:rPr>
        <w:t>CO</w:t>
      </w:r>
      <w:r w:rsidR="00472931" w:rsidRPr="00097527">
        <w:rPr>
          <w:szCs w:val="18"/>
          <w:vertAlign w:val="subscript"/>
        </w:rPr>
        <w:t>2</w:t>
      </w:r>
      <w:r w:rsidRPr="00672810">
        <w:rPr>
          <w:szCs w:val="18"/>
        </w:rPr>
        <w:t xml:space="preserve">LULUCF); methane (CH4); nitrous oxide (N2O); fluorinated gases (F-gases). </w:t>
      </w:r>
      <w:r w:rsidR="00472931" w:rsidRPr="00097527">
        <w:rPr>
          <w:szCs w:val="18"/>
        </w:rPr>
        <w:t>CO</w:t>
      </w:r>
      <w:r w:rsidR="00472931" w:rsidRPr="00097527">
        <w:rPr>
          <w:szCs w:val="18"/>
          <w:vertAlign w:val="subscript"/>
        </w:rPr>
        <w:t>2</w:t>
      </w:r>
      <w:r w:rsidRPr="00672810">
        <w:rPr>
          <w:szCs w:val="18"/>
        </w:rPr>
        <w:t xml:space="preserve">LULUCF emissions are net and include gross removals as well as emissions. F-gas emissions do not include Montreal gases (CFCs, HCFCs) which reached a peak in the 1990s but have since declined. Panel a: Aggregate GHG emission trends by groups of gases reported in GtCO2-eq converted based on global warming potentials with a 100-year time horizon (GWP-100) from the IPCC Sixth Assessment Report Working Group 1 (REF Chapter 7). Panel b: Waterfall diagrams juxtaposing GHG emissions for the most recent year 2019 in </w:t>
      </w:r>
      <w:r w:rsidR="00472931" w:rsidRPr="00097527">
        <w:rPr>
          <w:szCs w:val="18"/>
        </w:rPr>
        <w:t>CO</w:t>
      </w:r>
      <w:r w:rsidR="00472931" w:rsidRPr="00097527">
        <w:rPr>
          <w:szCs w:val="18"/>
          <w:vertAlign w:val="subscript"/>
        </w:rPr>
        <w:t>2</w:t>
      </w:r>
      <w:r w:rsidRPr="00672810">
        <w:rPr>
          <w:szCs w:val="18"/>
        </w:rPr>
        <w:t>equivalent units using GWP-100 values from the IPCC</w:t>
      </w:r>
      <w:r w:rsidRPr="00672810">
        <w:rPr>
          <w:rFonts w:hint="eastAsia"/>
          <w:szCs w:val="18"/>
        </w:rPr>
        <w:t>’</w:t>
      </w:r>
      <w:r w:rsidRPr="00672810">
        <w:rPr>
          <w:szCs w:val="18"/>
        </w:rPr>
        <w:t xml:space="preserve">s Sixth, Fifth and Second </w:t>
      </w:r>
      <w:r>
        <w:rPr>
          <w:szCs w:val="18"/>
        </w:rPr>
        <w:t>A</w:t>
      </w:r>
      <w:r w:rsidRPr="00672810">
        <w:rPr>
          <w:szCs w:val="18"/>
        </w:rPr>
        <w:t xml:space="preserve">ssessment Reports, respectively. Error bars show the associated uncertainties at a 90% confidence interval. Panel c: Individual trends in </w:t>
      </w:r>
      <w:r w:rsidR="00472931" w:rsidRPr="00097527">
        <w:rPr>
          <w:szCs w:val="18"/>
        </w:rPr>
        <w:t>CO</w:t>
      </w:r>
      <w:r w:rsidR="00472931" w:rsidRPr="00097527">
        <w:rPr>
          <w:szCs w:val="18"/>
          <w:vertAlign w:val="subscript"/>
        </w:rPr>
        <w:t>2</w:t>
      </w:r>
      <w:r w:rsidRPr="00672810">
        <w:rPr>
          <w:szCs w:val="18"/>
        </w:rPr>
        <w:t xml:space="preserve">-FFI, </w:t>
      </w:r>
      <w:r w:rsidR="00472931" w:rsidRPr="00097527">
        <w:rPr>
          <w:szCs w:val="18"/>
        </w:rPr>
        <w:t>CO</w:t>
      </w:r>
      <w:r w:rsidR="00472931" w:rsidRPr="00097527">
        <w:rPr>
          <w:szCs w:val="18"/>
          <w:vertAlign w:val="subscript"/>
        </w:rPr>
        <w:t>2</w:t>
      </w:r>
      <w:r w:rsidRPr="00672810">
        <w:rPr>
          <w:szCs w:val="18"/>
        </w:rPr>
        <w:t>-FOLU, CH4 and N2O emissions in (original) mass units 10 (Gt yr-1) for the period 1990</w:t>
      </w:r>
      <w:r w:rsidRPr="00672810">
        <w:rPr>
          <w:rFonts w:hint="eastAsia"/>
          <w:szCs w:val="18"/>
        </w:rPr>
        <w:t>–</w:t>
      </w:r>
      <w:r w:rsidRPr="00672810">
        <w:rPr>
          <w:szCs w:val="18"/>
        </w:rPr>
        <w:t>2019, normalised relative to 1 in 1990. Note the different scale for F-gas emissions compared to other gases, highlighting its very rapid growth from a low base.</w:t>
      </w:r>
    </w:p>
    <w:p w:rsidR="0013031F" w:rsidRDefault="0013031F">
      <w:r>
        <w:lastRenderedPageBreak/>
        <w:pict>
          <v:shape id="_x0000_i1027" type="#_x0000_t75" style="width:453pt;height:397.5pt">
            <v:imagedata r:id="rId7" o:title="TS5_regions"/>
          </v:shape>
        </w:pict>
      </w:r>
    </w:p>
    <w:p w:rsidR="00E409C1" w:rsidRPr="00E409C1" w:rsidRDefault="00E409C1" w:rsidP="00E409C1">
      <w:pPr>
        <w:spacing w:line="276" w:lineRule="auto"/>
        <w:rPr>
          <w:b/>
          <w:bCs/>
        </w:rPr>
      </w:pPr>
      <w:r w:rsidRPr="00E409C1">
        <w:rPr>
          <w:b/>
          <w:bCs/>
        </w:rPr>
        <w:t xml:space="preserve">Figure SPM.4 </w:t>
      </w:r>
      <w:r w:rsidRPr="00E409C1">
        <w:rPr>
          <w:b/>
        </w:rPr>
        <w:t>Change in regional GHG emissions and rates of change compatible with warming targets.</w:t>
      </w:r>
      <w:r w:rsidRPr="00E409C1">
        <w:t xml:space="preserve"> Panel a: Regional GHG emission trends (in Gt</w:t>
      </w:r>
      <w:r w:rsidRPr="00097527">
        <w:rPr>
          <w:szCs w:val="18"/>
        </w:rPr>
        <w:t>CO</w:t>
      </w:r>
      <w:r w:rsidRPr="00097527">
        <w:rPr>
          <w:szCs w:val="18"/>
          <w:vertAlign w:val="subscript"/>
        </w:rPr>
        <w:t>2</w:t>
      </w:r>
      <w:r w:rsidRPr="00E409C1">
        <w:t>-eq yr-1 (GWP100 AR6)) for the time period 1990</w:t>
      </w:r>
      <w:r w:rsidRPr="00E409C1">
        <w:rPr>
          <w:rFonts w:hint="eastAsia"/>
        </w:rPr>
        <w:t>–</w:t>
      </w:r>
      <w:r w:rsidRPr="00E409C1">
        <w:t>2019. GHG emissions from international aviation (AIR) and shipping (SEA) are not assigned to individual countries and shown separately. Panel b: Historical GHG emissions change by country (2010</w:t>
      </w:r>
      <w:r w:rsidRPr="00E409C1">
        <w:rPr>
          <w:rFonts w:hint="eastAsia"/>
        </w:rPr>
        <w:t>–</w:t>
      </w:r>
      <w:r w:rsidRPr="00E409C1">
        <w:t>2019), compared to rates of reduction compatible with 1.5°C and 2°C warming targets, assessed via reduction rates in AR6 IAM scenarios over the period 2020-2040</w:t>
      </w:r>
      <w:r>
        <w:t>, using scenario categories C1, C3 and C4 {Table TS.1}</w:t>
      </w:r>
      <w:r w:rsidRPr="00E409C1">
        <w:t xml:space="preserve">. Individual circles depict countries (scaled by total emissions in 2019) or scenarios, horizontal lines depict the average change by region or scenario category. Panel b excludes </w:t>
      </w:r>
      <w:r w:rsidR="00D93A36" w:rsidRPr="00097527">
        <w:rPr>
          <w:szCs w:val="18"/>
        </w:rPr>
        <w:t>CO</w:t>
      </w:r>
      <w:r w:rsidR="00D93A36" w:rsidRPr="00097527">
        <w:rPr>
          <w:szCs w:val="18"/>
          <w:vertAlign w:val="subscript"/>
        </w:rPr>
        <w:t>2</w:t>
      </w:r>
      <w:r w:rsidRPr="00E409C1">
        <w:t xml:space="preserve"> LULUCF due to a lack of consistent national data.</w:t>
      </w:r>
      <w:r w:rsidRPr="00E409C1">
        <w:rPr>
          <w:b/>
          <w:bCs/>
        </w:rPr>
        <w:t xml:space="preserve">  </w:t>
      </w:r>
    </w:p>
    <w:p w:rsidR="00E409C1" w:rsidRDefault="00E409C1"/>
    <w:p w:rsidR="00E409C1" w:rsidRDefault="00E409C1"/>
    <w:p w:rsidR="00E409C1" w:rsidRDefault="00E409C1"/>
    <w:p w:rsidR="00E409C1" w:rsidRDefault="00E409C1"/>
    <w:p w:rsidR="00F221C9" w:rsidRDefault="0013031F">
      <w:r>
        <w:lastRenderedPageBreak/>
        <w:pict>
          <v:shape id="_x0000_i1028" type="#_x0000_t75" style="width:453pt;height:276pt">
            <v:imagedata r:id="rId8" o:title="TS6_budgets"/>
          </v:shape>
        </w:pict>
      </w:r>
    </w:p>
    <w:p w:rsidR="0017248A" w:rsidRPr="0017248A" w:rsidRDefault="0017248A">
      <w:pPr>
        <w:rPr>
          <w:rFonts w:cstheme="minorHAnsi"/>
        </w:rPr>
      </w:pPr>
    </w:p>
    <w:p w:rsidR="0017248A" w:rsidRPr="0017248A" w:rsidRDefault="0017248A" w:rsidP="0017248A">
      <w:pPr>
        <w:pStyle w:val="TableFigurecaption"/>
        <w:snapToGrid w:val="0"/>
        <w:spacing w:after="180"/>
        <w:jc w:val="left"/>
        <w:rPr>
          <w:rFonts w:asciiTheme="minorHAnsi" w:hAnsiTheme="minorHAnsi" w:cstheme="minorHAnsi"/>
          <w:b w:val="0"/>
          <w:sz w:val="22"/>
          <w:szCs w:val="22"/>
        </w:rPr>
      </w:pPr>
      <w:r w:rsidRPr="0017248A">
        <w:rPr>
          <w:rFonts w:asciiTheme="minorHAnsi" w:hAnsiTheme="minorHAnsi" w:cstheme="minorHAnsi"/>
          <w:sz w:val="22"/>
          <w:szCs w:val="22"/>
        </w:rPr>
        <w:t>Historic anthropogenic CO</w:t>
      </w:r>
      <w:r w:rsidRPr="0017248A">
        <w:rPr>
          <w:rFonts w:asciiTheme="minorHAnsi" w:hAnsiTheme="minorHAnsi" w:cstheme="minorHAnsi"/>
          <w:sz w:val="22"/>
          <w:szCs w:val="22"/>
          <w:vertAlign w:val="subscript"/>
        </w:rPr>
        <w:t>2</w:t>
      </w:r>
      <w:r w:rsidRPr="0017248A">
        <w:rPr>
          <w:rFonts w:asciiTheme="minorHAnsi" w:hAnsiTheme="minorHAnsi" w:cstheme="minorHAnsi"/>
          <w:sz w:val="22"/>
          <w:szCs w:val="22"/>
        </w:rPr>
        <w:t xml:space="preserve"> emission and cumulative CO</w:t>
      </w:r>
      <w:r w:rsidRPr="0017248A">
        <w:rPr>
          <w:rFonts w:asciiTheme="minorHAnsi" w:hAnsiTheme="minorHAnsi" w:cstheme="minorHAnsi"/>
          <w:sz w:val="22"/>
          <w:szCs w:val="22"/>
          <w:vertAlign w:val="subscript"/>
        </w:rPr>
        <w:t>2</w:t>
      </w:r>
      <w:r w:rsidRPr="0017248A">
        <w:rPr>
          <w:rFonts w:asciiTheme="minorHAnsi" w:hAnsiTheme="minorHAnsi" w:cstheme="minorHAnsi"/>
          <w:sz w:val="22"/>
          <w:szCs w:val="22"/>
        </w:rPr>
        <w:t xml:space="preserve"> emissions (1850-2019) as well as remaining carbon budgets for 1.5°C and 2°C. </w:t>
      </w:r>
      <w:r w:rsidRPr="0017248A">
        <w:rPr>
          <w:rFonts w:asciiTheme="minorHAnsi" w:hAnsiTheme="minorHAnsi" w:cstheme="minorHAnsi"/>
          <w:b w:val="0"/>
          <w:sz w:val="22"/>
          <w:szCs w:val="22"/>
        </w:rPr>
        <w:t>Panel a shows historic annual anthropogenic CO</w:t>
      </w:r>
      <w:r w:rsidRPr="0017248A">
        <w:rPr>
          <w:rFonts w:asciiTheme="minorHAnsi" w:hAnsiTheme="minorHAnsi" w:cstheme="minorHAnsi"/>
          <w:b w:val="0"/>
          <w:sz w:val="22"/>
          <w:szCs w:val="22"/>
          <w:vertAlign w:val="subscript"/>
        </w:rPr>
        <w:t>2</w:t>
      </w:r>
      <w:r w:rsidRPr="0017248A">
        <w:rPr>
          <w:rFonts w:asciiTheme="minorHAnsi" w:hAnsiTheme="minorHAnsi" w:cstheme="minorHAnsi"/>
          <w:b w:val="0"/>
          <w:sz w:val="22"/>
          <w:szCs w:val="22"/>
        </w:rPr>
        <w:t xml:space="preserve"> emissions (GtCO</w:t>
      </w:r>
      <w:r w:rsidRPr="0017248A">
        <w:rPr>
          <w:rFonts w:asciiTheme="minorHAnsi" w:hAnsiTheme="minorHAnsi" w:cstheme="minorHAnsi"/>
          <w:b w:val="0"/>
          <w:sz w:val="22"/>
          <w:szCs w:val="22"/>
          <w:vertAlign w:val="subscript"/>
        </w:rPr>
        <w:t>2</w:t>
      </w:r>
      <w:r w:rsidRPr="0017248A">
        <w:rPr>
          <w:rFonts w:asciiTheme="minorHAnsi" w:hAnsiTheme="minorHAnsi" w:cstheme="minorHAnsi"/>
          <w:b w:val="0"/>
          <w:sz w:val="22"/>
          <w:szCs w:val="22"/>
        </w:rPr>
        <w:t xml:space="preserve"> yr</w:t>
      </w:r>
      <w:r w:rsidRPr="0017248A">
        <w:rPr>
          <w:rFonts w:asciiTheme="minorHAnsi" w:hAnsiTheme="minorHAnsi" w:cstheme="minorHAnsi"/>
          <w:b w:val="0"/>
          <w:sz w:val="22"/>
          <w:szCs w:val="22"/>
          <w:vertAlign w:val="superscript"/>
        </w:rPr>
        <w:t>-1</w:t>
      </w:r>
      <w:r w:rsidRPr="0017248A">
        <w:rPr>
          <w:rFonts w:asciiTheme="minorHAnsi" w:hAnsiTheme="minorHAnsi" w:cstheme="minorHAnsi"/>
          <w:b w:val="0"/>
          <w:sz w:val="22"/>
          <w:szCs w:val="22"/>
        </w:rPr>
        <w:t xml:space="preserve">) by fuel type and process: </w:t>
      </w:r>
      <w:r>
        <w:rPr>
          <w:rFonts w:asciiTheme="minorHAnsi" w:hAnsiTheme="minorHAnsi" w:cstheme="minorHAnsi"/>
          <w:b w:val="0"/>
          <w:sz w:val="22"/>
          <w:szCs w:val="22"/>
        </w:rPr>
        <w:t>Land-use, land-use change and f</w:t>
      </w:r>
      <w:r w:rsidRPr="0017248A">
        <w:rPr>
          <w:rFonts w:asciiTheme="minorHAnsi" w:hAnsiTheme="minorHAnsi" w:cstheme="minorHAnsi"/>
          <w:b w:val="0"/>
          <w:sz w:val="22"/>
          <w:szCs w:val="22"/>
        </w:rPr>
        <w:t>orestry (</w:t>
      </w:r>
      <w:r>
        <w:rPr>
          <w:rFonts w:asciiTheme="minorHAnsi" w:hAnsiTheme="minorHAnsi" w:cstheme="minorHAnsi"/>
          <w:b w:val="0"/>
          <w:sz w:val="22"/>
          <w:szCs w:val="22"/>
        </w:rPr>
        <w:t>LULUCF</w:t>
      </w:r>
      <w:r w:rsidRPr="0017248A">
        <w:rPr>
          <w:rFonts w:asciiTheme="minorHAnsi" w:hAnsiTheme="minorHAnsi" w:cstheme="minorHAnsi"/>
          <w:b w:val="0"/>
          <w:sz w:val="22"/>
          <w:szCs w:val="22"/>
        </w:rPr>
        <w:t>- yellow); oil combustion (green); gas combustion (pink); gas flaring (blue); coal combustion (orange); cement production (green). Panel b shows historic cumulative anthropogenic CO</w:t>
      </w:r>
      <w:r w:rsidRPr="0017248A">
        <w:rPr>
          <w:rFonts w:asciiTheme="minorHAnsi" w:hAnsiTheme="minorHAnsi" w:cstheme="minorHAnsi"/>
          <w:b w:val="0"/>
          <w:sz w:val="22"/>
          <w:szCs w:val="22"/>
          <w:vertAlign w:val="subscript"/>
        </w:rPr>
        <w:t>2</w:t>
      </w:r>
      <w:r w:rsidRPr="0017248A">
        <w:rPr>
          <w:rFonts w:asciiTheme="minorHAnsi" w:hAnsiTheme="minorHAnsi" w:cstheme="minorHAnsi"/>
          <w:b w:val="0"/>
          <w:sz w:val="22"/>
          <w:szCs w:val="22"/>
        </w:rPr>
        <w:t xml:space="preserve"> emissions for the period 1850-19</w:t>
      </w:r>
      <w:r>
        <w:rPr>
          <w:rFonts w:asciiTheme="minorHAnsi" w:hAnsiTheme="minorHAnsi" w:cstheme="minorHAnsi"/>
          <w:b w:val="0"/>
          <w:sz w:val="22"/>
          <w:szCs w:val="22"/>
        </w:rPr>
        <w:t>8</w:t>
      </w:r>
      <w:r w:rsidRPr="0017248A">
        <w:rPr>
          <w:rFonts w:asciiTheme="minorHAnsi" w:hAnsiTheme="minorHAnsi" w:cstheme="minorHAnsi"/>
          <w:b w:val="0"/>
          <w:sz w:val="22"/>
          <w:szCs w:val="22"/>
        </w:rPr>
        <w:t>9 (yellow) and 1990-2019 (green) as well as remaining future carbon budgets as of 1.1.2020 to keep warming below 1.5°C (turquois) and 2°C (dark blue)</w:t>
      </w:r>
      <w:r w:rsidR="00242A9B">
        <w:rPr>
          <w:rFonts w:asciiTheme="minorHAnsi" w:hAnsiTheme="minorHAnsi" w:cstheme="minorHAnsi"/>
          <w:b w:val="0"/>
          <w:sz w:val="22"/>
          <w:szCs w:val="22"/>
        </w:rPr>
        <w:t>, based on the cumulative CO2 emissions to net zero emissions in AR6 scenario categories C1 and C3, respectively {TS Table 1}</w:t>
      </w:r>
      <w:r w:rsidRPr="0017248A">
        <w:rPr>
          <w:rFonts w:asciiTheme="minorHAnsi" w:hAnsiTheme="minorHAnsi" w:cstheme="minorHAnsi"/>
          <w:b w:val="0"/>
          <w:sz w:val="22"/>
          <w:szCs w:val="22"/>
        </w:rPr>
        <w:t>. The whiskers indicate</w:t>
      </w:r>
      <w:r w:rsidR="00242A9B">
        <w:rPr>
          <w:rFonts w:asciiTheme="minorHAnsi" w:hAnsiTheme="minorHAnsi" w:cstheme="minorHAnsi"/>
          <w:b w:val="0"/>
          <w:sz w:val="22"/>
          <w:szCs w:val="22"/>
        </w:rPr>
        <w:t xml:space="preserve"> the lower and upper bound budgets of 270 and 580 </w:t>
      </w:r>
      <w:r w:rsidR="00242A9B" w:rsidRPr="0017248A">
        <w:rPr>
          <w:rFonts w:asciiTheme="minorHAnsi" w:hAnsiTheme="minorHAnsi" w:cstheme="minorHAnsi"/>
          <w:b w:val="0"/>
          <w:sz w:val="22"/>
          <w:szCs w:val="22"/>
        </w:rPr>
        <w:t>GtCO</w:t>
      </w:r>
      <w:r w:rsidR="00242A9B" w:rsidRPr="0017248A">
        <w:rPr>
          <w:rFonts w:asciiTheme="minorHAnsi" w:hAnsiTheme="minorHAnsi" w:cstheme="minorHAnsi"/>
          <w:b w:val="0"/>
          <w:sz w:val="22"/>
          <w:szCs w:val="22"/>
          <w:vertAlign w:val="subscript"/>
        </w:rPr>
        <w:t>2</w:t>
      </w:r>
      <w:r w:rsidR="00242A9B">
        <w:rPr>
          <w:rFonts w:asciiTheme="minorHAnsi" w:hAnsiTheme="minorHAnsi" w:cstheme="minorHAnsi"/>
          <w:b w:val="0"/>
          <w:sz w:val="22"/>
          <w:szCs w:val="22"/>
          <w:vertAlign w:val="subscript"/>
        </w:rPr>
        <w:t xml:space="preserve"> </w:t>
      </w:r>
      <w:r w:rsidR="00242A9B">
        <w:rPr>
          <w:rFonts w:asciiTheme="minorHAnsi" w:hAnsiTheme="minorHAnsi" w:cstheme="minorHAnsi"/>
          <w:b w:val="0"/>
          <w:sz w:val="22"/>
          <w:szCs w:val="22"/>
        </w:rPr>
        <w:t xml:space="preserve">for </w:t>
      </w:r>
      <w:r w:rsidRPr="0017248A">
        <w:rPr>
          <w:rFonts w:asciiTheme="minorHAnsi" w:hAnsiTheme="minorHAnsi" w:cstheme="minorHAnsi"/>
          <w:b w:val="0"/>
          <w:sz w:val="22"/>
          <w:szCs w:val="22"/>
        </w:rPr>
        <w:t xml:space="preserve">1.5°C </w:t>
      </w:r>
      <w:r w:rsidR="00242A9B">
        <w:rPr>
          <w:rFonts w:asciiTheme="minorHAnsi" w:hAnsiTheme="minorHAnsi" w:cstheme="minorHAnsi"/>
          <w:b w:val="0"/>
          <w:sz w:val="22"/>
          <w:szCs w:val="22"/>
        </w:rPr>
        <w:t>scenarios, respectively, and</w:t>
      </w:r>
      <w:r w:rsidRPr="0017248A">
        <w:rPr>
          <w:rFonts w:asciiTheme="minorHAnsi" w:hAnsiTheme="minorHAnsi" w:cstheme="minorHAnsi"/>
          <w:b w:val="0"/>
          <w:sz w:val="22"/>
          <w:szCs w:val="22"/>
        </w:rPr>
        <w:t xml:space="preserve"> </w:t>
      </w:r>
      <w:r w:rsidR="00242A9B">
        <w:rPr>
          <w:rFonts w:asciiTheme="minorHAnsi" w:hAnsiTheme="minorHAnsi" w:cstheme="minorHAnsi"/>
          <w:b w:val="0"/>
          <w:sz w:val="22"/>
          <w:szCs w:val="22"/>
        </w:rPr>
        <w:t xml:space="preserve">630 </w:t>
      </w:r>
      <w:r w:rsidRPr="0017248A">
        <w:rPr>
          <w:rFonts w:asciiTheme="minorHAnsi" w:hAnsiTheme="minorHAnsi" w:cstheme="minorHAnsi"/>
          <w:b w:val="0"/>
          <w:sz w:val="22"/>
          <w:szCs w:val="22"/>
        </w:rPr>
        <w:t>and</w:t>
      </w:r>
      <w:r w:rsidR="00242A9B">
        <w:rPr>
          <w:rFonts w:asciiTheme="minorHAnsi" w:hAnsiTheme="minorHAnsi" w:cstheme="minorHAnsi"/>
          <w:b w:val="0"/>
          <w:sz w:val="22"/>
          <w:szCs w:val="22"/>
        </w:rPr>
        <w:t xml:space="preserve"> 1170</w:t>
      </w:r>
      <w:r w:rsidRPr="0017248A">
        <w:rPr>
          <w:rFonts w:asciiTheme="minorHAnsi" w:hAnsiTheme="minorHAnsi" w:cstheme="minorHAnsi"/>
          <w:b w:val="0"/>
          <w:sz w:val="22"/>
          <w:szCs w:val="22"/>
        </w:rPr>
        <w:t xml:space="preserve"> GtCO</w:t>
      </w:r>
      <w:r w:rsidRPr="0017248A">
        <w:rPr>
          <w:rFonts w:asciiTheme="minorHAnsi" w:hAnsiTheme="minorHAnsi" w:cstheme="minorHAnsi"/>
          <w:b w:val="0"/>
          <w:sz w:val="22"/>
          <w:szCs w:val="22"/>
          <w:vertAlign w:val="subscript"/>
        </w:rPr>
        <w:t>2</w:t>
      </w:r>
      <w:r w:rsidR="00242A9B">
        <w:rPr>
          <w:rFonts w:asciiTheme="minorHAnsi" w:hAnsiTheme="minorHAnsi" w:cstheme="minorHAnsi"/>
          <w:b w:val="0"/>
          <w:sz w:val="22"/>
          <w:szCs w:val="22"/>
        </w:rPr>
        <w:t xml:space="preserve"> </w:t>
      </w:r>
      <w:r w:rsidRPr="0017248A">
        <w:rPr>
          <w:rFonts w:asciiTheme="minorHAnsi" w:hAnsiTheme="minorHAnsi" w:cstheme="minorHAnsi"/>
          <w:b w:val="0"/>
          <w:sz w:val="22"/>
          <w:szCs w:val="22"/>
        </w:rPr>
        <w:t xml:space="preserve">for 2°C. Panel c illustrates the remaining years until </w:t>
      </w:r>
      <w:r w:rsidR="006A1A4C">
        <w:rPr>
          <w:rFonts w:asciiTheme="minorHAnsi" w:hAnsiTheme="minorHAnsi" w:cstheme="minorHAnsi"/>
          <w:b w:val="0"/>
          <w:sz w:val="22"/>
          <w:szCs w:val="22"/>
        </w:rPr>
        <w:t xml:space="preserve">the median C1 and C3 </w:t>
      </w:r>
      <w:r w:rsidRPr="0017248A">
        <w:rPr>
          <w:rFonts w:asciiTheme="minorHAnsi" w:hAnsiTheme="minorHAnsi" w:cstheme="minorHAnsi"/>
          <w:b w:val="0"/>
          <w:sz w:val="22"/>
          <w:szCs w:val="22"/>
        </w:rPr>
        <w:t>carbon budget exceedance for keeping warming below 1.5°C and 2°C respectively at a) the current levels of emissions; b) constant global annual emission reductions</w:t>
      </w:r>
      <w:r w:rsidR="006A1A4C">
        <w:rPr>
          <w:rFonts w:asciiTheme="minorHAnsi" w:hAnsiTheme="minorHAnsi" w:cstheme="minorHAnsi"/>
          <w:b w:val="0"/>
          <w:sz w:val="22"/>
          <w:szCs w:val="22"/>
        </w:rPr>
        <w:t xml:space="preserve"> equal to</w:t>
      </w:r>
      <w:r w:rsidRPr="0017248A">
        <w:rPr>
          <w:rFonts w:asciiTheme="minorHAnsi" w:hAnsiTheme="minorHAnsi" w:cstheme="minorHAnsi"/>
          <w:b w:val="0"/>
          <w:sz w:val="22"/>
          <w:szCs w:val="22"/>
        </w:rPr>
        <w:t xml:space="preserve"> </w:t>
      </w:r>
      <w:r w:rsidR="006A1A4C">
        <w:rPr>
          <w:rFonts w:asciiTheme="minorHAnsi" w:hAnsiTheme="minorHAnsi" w:cstheme="minorHAnsi"/>
          <w:b w:val="0"/>
          <w:sz w:val="22"/>
          <w:szCs w:val="22"/>
        </w:rPr>
        <w:t>2</w:t>
      </w:r>
      <w:r w:rsidRPr="0017248A">
        <w:rPr>
          <w:rFonts w:asciiTheme="minorHAnsi" w:hAnsiTheme="minorHAnsi" w:cstheme="minorHAnsi"/>
          <w:b w:val="0"/>
          <w:sz w:val="22"/>
          <w:szCs w:val="22"/>
        </w:rPr>
        <w:t>% of 20</w:t>
      </w:r>
      <w:r w:rsidR="006A1A4C">
        <w:rPr>
          <w:rFonts w:asciiTheme="minorHAnsi" w:hAnsiTheme="minorHAnsi" w:cstheme="minorHAnsi"/>
          <w:b w:val="0"/>
          <w:sz w:val="22"/>
          <w:szCs w:val="22"/>
        </w:rPr>
        <w:t>19</w:t>
      </w:r>
      <w:r w:rsidRPr="0017248A">
        <w:rPr>
          <w:rFonts w:asciiTheme="minorHAnsi" w:hAnsiTheme="minorHAnsi" w:cstheme="minorHAnsi"/>
          <w:b w:val="0"/>
          <w:sz w:val="22"/>
          <w:szCs w:val="22"/>
        </w:rPr>
        <w:t xml:space="preserve"> emissions; and c) constant global annual emission reductions </w:t>
      </w:r>
      <w:r w:rsidR="006A1A4C">
        <w:rPr>
          <w:rFonts w:asciiTheme="minorHAnsi" w:hAnsiTheme="minorHAnsi" w:cstheme="minorHAnsi"/>
          <w:b w:val="0"/>
          <w:sz w:val="22"/>
          <w:szCs w:val="22"/>
        </w:rPr>
        <w:t xml:space="preserve">equal to </w:t>
      </w:r>
      <w:r w:rsidRPr="0017248A">
        <w:rPr>
          <w:rFonts w:asciiTheme="minorHAnsi" w:hAnsiTheme="minorHAnsi" w:cstheme="minorHAnsi"/>
          <w:b w:val="0"/>
          <w:sz w:val="22"/>
          <w:szCs w:val="22"/>
        </w:rPr>
        <w:t>5% of 20</w:t>
      </w:r>
      <w:r w:rsidR="006A1A4C">
        <w:rPr>
          <w:rFonts w:asciiTheme="minorHAnsi" w:hAnsiTheme="minorHAnsi" w:cstheme="minorHAnsi"/>
          <w:b w:val="0"/>
          <w:sz w:val="22"/>
          <w:szCs w:val="22"/>
        </w:rPr>
        <w:t>19</w:t>
      </w:r>
      <w:r w:rsidRPr="0017248A">
        <w:rPr>
          <w:rFonts w:asciiTheme="minorHAnsi" w:hAnsiTheme="minorHAnsi" w:cstheme="minorHAnsi"/>
          <w:b w:val="0"/>
          <w:sz w:val="22"/>
          <w:szCs w:val="22"/>
        </w:rPr>
        <w:t xml:space="preserve"> emissions. </w:t>
      </w:r>
      <w:r w:rsidR="00F435C0">
        <w:rPr>
          <w:rFonts w:asciiTheme="minorHAnsi" w:hAnsiTheme="minorHAnsi" w:cstheme="minorHAnsi"/>
          <w:b w:val="0"/>
          <w:sz w:val="22"/>
          <w:szCs w:val="22"/>
        </w:rPr>
        <w:t xml:space="preserve">The preliminary data indicating a substantial drop in 2020 emissions during the COVID-19 pandemic is not considered. </w:t>
      </w:r>
      <w:r w:rsidRPr="0017248A">
        <w:rPr>
          <w:rFonts w:asciiTheme="minorHAnsi" w:hAnsiTheme="minorHAnsi" w:cstheme="minorHAnsi"/>
          <w:b w:val="0"/>
          <w:sz w:val="22"/>
          <w:szCs w:val="22"/>
        </w:rPr>
        <w:t xml:space="preserve">Sources: </w:t>
      </w:r>
      <w:proofErr w:type="spellStart"/>
      <w:r w:rsidRPr="0017248A">
        <w:rPr>
          <w:rFonts w:asciiTheme="minorHAnsi" w:hAnsiTheme="minorHAnsi" w:cstheme="minorHAnsi"/>
          <w:b w:val="0"/>
          <w:sz w:val="22"/>
          <w:szCs w:val="22"/>
        </w:rPr>
        <w:t>Friedlingstein</w:t>
      </w:r>
      <w:proofErr w:type="spellEnd"/>
      <w:r w:rsidRPr="0017248A">
        <w:rPr>
          <w:rFonts w:asciiTheme="minorHAnsi" w:hAnsiTheme="minorHAnsi" w:cstheme="minorHAnsi"/>
          <w:b w:val="0"/>
          <w:sz w:val="22"/>
          <w:szCs w:val="22"/>
        </w:rPr>
        <w:t xml:space="preserve"> et al. </w:t>
      </w:r>
      <w:r w:rsidRPr="0017248A">
        <w:rPr>
          <w:rFonts w:asciiTheme="minorHAnsi" w:hAnsiTheme="minorHAnsi" w:cstheme="minorHAnsi"/>
          <w:b w:val="0"/>
          <w:sz w:val="22"/>
          <w:szCs w:val="22"/>
        </w:rPr>
        <w:fldChar w:fldCharType="begin" w:fldLock="1"/>
      </w:r>
      <w:r w:rsidR="00666943">
        <w:rPr>
          <w:rFonts w:asciiTheme="minorHAnsi" w:hAnsiTheme="minorHAnsi" w:cstheme="minorHAnsi"/>
          <w:b w:val="0"/>
          <w:sz w:val="22"/>
          <w:szCs w:val="22"/>
        </w:rPr>
        <w:instrText>ADDIN CSL_CITATION {"citationItems":[{"id":"ITEM-1","itemData":{"DOI":"10.5194/essd-12-3269-2020","ISSN":"1866-3516","author":[{"dropping-particle":"","family":"Friedlingstein","given":"P","non-dropping-particle":"","parse-names":false,"suffix":""},{"dropping-particle":"","family":"O'Sullivan","given":"M","non-dropping-particle":"","parse-names":false,"suffix":""},{"dropping-particle":"","family":"Jones","given":"M W","non-dropping-particle":"","parse-names":false,"suffix":""},{"dropping-particle":"","family":"Andrew","given":"R M","non-dropping-particle":"","parse-names":false,"suffix":""},{"dropping-particle":"","family":"Hauck","given":"J","non-dropping-particle":"","parse-names":false,"suffix":""},{"dropping-particle":"","family":"Olsen","given":"A","non-dropping-particle":"","parse-names":false,"suffix":""},{"dropping-particle":"","family":"Peters","given":"G P","non-dropping-particle":"","parse-names":false,"suffix":""},{"dropping-particle":"","family":"Peters","given":"W","non-dropping-particle":"","parse-names":false,"suffix":""},{"dropping-particle":"","family":"Pongratz","given":"J","non-dropping-particle":"","parse-names":false,"suffix":""},{"dropping-particle":"","family":"Sitch","given":"S","non-dropping-particle":"","parse-names":false,"suffix":""},{"dropping-particle":"","family":"Quéré","given":"C","non-dropping-particle":"Le","parse-names":false,"suffix":""},{"dropping-particle":"","family":"Canadell","given":"J G","non-dropping-particle":"","parse-names":false,"suffix":""},{"dropping-particle":"","family":"Ciais","given":"P","non-dropping-particle":"","parse-names":false,"suffix":""},{"dropping-particle":"","family":"Jackson","given":"R B","non-dropping-particle":"","parse-names":false,"suffix":""},{"dropping-particle":"","family":"Alin","given":"S","non-dropping-particle":"","parse-names":false,"suffix":""},{"dropping-particle":"","family":"Aragão","given":"L E O C","non-dropping-particle":"","parse-names":false,"suffix":""},{"dropping-particle":"","family":"Arneth","given":"A","non-dropping-particle":"","parse-names":false,"suffix":""},{"dropping-particle":"","family":"Arora","given":"V","non-dropping-particle":"","parse-names":false,"suffix":""},{"dropping-particle":"","family":"Bates","given":"N R","non-dropping-particle":"","parse-names":false,"suffix":""},{"dropping-particle":"","family":"Becker","given":"M","non-dropping-particle":"","parse-names":false,"suffix":""},{"dropping-particle":"","family":"Benoit-Cattin","given":"A","non-dropping-particle":"","parse-names":false,"suffix":""},{"dropping-particle":"","family":"Bittig","given":"H C","non-dropping-particle":"","parse-names":false,"suffix":""},{"dropping-particle":"","family":"Bopp","given":"L","non-dropping-particle":"","parse-names":false,"suffix":""},{"dropping-particle":"","family":"Bultan","given":"S","non-dropping-particle":"","parse-names":false,"suffix":""},{"dropping-particle":"","family":"Chandra","given":"N","non-dropping-particle":"","parse-names":false,"suffix":""},{"dropping-particle":"","family":"Chevallier","given":"F","non-dropping-particle":"","parse-names":false,"suffix":""},{"dropping-particle":"","family":"Chini","given":"L P","non-dropping-particle":"","parse-names":false,"suffix":""},{"dropping-particle":"","family":"Evans","given":"W","non-dropping-particle":"","parse-names":false,"suffix":""},{"dropping-particle":"","family":"Florentie","given":"L","non-dropping-particle":"","parse-names":false,"suffix":""},{"dropping-particle":"","family":"Forster","given":"P M","non-dropping-particle":"","parse-names":false,"suffix":""},{"dropping-particle":"","family":"Gasser","given":"T","non-dropping-particle":"","parse-names":false,"suffix":""},{"dropping-particle":"","family":"Gehlen","given":"M","non-dropping-particle":"","parse-names":false,"suffix":""},{"dropping-particle":"","family":"Gilfillan","given":"D","non-dropping-particle":"","parse-names":false,"suffix":""},{"dropping-particle":"","family":"Gkritzalis","given":"T","non-dropping-particle":"","parse-names":false,"suffix":""},{"dropping-particle":"","family":"Gregor","given":"L","non-dropping-particle":"","parse-names":false,"suffix":""},{"dropping-particle":"","family":"Gruber","given":"N","non-dropping-particle":"","parse-names":false,"suffix":""},{"dropping-particle":"","family":"Harris","given":"I","non-dropping-particle":"","parse-names":false,"suffix":""},{"dropping-particle":"","family":"Hartung","given":"K","non-dropping-particle":"","parse-names":false,"suffix":""},{"dropping-particle":"","family":"Haverd","given":"V","non-dropping-particle":"","parse-names":false,"suffix":""},{"dropping-particle":"","family":"Houghton","given":"R A","non-dropping-particle":"","parse-names":false,"suffix":""},{"dropping-particle":"","family":"Ilyina","given":"T","non-dropping-particle":"","parse-names":false,"suffix":""},{"dropping-particle":"","family":"Jain","given":"A K","non-dropping-particle":"","parse-names":false,"suffix":""},{"dropping-particle":"","family":"Joetzjer","given":"E","non-dropping-particle":"","parse-names":false,"suffix":""},{"dropping-particle":"","family":"Kadono","given":"K","non-dropping-particle":"","parse-names":false,"suffix":""},{"dropping-particle":"","family":"Kato","given":"E","non-dropping-particle":"","parse-names":false,"suffix":""},{"dropping-particle":"","family":"Kitidis","given":"V","non-dropping-particle":"","parse-names":false,"suffix":""},{"dropping-particle":"","family":"Korsbakken","given":"J I","non-dropping-particle":"","parse-names":false,"suffix":""},{"dropping-particle":"","family":"Landschützer","given":"P","non-dropping-particle":"","parse-names":false,"suffix":""},{"dropping-particle":"","family":"Lefèvre","given":"N","non-dropping-particle":"","parse-names":false,"suffix":""},{"dropping-particle":"","family":"Lenton","given":"A","non-dropping-particle":"","parse-names":false,"suffix":""},{"dropping-particle":"","family":"Lienert","given":"S","non-dropping-particle":"","parse-names":false,"suffix":""},{"dropping-particle":"","family":"Liu","given":"Z","non-dropping-particle":"","parse-names":false,"suffix":""},{"dropping-particle":"","family":"Lombardozzi","given":"D","non-dropping-particle":"","parse-names":false,"suffix":""},{"dropping-particle":"","family":"Marland","given":"G","non-dropping-particle":"","parse-names":false,"suffix":""},{"dropping-particle":"","family":"Metzl","given":"N","non-dropping-particle":"","parse-names":false,"suffix":""},{"dropping-particle":"","family":"Munro","given":"D R","non-dropping-particle":"","parse-names":false,"suffix":""},{"dropping-particle":"","family":"Nabel","given":"J E M S","non-dropping-particle":"","parse-names":false,"suffix":""},{"dropping-particle":"","family":"Nakaoka","given":"S.-I.","non-dropping-particle":"","parse-names":false,"suffix":""},{"dropping-particle":"","family":"Niwa","given":"Y","non-dropping-particle":"","parse-names":false,"suffix":""},{"dropping-particle":"","family":"O'Brien","given":"K","non-dropping-particle":"","parse-names":false,"suffix":""},{"dropping-particle":"","family":"Ono","given":"T","non-dropping-particle":"","parse-names":false,"suffix":""},{"dropping-particle":"","family":"Palmer","given":"P I","non-dropping-particle":"","parse-names":false,"suffix":""},{"dropping-particle":"","family":"Pierrot","given":"D","non-dropping-particle":"","parse-names":false,"suffix":""},{"dropping-particle":"","family":"Poulter","given":"B","non-dropping-particle":"","parse-names":false,"suffix":""},{"dropping-particle":"","family":"Resplandy","given":"L","non-dropping-particle":"","parse-names":false,"suffix":""},{"dropping-particle":"","family":"Robertson","given":"E","non-dropping-particle":"","parse-names":false,"suffix":""},{"dropping-particle":"","family":"Rödenbeck","given":"C","non-dropping-particle":"","parse-names":false,"suffix":""},{"dropping-particle":"","family":"Schwinger","given":"J","non-dropping-particle":"","parse-names":false,"suffix":""},{"dropping-particle":"","family":"Séférian","given":"R","non-dropping-particle":"","parse-names":false,"suffix":""},{"dropping-particle":"","family":"Skjelvan","given":"I","non-dropping-particle":"","parse-names":false,"suffix":""},{"dropping-particle":"","family":"Smith","given":"A J P","non-dropping-particle":"","parse-names":false,"suffix":""},{"dropping-particle":"","family":"Sutton","given":"A J","non-dropping-particle":"","parse-names":false,"suffix":""},{"dropping-particle":"","family":"Tanhua","given":"T","non-dropping-particle":"","parse-names":false,"suffix":""},{"dropping-particle":"","family":"Tans","given":"P P","non-dropping-particle":"","parse-names":false,"suffix":""},{"dropping-particle":"","family":"Tian","given":"H","non-dropping-particle":"","parse-names":false,"suffix":""},{"dropping-particle":"","family":"Tilbrook","given":"B","non-dropping-particle":"","parse-names":false,"suffix":""},{"dropping-particle":"","family":"Werf","given":"G","non-dropping-particle":"van der","parse-names":false,"suffix":""},{"dropping-particle":"","family":"Vuichard","given":"N","non-dropping-particle":"","parse-names":false,"suffix":""},{"dropping-particle":"","family":"Walker","given":"A P","non-dropping-particle":"","parse-names":false,"suffix":""},{"dropping-particle":"","family":"Wanninkhof","given":"R","non-dropping-particle":"","parse-names":false,"suffix":""},{"dropping-particle":"","family":"Watson","given":"A J","non-dropping-particle":"","parse-names":false,"suffix":""},{"dropping-particle":"","family":"Willis","given":"D","non-dropping-particle":"","parse-names":false,"suffix":""},{"dropping-particle":"","family":"Wiltshire","given":"A J","non-dropping-particle":"","parse-names":false,"suffix":""},{"dropping-particle":"","family":"Yuan","given":"W","non-dropping-particle":"","parse-names":false,"suffix":""},{"dropping-particle":"","family":"Yue","given":"X","non-dropping-particle":"","parse-names":false,"suffix":""},{"dropping-particle":"","family":"Zaehle","given":"S","non-dropping-particle":"","parse-names":false,"suffix":""}],"container-title":"Earth Syst. Sci. Data","id":"ITEM-1","issue":"4","issued":{"date-parts":[["2020","12","11"]]},"page":"3269-3340","publisher":"Copernicus Publications","title":"Global Carbon Budget 2020","type":"article-journal","volume":"12"},"suppress-author":1,"uris":["http://www.mendeley.com/documents/?uuid=0e2475f1-9f95-4357-8e3b-aa9e1721c9c5"]}],"mendeley":{"formattedCitation":"(2020)","plainTextFormattedCitation":"(2020)","previouslyFormattedCitation":"(2020)"},"properties":{"noteIndex":0},"schema":"https://github.com/citation-style-language/schema/raw/master/csl-citation.json"}</w:instrText>
      </w:r>
      <w:r w:rsidRPr="0017248A">
        <w:rPr>
          <w:rFonts w:asciiTheme="minorHAnsi" w:hAnsiTheme="minorHAnsi" w:cstheme="minorHAnsi"/>
          <w:b w:val="0"/>
          <w:sz w:val="22"/>
          <w:szCs w:val="22"/>
        </w:rPr>
        <w:fldChar w:fldCharType="separate"/>
      </w:r>
      <w:r w:rsidR="00666943" w:rsidRPr="00666943">
        <w:rPr>
          <w:rFonts w:asciiTheme="minorHAnsi" w:hAnsiTheme="minorHAnsi" w:cstheme="minorHAnsi"/>
          <w:b w:val="0"/>
          <w:noProof/>
          <w:sz w:val="22"/>
          <w:szCs w:val="22"/>
        </w:rPr>
        <w:t>(2020)</w:t>
      </w:r>
      <w:r w:rsidRPr="0017248A">
        <w:rPr>
          <w:rFonts w:asciiTheme="minorHAnsi" w:hAnsiTheme="minorHAnsi" w:cstheme="minorHAnsi"/>
          <w:b w:val="0"/>
          <w:sz w:val="22"/>
          <w:szCs w:val="22"/>
        </w:rPr>
        <w:fldChar w:fldCharType="end"/>
      </w:r>
      <w:r w:rsidRPr="0017248A">
        <w:rPr>
          <w:rFonts w:asciiTheme="minorHAnsi" w:hAnsiTheme="minorHAnsi" w:cstheme="minorHAnsi"/>
          <w:b w:val="0"/>
          <w:sz w:val="22"/>
          <w:szCs w:val="22"/>
        </w:rPr>
        <w:t xml:space="preserve"> and Canadell et al. </w:t>
      </w:r>
      <w:r w:rsidRPr="0017248A">
        <w:rPr>
          <w:rFonts w:asciiTheme="minorHAnsi" w:hAnsiTheme="minorHAnsi" w:cstheme="minorHAnsi"/>
          <w:b w:val="0"/>
          <w:sz w:val="22"/>
          <w:szCs w:val="22"/>
        </w:rPr>
        <w:fldChar w:fldCharType="begin" w:fldLock="1"/>
      </w:r>
      <w:r w:rsidR="00666943">
        <w:rPr>
          <w:rFonts w:asciiTheme="minorHAnsi" w:hAnsiTheme="minorHAnsi" w:cstheme="minorHAnsi"/>
          <w:b w:val="0"/>
          <w:sz w:val="22"/>
          <w:szCs w:val="22"/>
        </w:rPr>
        <w:instrText>ADDIN CSL_CITATION {"citationItems":[{"id":"ITEM-1","itemData":{"author":[{"dropping-particle":"","family":"Canadell","given":"Josep G.","non-dropping-particle":"","parse-names":false,"suffix":""},{"dropping-particle":"","family":"Monteiro","given":"Pedro M.S.","non-dropping-particle":"","parse-names":false,"suffix":""},{"dropping-particle":"","family":"et al.","given":"","non-dropping-particle":"","parse-names":false,"suffix":""}],"id":"ITEM-1","issued":{"date-parts":[["2020"]]},"publisher-place":"Geneva, Switzerland","title":"Global Carbon and other Biogeochemical Cycles and Feedbacks. Chapter 5 of the WG1 contribution to the IPCC's Sixth Assessment (Final Draft)","type":"report"},"suppress-author":1,"uris":["http://www.mendeley.com/documents/?uuid=85f50717-c90d-4a50-830f-554cfbd71ed5"]}],"mendeley":{"formattedCitation":"(2020)","plainTextFormattedCitation":"(2020)","previouslyFormattedCitation":"(Canadell et al., 2020)"},"properties":{"noteIndex":0},"schema":"https://github.com/citation-style-language/schema/raw/master/csl-citation.json"}</w:instrText>
      </w:r>
      <w:r w:rsidRPr="0017248A">
        <w:rPr>
          <w:rFonts w:asciiTheme="minorHAnsi" w:hAnsiTheme="minorHAnsi" w:cstheme="minorHAnsi"/>
          <w:b w:val="0"/>
          <w:sz w:val="22"/>
          <w:szCs w:val="22"/>
        </w:rPr>
        <w:fldChar w:fldCharType="separate"/>
      </w:r>
      <w:r w:rsidR="00666943" w:rsidRPr="00666943">
        <w:rPr>
          <w:rFonts w:asciiTheme="minorHAnsi" w:hAnsiTheme="minorHAnsi" w:cstheme="minorHAnsi"/>
          <w:b w:val="0"/>
          <w:noProof/>
          <w:sz w:val="22"/>
          <w:szCs w:val="22"/>
        </w:rPr>
        <w:t>(2020)</w:t>
      </w:r>
      <w:r w:rsidRPr="0017248A">
        <w:rPr>
          <w:rFonts w:asciiTheme="minorHAnsi" w:hAnsiTheme="minorHAnsi" w:cstheme="minorHAnsi"/>
          <w:b w:val="0"/>
          <w:sz w:val="22"/>
          <w:szCs w:val="22"/>
        </w:rPr>
        <w:fldChar w:fldCharType="end"/>
      </w:r>
      <w:r w:rsidR="00014520">
        <w:rPr>
          <w:rFonts w:asciiTheme="minorHAnsi" w:hAnsiTheme="minorHAnsi" w:cstheme="minorHAnsi"/>
          <w:b w:val="0"/>
          <w:sz w:val="22"/>
          <w:szCs w:val="22"/>
        </w:rPr>
        <w:t>.</w:t>
      </w:r>
      <w:bookmarkStart w:id="0" w:name="_GoBack"/>
      <w:bookmarkEnd w:id="0"/>
    </w:p>
    <w:p w:rsidR="0013031F" w:rsidRDefault="0013031F"/>
    <w:sectPr w:rsidR="0013031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FA1"/>
    <w:rsid w:val="00014520"/>
    <w:rsid w:val="00097527"/>
    <w:rsid w:val="0013031F"/>
    <w:rsid w:val="0017248A"/>
    <w:rsid w:val="00242A9B"/>
    <w:rsid w:val="00402C52"/>
    <w:rsid w:val="00472931"/>
    <w:rsid w:val="005218C4"/>
    <w:rsid w:val="0062442C"/>
    <w:rsid w:val="00666943"/>
    <w:rsid w:val="00672810"/>
    <w:rsid w:val="006A1A4C"/>
    <w:rsid w:val="00877E36"/>
    <w:rsid w:val="00A94AC9"/>
    <w:rsid w:val="00CB7FA1"/>
    <w:rsid w:val="00D93A36"/>
    <w:rsid w:val="00E409C1"/>
    <w:rsid w:val="00F221C9"/>
    <w:rsid w:val="00F435C0"/>
    <w:rsid w:val="00FA25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8FB6"/>
  <w15:chartTrackingRefBased/>
  <w15:docId w15:val="{CD79D9DD-2C82-4BE8-86FB-27E87DD5B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72810"/>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Figurecaption">
    <w:name w:val="Table/Figure caption"/>
    <w:basedOn w:val="Beschriftung"/>
    <w:uiPriority w:val="99"/>
    <w:qFormat/>
    <w:rsid w:val="0017248A"/>
    <w:pPr>
      <w:spacing w:line="264" w:lineRule="auto"/>
      <w:jc w:val="center"/>
    </w:pPr>
    <w:rPr>
      <w:rFonts w:ascii="Times New Roman" w:eastAsiaTheme="minorEastAsia" w:hAnsi="Times New Roman"/>
      <w:b/>
      <w:i w:val="0"/>
      <w:color w:val="auto"/>
      <w:sz w:val="20"/>
    </w:rPr>
  </w:style>
  <w:style w:type="paragraph" w:styleId="Beschriftung">
    <w:name w:val="caption"/>
    <w:basedOn w:val="Standard"/>
    <w:next w:val="Standard"/>
    <w:uiPriority w:val="35"/>
    <w:semiHidden/>
    <w:unhideWhenUsed/>
    <w:qFormat/>
    <w:rsid w:val="0017248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A6D82-871D-4F42-8FC7-40D85699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4102</Words>
  <Characters>25846</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Lamb</dc:creator>
  <cp:keywords/>
  <dc:description/>
  <cp:lastModifiedBy>William Lamb</cp:lastModifiedBy>
  <cp:revision>15</cp:revision>
  <dcterms:created xsi:type="dcterms:W3CDTF">2021-10-01T13:18:00Z</dcterms:created>
  <dcterms:modified xsi:type="dcterms:W3CDTF">2021-10-01T13:52:00Z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http://www.zotero.org/styles/climate-policy</vt:lpwstr>
  </property>
  <property fmtid="{D5CDD505-2E9C-101B-9397-08002B2CF9AE}" pid="13" name="Mendeley Recent Style Name 5_1">
    <vt:lpwstr>Climate Policy</vt:lpwstr>
  </property>
  <property fmtid="{D5CDD505-2E9C-101B-9397-08002B2CF9AE}" pid="14" name="Mendeley Recent Style Id 6_1">
    <vt:lpwstr>http://www.zotero.org/styles/earth-system-science-data</vt:lpwstr>
  </property>
  <property fmtid="{D5CDD505-2E9C-101B-9397-08002B2CF9AE}" pid="15" name="Mendeley Recent Style Name 6_1">
    <vt:lpwstr>Earth System Science Data</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http://www.zotero.org/styles/climate-policy</vt:lpwstr>
  </property>
</Properties>
</file>