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Direct</w:t>
      </w:r>
      <w:r>
        <w:t xml:space="preserve"> </w:t>
      </w:r>
      <w:r>
        <w:t xml:space="preserve">and</w:t>
      </w:r>
      <w:r>
        <w:t xml:space="preserve"> </w:t>
      </w:r>
      <w:r>
        <w:t xml:space="preserve">indirect</w:t>
      </w:r>
      <w:r>
        <w:t xml:space="preserve"> </w:t>
      </w:r>
      <w:r>
        <w:t xml:space="preserve">emissions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FirstParagraph"/>
      </w:pPr>
      <w:r>
        <w:drawing>
          <wp:inline>
            <wp:extent cx="462012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direct_indirect_emissions_files/figure-docx/b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direct_indirect_emissions_files/figure-docx/bar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55441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direct_indirect_emissions_files/figure-docx/bar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irect_indirect_emiss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 and indirect emissions</dc:title>
  <dc:creator>William F. Lamb</dc:creator>
  <cp:keywords/>
  <dcterms:created xsi:type="dcterms:W3CDTF">2021-03-02T13:01:44Z</dcterms:created>
  <dcterms:modified xsi:type="dcterms:W3CDTF">2021-03-02T13:01:44Z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“../../Results”) })</vt:lpwstr>
  </property>
  <property fmtid="{D5CDD505-2E9C-101B-9397-08002B2CF9AE}" pid="3" name="output">
    <vt:lpwstr/>
  </property>
</Properties>
</file>