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</w:t>
      </w:r>
      <w:r>
        <w:t xml:space="preserve"> </w:t>
      </w:r>
      <w:r>
        <w:t xml:space="preserve">term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trends,</w:t>
      </w:r>
      <w:r>
        <w:t xml:space="preserve"> </w:t>
      </w:r>
      <w:r>
        <w:t xml:space="preserve">sources</w:t>
      </w:r>
      <w:r>
        <w:t xml:space="preserve"> </w:t>
      </w:r>
      <w:r>
        <w:t xml:space="preserve">and</w:t>
      </w:r>
      <w:r>
        <w:t xml:space="preserve"> </w:t>
      </w:r>
      <w:r>
        <w:t xml:space="preserve">sinks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budget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~1\SPIDER~1\Work\Projects\AR6-EM~1\Results\EMISSI~1/figure-docx/cumulative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2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term CO2 emissions trends, sources and sinks</dc:title>
  <dc:creator>William F. Lamb</dc:creator>
  <cp:keywords/>
  <dcterms:created xsi:type="dcterms:W3CDTF">2020-11-17T16:40:17Z</dcterms:created>
  <dcterms:modified xsi:type="dcterms:W3CDTF">2020-11-17T16:40:17Z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