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overview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Heading3"/>
      </w:pPr>
      <w:bookmarkStart w:id="20" w:name="figure-1-ghg-emissions-by-gas"/>
      <w:r>
        <w:t xml:space="preserve">Figure 1: GHG emissions by gas</w:t>
      </w:r>
      <w:bookmarkEnd w:id="20"/>
    </w:p>
    <w:p>
      <w:pPr>
        <w:pStyle w:val="SourceCode"/>
      </w:pPr>
      <w:r>
        <w:rPr>
          <w:rStyle w:val="VerbatimChar"/>
        </w:rPr>
        <w:t xml:space="preserve">## Joining, by = "gas"</w:t>
      </w:r>
      <w:r>
        <w:br/>
      </w:r>
      <w:r>
        <w:rPr>
          <w:rStyle w:val="VerbatimChar"/>
        </w:rPr>
        <w:t xml:space="preserve">## Joining, by = "gas"</w:t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Heading3"/>
      </w:pPr>
      <w:bookmarkStart w:id="23" w:name="X929bbc597638db2f71a2e04f80846f1a63e3a5d"/>
      <w:r>
        <w:t xml:space="preserve">Figure 2: Long term CO2 emissions sources and sinks</w:t>
      </w:r>
      <w:bookmarkEnd w:id="23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2_budg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figure-5-total-ghgs-split-by-region"/>
      <w:r>
        <w:t xml:space="preserve">Figure 5: Total GHGs, split by region</w:t>
      </w:r>
      <w:bookmarkEnd w:id="25"/>
    </w:p>
    <w:p>
      <w:pPr>
        <w:pStyle w:val="SourceCode"/>
      </w:pPr>
      <w:r>
        <w:rPr>
          <w:rStyle w:val="VerbatimChar"/>
        </w:rPr>
        <w:t xml:space="preserve">## Joining, by = "ISO"</w:t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enchmark_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9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enchmark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X462508c2bbe7c090ced1dfac30fe0d74c87b33d"/>
      <w:r>
        <w:t xml:space="preserve">Figure PROPOSAL: Individual gases, split by region</w:t>
      </w:r>
      <w:bookmarkEnd w:id="31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x_region_g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Xcaf64e8bde8a6f9bd8f6a9a6b1eff2dacb4e80c"/>
      <w:r>
        <w:t xml:space="preserve">Figure PROPOSAL: GHGs by sector, split by region</w:t>
      </w:r>
      <w:bookmarkEnd w:id="33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x_region_sec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overview</dc:title>
  <dc:creator>William F. Lamb</dc:creator>
  <cp:keywords/>
  <dcterms:created xsi:type="dcterms:W3CDTF">2020-04-30T07:33:27Z</dcterms:created>
  <dcterms:modified xsi:type="dcterms:W3CDTF">2020-04-30T07:33:27Z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