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equity_perspectives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6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NormalTok"/>
        </w:rPr>
        <w:t xml:space="preserve">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"ipcc_ar6_figure_equity_perspectives"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"top panels"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"lower panels"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,var))</w:t>
      </w:r>
      <w:r>
        <w:br/>
      </w:r>
      <w:r>
        <w:br/>
      </w:r>
      <w:r>
        <w:rPr>
          <w:rStyle w:val="NormalTok"/>
        </w:rPr>
        <w:t xml:space="preserve">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 update"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"William F. Lamb"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()),</w:t>
      </w:r>
      <w:r>
        <w:rPr>
          <w:rStyle w:val="StringTok"/>
        </w:rPr>
        <w:t xml:space="preserve">"https://github.com/mcc-apsis/AR6-Emissions-trends-and-drivers/blob/master/R/Analysis%20and%20figures/equity_perspectives.Rmd"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,info,</w:t>
      </w:r>
      <w:r>
        <w:rPr>
          <w:rStyle w:val="AttributeTok"/>
        </w:rPr>
        <w:t xml:space="preserve">colNames=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rowNames=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panels"</w:t>
      </w:r>
      <w:r>
        <w:rPr>
          <w:rStyle w:val="NormalTok"/>
        </w:rPr>
        <w:t xml:space="preserve">,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 panels"</w:t>
      </w:r>
      <w:r>
        <w:rPr>
          <w:rStyle w:val="NormalTok"/>
        </w:rPr>
        <w:t xml:space="preserve">, data_dev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"../../Results/Plot data/ipcc_ar6_figure_equity_perspectives.xlsx"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region_ar6_6))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"#737373"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lineheight=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"#525252"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position,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(fraction,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"#525252"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side panel for the labels</w:t>
      </w:r>
      <w:r>
        <w:br/>
      </w:r>
      <w:r>
        <w:rPr>
          <w:rStyle w:val="NormalTok"/>
        </w:rPr>
        <w:t xml:space="preserve">p_labels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"Territorial CO2, incl. LULUCF (1850-2019)"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position,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(region_ar6_6,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region_ar6_6))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lineheight=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data_dev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(fraction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multi_line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p_labels_2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data_dev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"b. Historical cumulative emissions by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"Territorial GHG, incl. LULUCF (2019)"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"Least Developed Countries"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lineheight=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#scale_color_brewer(palette="Set2")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#scale_y_continuous(labels = percent,breaks=c(0,0.25,0.50,0.75,1),limits=c(0,1.08))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p_labels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p_labels_2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equity_perspectiv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equity_perspectives</dc:title>
  <dc:creator>William F. Lamb</dc:creator>
  <cp:keywords/>
  <dcterms:created xsi:type="dcterms:W3CDTF">2021-10-22T14:56:47Z</dcterms:created>
  <dcterms:modified xsi:type="dcterms:W3CDTF">2021-10-22T14:56:47Z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15 6 2021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