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equity_perspectives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"ipcc_ar6_figure_equity_perspectives"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"top panels"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"lower panels"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,var))</w:t>
      </w:r>
      <w:r>
        <w:br/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 update"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"William F. Lamb"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"https://github.com/mcc-apsis/AR6-Emissions-trends-and-drivers/blob/master/R/Analysis%20and%20figures/equity_perspectives.Rmd"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,info,</w:t>
      </w:r>
      <w:r>
        <w:rPr>
          <w:rStyle w:val="AttributeTok"/>
        </w:rPr>
        <w:t xml:space="preserve">colNames=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rowNames=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panels"</w:t>
      </w:r>
      <w:r>
        <w:rPr>
          <w:rStyle w:val="NormalTok"/>
        </w:rPr>
        <w:t xml:space="preserve">,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 panels"</w:t>
      </w:r>
      <w:r>
        <w:rPr>
          <w:rStyle w:val="NormalTok"/>
        </w:rPr>
        <w:t xml:space="preserve">, data_dev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"../../Results/Plot data/ipcc_ar6_figure_equity_perspectives.xlsx"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region_ar6_6))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side panel for the labels</w:t>
      </w:r>
      <w:r>
        <w:br/>
      </w:r>
      <w:r>
        <w:rPr>
          <w:rStyle w:val="NormalTok"/>
        </w:rPr>
        <w:t xml:space="preserve">p_labels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"Production CO2, incl. LULUCF (1850-2019)"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(region_ar6_6,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region_ar6_6))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data_dev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p_labels_2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data_dev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(region_ar6_6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"ldc"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"b. Historical cumulative emissions by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"Production GHG, incl. LULUCF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"Least Developed Countries"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#scale_color_brewer(palette="Set2")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#scale_y_continuous(labels = percent,breaks=c(0,0.25,0.50,0.75,1),limits=c(0,1.08))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equity_perspecti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equity_perspectives</dc:title>
  <dc:creator>William F. Lamb</dc:creator>
  <cp:keywords/>
  <dcterms:created xsi:type="dcterms:W3CDTF">2022-03-23T17:36:46Z</dcterms:created>
  <dcterms:modified xsi:type="dcterms:W3CDTF">2022-03-23T17:36:46Z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