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Direct</w:t>
      </w:r>
      <w:r>
        <w:t xml:space="preserve"> </w:t>
      </w:r>
      <w:r>
        <w:t xml:space="preserve">and</w:t>
      </w:r>
      <w:r>
        <w:t xml:space="preserve"> </w:t>
      </w:r>
      <w:r>
        <w:t xml:space="preserve">indirect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lamw/ownCloud/Projects/AR6-Emissions-trends-and-drivers/Results/knitr/figure_direct_indirect_emissions_files/figure-docx/b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lamw/ownCloud/Projects/AR6-Emissions-trends-and-drivers/Results/knitr/figure_direct_indirect_emissions_files/figure-docx/b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lamw/ownCloud/Projects/AR6-Emissions-trends-and-drivers/Results/knitr/figure_direct_indirect_emissions_files/figure-docx/b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irect_indirect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 and indirect emissions</dc:title>
  <dc:creator>William F. Lamb</dc:creator>
  <cp:keywords/>
  <dcterms:created xsi:type="dcterms:W3CDTF">2022-04-01T12:46:34Z</dcterms:created>
  <dcterms:modified xsi:type="dcterms:W3CDTF">2022-04-01T12:46:34Z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“../../Results/knitr”) })</vt:lpwstr>
  </property>
  <property fmtid="{D5CDD505-2E9C-101B-9397-08002B2CF9AE}" pid="3" name="output">
    <vt:lpwstr/>
  </property>
</Properties>
</file>