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25 September, 2019, 14:45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Heading1"/>
      </w:pPr>
      <w:bookmarkStart w:id="23" w:name="all-sectors"/>
      <w:r>
        <w:t xml:space="preserve">1. All sectors</w:t>
      </w:r>
      <w:bookmarkEnd w:id="23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energy-systems-ch.6"/>
      <w:r>
        <w:t xml:space="preserve">2. Energy systems (Ch.6)</w:t>
      </w:r>
      <w:bookmarkEnd w:id="25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Energy systems emissions were 19.28Gt CO2 in 2017, 37.33% of total GHG emissions from all sectors. Energy systems emissions have grown by 163.62% between 1970 and 2017.</w:t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folu-ch.7"/>
      <w:r>
        <w:t xml:space="preserve">3. AFOLU (Ch.7)</w:t>
      </w:r>
      <w:bookmarkEnd w:id="28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AFOLU emissions were 7.36Gt CO2 in 2017, 14.25% of total GHG emissions from all sectors. AFOLU emissions have grown by 37.34% between 1970 and 2017.</w:t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buildings-ch.9"/>
      <w:r>
        <w:t xml:space="preserve">4. Buildings (Ch.9)</w:t>
      </w:r>
      <w:bookmarkEnd w:id="31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Buildings emissions were 3.19Gt CO2 in 2017, 6.18% of total GHG emissions from all sectors. Buildings emissions have grown by 18.23% between 1970 and 2017.</w:t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ransport-ch.10"/>
      <w:r>
        <w:t xml:space="preserve">5. Transport (Ch.10)</w:t>
      </w:r>
      <w:bookmarkEnd w:id="34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Transport emissions were 7.95Gt CO2 in 2017, 15.39% of total GHG emissions from all sectors. Transport emissions have grown by 177.25% between 1970 and 2017.</w:t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industry-ch.11"/>
      <w:r>
        <w:t xml:space="preserve">6. Industry (Ch.11)</w:t>
      </w:r>
      <w:bookmarkEnd w:id="37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Industry emissions were 13.87Gt CO2 in 2017, 26.85% of total GHG emissions from all sectors. Industry emissions have grown by 102.09% between 1970 and 2017.</w:t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list-of-category-codes"/>
      <w:r>
        <w:t xml:space="preserve">7. List of category codes</w:t>
      </w:r>
      <w:bookmarkEnd w:id="40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2019-09-25T12:46:33Z</dcterms:created>
  <dcterms:modified xsi:type="dcterms:W3CDTF">2019-09-25T12:46:33Z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