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CC8CD" w14:textId="096C8E2B" w:rsidR="0076634A" w:rsidRPr="000F5509" w:rsidRDefault="000F5509" w:rsidP="008501C7">
      <w:pPr>
        <w:jc w:val="center"/>
        <w:rPr>
          <w:b/>
          <w:bCs/>
        </w:rPr>
      </w:pPr>
      <w:bookmarkStart w:id="0" w:name="_GoBack"/>
      <w:bookmarkEnd w:id="0"/>
      <w:r w:rsidRPr="000F5509">
        <w:rPr>
          <w:b/>
          <w:bCs/>
        </w:rPr>
        <w:t>WG III AR6 SUMMARY FOR POLICYMAKERS</w:t>
      </w:r>
    </w:p>
    <w:p w14:paraId="3D4E7BC8" w14:textId="261CF73C" w:rsidR="000F5509" w:rsidRDefault="000F5509" w:rsidP="000F5509">
      <w:pPr>
        <w:jc w:val="center"/>
        <w:rPr>
          <w:b/>
          <w:bCs/>
        </w:rPr>
      </w:pPr>
      <w:r w:rsidRPr="000F5509">
        <w:rPr>
          <w:b/>
          <w:bCs/>
        </w:rPr>
        <w:t>TSU DRAFT 5 JUNE 2020</w:t>
      </w:r>
      <w:r w:rsidR="00F40B5F">
        <w:rPr>
          <w:b/>
          <w:bCs/>
        </w:rPr>
        <w:t xml:space="preserve"> - E</w:t>
      </w:r>
      <w:r w:rsidRPr="000F5509">
        <w:rPr>
          <w:b/>
          <w:bCs/>
        </w:rPr>
        <w:t>XPLANATORY NOTES</w:t>
      </w:r>
    </w:p>
    <w:p w14:paraId="0893C2CC" w14:textId="77777777" w:rsidR="00116F70" w:rsidRPr="008501C7" w:rsidRDefault="00116F70" w:rsidP="000F5509">
      <w:pPr>
        <w:jc w:val="center"/>
        <w:rPr>
          <w:b/>
          <w:bCs/>
          <w:sz w:val="6"/>
          <w:szCs w:val="6"/>
        </w:rPr>
      </w:pPr>
    </w:p>
    <w:p w14:paraId="2A791724" w14:textId="3EA7BFFA" w:rsidR="000F5509" w:rsidRDefault="000F5509" w:rsidP="000F5509">
      <w:r>
        <w:t xml:space="preserve">Following the WG III CLA/Bureau meeting held on 13 May 2020, the WG III Technical Support Unit (TSU) has been working on a revised version of the Summary for Policymakers (SPM), attempting to craft an overall SPM narrative that builds on the views expressed at the meeting. The WG </w:t>
      </w:r>
      <w:r w:rsidR="008355E3">
        <w:t xml:space="preserve">III </w:t>
      </w:r>
      <w:r>
        <w:t xml:space="preserve">Co-chairs and Andy Reisinger, one of the WG III Vice-chairs, have participated in this process. The resulting document is attached. The purpose of this note is: a) to set out what the TSU was trying to achieve; b) to explain the intended narrative and contribution of the individual sections; and c) to </w:t>
      </w:r>
      <w:r w:rsidR="00335710">
        <w:t>identify next steps</w:t>
      </w:r>
      <w:r w:rsidR="005076D7">
        <w:t>, which will be CLA/</w:t>
      </w:r>
      <w:r w:rsidR="00335710">
        <w:t xml:space="preserve">chapter </w:t>
      </w:r>
      <w:r w:rsidR="005076D7">
        <w:t>led</w:t>
      </w:r>
      <w:r w:rsidR="00335710">
        <w:t xml:space="preserve">. </w:t>
      </w:r>
    </w:p>
    <w:p w14:paraId="18CB76FF" w14:textId="1B7376FE" w:rsidR="000F5509" w:rsidRDefault="000F5509" w:rsidP="000F5509">
      <w:pPr>
        <w:rPr>
          <w:b/>
          <w:bCs/>
        </w:rPr>
      </w:pPr>
      <w:r w:rsidRPr="000F5509">
        <w:rPr>
          <w:b/>
          <w:bCs/>
        </w:rPr>
        <w:t xml:space="preserve">The Aim of the SPM Revision </w:t>
      </w:r>
    </w:p>
    <w:p w14:paraId="37A8ACD7" w14:textId="6D7317D0" w:rsidR="000F5509" w:rsidRDefault="00335710" w:rsidP="000F5509">
      <w:r w:rsidRPr="00335710">
        <w:t xml:space="preserve">The principal aim </w:t>
      </w:r>
      <w:r>
        <w:t xml:space="preserve">was to create a document </w:t>
      </w:r>
      <w:r w:rsidR="00780B39">
        <w:t>which</w:t>
      </w:r>
      <w:r>
        <w:t xml:space="preserve">, however incomplete, looked and felt like an IPCC SPM. We wanted to create a sense that the train has now left the station and that we are working towards a product that we would be proud to send to governments. </w:t>
      </w:r>
      <w:r w:rsidR="00116F70">
        <w:t xml:space="preserve">We </w:t>
      </w:r>
      <w:r>
        <w:t xml:space="preserve">are sending you </w:t>
      </w:r>
      <w:r w:rsidR="00FE51CE">
        <w:t xml:space="preserve">a </w:t>
      </w:r>
      <w:r>
        <w:t>clean</w:t>
      </w:r>
      <w:r w:rsidR="00FE51CE">
        <w:t xml:space="preserve"> document</w:t>
      </w:r>
      <w:r>
        <w:t xml:space="preserve"> organised in the intended format, broken down into bolded headline statements followed by a set of sub-statements. </w:t>
      </w:r>
      <w:r w:rsidR="005076D7">
        <w:t xml:space="preserve">The draft </w:t>
      </w:r>
      <w:r>
        <w:t xml:space="preserve">follows the overall structure previously agreed, though some topics (e.g. feasibility, just transition) have been moved between sections.  </w:t>
      </w:r>
    </w:p>
    <w:p w14:paraId="352A9F17" w14:textId="6E48A8A0" w:rsidR="005076D7" w:rsidRDefault="005076D7" w:rsidP="000F5509">
      <w:r>
        <w:t>These are the changes that the TSU has made:</w:t>
      </w:r>
    </w:p>
    <w:p w14:paraId="791D0236" w14:textId="503EF2D2" w:rsidR="005076D7" w:rsidRDefault="005076D7" w:rsidP="005076D7">
      <w:pPr>
        <w:pStyle w:val="Listenabsatz"/>
        <w:numPr>
          <w:ilvl w:val="0"/>
          <w:numId w:val="2"/>
        </w:numPr>
      </w:pPr>
      <w:r>
        <w:t xml:space="preserve">It has as far as possible included the statements previously offered </w:t>
      </w:r>
      <w:r w:rsidR="007B5B88">
        <w:t>by chapters</w:t>
      </w:r>
      <w:r w:rsidR="008510F6">
        <w:t xml:space="preserve"> or </w:t>
      </w:r>
      <w:r w:rsidR="008501C7">
        <w:t xml:space="preserve">extracted </w:t>
      </w:r>
      <w:r w:rsidR="008510F6">
        <w:t xml:space="preserve">from chapter </w:t>
      </w:r>
      <w:r w:rsidR="008501C7">
        <w:t xml:space="preserve">executive </w:t>
      </w:r>
      <w:r w:rsidR="008510F6">
        <w:t>summaries</w:t>
      </w:r>
      <w:r w:rsidR="007B5B88">
        <w:t xml:space="preserve">, but these have been amalgamated </w:t>
      </w:r>
      <w:r w:rsidR="00780B39">
        <w:t xml:space="preserve">in some cases </w:t>
      </w:r>
      <w:r w:rsidR="007B5B88">
        <w:t>to eliminate overlap and in a very few cases dropped if they are tangential to the narrative.</w:t>
      </w:r>
    </w:p>
    <w:p w14:paraId="181288FC" w14:textId="2B550B49" w:rsidR="00116F70" w:rsidRDefault="00116F70" w:rsidP="005076D7">
      <w:pPr>
        <w:pStyle w:val="Listenabsatz"/>
        <w:numPr>
          <w:ilvl w:val="0"/>
          <w:numId w:val="2"/>
        </w:numPr>
      </w:pPr>
      <w:r>
        <w:t>Some generic statements that lacked specificity have been removed.</w:t>
      </w:r>
    </w:p>
    <w:p w14:paraId="3F38CA98" w14:textId="77777777" w:rsidR="007B5B88" w:rsidRDefault="007B5B88" w:rsidP="005076D7">
      <w:pPr>
        <w:pStyle w:val="Listenabsatz"/>
        <w:numPr>
          <w:ilvl w:val="0"/>
          <w:numId w:val="2"/>
        </w:numPr>
      </w:pPr>
      <w:r>
        <w:t>The statements have been re-organised to fit the narrative.</w:t>
      </w:r>
    </w:p>
    <w:p w14:paraId="0E4E68AA" w14:textId="422ECA77" w:rsidR="007B5B88" w:rsidRDefault="007B5B88" w:rsidP="005076D7">
      <w:pPr>
        <w:pStyle w:val="Listenabsatz"/>
        <w:numPr>
          <w:ilvl w:val="0"/>
          <w:numId w:val="2"/>
        </w:numPr>
      </w:pPr>
      <w:r>
        <w:t>Some</w:t>
      </w:r>
      <w:r w:rsidRPr="007B5B88">
        <w:t xml:space="preserve"> </w:t>
      </w:r>
      <w:r>
        <w:t>judgements have been made as to whether statements previously offered by chapters are high-level statements or next level sub-statements</w:t>
      </w:r>
      <w:r w:rsidR="00116F70">
        <w:t>.</w:t>
      </w:r>
    </w:p>
    <w:p w14:paraId="2B68DDC2" w14:textId="181A1425" w:rsidR="007B5B88" w:rsidRDefault="00092C69" w:rsidP="007B5B88">
      <w:pPr>
        <w:pStyle w:val="Listenabsatz"/>
        <w:numPr>
          <w:ilvl w:val="0"/>
          <w:numId w:val="2"/>
        </w:numPr>
      </w:pPr>
      <w:r>
        <w:t>Some</w:t>
      </w:r>
      <w:r w:rsidR="007B5B88">
        <w:t xml:space="preserve"> text editing has taken place, focusing on clarity of message and the elimination of more obvious policy prescription.</w:t>
      </w:r>
    </w:p>
    <w:p w14:paraId="28A48D24" w14:textId="5F3D3D81" w:rsidR="007B5B88" w:rsidRDefault="007B5B88" w:rsidP="007B5B88">
      <w:pPr>
        <w:pStyle w:val="Listenabsatz"/>
        <w:numPr>
          <w:ilvl w:val="0"/>
          <w:numId w:val="2"/>
        </w:numPr>
      </w:pPr>
      <w:r>
        <w:t>Some headline statements have been drafted from scratch</w:t>
      </w:r>
      <w:r w:rsidR="0080183C">
        <w:t xml:space="preserve"> based on chapter material</w:t>
      </w:r>
      <w:r>
        <w:t xml:space="preserve"> where the offered statements were more of a “sub-statement” nature</w:t>
      </w:r>
      <w:r w:rsidR="00116F70">
        <w:t>.</w:t>
      </w:r>
    </w:p>
    <w:p w14:paraId="2C338FBE" w14:textId="2BAB9130" w:rsidR="007B5B88" w:rsidRDefault="007B5B88" w:rsidP="007B5B88">
      <w:pPr>
        <w:pStyle w:val="Listenabsatz"/>
        <w:numPr>
          <w:ilvl w:val="0"/>
          <w:numId w:val="2"/>
        </w:numPr>
      </w:pPr>
      <w:r>
        <w:t>Some placeholder statements have been added</w:t>
      </w:r>
      <w:r w:rsidRPr="007B5B88">
        <w:t xml:space="preserve"> </w:t>
      </w:r>
      <w:r>
        <w:t>to fill out the narrative</w:t>
      </w:r>
      <w:r w:rsidR="00116F70">
        <w:t>.</w:t>
      </w:r>
    </w:p>
    <w:p w14:paraId="2E83CC11" w14:textId="4CFFA2C4" w:rsidR="007B5B88" w:rsidRDefault="007B5B88" w:rsidP="007B5B88">
      <w:pPr>
        <w:pStyle w:val="Listenabsatz"/>
        <w:numPr>
          <w:ilvl w:val="0"/>
          <w:numId w:val="2"/>
        </w:numPr>
      </w:pPr>
      <w:r>
        <w:t>Where the inclusion of “exhibits” (tables/figures) is “obvious”, we have included figures from FOD chapters. Otherwise we have put in placeholders.</w:t>
      </w:r>
    </w:p>
    <w:p w14:paraId="307CC7D1" w14:textId="391BA7E6" w:rsidR="00CF1354" w:rsidRDefault="00116F70" w:rsidP="007B5B88">
      <w:pPr>
        <w:pStyle w:val="Listenabsatz"/>
        <w:numPr>
          <w:ilvl w:val="0"/>
          <w:numId w:val="2"/>
        </w:numPr>
      </w:pPr>
      <w:r>
        <w:t xml:space="preserve">A </w:t>
      </w:r>
      <w:r w:rsidR="00CF1354">
        <w:t>lead chapter to take each headline statement (and the associated sub-statements) through to the next stage</w:t>
      </w:r>
      <w:r>
        <w:t xml:space="preserve"> </w:t>
      </w:r>
      <w:r w:rsidR="008501C7">
        <w:t>h</w:t>
      </w:r>
      <w:r>
        <w:t>as been identified</w:t>
      </w:r>
      <w:r w:rsidR="00CF1354">
        <w:t xml:space="preserve">. </w:t>
      </w:r>
    </w:p>
    <w:p w14:paraId="59807B27" w14:textId="56E3340B" w:rsidR="002C1E85" w:rsidRPr="00335710" w:rsidRDefault="00116F70" w:rsidP="007B5B88">
      <w:pPr>
        <w:pStyle w:val="Listenabsatz"/>
        <w:numPr>
          <w:ilvl w:val="0"/>
          <w:numId w:val="2"/>
        </w:numPr>
      </w:pPr>
      <w:r>
        <w:t xml:space="preserve">Placeholders have been added </w:t>
      </w:r>
      <w:r w:rsidR="002C1E85">
        <w:t>for confidence statements</w:t>
      </w:r>
      <w:r>
        <w:t xml:space="preserve"> </w:t>
      </w:r>
      <w:r w:rsidR="002C1E85">
        <w:t>- currently this is a gap and we hope to make progress on this during the next iteration</w:t>
      </w:r>
      <w:r>
        <w:t>.</w:t>
      </w:r>
    </w:p>
    <w:p w14:paraId="5AF78480" w14:textId="4B6D5754" w:rsidR="008501C7" w:rsidRPr="008501C7" w:rsidRDefault="008501C7" w:rsidP="00CF1354">
      <w:r w:rsidRPr="008501C7">
        <w:t xml:space="preserve">In addition, each section is preceded by brief explanatory text </w:t>
      </w:r>
      <w:r w:rsidR="00BD416A">
        <w:t xml:space="preserve">- </w:t>
      </w:r>
      <w:r w:rsidRPr="008501C7">
        <w:t xml:space="preserve">for our own </w:t>
      </w:r>
      <w:r w:rsidR="00BD416A">
        <w:t xml:space="preserve">internal </w:t>
      </w:r>
      <w:r w:rsidRPr="008501C7">
        <w:t>purposes</w:t>
      </w:r>
      <w:r w:rsidR="0080183C">
        <w:t xml:space="preserve"> as an author team</w:t>
      </w:r>
      <w:r w:rsidRPr="008501C7">
        <w:t>. The italicised text summarises the content; the normal text explains the content and the narrative flow.</w:t>
      </w:r>
    </w:p>
    <w:p w14:paraId="0A13ACDF" w14:textId="7504F9FE" w:rsidR="00CF1354" w:rsidRPr="00CF1354" w:rsidRDefault="00CF1354" w:rsidP="00CF1354">
      <w:pPr>
        <w:rPr>
          <w:b/>
          <w:bCs/>
        </w:rPr>
      </w:pPr>
      <w:r w:rsidRPr="00CF1354">
        <w:rPr>
          <w:b/>
          <w:bCs/>
        </w:rPr>
        <w:t>SPM NARRATIVE</w:t>
      </w:r>
    </w:p>
    <w:p w14:paraId="1F1C1027" w14:textId="271E8DE7" w:rsidR="00AC4C0C" w:rsidRDefault="00CF1354" w:rsidP="00CF1354">
      <w:r>
        <w:t>The overall flow of the SPM does not follow the chapter structure of the report no</w:t>
      </w:r>
      <w:r w:rsidR="00634A57">
        <w:t>r</w:t>
      </w:r>
      <w:r>
        <w:t xml:space="preserve"> is it </w:t>
      </w:r>
      <w:r w:rsidR="00634A57">
        <w:t xml:space="preserve">structured </w:t>
      </w:r>
      <w:r w:rsidR="00AB5B66">
        <w:t>a</w:t>
      </w:r>
      <w:r w:rsidR="00634A57">
        <w:t xml:space="preserve">round </w:t>
      </w:r>
      <w:r>
        <w:t xml:space="preserve">sectors/systems. </w:t>
      </w:r>
      <w:r w:rsidR="00634A57">
        <w:t xml:space="preserve">This means that sectors </w:t>
      </w:r>
      <w:r>
        <w:t>and topic</w:t>
      </w:r>
      <w:r w:rsidR="00634A57">
        <w:t>s</w:t>
      </w:r>
      <w:r>
        <w:t xml:space="preserve"> may appear at more than one point </w:t>
      </w:r>
      <w:r w:rsidR="00634A57">
        <w:t xml:space="preserve">in the SPM depending on whether the perspective is retrospective (Section B), or prospective (C/D/E). </w:t>
      </w:r>
      <w:r w:rsidR="00AC4C0C">
        <w:t>The</w:t>
      </w:r>
      <w:r w:rsidR="00634A57">
        <w:t xml:space="preserve"> prospective view may also depend on whether response options are being considered in a </w:t>
      </w:r>
      <w:r w:rsidR="008C2913">
        <w:t xml:space="preserve">techno-economic </w:t>
      </w:r>
      <w:r w:rsidR="00634A57">
        <w:t xml:space="preserve">sense (Section C) or in the sense of the policies, institutions and social context that will </w:t>
      </w:r>
      <w:r w:rsidR="00AC4C0C">
        <w:t xml:space="preserve">enable the options to be </w:t>
      </w:r>
      <w:r w:rsidR="00AC4C0C">
        <w:lastRenderedPageBreak/>
        <w:t>implemented (Section E).</w:t>
      </w:r>
      <w:r w:rsidR="002C31D3">
        <w:t xml:space="preserve"> </w:t>
      </w:r>
      <w:r w:rsidR="00AC4C0C">
        <w:t>An SPM must be a tightly drafted document. This means that there is no opportunity to introduce a topic briefly and then follow up with more detail</w:t>
      </w:r>
      <w:r w:rsidR="00173EA6">
        <w:t>s in later sections</w:t>
      </w:r>
      <w:r w:rsidR="00AC4C0C">
        <w:t xml:space="preserve"> </w:t>
      </w:r>
    </w:p>
    <w:p w14:paraId="70CDD6DB" w14:textId="6F656442" w:rsidR="00295AAE" w:rsidRPr="00295AAE" w:rsidRDefault="00295AAE" w:rsidP="003A00CA">
      <w:pPr>
        <w:rPr>
          <w:rFonts w:ascii="Calibri" w:eastAsia="Times New Roman" w:hAnsi="Calibri" w:cs="Calibri"/>
          <w:b/>
          <w:bCs/>
          <w:color w:val="000000"/>
          <w:lang w:eastAsia="en-GB"/>
        </w:rPr>
      </w:pPr>
      <w:r w:rsidRPr="00295AAE">
        <w:rPr>
          <w:rFonts w:ascii="Calibri" w:eastAsia="Times New Roman" w:hAnsi="Calibri" w:cs="Calibri"/>
          <w:b/>
          <w:bCs/>
          <w:color w:val="000000"/>
          <w:lang w:eastAsia="en-GB"/>
        </w:rPr>
        <w:t>FORMAT OF THE SPM</w:t>
      </w:r>
    </w:p>
    <w:p w14:paraId="2971D8BE" w14:textId="3C4330ED" w:rsidR="00295AAE" w:rsidRDefault="00295AAE" w:rsidP="003A00CA">
      <w:pPr>
        <w:rPr>
          <w:rFonts w:ascii="Calibri" w:eastAsia="Times New Roman" w:hAnsi="Calibri" w:cs="Calibri"/>
          <w:color w:val="000000"/>
          <w:lang w:eastAsia="en-GB"/>
        </w:rPr>
      </w:pPr>
      <w:r>
        <w:rPr>
          <w:rFonts w:ascii="Calibri" w:eastAsia="Times New Roman" w:hAnsi="Calibri" w:cs="Calibri"/>
          <w:color w:val="000000"/>
          <w:lang w:eastAsia="en-GB"/>
        </w:rPr>
        <w:t>Length matters. An SPM that starts out at 9000 words could take 50-60 hours to agree with governments. So every extra 100 words adds 40 minutes to the approval session. Complex figures take a long time to approve and governments have explicitly and forcefully expressed their dislike of them</w:t>
      </w:r>
      <w:r w:rsidR="00780B39">
        <w:rPr>
          <w:rFonts w:ascii="Calibri" w:eastAsia="Times New Roman" w:hAnsi="Calibri" w:cs="Calibri"/>
          <w:color w:val="000000"/>
          <w:lang w:eastAsia="en-GB"/>
        </w:rPr>
        <w:t xml:space="preserve"> </w:t>
      </w:r>
      <w:r w:rsidR="00BB707E">
        <w:rPr>
          <w:rFonts w:ascii="Calibri" w:eastAsia="Times New Roman" w:hAnsi="Calibri" w:cs="Calibri"/>
          <w:color w:val="000000"/>
          <w:lang w:eastAsia="en-GB"/>
        </w:rPr>
        <w:t xml:space="preserve">in </w:t>
      </w:r>
      <w:r w:rsidR="008C2913">
        <w:rPr>
          <w:rFonts w:ascii="Calibri" w:eastAsia="Times New Roman" w:hAnsi="Calibri" w:cs="Calibri"/>
          <w:color w:val="000000"/>
          <w:lang w:eastAsia="en-GB"/>
        </w:rPr>
        <w:t xml:space="preserve">a </w:t>
      </w:r>
      <w:r w:rsidR="00BB707E">
        <w:rPr>
          <w:rFonts w:ascii="Calibri" w:eastAsia="Times New Roman" w:hAnsi="Calibri" w:cs="Calibri"/>
          <w:color w:val="000000"/>
          <w:lang w:eastAsia="en-GB"/>
        </w:rPr>
        <w:t>recent</w:t>
      </w:r>
      <w:r w:rsidR="00780B39">
        <w:rPr>
          <w:rFonts w:ascii="Calibri" w:eastAsia="Times New Roman" w:hAnsi="Calibri" w:cs="Calibri"/>
          <w:color w:val="000000"/>
          <w:lang w:eastAsia="en-GB"/>
        </w:rPr>
        <w:t xml:space="preserve"> IPCC plenary</w:t>
      </w:r>
      <w:r>
        <w:rPr>
          <w:rFonts w:ascii="Calibri" w:eastAsia="Times New Roman" w:hAnsi="Calibri" w:cs="Calibri"/>
          <w:color w:val="000000"/>
          <w:lang w:eastAsia="en-GB"/>
        </w:rPr>
        <w:t xml:space="preserve">. WG III has no precedent for including “conceptual” figures in its SPMs, though these do appear in </w:t>
      </w:r>
      <w:r>
        <w:t>Chapters and Technical Summaries.</w:t>
      </w:r>
      <w:r>
        <w:rPr>
          <w:rFonts w:ascii="Calibri" w:eastAsia="Times New Roman" w:hAnsi="Calibri" w:cs="Calibri"/>
          <w:color w:val="000000"/>
          <w:lang w:eastAsia="en-GB"/>
        </w:rPr>
        <w:t xml:space="preserve"> </w:t>
      </w:r>
    </w:p>
    <w:p w14:paraId="78B8D2E1" w14:textId="48E1A6B9" w:rsidR="008501C7" w:rsidRDefault="008501C7" w:rsidP="003A00CA">
      <w:pPr>
        <w:rPr>
          <w:rFonts w:ascii="Calibri" w:eastAsia="Times New Roman" w:hAnsi="Calibri" w:cs="Calibri"/>
          <w:color w:val="000000"/>
          <w:lang w:eastAsia="en-GB"/>
        </w:rPr>
      </w:pPr>
      <w:r>
        <w:rPr>
          <w:rFonts w:ascii="Calibri" w:eastAsia="Times New Roman" w:hAnsi="Calibri" w:cs="Calibri"/>
          <w:color w:val="000000"/>
          <w:lang w:eastAsia="en-GB"/>
        </w:rPr>
        <w:t xml:space="preserve">It will be helpful if policy prescriptive language, often non-intended, can be avoided. Usually, a policy-prescriptive statement can be re-formulated to make it factual, often by using “if-then” type language.  A short Annex shows three examples of possible re-drafting. </w:t>
      </w:r>
    </w:p>
    <w:p w14:paraId="34AD4401" w14:textId="6A24DADA" w:rsidR="00AC41BA" w:rsidRPr="00295AAE" w:rsidRDefault="00AC41BA" w:rsidP="00AC41BA">
      <w:pPr>
        <w:rPr>
          <w:rFonts w:ascii="Calibri" w:eastAsia="Times New Roman" w:hAnsi="Calibri" w:cs="Calibri"/>
          <w:color w:val="000000"/>
          <w:lang w:eastAsia="en-GB"/>
        </w:rPr>
      </w:pPr>
      <w:r>
        <w:rPr>
          <w:rFonts w:ascii="Calibri" w:eastAsia="Times New Roman" w:hAnsi="Calibri" w:cs="Calibri"/>
          <w:color w:val="000000"/>
          <w:lang w:eastAsia="en-GB"/>
        </w:rPr>
        <w:t>All statements will require a confidence level statement</w:t>
      </w:r>
      <w:r w:rsidR="002C31D3">
        <w:rPr>
          <w:rFonts w:ascii="Calibri" w:eastAsia="Times New Roman" w:hAnsi="Calibri" w:cs="Calibri"/>
          <w:color w:val="000000"/>
          <w:lang w:eastAsia="en-GB"/>
        </w:rPr>
        <w:t xml:space="preserve"> which may apply to an individual sentence, or to an entire paragraph whichever is appropriate</w:t>
      </w:r>
      <w:r>
        <w:rPr>
          <w:rFonts w:ascii="Calibri" w:eastAsia="Times New Roman" w:hAnsi="Calibri" w:cs="Calibri"/>
          <w:color w:val="000000"/>
          <w:lang w:eastAsia="en-GB"/>
        </w:rPr>
        <w:t xml:space="preserve">. Placeholder statements </w:t>
      </w:r>
      <w:r w:rsidR="002C31D3">
        <w:rPr>
          <w:rFonts w:ascii="Calibri" w:eastAsia="Times New Roman" w:hAnsi="Calibri" w:cs="Calibri"/>
          <w:color w:val="000000"/>
          <w:lang w:eastAsia="en-GB"/>
        </w:rPr>
        <w:t xml:space="preserve">- </w:t>
      </w:r>
      <w:r>
        <w:rPr>
          <w:rFonts w:ascii="Calibri" w:eastAsia="Times New Roman" w:hAnsi="Calibri" w:cs="Calibri"/>
          <w:color w:val="000000"/>
          <w:lang w:eastAsia="en-GB"/>
        </w:rPr>
        <w:t>(</w:t>
      </w:r>
      <w:r w:rsidRPr="00C63D9C">
        <w:rPr>
          <w:rFonts w:ascii="Calibri" w:eastAsia="Times New Roman" w:hAnsi="Calibri" w:cs="Calibri"/>
          <w:i/>
          <w:color w:val="000000"/>
          <w:lang w:eastAsia="en-GB"/>
        </w:rPr>
        <w:t>xxx confidence</w:t>
      </w:r>
      <w:r>
        <w:rPr>
          <w:rFonts w:ascii="Calibri" w:eastAsia="Times New Roman" w:hAnsi="Calibri" w:cs="Calibri"/>
          <w:color w:val="000000"/>
          <w:lang w:eastAsia="en-GB"/>
        </w:rPr>
        <w:t xml:space="preserve">) </w:t>
      </w:r>
      <w:r w:rsidR="002C31D3">
        <w:rPr>
          <w:rFonts w:ascii="Calibri" w:eastAsia="Times New Roman" w:hAnsi="Calibri" w:cs="Calibri"/>
          <w:color w:val="000000"/>
          <w:lang w:eastAsia="en-GB"/>
        </w:rPr>
        <w:t xml:space="preserve">- </w:t>
      </w:r>
      <w:r>
        <w:rPr>
          <w:rFonts w:ascii="Calibri" w:eastAsia="Times New Roman" w:hAnsi="Calibri" w:cs="Calibri"/>
          <w:color w:val="000000"/>
          <w:lang w:eastAsia="en-GB"/>
        </w:rPr>
        <w:t>have been added as a reminder</w:t>
      </w:r>
      <w:r w:rsidR="002C31D3">
        <w:rPr>
          <w:rFonts w:ascii="Calibri" w:eastAsia="Times New Roman" w:hAnsi="Calibri" w:cs="Calibri"/>
          <w:color w:val="000000"/>
          <w:lang w:eastAsia="en-GB"/>
        </w:rPr>
        <w:t xml:space="preserve">. All headline statements and sub-statements will </w:t>
      </w:r>
      <w:r>
        <w:rPr>
          <w:rFonts w:ascii="Calibri" w:eastAsia="Times New Roman" w:hAnsi="Calibri" w:cs="Calibri"/>
          <w:color w:val="000000"/>
          <w:lang w:eastAsia="en-GB"/>
        </w:rPr>
        <w:t xml:space="preserve">need a line of sight back to the chapter sections </w:t>
      </w:r>
      <w:r w:rsidR="002C31D3">
        <w:rPr>
          <w:rFonts w:ascii="Calibri" w:eastAsia="Times New Roman" w:hAnsi="Calibri" w:cs="Calibri"/>
          <w:color w:val="000000"/>
          <w:lang w:eastAsia="en-GB"/>
        </w:rPr>
        <w:t xml:space="preserve">- </w:t>
      </w:r>
      <w:r>
        <w:rPr>
          <w:rFonts w:ascii="Calibri" w:eastAsia="Times New Roman" w:hAnsi="Calibri" w:cs="Calibri"/>
          <w:color w:val="000000"/>
          <w:lang w:eastAsia="en-GB"/>
        </w:rPr>
        <w:t>e.g</w:t>
      </w:r>
      <w:r w:rsidR="002C31D3">
        <w:rPr>
          <w:rFonts w:ascii="Calibri" w:eastAsia="Times New Roman" w:hAnsi="Calibri" w:cs="Calibri"/>
          <w:color w:val="000000"/>
          <w:lang w:eastAsia="en-GB"/>
        </w:rPr>
        <w:t>.</w:t>
      </w:r>
      <w:r>
        <w:rPr>
          <w:rFonts w:ascii="Calibri" w:eastAsia="Times New Roman" w:hAnsi="Calibri" w:cs="Calibri"/>
          <w:color w:val="000000"/>
          <w:lang w:eastAsia="en-GB"/>
        </w:rPr>
        <w:t xml:space="preserve"> {3.4; 5.6; 9.8}</w:t>
      </w:r>
      <w:r w:rsidR="002C31D3">
        <w:rPr>
          <w:rFonts w:ascii="Calibri" w:eastAsia="Times New Roman" w:hAnsi="Calibri" w:cs="Calibri"/>
          <w:color w:val="000000"/>
          <w:lang w:eastAsia="en-GB"/>
        </w:rPr>
        <w:t xml:space="preserve"> by the time we submit</w:t>
      </w:r>
      <w:r>
        <w:rPr>
          <w:rFonts w:ascii="Calibri" w:eastAsia="Times New Roman" w:hAnsi="Calibri" w:cs="Calibri"/>
          <w:color w:val="000000"/>
          <w:lang w:eastAsia="en-GB"/>
        </w:rPr>
        <w:t xml:space="preserve">. </w:t>
      </w:r>
    </w:p>
    <w:p w14:paraId="0AA74ECC" w14:textId="3CBC06B6" w:rsidR="007C6A53" w:rsidRDefault="00295AAE" w:rsidP="003A00CA">
      <w:pPr>
        <w:rPr>
          <w:rFonts w:ascii="Calibri" w:eastAsia="Times New Roman" w:hAnsi="Calibri" w:cs="Calibri"/>
          <w:color w:val="000000"/>
          <w:lang w:eastAsia="en-GB"/>
        </w:rPr>
      </w:pPr>
      <w:r>
        <w:rPr>
          <w:rFonts w:ascii="Calibri" w:eastAsia="Times New Roman" w:hAnsi="Calibri" w:cs="Calibri"/>
          <w:color w:val="000000"/>
          <w:lang w:eastAsia="en-GB"/>
        </w:rPr>
        <w:t>We are aiming for an SPM that has about 9,000 words (10 IPCC pages) and up to 10 exhibits. Each headline statement should ideally have 2-5 sub-statement</w:t>
      </w:r>
      <w:r w:rsidR="00BB707E">
        <w:rPr>
          <w:rFonts w:ascii="Calibri" w:eastAsia="Times New Roman" w:hAnsi="Calibri" w:cs="Calibri"/>
          <w:color w:val="000000"/>
          <w:lang w:eastAsia="en-GB"/>
        </w:rPr>
        <w:t>s</w:t>
      </w:r>
      <w:r>
        <w:rPr>
          <w:rFonts w:ascii="Calibri" w:eastAsia="Times New Roman" w:hAnsi="Calibri" w:cs="Calibri"/>
          <w:color w:val="000000"/>
          <w:lang w:eastAsia="en-GB"/>
        </w:rPr>
        <w:t xml:space="preserve"> associated with it. Guideline length would be 75-150 words for headline and 50-100 </w:t>
      </w:r>
      <w:r w:rsidR="00780B39">
        <w:rPr>
          <w:rFonts w:ascii="Calibri" w:eastAsia="Times New Roman" w:hAnsi="Calibri" w:cs="Calibri"/>
          <w:color w:val="000000"/>
          <w:lang w:eastAsia="en-GB"/>
        </w:rPr>
        <w:t xml:space="preserve">for sub-statements. On average, a </w:t>
      </w:r>
      <w:r>
        <w:rPr>
          <w:rFonts w:ascii="Calibri" w:eastAsia="Times New Roman" w:hAnsi="Calibri" w:cs="Calibri"/>
          <w:color w:val="000000"/>
          <w:lang w:eastAsia="en-GB"/>
        </w:rPr>
        <w:t xml:space="preserve">headline statement </w:t>
      </w:r>
      <w:r w:rsidR="00780B39">
        <w:rPr>
          <w:rFonts w:ascii="Calibri" w:eastAsia="Times New Roman" w:hAnsi="Calibri" w:cs="Calibri"/>
          <w:color w:val="000000"/>
          <w:lang w:eastAsia="en-GB"/>
        </w:rPr>
        <w:t xml:space="preserve">plus associated sub-statements </w:t>
      </w:r>
      <w:r>
        <w:rPr>
          <w:rFonts w:ascii="Calibri" w:eastAsia="Times New Roman" w:hAnsi="Calibri" w:cs="Calibri"/>
          <w:color w:val="000000"/>
          <w:lang w:eastAsia="en-GB"/>
        </w:rPr>
        <w:t xml:space="preserve">could run to </w:t>
      </w:r>
      <w:r w:rsidR="00780B39">
        <w:rPr>
          <w:rFonts w:ascii="Calibri" w:eastAsia="Times New Roman" w:hAnsi="Calibri" w:cs="Calibri"/>
          <w:color w:val="000000"/>
          <w:lang w:eastAsia="en-GB"/>
        </w:rPr>
        <w:t xml:space="preserve">300 words giving space for </w:t>
      </w:r>
      <w:r w:rsidR="0080183C">
        <w:rPr>
          <w:rFonts w:ascii="Calibri" w:eastAsia="Times New Roman" w:hAnsi="Calibri" w:cs="Calibri"/>
          <w:color w:val="000000"/>
          <w:lang w:eastAsia="en-GB"/>
        </w:rPr>
        <w:t>~</w:t>
      </w:r>
      <w:r w:rsidR="00780B39">
        <w:rPr>
          <w:rFonts w:ascii="Calibri" w:eastAsia="Times New Roman" w:hAnsi="Calibri" w:cs="Calibri"/>
          <w:color w:val="000000"/>
          <w:lang w:eastAsia="en-GB"/>
        </w:rPr>
        <w:t>30 headline statements in all.</w:t>
      </w:r>
      <w:r>
        <w:rPr>
          <w:rFonts w:ascii="Calibri" w:eastAsia="Times New Roman" w:hAnsi="Calibri" w:cs="Calibri"/>
          <w:color w:val="000000"/>
          <w:lang w:eastAsia="en-GB"/>
        </w:rPr>
        <w:t xml:space="preserve"> </w:t>
      </w:r>
      <w:r w:rsidR="009B19C0">
        <w:rPr>
          <w:rFonts w:ascii="Calibri" w:eastAsia="Times New Roman" w:hAnsi="Calibri" w:cs="Calibri"/>
          <w:color w:val="000000"/>
          <w:lang w:eastAsia="en-GB"/>
        </w:rPr>
        <w:t xml:space="preserve">The following table </w:t>
      </w:r>
      <w:r w:rsidR="00A12DD4">
        <w:rPr>
          <w:rFonts w:ascii="Calibri" w:eastAsia="Times New Roman" w:hAnsi="Calibri" w:cs="Calibri"/>
          <w:color w:val="000000"/>
          <w:lang w:eastAsia="en-GB"/>
        </w:rPr>
        <w:t>shows how the current draft measures up against these guide</w:t>
      </w:r>
      <w:r w:rsidR="007C6A53">
        <w:rPr>
          <w:rFonts w:ascii="Calibri" w:eastAsia="Times New Roman" w:hAnsi="Calibri" w:cs="Calibri"/>
          <w:color w:val="000000"/>
          <w:lang w:eastAsia="en-GB"/>
        </w:rPr>
        <w:t>l</w:t>
      </w:r>
      <w:r w:rsidR="00A12DD4">
        <w:rPr>
          <w:rFonts w:ascii="Calibri" w:eastAsia="Times New Roman" w:hAnsi="Calibri" w:cs="Calibri"/>
          <w:color w:val="000000"/>
          <w:lang w:eastAsia="en-GB"/>
        </w:rPr>
        <w:t>ines</w:t>
      </w:r>
      <w:r w:rsidR="007C6A53">
        <w:rPr>
          <w:rFonts w:ascii="Calibri" w:eastAsia="Times New Roman" w:hAnsi="Calibri" w:cs="Calibri"/>
          <w:color w:val="000000"/>
          <w:lang w:eastAsia="en-GB"/>
        </w:rPr>
        <w:t>.</w:t>
      </w:r>
    </w:p>
    <w:tbl>
      <w:tblPr>
        <w:tblStyle w:val="Tabellenraster"/>
        <w:tblW w:w="0" w:type="auto"/>
        <w:tblLook w:val="04A0" w:firstRow="1" w:lastRow="0" w:firstColumn="1" w:lastColumn="0" w:noHBand="0" w:noVBand="1"/>
      </w:tblPr>
      <w:tblGrid>
        <w:gridCol w:w="3486"/>
        <w:gridCol w:w="2292"/>
        <w:gridCol w:w="1452"/>
        <w:gridCol w:w="1134"/>
        <w:gridCol w:w="992"/>
      </w:tblGrid>
      <w:tr w:rsidR="00BD416A" w14:paraId="5E1D38A1" w14:textId="2AA1373D" w:rsidTr="00F40B5F">
        <w:tc>
          <w:tcPr>
            <w:tcW w:w="3486" w:type="dxa"/>
            <w:tcBorders>
              <w:left w:val="nil"/>
              <w:bottom w:val="single" w:sz="4" w:space="0" w:color="auto"/>
              <w:right w:val="nil"/>
            </w:tcBorders>
          </w:tcPr>
          <w:p w14:paraId="21943920" w14:textId="63908C1C" w:rsidR="00BD416A" w:rsidRPr="00BD416A" w:rsidRDefault="00BD416A" w:rsidP="008C2913">
            <w:pPr>
              <w:spacing w:after="60"/>
              <w:rPr>
                <w:rFonts w:ascii="Calibri" w:eastAsia="Times New Roman" w:hAnsi="Calibri" w:cs="Calibri"/>
                <w:b/>
                <w:bCs/>
                <w:color w:val="000000"/>
                <w:lang w:eastAsia="en-GB"/>
              </w:rPr>
            </w:pPr>
            <w:r w:rsidRPr="00BD416A">
              <w:rPr>
                <w:rFonts w:ascii="Calibri" w:eastAsia="Times New Roman" w:hAnsi="Calibri" w:cs="Calibri"/>
                <w:b/>
                <w:bCs/>
                <w:color w:val="000000"/>
                <w:lang w:eastAsia="en-GB"/>
              </w:rPr>
              <w:t>Section</w:t>
            </w:r>
          </w:p>
        </w:tc>
        <w:tc>
          <w:tcPr>
            <w:tcW w:w="2292" w:type="dxa"/>
            <w:tcBorders>
              <w:left w:val="nil"/>
              <w:bottom w:val="single" w:sz="4" w:space="0" w:color="auto"/>
              <w:right w:val="nil"/>
            </w:tcBorders>
          </w:tcPr>
          <w:p w14:paraId="4E604C82" w14:textId="076EEA88" w:rsidR="00BD416A" w:rsidRPr="00BD416A" w:rsidRDefault="00BD416A" w:rsidP="008C2913">
            <w:pPr>
              <w:spacing w:after="60"/>
              <w:jc w:val="right"/>
              <w:rPr>
                <w:rFonts w:ascii="Calibri" w:eastAsia="Times New Roman" w:hAnsi="Calibri" w:cs="Calibri"/>
                <w:b/>
                <w:bCs/>
                <w:color w:val="000000"/>
                <w:lang w:eastAsia="en-GB"/>
              </w:rPr>
            </w:pPr>
            <w:r w:rsidRPr="00BD416A">
              <w:rPr>
                <w:rFonts w:ascii="Calibri" w:eastAsia="Times New Roman" w:hAnsi="Calibri" w:cs="Calibri"/>
                <w:b/>
                <w:bCs/>
                <w:color w:val="000000"/>
                <w:lang w:eastAsia="en-GB"/>
              </w:rPr>
              <w:t>Headline statements</w:t>
            </w:r>
          </w:p>
        </w:tc>
        <w:tc>
          <w:tcPr>
            <w:tcW w:w="1452" w:type="dxa"/>
            <w:tcBorders>
              <w:left w:val="nil"/>
              <w:bottom w:val="single" w:sz="4" w:space="0" w:color="auto"/>
              <w:right w:val="nil"/>
            </w:tcBorders>
          </w:tcPr>
          <w:p w14:paraId="5F63F902" w14:textId="645AFDF6" w:rsidR="00BD416A" w:rsidRPr="00BD416A" w:rsidRDefault="00BD416A" w:rsidP="008C2913">
            <w:pPr>
              <w:spacing w:after="60"/>
              <w:jc w:val="right"/>
              <w:rPr>
                <w:rFonts w:ascii="Calibri" w:eastAsia="Times New Roman" w:hAnsi="Calibri" w:cs="Calibri"/>
                <w:b/>
                <w:bCs/>
                <w:color w:val="000000"/>
                <w:lang w:eastAsia="en-GB"/>
              </w:rPr>
            </w:pPr>
            <w:r w:rsidRPr="00BD416A">
              <w:rPr>
                <w:rFonts w:ascii="Calibri" w:eastAsia="Times New Roman" w:hAnsi="Calibri" w:cs="Calibri"/>
                <w:b/>
                <w:bCs/>
                <w:color w:val="000000"/>
                <w:lang w:eastAsia="en-GB"/>
              </w:rPr>
              <w:t>Sub-statements</w:t>
            </w:r>
          </w:p>
        </w:tc>
        <w:tc>
          <w:tcPr>
            <w:tcW w:w="1134" w:type="dxa"/>
            <w:tcBorders>
              <w:left w:val="nil"/>
              <w:bottom w:val="single" w:sz="4" w:space="0" w:color="auto"/>
              <w:right w:val="nil"/>
            </w:tcBorders>
          </w:tcPr>
          <w:p w14:paraId="19549D24" w14:textId="73F6F67D" w:rsidR="00BD416A" w:rsidRPr="00BD416A" w:rsidRDefault="00BD416A" w:rsidP="008C2913">
            <w:pPr>
              <w:spacing w:after="60"/>
              <w:jc w:val="right"/>
              <w:rPr>
                <w:rFonts w:ascii="Calibri" w:eastAsia="Times New Roman" w:hAnsi="Calibri" w:cs="Calibri"/>
                <w:b/>
                <w:bCs/>
                <w:color w:val="000000"/>
                <w:lang w:eastAsia="en-GB"/>
              </w:rPr>
            </w:pPr>
            <w:r w:rsidRPr="00BD416A">
              <w:rPr>
                <w:rFonts w:ascii="Calibri" w:eastAsia="Times New Roman" w:hAnsi="Calibri" w:cs="Calibri"/>
                <w:b/>
                <w:bCs/>
                <w:color w:val="000000"/>
                <w:lang w:eastAsia="en-GB"/>
              </w:rPr>
              <w:t>Words</w:t>
            </w:r>
          </w:p>
        </w:tc>
        <w:tc>
          <w:tcPr>
            <w:tcW w:w="992" w:type="dxa"/>
            <w:tcBorders>
              <w:left w:val="nil"/>
              <w:bottom w:val="single" w:sz="4" w:space="0" w:color="auto"/>
              <w:right w:val="nil"/>
            </w:tcBorders>
          </w:tcPr>
          <w:p w14:paraId="05D0E79F" w14:textId="0C8719CD" w:rsidR="00BD416A" w:rsidRPr="00BD416A" w:rsidRDefault="00BD416A" w:rsidP="008C2913">
            <w:pPr>
              <w:spacing w:after="60"/>
              <w:jc w:val="right"/>
              <w:rPr>
                <w:rFonts w:ascii="Calibri" w:eastAsia="Times New Roman" w:hAnsi="Calibri" w:cs="Calibri"/>
                <w:b/>
                <w:bCs/>
                <w:color w:val="000000"/>
                <w:lang w:eastAsia="en-GB"/>
              </w:rPr>
            </w:pPr>
            <w:r w:rsidRPr="00BD416A">
              <w:rPr>
                <w:rFonts w:ascii="Calibri" w:eastAsia="Times New Roman" w:hAnsi="Calibri" w:cs="Calibri"/>
                <w:b/>
                <w:bCs/>
                <w:color w:val="000000"/>
                <w:lang w:eastAsia="en-GB"/>
              </w:rPr>
              <w:t>Exhibits</w:t>
            </w:r>
          </w:p>
        </w:tc>
      </w:tr>
      <w:tr w:rsidR="00BD416A" w14:paraId="0B361E82" w14:textId="73A1698E" w:rsidTr="00F40B5F">
        <w:tc>
          <w:tcPr>
            <w:tcW w:w="3486" w:type="dxa"/>
            <w:tcBorders>
              <w:left w:val="nil"/>
              <w:bottom w:val="nil"/>
              <w:right w:val="nil"/>
            </w:tcBorders>
          </w:tcPr>
          <w:p w14:paraId="2413359E" w14:textId="7A639DDE" w:rsidR="00BD416A" w:rsidRPr="007C6A53" w:rsidRDefault="00BD416A" w:rsidP="008C2913">
            <w:pPr>
              <w:pStyle w:val="Listenabsatz"/>
              <w:numPr>
                <w:ilvl w:val="0"/>
                <w:numId w:val="6"/>
              </w:numPr>
              <w:spacing w:after="60"/>
              <w:ind w:left="174" w:hanging="142"/>
              <w:rPr>
                <w:rFonts w:ascii="Calibri" w:eastAsia="Times New Roman" w:hAnsi="Calibri" w:cs="Calibri"/>
                <w:color w:val="000000"/>
                <w:lang w:eastAsia="en-GB"/>
              </w:rPr>
            </w:pPr>
            <w:r>
              <w:rPr>
                <w:rFonts w:ascii="Calibri" w:eastAsia="Times New Roman" w:hAnsi="Calibri" w:cs="Calibri"/>
                <w:color w:val="000000"/>
                <w:lang w:eastAsia="en-GB"/>
              </w:rPr>
              <w:t>Introduction</w:t>
            </w:r>
          </w:p>
        </w:tc>
        <w:tc>
          <w:tcPr>
            <w:tcW w:w="2292" w:type="dxa"/>
            <w:tcBorders>
              <w:left w:val="nil"/>
              <w:bottom w:val="nil"/>
              <w:right w:val="nil"/>
            </w:tcBorders>
          </w:tcPr>
          <w:p w14:paraId="0FFCA566" w14:textId="468B3A31" w:rsidR="00BD416A" w:rsidRDefault="00BD416A"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N/A</w:t>
            </w:r>
          </w:p>
        </w:tc>
        <w:tc>
          <w:tcPr>
            <w:tcW w:w="1452" w:type="dxa"/>
            <w:tcBorders>
              <w:left w:val="nil"/>
              <w:bottom w:val="nil"/>
              <w:right w:val="nil"/>
            </w:tcBorders>
          </w:tcPr>
          <w:p w14:paraId="6A61F9F7" w14:textId="175E951B" w:rsidR="00BD416A" w:rsidRDefault="00BD416A"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N/A</w:t>
            </w:r>
          </w:p>
        </w:tc>
        <w:tc>
          <w:tcPr>
            <w:tcW w:w="1134" w:type="dxa"/>
            <w:tcBorders>
              <w:left w:val="nil"/>
              <w:bottom w:val="nil"/>
              <w:right w:val="nil"/>
            </w:tcBorders>
          </w:tcPr>
          <w:p w14:paraId="4BBF769C" w14:textId="52EE07C7" w:rsidR="00BD416A" w:rsidRDefault="00D13C2C" w:rsidP="00D13C2C">
            <w:pPr>
              <w:spacing w:after="60"/>
              <w:jc w:val="center"/>
              <w:rPr>
                <w:rFonts w:ascii="Calibri" w:eastAsia="Times New Roman" w:hAnsi="Calibri" w:cs="Calibri"/>
                <w:color w:val="000000"/>
                <w:lang w:eastAsia="en-GB"/>
              </w:rPr>
            </w:pPr>
            <w:r>
              <w:rPr>
                <w:rFonts w:ascii="Calibri" w:eastAsia="Times New Roman" w:hAnsi="Calibri" w:cs="Calibri"/>
                <w:color w:val="000000"/>
                <w:lang w:eastAsia="en-GB"/>
              </w:rPr>
              <w:t>390</w:t>
            </w:r>
          </w:p>
        </w:tc>
        <w:tc>
          <w:tcPr>
            <w:tcW w:w="992" w:type="dxa"/>
            <w:tcBorders>
              <w:left w:val="nil"/>
              <w:bottom w:val="nil"/>
              <w:right w:val="nil"/>
            </w:tcBorders>
          </w:tcPr>
          <w:p w14:paraId="125B6A18" w14:textId="4A4FB762" w:rsidR="00BD416A" w:rsidRDefault="00BD416A"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BD416A" w14:paraId="07C739C8" w14:textId="38FD4E23" w:rsidTr="00F40B5F">
        <w:tc>
          <w:tcPr>
            <w:tcW w:w="3486" w:type="dxa"/>
            <w:tcBorders>
              <w:top w:val="nil"/>
              <w:left w:val="nil"/>
              <w:bottom w:val="nil"/>
              <w:right w:val="nil"/>
            </w:tcBorders>
          </w:tcPr>
          <w:p w14:paraId="776E549F" w14:textId="52CF80C9" w:rsidR="00BD416A" w:rsidRPr="007C6A53" w:rsidRDefault="00BD416A" w:rsidP="008C2913">
            <w:pPr>
              <w:pStyle w:val="Listenabsatz"/>
              <w:numPr>
                <w:ilvl w:val="0"/>
                <w:numId w:val="6"/>
              </w:numPr>
              <w:spacing w:after="60"/>
              <w:ind w:left="174" w:hanging="142"/>
              <w:rPr>
                <w:rFonts w:ascii="Calibri" w:eastAsia="Times New Roman" w:hAnsi="Calibri" w:cs="Calibri"/>
                <w:color w:val="000000"/>
                <w:lang w:eastAsia="en-GB"/>
              </w:rPr>
            </w:pPr>
            <w:r>
              <w:rPr>
                <w:rFonts w:ascii="Calibri" w:eastAsia="Times New Roman" w:hAnsi="Calibri" w:cs="Calibri"/>
                <w:color w:val="000000"/>
                <w:lang w:eastAsia="en-GB"/>
              </w:rPr>
              <w:t>Where we are now</w:t>
            </w:r>
          </w:p>
        </w:tc>
        <w:tc>
          <w:tcPr>
            <w:tcW w:w="2292" w:type="dxa"/>
            <w:tcBorders>
              <w:top w:val="nil"/>
              <w:left w:val="nil"/>
              <w:bottom w:val="nil"/>
              <w:right w:val="nil"/>
            </w:tcBorders>
          </w:tcPr>
          <w:p w14:paraId="5EB1599C" w14:textId="10AD3171"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8</w:t>
            </w:r>
          </w:p>
        </w:tc>
        <w:tc>
          <w:tcPr>
            <w:tcW w:w="1452" w:type="dxa"/>
            <w:tcBorders>
              <w:top w:val="nil"/>
              <w:left w:val="nil"/>
              <w:bottom w:val="nil"/>
              <w:right w:val="nil"/>
            </w:tcBorders>
          </w:tcPr>
          <w:p w14:paraId="54C7ADA2" w14:textId="0B000FDC" w:rsidR="00BD416A" w:rsidRDefault="00D13C2C" w:rsidP="00D13C2C">
            <w:pPr>
              <w:spacing w:after="60"/>
              <w:jc w:val="center"/>
              <w:rPr>
                <w:rFonts w:ascii="Calibri" w:eastAsia="Times New Roman" w:hAnsi="Calibri" w:cs="Calibri"/>
                <w:color w:val="000000"/>
                <w:lang w:eastAsia="en-GB"/>
              </w:rPr>
            </w:pPr>
            <w:r>
              <w:rPr>
                <w:rFonts w:ascii="Calibri" w:eastAsia="Times New Roman" w:hAnsi="Calibri" w:cs="Calibri"/>
                <w:color w:val="000000"/>
                <w:lang w:eastAsia="en-GB"/>
              </w:rPr>
              <w:t>38</w:t>
            </w:r>
          </w:p>
        </w:tc>
        <w:tc>
          <w:tcPr>
            <w:tcW w:w="1134" w:type="dxa"/>
            <w:tcBorders>
              <w:top w:val="nil"/>
              <w:left w:val="nil"/>
              <w:bottom w:val="nil"/>
              <w:right w:val="nil"/>
            </w:tcBorders>
          </w:tcPr>
          <w:p w14:paraId="0B5CF247" w14:textId="5F4E6EDA"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2299</w:t>
            </w:r>
          </w:p>
        </w:tc>
        <w:tc>
          <w:tcPr>
            <w:tcW w:w="992" w:type="dxa"/>
            <w:tcBorders>
              <w:top w:val="nil"/>
              <w:left w:val="nil"/>
              <w:bottom w:val="nil"/>
              <w:right w:val="nil"/>
            </w:tcBorders>
          </w:tcPr>
          <w:p w14:paraId="68AB6C87" w14:textId="5EFF80E1"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BD416A" w14:paraId="6E9A154C" w14:textId="3DE2DEE6" w:rsidTr="00F40B5F">
        <w:tc>
          <w:tcPr>
            <w:tcW w:w="3486" w:type="dxa"/>
            <w:tcBorders>
              <w:top w:val="nil"/>
              <w:left w:val="nil"/>
              <w:bottom w:val="nil"/>
              <w:right w:val="nil"/>
            </w:tcBorders>
          </w:tcPr>
          <w:p w14:paraId="006EF96C" w14:textId="0ED3C6B0" w:rsidR="00BD416A" w:rsidRPr="007C6A53" w:rsidRDefault="00BD416A" w:rsidP="008C2913">
            <w:pPr>
              <w:pStyle w:val="Listenabsatz"/>
              <w:numPr>
                <w:ilvl w:val="0"/>
                <w:numId w:val="6"/>
              </w:numPr>
              <w:spacing w:after="60"/>
              <w:ind w:left="174" w:hanging="142"/>
              <w:rPr>
                <w:rFonts w:ascii="Calibri" w:eastAsia="Times New Roman" w:hAnsi="Calibri" w:cs="Calibri"/>
                <w:color w:val="000000"/>
                <w:lang w:eastAsia="en-GB"/>
              </w:rPr>
            </w:pPr>
            <w:r>
              <w:rPr>
                <w:rFonts w:ascii="Calibri" w:eastAsia="Times New Roman" w:hAnsi="Calibri" w:cs="Calibri"/>
                <w:color w:val="000000"/>
                <w:lang w:eastAsia="en-GB"/>
              </w:rPr>
              <w:t>System transformations</w:t>
            </w:r>
          </w:p>
        </w:tc>
        <w:tc>
          <w:tcPr>
            <w:tcW w:w="2292" w:type="dxa"/>
            <w:tcBorders>
              <w:top w:val="nil"/>
              <w:left w:val="nil"/>
              <w:bottom w:val="nil"/>
              <w:right w:val="nil"/>
            </w:tcBorders>
          </w:tcPr>
          <w:p w14:paraId="3C636619" w14:textId="1C6D0F6A"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12</w:t>
            </w:r>
          </w:p>
        </w:tc>
        <w:tc>
          <w:tcPr>
            <w:tcW w:w="1452" w:type="dxa"/>
            <w:tcBorders>
              <w:top w:val="nil"/>
              <w:left w:val="nil"/>
              <w:bottom w:val="nil"/>
              <w:right w:val="nil"/>
            </w:tcBorders>
          </w:tcPr>
          <w:p w14:paraId="4C5099F6" w14:textId="3C09FED4"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49</w:t>
            </w:r>
          </w:p>
        </w:tc>
        <w:tc>
          <w:tcPr>
            <w:tcW w:w="1134" w:type="dxa"/>
            <w:tcBorders>
              <w:top w:val="nil"/>
              <w:left w:val="nil"/>
              <w:bottom w:val="nil"/>
              <w:right w:val="nil"/>
            </w:tcBorders>
          </w:tcPr>
          <w:p w14:paraId="4B2F3F3E" w14:textId="1EF51A98"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3638</w:t>
            </w:r>
          </w:p>
        </w:tc>
        <w:tc>
          <w:tcPr>
            <w:tcW w:w="992" w:type="dxa"/>
            <w:tcBorders>
              <w:top w:val="nil"/>
              <w:left w:val="nil"/>
              <w:bottom w:val="nil"/>
              <w:right w:val="nil"/>
            </w:tcBorders>
          </w:tcPr>
          <w:p w14:paraId="438DFBAA" w14:textId="6681DB09"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3</w:t>
            </w:r>
          </w:p>
        </w:tc>
      </w:tr>
      <w:tr w:rsidR="00BD416A" w14:paraId="3D2A7541" w14:textId="7176D421" w:rsidTr="00F40B5F">
        <w:tc>
          <w:tcPr>
            <w:tcW w:w="3486" w:type="dxa"/>
            <w:tcBorders>
              <w:top w:val="nil"/>
              <w:left w:val="nil"/>
              <w:bottom w:val="nil"/>
              <w:right w:val="nil"/>
            </w:tcBorders>
          </w:tcPr>
          <w:p w14:paraId="17DFAEB4" w14:textId="58454074" w:rsidR="00BD416A" w:rsidRPr="007C6A53" w:rsidRDefault="00BD416A" w:rsidP="008C2913">
            <w:pPr>
              <w:pStyle w:val="Listenabsatz"/>
              <w:numPr>
                <w:ilvl w:val="0"/>
                <w:numId w:val="6"/>
              </w:numPr>
              <w:spacing w:after="60"/>
              <w:ind w:left="174" w:hanging="142"/>
              <w:rPr>
                <w:rFonts w:ascii="Calibri" w:eastAsia="Times New Roman" w:hAnsi="Calibri" w:cs="Calibri"/>
                <w:color w:val="000000"/>
                <w:lang w:eastAsia="en-GB"/>
              </w:rPr>
            </w:pPr>
            <w:r>
              <w:rPr>
                <w:rFonts w:ascii="Calibri" w:eastAsia="Times New Roman" w:hAnsi="Calibri" w:cs="Calibri"/>
                <w:color w:val="000000"/>
                <w:lang w:eastAsia="en-GB"/>
              </w:rPr>
              <w:t>Adaptation and SD</w:t>
            </w:r>
          </w:p>
        </w:tc>
        <w:tc>
          <w:tcPr>
            <w:tcW w:w="2292" w:type="dxa"/>
            <w:tcBorders>
              <w:top w:val="nil"/>
              <w:left w:val="nil"/>
              <w:bottom w:val="nil"/>
              <w:right w:val="nil"/>
            </w:tcBorders>
          </w:tcPr>
          <w:p w14:paraId="7B3DED0E" w14:textId="5023BC25"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1452" w:type="dxa"/>
            <w:tcBorders>
              <w:top w:val="nil"/>
              <w:left w:val="nil"/>
              <w:bottom w:val="nil"/>
              <w:right w:val="nil"/>
            </w:tcBorders>
          </w:tcPr>
          <w:p w14:paraId="11BC1EBC" w14:textId="05F5C152"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22</w:t>
            </w:r>
          </w:p>
        </w:tc>
        <w:tc>
          <w:tcPr>
            <w:tcW w:w="1134" w:type="dxa"/>
            <w:tcBorders>
              <w:top w:val="nil"/>
              <w:left w:val="nil"/>
              <w:bottom w:val="nil"/>
              <w:right w:val="nil"/>
            </w:tcBorders>
          </w:tcPr>
          <w:p w14:paraId="78F3D475" w14:textId="1EBCE82D"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1393</w:t>
            </w:r>
          </w:p>
        </w:tc>
        <w:tc>
          <w:tcPr>
            <w:tcW w:w="992" w:type="dxa"/>
            <w:tcBorders>
              <w:top w:val="nil"/>
              <w:left w:val="nil"/>
              <w:bottom w:val="nil"/>
              <w:right w:val="nil"/>
            </w:tcBorders>
          </w:tcPr>
          <w:p w14:paraId="76B4DF2F" w14:textId="40060D27"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BD416A" w14:paraId="515A8EC1" w14:textId="49EE042E" w:rsidTr="00F40B5F">
        <w:tc>
          <w:tcPr>
            <w:tcW w:w="3486" w:type="dxa"/>
            <w:tcBorders>
              <w:top w:val="nil"/>
              <w:left w:val="nil"/>
              <w:bottom w:val="single" w:sz="4" w:space="0" w:color="auto"/>
              <w:right w:val="nil"/>
            </w:tcBorders>
          </w:tcPr>
          <w:p w14:paraId="5D57E576" w14:textId="49841EA1" w:rsidR="00BD416A" w:rsidRPr="007C6A53" w:rsidRDefault="00BD416A" w:rsidP="008C2913">
            <w:pPr>
              <w:pStyle w:val="Listenabsatz"/>
              <w:numPr>
                <w:ilvl w:val="0"/>
                <w:numId w:val="6"/>
              </w:numPr>
              <w:spacing w:after="60"/>
              <w:ind w:left="174" w:hanging="142"/>
              <w:rPr>
                <w:rFonts w:ascii="Calibri" w:eastAsia="Times New Roman" w:hAnsi="Calibri" w:cs="Calibri"/>
                <w:color w:val="000000"/>
                <w:lang w:eastAsia="en-GB"/>
              </w:rPr>
            </w:pPr>
            <w:r>
              <w:rPr>
                <w:rFonts w:ascii="Calibri" w:eastAsia="Times New Roman" w:hAnsi="Calibri" w:cs="Calibri"/>
                <w:color w:val="000000"/>
                <w:lang w:eastAsia="en-GB"/>
              </w:rPr>
              <w:t xml:space="preserve">Strengthening the response </w:t>
            </w:r>
          </w:p>
        </w:tc>
        <w:tc>
          <w:tcPr>
            <w:tcW w:w="2292" w:type="dxa"/>
            <w:tcBorders>
              <w:top w:val="nil"/>
              <w:left w:val="nil"/>
              <w:bottom w:val="single" w:sz="4" w:space="0" w:color="auto"/>
              <w:right w:val="nil"/>
            </w:tcBorders>
          </w:tcPr>
          <w:p w14:paraId="100AD548" w14:textId="269CFD66"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1452" w:type="dxa"/>
            <w:tcBorders>
              <w:top w:val="nil"/>
              <w:left w:val="nil"/>
              <w:bottom w:val="single" w:sz="4" w:space="0" w:color="auto"/>
              <w:right w:val="nil"/>
            </w:tcBorders>
          </w:tcPr>
          <w:p w14:paraId="0AA4F6D6" w14:textId="6FB20B71"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27</w:t>
            </w:r>
          </w:p>
        </w:tc>
        <w:tc>
          <w:tcPr>
            <w:tcW w:w="1134" w:type="dxa"/>
            <w:tcBorders>
              <w:top w:val="nil"/>
              <w:left w:val="nil"/>
              <w:bottom w:val="single" w:sz="4" w:space="0" w:color="auto"/>
              <w:right w:val="nil"/>
            </w:tcBorders>
          </w:tcPr>
          <w:p w14:paraId="759E34C0" w14:textId="43336B02"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1496</w:t>
            </w:r>
          </w:p>
        </w:tc>
        <w:tc>
          <w:tcPr>
            <w:tcW w:w="992" w:type="dxa"/>
            <w:tcBorders>
              <w:top w:val="nil"/>
              <w:left w:val="nil"/>
              <w:bottom w:val="single" w:sz="4" w:space="0" w:color="auto"/>
              <w:right w:val="nil"/>
            </w:tcBorders>
          </w:tcPr>
          <w:p w14:paraId="4B23274F" w14:textId="1C6DE2A4" w:rsidR="00BD416A" w:rsidRDefault="00D13C2C" w:rsidP="008C2913">
            <w:pPr>
              <w:spacing w:after="60"/>
              <w:jc w:val="right"/>
              <w:rPr>
                <w:rFonts w:ascii="Calibri" w:eastAsia="Times New Roman" w:hAnsi="Calibri" w:cs="Calibri"/>
                <w:color w:val="000000"/>
                <w:lang w:eastAsia="en-GB"/>
              </w:rPr>
            </w:pPr>
            <w:r>
              <w:rPr>
                <w:rFonts w:ascii="Calibri" w:eastAsia="Times New Roman" w:hAnsi="Calibri" w:cs="Calibri"/>
                <w:color w:val="000000"/>
                <w:lang w:eastAsia="en-GB"/>
              </w:rPr>
              <w:t>2</w:t>
            </w:r>
          </w:p>
        </w:tc>
      </w:tr>
      <w:tr w:rsidR="00BD416A" w:rsidRPr="00BD416A" w14:paraId="7C20201C" w14:textId="24DB61F1" w:rsidTr="00F40B5F">
        <w:tc>
          <w:tcPr>
            <w:tcW w:w="3486" w:type="dxa"/>
            <w:tcBorders>
              <w:left w:val="nil"/>
              <w:right w:val="nil"/>
            </w:tcBorders>
          </w:tcPr>
          <w:p w14:paraId="11F19CDC" w14:textId="319B7502" w:rsidR="00BD416A" w:rsidRPr="00BD416A" w:rsidRDefault="00BD416A" w:rsidP="008C2913">
            <w:pPr>
              <w:spacing w:after="60"/>
              <w:rPr>
                <w:rFonts w:ascii="Calibri" w:eastAsia="Times New Roman" w:hAnsi="Calibri" w:cs="Calibri"/>
                <w:b/>
                <w:bCs/>
                <w:color w:val="000000"/>
                <w:lang w:eastAsia="en-GB"/>
              </w:rPr>
            </w:pPr>
            <w:r w:rsidRPr="00BD416A">
              <w:rPr>
                <w:rFonts w:ascii="Calibri" w:eastAsia="Times New Roman" w:hAnsi="Calibri" w:cs="Calibri"/>
                <w:b/>
                <w:bCs/>
                <w:color w:val="000000"/>
                <w:lang w:eastAsia="en-GB"/>
              </w:rPr>
              <w:t>TOTAL</w:t>
            </w:r>
          </w:p>
        </w:tc>
        <w:tc>
          <w:tcPr>
            <w:tcW w:w="2292" w:type="dxa"/>
            <w:tcBorders>
              <w:left w:val="nil"/>
              <w:right w:val="nil"/>
            </w:tcBorders>
          </w:tcPr>
          <w:p w14:paraId="7D1B6901" w14:textId="3325DE7D" w:rsidR="00BD416A" w:rsidRPr="00BD416A" w:rsidRDefault="00AC32C0" w:rsidP="008C2913">
            <w:pPr>
              <w:spacing w:after="60"/>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29</w:t>
            </w:r>
          </w:p>
        </w:tc>
        <w:tc>
          <w:tcPr>
            <w:tcW w:w="1452" w:type="dxa"/>
            <w:tcBorders>
              <w:left w:val="nil"/>
              <w:right w:val="nil"/>
            </w:tcBorders>
          </w:tcPr>
          <w:p w14:paraId="1F983756" w14:textId="4ED52884" w:rsidR="00BD416A" w:rsidRPr="00BD416A" w:rsidRDefault="00AC32C0" w:rsidP="008C2913">
            <w:pPr>
              <w:spacing w:after="60"/>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136</w:t>
            </w:r>
          </w:p>
        </w:tc>
        <w:tc>
          <w:tcPr>
            <w:tcW w:w="1134" w:type="dxa"/>
            <w:tcBorders>
              <w:left w:val="nil"/>
              <w:right w:val="nil"/>
            </w:tcBorders>
          </w:tcPr>
          <w:p w14:paraId="2D8FAE58" w14:textId="62803840" w:rsidR="00BD416A" w:rsidRPr="00BD416A" w:rsidRDefault="00AC32C0" w:rsidP="008C2913">
            <w:pPr>
              <w:spacing w:after="60"/>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9216</w:t>
            </w:r>
          </w:p>
        </w:tc>
        <w:tc>
          <w:tcPr>
            <w:tcW w:w="992" w:type="dxa"/>
            <w:tcBorders>
              <w:left w:val="nil"/>
              <w:right w:val="nil"/>
            </w:tcBorders>
          </w:tcPr>
          <w:p w14:paraId="0F491D77" w14:textId="6BFAE975" w:rsidR="00BD416A" w:rsidRPr="00BD416A" w:rsidRDefault="00AC32C0" w:rsidP="008C2913">
            <w:pPr>
              <w:spacing w:after="60"/>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11</w:t>
            </w:r>
          </w:p>
        </w:tc>
      </w:tr>
    </w:tbl>
    <w:p w14:paraId="3E64A60B" w14:textId="77777777" w:rsidR="00F40B5F" w:rsidRDefault="00F40B5F" w:rsidP="007C6A53">
      <w:pPr>
        <w:rPr>
          <w:rFonts w:ascii="Calibri" w:eastAsia="Times New Roman" w:hAnsi="Calibri" w:cs="Calibri"/>
          <w:b/>
          <w:bCs/>
          <w:color w:val="000000"/>
          <w:lang w:eastAsia="en-GB"/>
        </w:rPr>
      </w:pPr>
    </w:p>
    <w:p w14:paraId="6CDF735D" w14:textId="54C0A436" w:rsidR="00CF1354" w:rsidRPr="00725CC3" w:rsidRDefault="00780B39" w:rsidP="007C6A53">
      <w:pPr>
        <w:rPr>
          <w:rFonts w:ascii="Calibri" w:eastAsia="Times New Roman" w:hAnsi="Calibri" w:cs="Calibri"/>
          <w:b/>
          <w:bCs/>
          <w:color w:val="000000"/>
          <w:lang w:eastAsia="en-GB"/>
        </w:rPr>
      </w:pPr>
      <w:r w:rsidRPr="00725CC3">
        <w:rPr>
          <w:rFonts w:ascii="Calibri" w:eastAsia="Times New Roman" w:hAnsi="Calibri" w:cs="Calibri"/>
          <w:b/>
          <w:bCs/>
          <w:color w:val="000000"/>
          <w:lang w:eastAsia="en-GB"/>
        </w:rPr>
        <w:t>NEXT STEPS</w:t>
      </w:r>
    </w:p>
    <w:p w14:paraId="52ECC5F6" w14:textId="3AFC516A" w:rsidR="00780B39" w:rsidRDefault="00780B39" w:rsidP="00CF1354">
      <w:r>
        <w:t xml:space="preserve">At this point, the TSU would like to hand the text back to the chapters for the next iteration. We have </w:t>
      </w:r>
      <w:r w:rsidR="008C2913">
        <w:t xml:space="preserve">proposed </w:t>
      </w:r>
      <w:r>
        <w:t xml:space="preserve">a chapter to manage each </w:t>
      </w:r>
      <w:r w:rsidR="008C2913">
        <w:t xml:space="preserve">headline statement </w:t>
      </w:r>
      <w:r>
        <w:t>with input from other chapters</w:t>
      </w:r>
      <w:r w:rsidR="008C2913">
        <w:t xml:space="preserve"> to deal with </w:t>
      </w:r>
      <w:r w:rsidR="00BD416A">
        <w:t xml:space="preserve">sub-statements </w:t>
      </w:r>
      <w:r w:rsidR="008C2913">
        <w:t>as necessary</w:t>
      </w:r>
      <w:r>
        <w:t xml:space="preserve">.  We </w:t>
      </w:r>
      <w:r w:rsidR="008C2913">
        <w:t xml:space="preserve">would like each </w:t>
      </w:r>
      <w:r w:rsidR="00856C88">
        <w:t>chapter</w:t>
      </w:r>
      <w:r>
        <w:t xml:space="preserve"> </w:t>
      </w:r>
      <w:r w:rsidR="008C2913">
        <w:t xml:space="preserve">to check whether they are comfortable with their allocations and </w:t>
      </w:r>
      <w:r w:rsidR="008501C7">
        <w:t xml:space="preserve">inform us </w:t>
      </w:r>
      <w:r w:rsidR="008C2913">
        <w:t>quick</w:t>
      </w:r>
      <w:r w:rsidR="008501C7">
        <w:t xml:space="preserve">ly </w:t>
      </w:r>
      <w:r w:rsidR="008C2913">
        <w:t xml:space="preserve">if not. </w:t>
      </w:r>
    </w:p>
    <w:p w14:paraId="7BAE5BE8" w14:textId="106356BC" w:rsidR="00780B39" w:rsidRDefault="002C31D3" w:rsidP="00CF1354">
      <w:r>
        <w:t xml:space="preserve">We </w:t>
      </w:r>
      <w:r w:rsidR="00780B39">
        <w:t>would ask chapters to work on the statements they have been assigned, aligning them with chapter content, refining language and making provisional assessments of confidence level and line-of-sight to underlying chapters. The current TSU draft shows the format.</w:t>
      </w:r>
      <w:r w:rsidR="008C2913" w:rsidRPr="008C2913">
        <w:t xml:space="preserve"> </w:t>
      </w:r>
      <w:r w:rsidR="008C2913">
        <w:t>We recommend that authors follow the overall narrative of the draft SPM but acknowledge that some alterations may be necessary.</w:t>
      </w:r>
    </w:p>
    <w:p w14:paraId="7D27AA95" w14:textId="4E0317DA" w:rsidR="008C2913" w:rsidRPr="002C31D3" w:rsidRDefault="00780B39" w:rsidP="00CF1354">
      <w:r>
        <w:t xml:space="preserve">We hope to get </w:t>
      </w:r>
      <w:r w:rsidR="00BD416A">
        <w:t xml:space="preserve">some </w:t>
      </w:r>
      <w:r>
        <w:t xml:space="preserve">revised text by 22 June so that the TSU can re-compile a full text for consideration at the next CLA/Bureau meeting in early July. </w:t>
      </w:r>
      <w:r w:rsidR="008C2913">
        <w:t xml:space="preserve">This is one step forward in an iterative process. </w:t>
      </w:r>
      <w:r>
        <w:t xml:space="preserve">Further </w:t>
      </w:r>
      <w:r w:rsidR="008C2913">
        <w:t xml:space="preserve">stages </w:t>
      </w:r>
      <w:r>
        <w:t>will still be needed as chapters mature.</w:t>
      </w:r>
      <w:r w:rsidR="008C2913">
        <w:t xml:space="preserve"> </w:t>
      </w:r>
      <w:r w:rsidR="008501C7">
        <w:t>From July onwards, we should devote greater attention to detailed drafting and choice of words.</w:t>
      </w:r>
      <w:r w:rsidRPr="00C20041">
        <w:rPr>
          <w:b/>
          <w:bCs/>
        </w:rPr>
        <w:t xml:space="preserve"> </w:t>
      </w:r>
    </w:p>
    <w:p w14:paraId="0BFBD529" w14:textId="75C80399" w:rsidR="00780B39" w:rsidRDefault="008C2913" w:rsidP="00CF1354">
      <w:pPr>
        <w:rPr>
          <w:b/>
          <w:bCs/>
        </w:rPr>
      </w:pPr>
      <w:r w:rsidRPr="002C31D3">
        <w:br w:type="column"/>
      </w:r>
      <w:r w:rsidR="00C20041">
        <w:rPr>
          <w:b/>
          <w:bCs/>
        </w:rPr>
        <w:lastRenderedPageBreak/>
        <w:t xml:space="preserve">Annex: </w:t>
      </w:r>
      <w:r w:rsidR="00C20041" w:rsidRPr="00C20041">
        <w:rPr>
          <w:b/>
          <w:bCs/>
        </w:rPr>
        <w:t xml:space="preserve">Suggestions on </w:t>
      </w:r>
      <w:r w:rsidR="00C20041">
        <w:rPr>
          <w:b/>
          <w:bCs/>
        </w:rPr>
        <w:t xml:space="preserve">how to deal with </w:t>
      </w:r>
      <w:r w:rsidR="00C20041" w:rsidRPr="00C20041">
        <w:rPr>
          <w:b/>
          <w:bCs/>
        </w:rPr>
        <w:t>policy prescription</w:t>
      </w:r>
    </w:p>
    <w:tbl>
      <w:tblPr>
        <w:tblStyle w:val="Tabellenraster"/>
        <w:tblW w:w="0" w:type="auto"/>
        <w:tblLook w:val="04A0" w:firstRow="1" w:lastRow="0" w:firstColumn="1" w:lastColumn="0" w:noHBand="0" w:noVBand="1"/>
      </w:tblPr>
      <w:tblGrid>
        <w:gridCol w:w="4508"/>
        <w:gridCol w:w="4508"/>
      </w:tblGrid>
      <w:tr w:rsidR="00C20041" w14:paraId="029EE834" w14:textId="77777777" w:rsidTr="00C20041">
        <w:tc>
          <w:tcPr>
            <w:tcW w:w="4508" w:type="dxa"/>
          </w:tcPr>
          <w:p w14:paraId="45B5AF21" w14:textId="11082C92" w:rsidR="00C20041" w:rsidRPr="00C20041" w:rsidRDefault="00C20041" w:rsidP="00CF1354">
            <w:pPr>
              <w:rPr>
                <w:rFonts w:ascii="Calibri" w:eastAsia="Calibri" w:hAnsi="Calibri" w:cs="Calibri"/>
                <w:b/>
                <w:bCs/>
                <w:lang w:val="en-US"/>
              </w:rPr>
            </w:pPr>
            <w:r w:rsidRPr="00C20041">
              <w:rPr>
                <w:rFonts w:ascii="Calibri" w:eastAsia="Calibri" w:hAnsi="Calibri" w:cs="Calibri"/>
                <w:b/>
                <w:bCs/>
                <w:lang w:val="en-US"/>
              </w:rPr>
              <w:t xml:space="preserve">Before </w:t>
            </w:r>
          </w:p>
        </w:tc>
        <w:tc>
          <w:tcPr>
            <w:tcW w:w="4508" w:type="dxa"/>
          </w:tcPr>
          <w:p w14:paraId="660C5828" w14:textId="5603FE92" w:rsidR="00C20041" w:rsidRDefault="00C20041" w:rsidP="00CF1354">
            <w:pPr>
              <w:rPr>
                <w:b/>
                <w:bCs/>
              </w:rPr>
            </w:pPr>
            <w:r>
              <w:rPr>
                <w:b/>
                <w:bCs/>
              </w:rPr>
              <w:t>After</w:t>
            </w:r>
          </w:p>
        </w:tc>
      </w:tr>
      <w:tr w:rsidR="00C20041" w14:paraId="45D7CEA7" w14:textId="77777777" w:rsidTr="00C20041">
        <w:tc>
          <w:tcPr>
            <w:tcW w:w="4508" w:type="dxa"/>
          </w:tcPr>
          <w:p w14:paraId="420D1ADF" w14:textId="244E7BBC" w:rsidR="00C20041" w:rsidRDefault="00C20041" w:rsidP="00CF1354">
            <w:pPr>
              <w:rPr>
                <w:b/>
                <w:bCs/>
              </w:rPr>
            </w:pPr>
            <w:r>
              <w:rPr>
                <w:rFonts w:ascii="Calibri" w:eastAsia="Calibri" w:hAnsi="Calibri" w:cs="Calibri"/>
                <w:lang w:val="en-US"/>
              </w:rPr>
              <w:t>“</w:t>
            </w:r>
            <w:r w:rsidRPr="001239B0">
              <w:rPr>
                <w:rFonts w:ascii="Calibri" w:eastAsia="Calibri" w:hAnsi="Calibri" w:cs="Calibri"/>
                <w:lang w:val="en-US"/>
              </w:rPr>
              <w:t>Transitions towards a low carbon future will need to just and fair so that action do not exacerbate national and international inequalities.</w:t>
            </w:r>
            <w:r>
              <w:rPr>
                <w:rFonts w:ascii="Calibri" w:eastAsia="Calibri" w:hAnsi="Calibri" w:cs="Calibri"/>
                <w:lang w:val="en-US"/>
              </w:rPr>
              <w:t>”</w:t>
            </w:r>
          </w:p>
        </w:tc>
        <w:tc>
          <w:tcPr>
            <w:tcW w:w="4508" w:type="dxa"/>
          </w:tcPr>
          <w:p w14:paraId="0BCCAB64" w14:textId="114E5EEF" w:rsidR="00C20041" w:rsidRDefault="00C20041" w:rsidP="00CF1354">
            <w:pPr>
              <w:rPr>
                <w:b/>
                <w:bCs/>
              </w:rPr>
            </w:pPr>
            <w:r>
              <w:rPr>
                <w:rFonts w:ascii="Calibri" w:eastAsia="Calibri" w:hAnsi="Calibri" w:cs="Calibri"/>
                <w:lang w:val="en-US"/>
              </w:rPr>
              <w:t>“</w:t>
            </w:r>
            <w:r w:rsidRPr="001239B0">
              <w:rPr>
                <w:rFonts w:ascii="Calibri" w:eastAsia="Calibri" w:hAnsi="Calibri" w:cs="Calibri"/>
                <w:lang w:val="en-US"/>
              </w:rPr>
              <w:t xml:space="preserve">Transitions towards a low carbon future </w:t>
            </w:r>
            <w:r>
              <w:rPr>
                <w:rFonts w:ascii="Calibri" w:eastAsia="Calibri" w:hAnsi="Calibri" w:cs="Calibri"/>
                <w:lang w:val="en-US"/>
              </w:rPr>
              <w:t xml:space="preserve">that are consistent with principles of justice and equity </w:t>
            </w:r>
            <w:r w:rsidRPr="001239B0">
              <w:rPr>
                <w:rFonts w:ascii="Calibri" w:eastAsia="Calibri" w:hAnsi="Calibri" w:cs="Calibri"/>
                <w:lang w:val="en-US"/>
              </w:rPr>
              <w:t>do not exacerbate inequalities</w:t>
            </w:r>
            <w:r>
              <w:rPr>
                <w:rFonts w:ascii="Calibri" w:eastAsia="Calibri" w:hAnsi="Calibri" w:cs="Calibri"/>
                <w:lang w:val="en-US"/>
              </w:rPr>
              <w:t xml:space="preserve"> at the </w:t>
            </w:r>
            <w:r w:rsidRPr="001239B0">
              <w:rPr>
                <w:rFonts w:ascii="Calibri" w:eastAsia="Calibri" w:hAnsi="Calibri" w:cs="Calibri"/>
                <w:lang w:val="en-US"/>
              </w:rPr>
              <w:t xml:space="preserve">national </w:t>
            </w:r>
            <w:r>
              <w:rPr>
                <w:rFonts w:ascii="Calibri" w:eastAsia="Calibri" w:hAnsi="Calibri" w:cs="Calibri"/>
                <w:lang w:val="en-US"/>
              </w:rPr>
              <w:t xml:space="preserve">or </w:t>
            </w:r>
            <w:r w:rsidRPr="001239B0">
              <w:rPr>
                <w:rFonts w:ascii="Calibri" w:eastAsia="Calibri" w:hAnsi="Calibri" w:cs="Calibri"/>
                <w:lang w:val="en-US"/>
              </w:rPr>
              <w:t>international</w:t>
            </w:r>
            <w:r>
              <w:rPr>
                <w:rFonts w:ascii="Calibri" w:eastAsia="Calibri" w:hAnsi="Calibri" w:cs="Calibri"/>
                <w:lang w:val="en-US"/>
              </w:rPr>
              <w:t xml:space="preserve"> level”</w:t>
            </w:r>
          </w:p>
        </w:tc>
      </w:tr>
      <w:tr w:rsidR="00C20041" w14:paraId="62269538" w14:textId="77777777" w:rsidTr="00C20041">
        <w:tc>
          <w:tcPr>
            <w:tcW w:w="4508" w:type="dxa"/>
          </w:tcPr>
          <w:p w14:paraId="031FC6C5" w14:textId="0D0667B3" w:rsidR="00C20041" w:rsidRDefault="00C20041" w:rsidP="00CF1354">
            <w:pPr>
              <w:rPr>
                <w:b/>
                <w:bCs/>
              </w:rPr>
            </w:pPr>
            <w:r>
              <w:rPr>
                <w:rFonts w:ascii="Calibri" w:eastAsia="Calibri" w:hAnsi="Calibri" w:cs="Calibri"/>
                <w:lang w:val="en-US"/>
              </w:rPr>
              <w:t>“</w:t>
            </w:r>
            <w:r w:rsidRPr="001239B0">
              <w:rPr>
                <w:rFonts w:ascii="Calibri" w:eastAsia="Calibri" w:hAnsi="Calibri" w:cs="Calibri"/>
                <w:lang w:val="en-US"/>
              </w:rPr>
              <w:t>Appropriate frameworks are needed to weigh the choices available and must take account of strong sectoral and regional differences, and take account of issues including equity and governance on appropriate scales</w:t>
            </w:r>
            <w:r>
              <w:rPr>
                <w:rFonts w:ascii="Calibri" w:eastAsia="Calibri" w:hAnsi="Calibri" w:cs="Calibri"/>
                <w:lang w:val="en-US"/>
              </w:rPr>
              <w:t>”</w:t>
            </w:r>
          </w:p>
        </w:tc>
        <w:tc>
          <w:tcPr>
            <w:tcW w:w="4508" w:type="dxa"/>
          </w:tcPr>
          <w:p w14:paraId="3A87396C" w14:textId="77777777" w:rsidR="00C20041" w:rsidRDefault="00C20041" w:rsidP="00CF1354">
            <w:pPr>
              <w:rPr>
                <w:rFonts w:ascii="Calibri" w:eastAsia="Calibri" w:hAnsi="Calibri" w:cs="Calibri"/>
                <w:lang w:val="en-US"/>
              </w:rPr>
            </w:pPr>
            <w:r>
              <w:rPr>
                <w:rFonts w:ascii="Calibri" w:eastAsia="Calibri" w:hAnsi="Calibri" w:cs="Calibri"/>
                <w:lang w:val="en-US"/>
              </w:rPr>
              <w:t>“F</w:t>
            </w:r>
            <w:r w:rsidRPr="001239B0">
              <w:rPr>
                <w:rFonts w:ascii="Calibri" w:eastAsia="Calibri" w:hAnsi="Calibri" w:cs="Calibri"/>
                <w:lang w:val="en-US"/>
              </w:rPr>
              <w:t xml:space="preserve">rameworks </w:t>
            </w:r>
            <w:r>
              <w:rPr>
                <w:rFonts w:ascii="Calibri" w:eastAsia="Calibri" w:hAnsi="Calibri" w:cs="Calibri"/>
                <w:lang w:val="en-US"/>
              </w:rPr>
              <w:t xml:space="preserve">for weighing available </w:t>
            </w:r>
            <w:r w:rsidRPr="001239B0">
              <w:rPr>
                <w:rFonts w:ascii="Calibri" w:eastAsia="Calibri" w:hAnsi="Calibri" w:cs="Calibri"/>
                <w:lang w:val="en-US"/>
              </w:rPr>
              <w:t xml:space="preserve">choices </w:t>
            </w:r>
            <w:r>
              <w:rPr>
                <w:rFonts w:ascii="Calibri" w:eastAsia="Calibri" w:hAnsi="Calibri" w:cs="Calibri"/>
                <w:lang w:val="en-US"/>
              </w:rPr>
              <w:t xml:space="preserve">can take </w:t>
            </w:r>
            <w:r w:rsidRPr="001239B0">
              <w:rPr>
                <w:rFonts w:ascii="Calibri" w:eastAsia="Calibri" w:hAnsi="Calibri" w:cs="Calibri"/>
                <w:lang w:val="en-US"/>
              </w:rPr>
              <w:t xml:space="preserve">account of strong sectoral and regional differences, </w:t>
            </w:r>
            <w:r>
              <w:rPr>
                <w:rFonts w:ascii="Calibri" w:eastAsia="Calibri" w:hAnsi="Calibri" w:cs="Calibri"/>
                <w:lang w:val="en-US"/>
              </w:rPr>
              <w:t xml:space="preserve">as well as </w:t>
            </w:r>
            <w:r w:rsidRPr="001239B0">
              <w:rPr>
                <w:rFonts w:ascii="Calibri" w:eastAsia="Calibri" w:hAnsi="Calibri" w:cs="Calibri"/>
                <w:lang w:val="en-US"/>
              </w:rPr>
              <w:t>equity and governance</w:t>
            </w:r>
            <w:r>
              <w:rPr>
                <w:rFonts w:ascii="Calibri" w:eastAsia="Calibri" w:hAnsi="Calibri" w:cs="Calibri"/>
                <w:lang w:val="en-US"/>
              </w:rPr>
              <w:t>”</w:t>
            </w:r>
          </w:p>
          <w:p w14:paraId="75192ED5" w14:textId="250ADDB0" w:rsidR="00C20041" w:rsidRPr="00C20041" w:rsidRDefault="00C20041" w:rsidP="00CF1354">
            <w:pPr>
              <w:rPr>
                <w:i/>
                <w:iCs/>
              </w:rPr>
            </w:pPr>
            <w:r w:rsidRPr="00C20041">
              <w:rPr>
                <w:i/>
                <w:iCs/>
              </w:rPr>
              <w:t>Appropriate is a meaningless word; no-one advocates using an inappropriate framework</w:t>
            </w:r>
          </w:p>
        </w:tc>
      </w:tr>
      <w:tr w:rsidR="00C20041" w14:paraId="25818061" w14:textId="77777777" w:rsidTr="00C20041">
        <w:tc>
          <w:tcPr>
            <w:tcW w:w="4508" w:type="dxa"/>
          </w:tcPr>
          <w:p w14:paraId="7D376F37" w14:textId="69D1907F" w:rsidR="00C20041" w:rsidRDefault="003B2230" w:rsidP="00CF1354">
            <w:pPr>
              <w:rPr>
                <w:b/>
                <w:bCs/>
              </w:rPr>
            </w:pPr>
            <w:r>
              <w:rPr>
                <w:rFonts w:cs="Calibri"/>
              </w:rPr>
              <w:t>“</w:t>
            </w:r>
            <w:r w:rsidR="00C20041" w:rsidRPr="00AD6992">
              <w:rPr>
                <w:rFonts w:cs="Calibri"/>
              </w:rPr>
              <w:t>In order to close the emissions gap of more than xx GtCO2 by 2030, renewable energy supply needs to be scaled up by a factor of yy-yy compared to today</w:t>
            </w:r>
            <w:r w:rsidR="00C20041">
              <w:rPr>
                <w:rFonts w:cs="Calibri"/>
              </w:rPr>
              <w:t>”</w:t>
            </w:r>
          </w:p>
        </w:tc>
        <w:tc>
          <w:tcPr>
            <w:tcW w:w="4508" w:type="dxa"/>
          </w:tcPr>
          <w:p w14:paraId="52B28412" w14:textId="43556246" w:rsidR="00C20041" w:rsidRDefault="00C20041" w:rsidP="00CF1354">
            <w:pPr>
              <w:rPr>
                <w:b/>
                <w:bCs/>
              </w:rPr>
            </w:pPr>
            <w:r w:rsidRPr="00C20041">
              <w:t xml:space="preserve">“In pathways that </w:t>
            </w:r>
            <w:r w:rsidRPr="00C20041">
              <w:rPr>
                <w:rFonts w:cs="Calibri"/>
              </w:rPr>
              <w:t>close</w:t>
            </w:r>
            <w:r w:rsidRPr="00AD6992">
              <w:rPr>
                <w:rFonts w:cs="Calibri"/>
              </w:rPr>
              <w:t xml:space="preserve"> the emissions gap of more than xx GtCO2 by 2030, renewable energy supply </w:t>
            </w:r>
            <w:r>
              <w:rPr>
                <w:rFonts w:cs="Calibri"/>
              </w:rPr>
              <w:t xml:space="preserve">is </w:t>
            </w:r>
            <w:r w:rsidRPr="00AD6992">
              <w:rPr>
                <w:rFonts w:cs="Calibri"/>
              </w:rPr>
              <w:t>scaled up by a factor of yy-yy compared to today</w:t>
            </w:r>
            <w:r>
              <w:rPr>
                <w:rFonts w:cs="Calibri"/>
              </w:rPr>
              <w:t>”</w:t>
            </w:r>
          </w:p>
        </w:tc>
      </w:tr>
    </w:tbl>
    <w:p w14:paraId="5229107C" w14:textId="77777777" w:rsidR="007C6A53" w:rsidRDefault="007C6A53" w:rsidP="00D13C2C"/>
    <w:sectPr w:rsidR="007C6A53" w:rsidSect="008501C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9FE6" w16cex:dateUtc="2020-06-04T10:59:00Z"/>
  <w16cex:commentExtensible w16cex:durableId="22839F9A" w16cex:dateUtc="2020-06-04T10:58:00Z"/>
  <w16cex:commentExtensible w16cex:durableId="2283A24B" w16cex:dateUtc="2020-06-04T11:09:00Z"/>
  <w16cex:commentExtensible w16cex:durableId="2283A373" w16cex:dateUtc="2020-06-04T11: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37084" w14:textId="77777777" w:rsidR="00F512CB" w:rsidRDefault="00F512CB" w:rsidP="003B2230">
      <w:pPr>
        <w:spacing w:after="0" w:line="240" w:lineRule="auto"/>
      </w:pPr>
      <w:r>
        <w:separator/>
      </w:r>
    </w:p>
  </w:endnote>
  <w:endnote w:type="continuationSeparator" w:id="0">
    <w:p w14:paraId="5BDDB1A9" w14:textId="77777777" w:rsidR="00F512CB" w:rsidRDefault="00F512CB" w:rsidP="003B2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4D8B7" w14:textId="77777777" w:rsidR="003B2230" w:rsidRDefault="003B22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343219"/>
      <w:docPartObj>
        <w:docPartGallery w:val="Page Numbers (Bottom of Page)"/>
        <w:docPartUnique/>
      </w:docPartObj>
    </w:sdtPr>
    <w:sdtEndPr>
      <w:rPr>
        <w:noProof/>
      </w:rPr>
    </w:sdtEndPr>
    <w:sdtContent>
      <w:p w14:paraId="4754F220" w14:textId="2EAAA4B6" w:rsidR="003B2230" w:rsidRDefault="003B2230">
        <w:pPr>
          <w:pStyle w:val="Fuzeile"/>
          <w:jc w:val="center"/>
        </w:pPr>
        <w:r>
          <w:fldChar w:fldCharType="begin"/>
        </w:r>
        <w:r>
          <w:instrText xml:space="preserve"> PAGE   \* MERGEFORMAT </w:instrText>
        </w:r>
        <w:r>
          <w:fldChar w:fldCharType="separate"/>
        </w:r>
        <w:r w:rsidR="004B64E8">
          <w:rPr>
            <w:noProof/>
          </w:rPr>
          <w:t>1</w:t>
        </w:r>
        <w:r>
          <w:rPr>
            <w:noProof/>
          </w:rPr>
          <w:fldChar w:fldCharType="end"/>
        </w:r>
      </w:p>
    </w:sdtContent>
  </w:sdt>
  <w:p w14:paraId="2F710BAE" w14:textId="77777777" w:rsidR="003B2230" w:rsidRDefault="003B223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FB94F" w14:textId="77777777" w:rsidR="003B2230" w:rsidRDefault="003B22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CEFF6" w14:textId="77777777" w:rsidR="00F512CB" w:rsidRDefault="00F512CB" w:rsidP="003B2230">
      <w:pPr>
        <w:spacing w:after="0" w:line="240" w:lineRule="auto"/>
      </w:pPr>
      <w:r>
        <w:separator/>
      </w:r>
    </w:p>
  </w:footnote>
  <w:footnote w:type="continuationSeparator" w:id="0">
    <w:p w14:paraId="3E5C7D3D" w14:textId="77777777" w:rsidR="00F512CB" w:rsidRDefault="00F512CB" w:rsidP="003B2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B6FFC" w14:textId="77777777" w:rsidR="003B2230" w:rsidRDefault="003B223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20BBA" w14:textId="77777777" w:rsidR="003B2230" w:rsidRDefault="003B223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C432F" w14:textId="77777777" w:rsidR="003B2230" w:rsidRDefault="003B223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E90"/>
    <w:multiLevelType w:val="hybridMultilevel"/>
    <w:tmpl w:val="2B4C83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25C04"/>
    <w:multiLevelType w:val="hybridMultilevel"/>
    <w:tmpl w:val="3E443BA6"/>
    <w:lvl w:ilvl="0" w:tplc="63A8BCEC">
      <w:start w:val="1"/>
      <w:numFmt w:val="upperLetter"/>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24F04"/>
    <w:multiLevelType w:val="hybridMultilevel"/>
    <w:tmpl w:val="0BD8A85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D5D0A3B"/>
    <w:multiLevelType w:val="hybridMultilevel"/>
    <w:tmpl w:val="4FB663B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25A56A1"/>
    <w:multiLevelType w:val="hybridMultilevel"/>
    <w:tmpl w:val="E6B06D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2A0C42"/>
    <w:multiLevelType w:val="hybridMultilevel"/>
    <w:tmpl w:val="D51E82F2"/>
    <w:lvl w:ilvl="0" w:tplc="4B265B6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09"/>
    <w:rsid w:val="00074AF8"/>
    <w:rsid w:val="00092C69"/>
    <w:rsid w:val="000F5509"/>
    <w:rsid w:val="00116F70"/>
    <w:rsid w:val="00136113"/>
    <w:rsid w:val="00173EA6"/>
    <w:rsid w:val="00210606"/>
    <w:rsid w:val="00262514"/>
    <w:rsid w:val="00295AAE"/>
    <w:rsid w:val="002C1E85"/>
    <w:rsid w:val="002C31D3"/>
    <w:rsid w:val="002E16C7"/>
    <w:rsid w:val="00335710"/>
    <w:rsid w:val="003A00CA"/>
    <w:rsid w:val="003A36F2"/>
    <w:rsid w:val="003B2230"/>
    <w:rsid w:val="00450FED"/>
    <w:rsid w:val="004B64E8"/>
    <w:rsid w:val="005076D7"/>
    <w:rsid w:val="005E5C19"/>
    <w:rsid w:val="005F4384"/>
    <w:rsid w:val="00634A57"/>
    <w:rsid w:val="00660F77"/>
    <w:rsid w:val="006E4ED1"/>
    <w:rsid w:val="0072388B"/>
    <w:rsid w:val="00725CC3"/>
    <w:rsid w:val="0076634A"/>
    <w:rsid w:val="00780B39"/>
    <w:rsid w:val="00791B5F"/>
    <w:rsid w:val="007B5B88"/>
    <w:rsid w:val="007C6A53"/>
    <w:rsid w:val="007F4C6C"/>
    <w:rsid w:val="0080183C"/>
    <w:rsid w:val="008355E3"/>
    <w:rsid w:val="008501C7"/>
    <w:rsid w:val="008510F6"/>
    <w:rsid w:val="00856C88"/>
    <w:rsid w:val="008C2913"/>
    <w:rsid w:val="008C514D"/>
    <w:rsid w:val="008F3029"/>
    <w:rsid w:val="009B19C0"/>
    <w:rsid w:val="00A12DD4"/>
    <w:rsid w:val="00A96FB5"/>
    <w:rsid w:val="00AA32FF"/>
    <w:rsid w:val="00AB5B66"/>
    <w:rsid w:val="00AC32C0"/>
    <w:rsid w:val="00AC41BA"/>
    <w:rsid w:val="00AC4C0C"/>
    <w:rsid w:val="00BB707E"/>
    <w:rsid w:val="00BD416A"/>
    <w:rsid w:val="00C1107E"/>
    <w:rsid w:val="00C20041"/>
    <w:rsid w:val="00CB205F"/>
    <w:rsid w:val="00CC5103"/>
    <w:rsid w:val="00CF1354"/>
    <w:rsid w:val="00D02A61"/>
    <w:rsid w:val="00D12A04"/>
    <w:rsid w:val="00D13C2C"/>
    <w:rsid w:val="00D40D34"/>
    <w:rsid w:val="00DD3D8D"/>
    <w:rsid w:val="00DE7EA9"/>
    <w:rsid w:val="00DF0C53"/>
    <w:rsid w:val="00E304B7"/>
    <w:rsid w:val="00E47147"/>
    <w:rsid w:val="00EC2BB5"/>
    <w:rsid w:val="00EF356F"/>
    <w:rsid w:val="00F40B5F"/>
    <w:rsid w:val="00F512CB"/>
    <w:rsid w:val="00F9660C"/>
    <w:rsid w:val="00FA7B21"/>
    <w:rsid w:val="00FE13BD"/>
    <w:rsid w:val="00FE51CE"/>
    <w:rsid w:val="00FF6142"/>
    <w:rsid w:val="00FF7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A700"/>
  <w15:docId w15:val="{7366E308-79B1-4C45-B320-5AFFFBF1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91B5F"/>
    <w:pPr>
      <w:keepNext/>
      <w:keepLines/>
      <w:spacing w:after="240"/>
      <w:outlineLvl w:val="1"/>
    </w:pPr>
    <w:rPr>
      <w:rFonts w:asciiTheme="majorHAnsi" w:eastAsiaTheme="majorEastAsia" w:hAnsiTheme="majorHAnsi" w:cstheme="majorBidi"/>
      <w:b/>
      <w:bCs/>
      <w:color w:val="000000" w:themeColor="text1"/>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5509"/>
    <w:pPr>
      <w:ind w:left="720"/>
      <w:contextualSpacing/>
    </w:pPr>
  </w:style>
  <w:style w:type="paragraph" w:styleId="Sprechblasentext">
    <w:name w:val="Balloon Text"/>
    <w:basedOn w:val="Standard"/>
    <w:link w:val="SprechblasentextZchn"/>
    <w:uiPriority w:val="99"/>
    <w:semiHidden/>
    <w:unhideWhenUsed/>
    <w:rsid w:val="002106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0606"/>
    <w:rPr>
      <w:rFonts w:ascii="Segoe UI" w:hAnsi="Segoe UI" w:cs="Segoe UI"/>
      <w:sz w:val="18"/>
      <w:szCs w:val="18"/>
    </w:rPr>
  </w:style>
  <w:style w:type="table" w:styleId="Tabellenraster">
    <w:name w:val="Table Grid"/>
    <w:basedOn w:val="NormaleTabelle"/>
    <w:uiPriority w:val="39"/>
    <w:rsid w:val="00C20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B223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B2230"/>
  </w:style>
  <w:style w:type="paragraph" w:styleId="Fuzeile">
    <w:name w:val="footer"/>
    <w:basedOn w:val="Standard"/>
    <w:link w:val="FuzeileZchn"/>
    <w:uiPriority w:val="99"/>
    <w:unhideWhenUsed/>
    <w:rsid w:val="003B223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B2230"/>
  </w:style>
  <w:style w:type="character" w:styleId="Kommentarzeichen">
    <w:name w:val="annotation reference"/>
    <w:basedOn w:val="Absatz-Standardschriftart"/>
    <w:uiPriority w:val="99"/>
    <w:semiHidden/>
    <w:unhideWhenUsed/>
    <w:rsid w:val="00A96FB5"/>
    <w:rPr>
      <w:sz w:val="16"/>
      <w:szCs w:val="16"/>
    </w:rPr>
  </w:style>
  <w:style w:type="paragraph" w:styleId="Kommentartext">
    <w:name w:val="annotation text"/>
    <w:basedOn w:val="Standard"/>
    <w:link w:val="KommentartextZchn"/>
    <w:uiPriority w:val="99"/>
    <w:unhideWhenUsed/>
    <w:rsid w:val="00A96FB5"/>
    <w:pPr>
      <w:spacing w:line="240" w:lineRule="auto"/>
    </w:pPr>
    <w:rPr>
      <w:sz w:val="20"/>
      <w:szCs w:val="20"/>
    </w:rPr>
  </w:style>
  <w:style w:type="character" w:customStyle="1" w:styleId="KommentartextZchn">
    <w:name w:val="Kommentartext Zchn"/>
    <w:basedOn w:val="Absatz-Standardschriftart"/>
    <w:link w:val="Kommentartext"/>
    <w:uiPriority w:val="99"/>
    <w:rsid w:val="00A96FB5"/>
    <w:rPr>
      <w:sz w:val="20"/>
      <w:szCs w:val="20"/>
    </w:rPr>
  </w:style>
  <w:style w:type="paragraph" w:styleId="Kommentarthema">
    <w:name w:val="annotation subject"/>
    <w:basedOn w:val="Kommentartext"/>
    <w:next w:val="Kommentartext"/>
    <w:link w:val="KommentarthemaZchn"/>
    <w:uiPriority w:val="99"/>
    <w:semiHidden/>
    <w:unhideWhenUsed/>
    <w:rsid w:val="00A96FB5"/>
    <w:rPr>
      <w:b/>
      <w:bCs/>
    </w:rPr>
  </w:style>
  <w:style w:type="character" w:customStyle="1" w:styleId="KommentarthemaZchn">
    <w:name w:val="Kommentarthema Zchn"/>
    <w:basedOn w:val="KommentartextZchn"/>
    <w:link w:val="Kommentarthema"/>
    <w:uiPriority w:val="99"/>
    <w:semiHidden/>
    <w:rsid w:val="00A96FB5"/>
    <w:rPr>
      <w:b/>
      <w:bCs/>
      <w:sz w:val="20"/>
      <w:szCs w:val="20"/>
    </w:rPr>
  </w:style>
  <w:style w:type="character" w:customStyle="1" w:styleId="berschrift2Zchn">
    <w:name w:val="Überschrift 2 Zchn"/>
    <w:basedOn w:val="Absatz-Standardschriftart"/>
    <w:link w:val="berschrift2"/>
    <w:uiPriority w:val="9"/>
    <w:rsid w:val="00791B5F"/>
    <w:rPr>
      <w:rFonts w:asciiTheme="majorHAnsi" w:eastAsiaTheme="majorEastAsia" w:hAnsiTheme="majorHAnsi" w:cstheme="majorBidi"/>
      <w:b/>
      <w:bCs/>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417111">
      <w:bodyDiv w:val="1"/>
      <w:marLeft w:val="0"/>
      <w:marRight w:val="0"/>
      <w:marTop w:val="0"/>
      <w:marBottom w:val="0"/>
      <w:divBdr>
        <w:top w:val="none" w:sz="0" w:space="0" w:color="auto"/>
        <w:left w:val="none" w:sz="0" w:space="0" w:color="auto"/>
        <w:bottom w:val="none" w:sz="0" w:space="0" w:color="auto"/>
        <w:right w:val="none" w:sz="0" w:space="0" w:color="auto"/>
      </w:divBdr>
    </w:div>
    <w:div w:id="1164013461">
      <w:bodyDiv w:val="1"/>
      <w:marLeft w:val="0"/>
      <w:marRight w:val="0"/>
      <w:marTop w:val="0"/>
      <w:marBottom w:val="0"/>
      <w:divBdr>
        <w:top w:val="none" w:sz="0" w:space="0" w:color="auto"/>
        <w:left w:val="none" w:sz="0" w:space="0" w:color="auto"/>
        <w:bottom w:val="none" w:sz="0" w:space="0" w:color="auto"/>
        <w:right w:val="none" w:sz="0" w:space="0" w:color="auto"/>
      </w:divBdr>
    </w:div>
    <w:div w:id="1894729831">
      <w:bodyDiv w:val="1"/>
      <w:marLeft w:val="0"/>
      <w:marRight w:val="0"/>
      <w:marTop w:val="0"/>
      <w:marBottom w:val="0"/>
      <w:divBdr>
        <w:top w:val="none" w:sz="0" w:space="0" w:color="auto"/>
        <w:left w:val="none" w:sz="0" w:space="0" w:color="auto"/>
        <w:bottom w:val="none" w:sz="0" w:space="0" w:color="auto"/>
        <w:right w:val="none" w:sz="0" w:space="0" w:color="auto"/>
      </w:divBdr>
    </w:div>
    <w:div w:id="1982071826">
      <w:bodyDiv w:val="1"/>
      <w:marLeft w:val="0"/>
      <w:marRight w:val="0"/>
      <w:marTop w:val="0"/>
      <w:marBottom w:val="0"/>
      <w:divBdr>
        <w:top w:val="none" w:sz="0" w:space="0" w:color="auto"/>
        <w:left w:val="none" w:sz="0" w:space="0" w:color="auto"/>
        <w:bottom w:val="none" w:sz="0" w:space="0" w:color="auto"/>
        <w:right w:val="none" w:sz="0" w:space="0" w:color="auto"/>
      </w:divBdr>
    </w:div>
    <w:div w:id="20930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7346C4E345DB4588416707DD7A0ACE" ma:contentTypeVersion="15" ma:contentTypeDescription="Create a new document." ma:contentTypeScope="" ma:versionID="3618938729c93387c5eb9915bacd54c6">
  <xsd:schema xmlns:xsd="http://www.w3.org/2001/XMLSchema" xmlns:xs="http://www.w3.org/2001/XMLSchema" xmlns:p="http://schemas.microsoft.com/office/2006/metadata/properties" xmlns:ns2="55b456e0-6960-4b1b-b346-abe06458ad84" xmlns:ns3="8c87dd1a-aa14-4a78-b76e-e7659f7c863f" targetNamespace="http://schemas.microsoft.com/office/2006/metadata/properties" ma:root="true" ma:fieldsID="f8263180de85c9ad4581602c5925e91f" ns2:_="" ns3:_="">
    <xsd:import namespace="55b456e0-6960-4b1b-b346-abe06458ad84"/>
    <xsd:import namespace="8c87dd1a-aa14-4a78-b76e-e7659f7c86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56e0-6960-4b1b-b346-abe06458ad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7dd1a-aa14-4a78-b76e-e7659f7c8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BD86A3-D82B-49B4-B8C2-BC1F4DBFBBB1}">
  <ds:schemaRefs>
    <ds:schemaRef ds:uri="http://schemas.microsoft.com/sharepoint/v3/contenttype/forms"/>
  </ds:schemaRefs>
</ds:datastoreItem>
</file>

<file path=customXml/itemProps2.xml><?xml version="1.0" encoding="utf-8"?>
<ds:datastoreItem xmlns:ds="http://schemas.openxmlformats.org/officeDocument/2006/customXml" ds:itemID="{8A6023A2-DC34-4088-ABB6-776E7F9BEF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116D50-BC88-4F0D-8B41-FB8BDB623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456e0-6960-4b1b-b346-abe06458ad84"/>
    <ds:schemaRef ds:uri="8c87dd1a-aa14-4a78-b76e-e7659f7c8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1148</Words>
  <Characters>6545</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Imperial College</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Skea, Jim</dc:creator>
  <cp:lastModifiedBy>Jan Minx</cp:lastModifiedBy>
  <cp:revision>2</cp:revision>
  <cp:lastPrinted>2020-06-04T13:01:00Z</cp:lastPrinted>
  <dcterms:created xsi:type="dcterms:W3CDTF">2020-06-25T14:05:00Z</dcterms:created>
  <dcterms:modified xsi:type="dcterms:W3CDTF">2020-06-25T14:05:00Z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0x010100977346C4E345DB4588416707DD7A0ACE</vt:lpwstr>
  </property>
</Properties>
</file>