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CF103F" w14:textId="0EA9EE3C" w:rsidR="000E4F21" w:rsidRDefault="001E106F" w:rsidP="007E1110">
      <w:pPr>
        <w:pStyle w:val="Heading1"/>
        <w:spacing w:after="120"/>
      </w:pPr>
      <w:r w:rsidRPr="00C41826">
        <w:t>The political economy of national</w:t>
      </w:r>
      <w:r w:rsidR="00D310F1" w:rsidRPr="00C41826">
        <w:t xml:space="preserve"> </w:t>
      </w:r>
      <w:r w:rsidR="00D07764" w:rsidRPr="00C41826">
        <w:t xml:space="preserve">climate policy: </w:t>
      </w:r>
      <w:r w:rsidR="001139AD" w:rsidRPr="00C41826">
        <w:t>architectures of constraint</w:t>
      </w:r>
      <w:r w:rsidR="00810B27" w:rsidRPr="00C41826">
        <w:t xml:space="preserve"> and a typology of countries</w:t>
      </w:r>
    </w:p>
    <w:p w14:paraId="29CAA23F" w14:textId="422B48F9" w:rsidR="007E1110" w:rsidRPr="007E1110" w:rsidRDefault="007E1110" w:rsidP="007E1110">
      <w:pPr>
        <w:pStyle w:val="Heading3"/>
      </w:pPr>
      <w:r>
        <w:t>William F. Lamb &amp; Jan C. Minx</w:t>
      </w:r>
    </w:p>
    <w:p w14:paraId="3ADE1166" w14:textId="77777777" w:rsidR="00C41826" w:rsidRPr="00C41826" w:rsidRDefault="00C41826" w:rsidP="00C41826"/>
    <w:p w14:paraId="5321D67E" w14:textId="4D8F3674" w:rsidR="001C305A" w:rsidRDefault="00792159" w:rsidP="00C41826">
      <w:pPr>
        <w:spacing w:line="360" w:lineRule="auto"/>
      </w:pPr>
      <w:r>
        <w:t xml:space="preserve">The continued failure of countries to embark on </w:t>
      </w:r>
      <w:r w:rsidR="00C82BB8">
        <w:t xml:space="preserve">deep decarbonisation pathways </w:t>
      </w:r>
      <w:r>
        <w:t xml:space="preserve">requires </w:t>
      </w:r>
      <w:r w:rsidR="004C589C">
        <w:t xml:space="preserve">explanation. </w:t>
      </w:r>
      <w:r w:rsidR="000461FB">
        <w:t>In this paper we take a comparative political econom</w:t>
      </w:r>
      <w:r w:rsidR="00375FCE">
        <w:t>y</w:t>
      </w:r>
      <w:r w:rsidR="000461FB">
        <w:t xml:space="preserve"> lens</w:t>
      </w:r>
      <w:r w:rsidR="00541138">
        <w:t xml:space="preserve"> to identify national</w:t>
      </w:r>
      <w:r w:rsidR="000461FB">
        <w:t xml:space="preserve"> constraints that actively hinder climate policy progress. </w:t>
      </w:r>
      <w:r w:rsidR="00375FCE">
        <w:t>We discuss different metrics of climate policy progress</w:t>
      </w:r>
      <w:r w:rsidR="00810B27">
        <w:t>, including</w:t>
      </w:r>
      <w:r w:rsidR="00144DD8">
        <w:t xml:space="preserve"> </w:t>
      </w:r>
      <w:r w:rsidR="00403190">
        <w:t>emissions trends, climate legislation adoption, policy adoption, policy stringency</w:t>
      </w:r>
      <w:r w:rsidR="00144DD8">
        <w:t>,</w:t>
      </w:r>
      <w:r w:rsidR="00403190">
        <w:t xml:space="preserve"> and policy outcomes</w:t>
      </w:r>
      <w:r w:rsidR="00144DD8">
        <w:t xml:space="preserve">. </w:t>
      </w:r>
      <w:r w:rsidR="00853D43">
        <w:t xml:space="preserve">We then review literatures that attempt to explain </w:t>
      </w:r>
      <w:r w:rsidR="007C3A6E">
        <w:t>varying</w:t>
      </w:r>
      <w:r w:rsidR="00853D43">
        <w:t xml:space="preserve"> national outcomes along these dimensions. </w:t>
      </w:r>
      <w:r w:rsidR="007C3A6E">
        <w:t xml:space="preserve">Interest-based constraints include (but are not limited to) exposure to fossil fuel extraction activities and supply-side coal dependency; institutional constraints include a lack of democratic norms and exposure to corruption; while idea-based constraints constitute a lack of climate awareness and low levels of social trust. </w:t>
      </w:r>
      <w:r w:rsidR="00C82BB8">
        <w:t>Correlation, principal component and trend a</w:t>
      </w:r>
      <w:r w:rsidR="00375FCE">
        <w:t>nalysis</w:t>
      </w:r>
      <w:r w:rsidR="007C3A6E">
        <w:t xml:space="preserve"> </w:t>
      </w:r>
      <w:r w:rsidR="00375FCE">
        <w:t xml:space="preserve">of these variables </w:t>
      </w:r>
      <w:r w:rsidR="007C3A6E">
        <w:t>s</w:t>
      </w:r>
      <w:bookmarkStart w:id="0" w:name="_GoBack"/>
      <w:bookmarkEnd w:id="0"/>
      <w:r w:rsidR="007C3A6E">
        <w:t xml:space="preserve">uggests strong co-dependencies and relative stability in crucial dimensions. </w:t>
      </w:r>
      <w:r w:rsidR="00375FCE">
        <w:t xml:space="preserve">Cluster analysis identifies </w:t>
      </w:r>
      <w:r w:rsidR="00375FCE" w:rsidRPr="00E43A88">
        <w:t xml:space="preserve">different architectures of constraints for five distinct country groups: </w:t>
      </w:r>
      <w:r w:rsidR="00FD63D8" w:rsidRPr="00E43A88">
        <w:t xml:space="preserve">‘oil </w:t>
      </w:r>
      <w:r w:rsidR="00C82BB8" w:rsidRPr="00E43A88">
        <w:t xml:space="preserve">&amp; gas </w:t>
      </w:r>
      <w:r w:rsidR="00FD63D8" w:rsidRPr="00E43A88">
        <w:t>states’, ‘fragile states’, ‘</w:t>
      </w:r>
      <w:r w:rsidR="00E43A88" w:rsidRPr="00E43A88">
        <w:t>coal-dependent development</w:t>
      </w:r>
      <w:r w:rsidR="00FD63D8" w:rsidRPr="00E43A88">
        <w:t>’, ‘fractured democracies’ and the ‘wealthy OECD’.</w:t>
      </w:r>
      <w:r w:rsidR="000461FB" w:rsidRPr="00E43A88">
        <w:t xml:space="preserve"> </w:t>
      </w:r>
      <w:r w:rsidR="00693EF0" w:rsidRPr="00E43A88">
        <w:t>We highlight the need for more rigorous</w:t>
      </w:r>
      <w:r w:rsidR="00693EF0">
        <w:t>, multi-</w:t>
      </w:r>
      <w:r w:rsidR="00C23045">
        <w:t xml:space="preserve">dimensional assessments of the </w:t>
      </w:r>
      <w:r w:rsidR="00693EF0">
        <w:t>climate policy g</w:t>
      </w:r>
      <w:r w:rsidR="00C23045">
        <w:t>ap</w:t>
      </w:r>
      <w:r w:rsidR="00C82BB8">
        <w:t xml:space="preserve"> and its underlying drivers.</w:t>
      </w:r>
    </w:p>
    <w:p w14:paraId="6A3B945C" w14:textId="77777777" w:rsidR="00477FBA" w:rsidRDefault="00477FBA">
      <w:pPr>
        <w:spacing w:line="360" w:lineRule="auto"/>
      </w:pPr>
    </w:p>
    <w:p w14:paraId="341DC5E4" w14:textId="3867D7C4" w:rsidR="00047E5B" w:rsidRDefault="00047E5B">
      <w:pPr>
        <w:spacing w:line="360" w:lineRule="auto"/>
      </w:pPr>
      <w:r>
        <w:t xml:space="preserve">Keywords: </w:t>
      </w:r>
      <w:r w:rsidRPr="00047E5B">
        <w:t>political economy; climate policy; climate legislation; institutions; ideas; interests</w:t>
      </w:r>
    </w:p>
    <w:p w14:paraId="511A2229" w14:textId="77777777" w:rsidR="00047E5B" w:rsidRDefault="00047E5B">
      <w:pPr>
        <w:spacing w:line="360" w:lineRule="auto"/>
      </w:pPr>
    </w:p>
    <w:p w14:paraId="28049E90" w14:textId="77777777" w:rsidR="006931F5" w:rsidRDefault="00C062F4" w:rsidP="00936D99">
      <w:pPr>
        <w:pStyle w:val="Heading2"/>
        <w:numPr>
          <w:ilvl w:val="0"/>
          <w:numId w:val="1"/>
        </w:numPr>
        <w:spacing w:line="360" w:lineRule="auto"/>
      </w:pPr>
      <w:r w:rsidRPr="00CB691F">
        <w:t>Introduction</w:t>
      </w:r>
    </w:p>
    <w:p w14:paraId="47BEBE65" w14:textId="00059550" w:rsidR="00E34187" w:rsidRDefault="00F20284" w:rsidP="00E77203">
      <w:pPr>
        <w:spacing w:line="360" w:lineRule="auto"/>
      </w:pPr>
      <w:r>
        <w:t xml:space="preserve">It is </w:t>
      </w:r>
      <w:r w:rsidR="006C1563">
        <w:t xml:space="preserve">widely </w:t>
      </w:r>
      <w:r>
        <w:t xml:space="preserve">acknowledged that countries are not on track to meet the </w:t>
      </w:r>
      <w:r w:rsidR="00D82B23">
        <w:t xml:space="preserve">climate mitigation </w:t>
      </w:r>
      <w:r>
        <w:t>goals of the Paris Agreement.</w:t>
      </w:r>
      <w:r w:rsidR="00847453">
        <w:t xml:space="preserve"> Assessments of </w:t>
      </w:r>
      <w:r w:rsidR="004806FF">
        <w:t xml:space="preserve">current emissions pathways and those projected under the </w:t>
      </w:r>
      <w:r w:rsidR="008841BE">
        <w:t xml:space="preserve">Nationally Determined Contributions (NDCs) </w:t>
      </w:r>
      <w:r w:rsidR="00C80E97">
        <w:t>suggest that the</w:t>
      </w:r>
      <w:r w:rsidR="00847453">
        <w:t xml:space="preserve"> </w:t>
      </w:r>
      <w:r w:rsidR="00C80E97">
        <w:t xml:space="preserve">global </w:t>
      </w:r>
      <w:r w:rsidR="00847453">
        <w:t>cumulative emi</w:t>
      </w:r>
      <w:r w:rsidR="008841BE">
        <w:t xml:space="preserve">ssions budget of </w:t>
      </w:r>
      <w:r>
        <w:t>1.5</w:t>
      </w:r>
      <w:r w:rsidR="00D82B23">
        <w:rPr>
          <w:rFonts w:cstheme="minorHAnsi"/>
        </w:rPr>
        <w:t>°</w:t>
      </w:r>
      <w:r>
        <w:t>C</w:t>
      </w:r>
      <w:r w:rsidR="008841BE">
        <w:t xml:space="preserve"> </w:t>
      </w:r>
      <w:r w:rsidR="00C80E97">
        <w:t xml:space="preserve">may already be exhausted by 2030 – with </w:t>
      </w:r>
      <w:r w:rsidR="000A663E">
        <w:t xml:space="preserve">the 2°C budget soon to follow </w:t>
      </w:r>
      <w:r w:rsidR="008841BE">
        <w:fldChar w:fldCharType="begin" w:fldLock="1"/>
      </w:r>
      <w:r w:rsidR="00AE1CAD">
        <w:instrText>ADDIN CSL_CITATION {"citationItems":[{"id":"ITEM-1","itemData":{"ISBN":"978-92-807-3726-4","author":[{"dropping-particle":"","family":"UNEP","given":"","non-dropping-particle":"","parse-names":false,"suffix":""}],"id":"ITEM-1","issued":{"date-parts":[["2018"]]},"publisher":"United Nations Environment Program","publisher-place":"Nairobi","title":"The Emissions Gap Report 2018","type":"book"},"uris":["http://www.mendeley.com/documents/?uuid=d2c072e7-66c7-491f-9ab2-4cb7e6bcf892"]},{"id":"ITEM-2","itemData":{"DOI":"10.1038/s41558-018-0198-6","ISSN":"17586798","abstract":"The Paris Agreement—which is aimed at holding global warming well below 2 °C while pursuing efforts to limit it below 1.5 °C—has initiated a bottom-up process of iteratively updating nationally determined contributions to reach these long-term goals. Achieving these goals implies a tight limit on cumulative net CO2 emissions, of which residual CO2 emissions from fossil fuels are the greatest impediment. Here, using an ensemble of seven integrated assessment models (IAMs), we explore the determinants of these residual emissions, focusing on sector-level contributions. Even when strengthened pre-2030 mitigation action is combined with very stringent long-term policies, cumulative residual CO2 emissions from fossil fuels remain at 850–1,150 GtCO2 during 2016–2100, despite carbon prices of US$130–420 per tCO2 by 2030. Thus, 640–950 GtCO2 removal is required for a likely chance of limiting end-of-century warming to 1.5 °C. In the absence of strengthened pre-2030 pledges, long-term CO2 commitments are increased by 160–330 GtCO2, further jeopardizing achievement of the 1.5 °C goal and increasing dependence on CO2 removal.","author":[{"dropping-particle":"","family":"Luderer","given":"Gunnar","non-dropping-particle":"","parse-names":false,"suffix":""},{"dropping-particle":"","family":"Vrontisi","given":"Zoi","non-dropping-particle":"","parse-names":false,"suffix":""},{"dropping-particle":"","family":"Bertram","given":"Christoph","non-dropping-particle":"","parse-names":false,"suffix":""},{"dropping-particle":"","family":"Edelenbosch","given":"Oreane Y.","non-dropping-particle":"","parse-names":false,"suffix":""},{"dropping-particle":"","family":"Pietzcker","given":"Robert C.","non-dropping-particle":"","parse-names":false,"suffix":""},{"dropping-particle":"","family":"Rogelj","given":"Joeri","non-dropping-particle":"","parse-names":false,"suffix":""},{"dropping-particle":"","family":"Boer","given":"Harmen Sytze","non-dropping-particle":"De","parse-names":false,"suffix":""},{"dropping-particle":"","family":"Drouet","given":"Laurent","non-dropping-particle":"","parse-names":false,"suffix":""},{"dropping-particle":"","family":"Emmerling","given":"Johannes","non-dropping-particle":"","parse-names":false,"suffix":""},{"dropping-particle":"","family":"Fricko","given":"Oliver","non-dropping-particle":"","parse-names":false,"suffix":""},{"dropping-particle":"","family":"Fujimori","given":"Shinichiro","non-dropping-particle":"","parse-names":false,"suffix":""},{"dropping-particle":"","family":"Havlík","given":"Petr","non-dropping-particle":"","parse-names":false,"suffix":""},{"dropping-particle":"","family":"Iyer","given":"Gokul","non-dropping-particle":"","parse-names":false,"suffix":""},{"dropping-particle":"","family":"Keramidas","given":"Kimon","non-dropping-particle":"","parse-names":false,"suffix":""},{"dropping-particle":"","family":"Kitous","given":"Alban","non-dropping-particle":"","parse-names":false,"suffix":""},{"dropping-particle":"","family":"Pehl","given":"Michaja","non-dropping-particle":"","parse-names":false,"suffix":""},{"dropping-particle":"","family":"Krey","given":"Volker","non-dropping-particle":"","parse-names":false,"suffix":""},{"dropping-particle":"","family":"Riahi","given":"Keywan","non-dropping-particle":"","parse-names":false,"suffix":""},{"dropping-particle":"","family":"Saveyn","given":"Bert","non-dropping-particle":"","parse-names":false,"suffix":""},{"dropping-particle":"","family":"Tavoni","given":"Massimo","non-dropping-particle":"","parse-names":false,"suffix":""},{"dropping-particle":"","family":"Vuuren","given":"Detlef P.","non-dropping-particle":"Van","parse-names":false,"suffix":""},{"dropping-particle":"","family":"Kriegler","given":"Elmar","non-dropping-particle":"","parse-names":false,"suffix":""}],"container-title":"Nature Climate Change","id":"ITEM-2","issue":"7","issued":{"date-parts":[["2018"]]},"page":"626-633","publisher":"Springer US","title":"Residual fossil CO2 emissions in 1.5-2°C pathways","type":"article-journal","volume":"8"},"uris":["http://www.mendeley.com/documents/?uuid=3181d310-39b2-4fa6-9e17-d02ed440fea7"]}],"mendeley":{"formattedCitation":"(Luderer et al., 2018; UNEP, 2018)","plainTextFormattedCitation":"(Luderer et al., 2018; UNEP, 2018)","previouslyFormattedCitation":"(Luderer et al., 2018; UNEP, 2018)"},"properties":{"noteIndex":0},"schema":"https://github.com/citation-style-language/schema/raw/master/csl-citation.json"}</w:instrText>
      </w:r>
      <w:r w:rsidR="008841BE">
        <w:fldChar w:fldCharType="separate"/>
      </w:r>
      <w:r w:rsidR="00B53BF6" w:rsidRPr="00B53BF6">
        <w:rPr>
          <w:noProof/>
        </w:rPr>
        <w:t>(Luderer et al., 2018; UNEP, 2018)</w:t>
      </w:r>
      <w:r w:rsidR="008841BE">
        <w:fldChar w:fldCharType="end"/>
      </w:r>
      <w:r w:rsidR="00847453">
        <w:t xml:space="preserve">. </w:t>
      </w:r>
      <w:r>
        <w:t xml:space="preserve">A </w:t>
      </w:r>
      <w:r w:rsidR="00143BF0">
        <w:t>majority of countries have put into place climate targets and legislative measures</w:t>
      </w:r>
      <w:r w:rsidR="00F5337B">
        <w:t xml:space="preserve"> </w:t>
      </w:r>
      <w:r w:rsidR="00F5337B">
        <w:fldChar w:fldCharType="begin" w:fldLock="1"/>
      </w:r>
      <w:r w:rsidR="00AE1CAD">
        <w:instrText>ADDIN CSL_CITATION {"citationItems":[{"id":"ITEM-1","itemData":{"DOI":"10.1080/14693062.2018.1489772","ISSN":"17527457","abstract":"Global climate change governance has changed substantially in the last decade, with a shift in focus from negotiating globally agreed greenhouse gas (GHG) reduction targets to nationally determined contributions, as enshrined in the 2015 Paris Agreement. This paper analyses trends in adoption of national climate legislation and strategies, GHG targets, and renewable and energy efficiency targets in almost all UNFCCC Parties, focusing on the period from 2007 to 2017. The uniqueness and added value of this paper reside in its broad sweep of countries, the more than decade-long coverage and the use of objective metrics rather than normative judgements. Key results show that national climate legislation and strategies witnessed a strong increase in the first half of the assessed decade, likely due to the political lead up to the Copenhagen Climate Conference in 2009, but have somewhat stagnated in recent years, currently covering 70% of global GHG emissions (almost 50% of countries). In comparison, the coverage of GHG targets increased considerably in the run up to adoption of the Paris Agreement and 89% of global GHG emissions are currently covered by such targets. Renewable energy targets saw a steady spread, with 79% of the global GHG emissions covered in 2017 compared to 45% in 2007, with a steep increase in developing countries. Key policy insights The number of countries that have national legislation and strategies in place increased strongly up to 2012, but the increase has levelled off in recent years, now covering 70% of global emissions by 2017 (48% of countries and 76% of global population). Economy-wide GHG reduction targets witnessed a strong increase in the build up to 2015 and are adopted by countries covering 89% of global GHG emissions (76% not counting USA) and 90% of global population (86% not counting USA) in 2017. Renewable energy targets saw a steady increase throughout the last decade with coverage of countries in 2017 comparable to that of GHG targets. Key shifts in national measures coincide with landmark international events – an increase in legislation and strategy in the build-up to the Copenhagen Climate Conference and an increase in targets around the Paris Agreement – emphasizing the importance of the international process to maintaining national momentum.","author":[{"dropping-particle":"","family":"Iacobuta","given":"Gabriela","non-dropping-particle":"","parse-names":false,"suffix":""},{"dropping-particle":"","family":"Dubash","given":"Navroz K.","non-dropping-particle":"","parse-names":false,"suffix":""},{"dropping-particle":"","family":"Upadhyaya","given":"Prabhat","non-dropping-particle":"","parse-names":false,"suffix":""},{"dropping-particle":"","family":"Deribe","given":"Mekdelawit","non-dropping-particle":"","parse-names":false,"suffix":""},{"dropping-particle":"","family":"Höhne","given":"Niklas","non-dropping-particle":"","parse-names":false,"suffix":""}],"container-title":"Climate Policy","id":"ITEM-1","issued":{"date-parts":[["2018"]]},"page":"1-19","title":"National climate change mitigation legislation, strategy and targets: a global update","type":"article-journal","volume":"3062"},"uris":["http://www.mendeley.com/documents/?uuid=10e0db5d-7d29-46d9-870a-4351a4d4c6f2"]},{"id":"ITEM-2","itemData":{"author":[{"dropping-particle":"","family":"Grantham Institute","given":"","non-dropping-particle":"","parse-names":false,"suffix":""}],"id":"ITEM-2","issued":{"date-parts":[["2017"]]},"publisher-place":"London","title":"Climate Change Laws of the World database","type":"report"},"uris":["http://www.mendeley.com/documents/?uuid=50667aa3-fc88-4714-a50a-eebf79045590"]}],"mendeley":{"formattedCitation":"(Grantham Institute, 2017; Iacobuta, Dubash, Upadhyaya, Deribe, &amp; Höhne, 2018)","plainTextFormattedCitation":"(Grantham Institute, 2017; Iacobuta, Dubash, Upadhyaya, Deribe, &amp; Höhne, 2018)","previouslyFormattedCitation":"(Grantham Institute, 2017; Iacobuta, Dubash, Upadhyaya, Deribe, &amp; Höhne, 2018)"},"properties":{"noteIndex":0},"schema":"https://github.com/citation-style-language/schema/raw/master/csl-citation.json"}</w:instrText>
      </w:r>
      <w:r w:rsidR="00F5337B">
        <w:fldChar w:fldCharType="separate"/>
      </w:r>
      <w:r w:rsidR="00B53BF6" w:rsidRPr="00B53BF6">
        <w:rPr>
          <w:noProof/>
        </w:rPr>
        <w:t>(Grantham Institute, 2017; Iacobuta, Dubash, Upadhyaya, Deribe, &amp; Höhne, 2018)</w:t>
      </w:r>
      <w:r w:rsidR="00F5337B">
        <w:fldChar w:fldCharType="end"/>
      </w:r>
      <w:r w:rsidR="00143BF0">
        <w:t xml:space="preserve">, </w:t>
      </w:r>
      <w:r>
        <w:t xml:space="preserve">but </w:t>
      </w:r>
      <w:r w:rsidR="005534F5">
        <w:t xml:space="preserve">the implementation of </w:t>
      </w:r>
      <w:r>
        <w:t>effective and stringent policies</w:t>
      </w:r>
      <w:r w:rsidR="00BC45E5">
        <w:t xml:space="preserve"> </w:t>
      </w:r>
      <w:r w:rsidR="005534F5">
        <w:t xml:space="preserve">is still lacking </w:t>
      </w:r>
      <w:r w:rsidR="00F5337B">
        <w:fldChar w:fldCharType="begin" w:fldLock="1"/>
      </w:r>
      <w:r w:rsidR="00AE1CAD">
        <w:instrText>ADDIN CSL_CITATION {"citationItems":[{"id":"ITEM-1","itemData":{"author":[{"dropping-particle":"","family":"Carbon Pricing Leadership Coalition","given":"","non-dropping-particle":"","parse-names":false,"suffix":""}],"id":"ITEM-1","issued":{"date-parts":[["2017"]]},"title":"Report of the High-Level Commission on Carbon Prices","type":"report"},"uris":["http://www.mendeley.com/documents/?uuid=a6a55c58-a507-49d7-81b5-e81d6097859a"]}],"mendeley":{"formattedCitation":"(Carbon Pricing Leadership Coalition, 2017)","plainTextFormattedCitation":"(Carbon Pricing Leadership Coalition, 2017)","previouslyFormattedCitation":"(Carbon Pricing Leadership Coalition, 2017)"},"properties":{"noteIndex":0},"schema":"https://github.com/citation-style-language/schema/raw/master/csl-citation.json"}</w:instrText>
      </w:r>
      <w:r w:rsidR="00F5337B">
        <w:fldChar w:fldCharType="separate"/>
      </w:r>
      <w:r w:rsidR="00B53BF6" w:rsidRPr="00B53BF6">
        <w:rPr>
          <w:noProof/>
        </w:rPr>
        <w:t>(Carbon Pricing Leadership Coalition, 2017)</w:t>
      </w:r>
      <w:r w:rsidR="00F5337B">
        <w:fldChar w:fldCharType="end"/>
      </w:r>
      <w:r w:rsidR="00F5337B">
        <w:t xml:space="preserve">. </w:t>
      </w:r>
      <w:r w:rsidR="006C1563">
        <w:t>F</w:t>
      </w:r>
      <w:r w:rsidR="00F5337B">
        <w:t xml:space="preserve">ossil fuels </w:t>
      </w:r>
      <w:r w:rsidR="005B7313">
        <w:t xml:space="preserve">remain </w:t>
      </w:r>
      <w:r w:rsidR="00F5337B">
        <w:t xml:space="preserve">a </w:t>
      </w:r>
      <w:r w:rsidR="00BC45E5">
        <w:t xml:space="preserve">mainstay of the global economy </w:t>
      </w:r>
      <w:r w:rsidR="00F5337B">
        <w:t xml:space="preserve">and </w:t>
      </w:r>
      <w:r w:rsidR="000A663E">
        <w:t xml:space="preserve">global </w:t>
      </w:r>
      <w:r w:rsidR="00143BF0">
        <w:t xml:space="preserve">emissions </w:t>
      </w:r>
      <w:r w:rsidR="000A663E">
        <w:t>continue to</w:t>
      </w:r>
      <w:r w:rsidR="00143BF0">
        <w:t xml:space="preserve"> rise </w:t>
      </w:r>
      <w:r w:rsidR="00143BF0">
        <w:fldChar w:fldCharType="begin" w:fldLock="1"/>
      </w:r>
      <w:r w:rsidR="00AE1CAD">
        <w:instrText>ADDIN CSL_CITATION {"citationItems":[{"id":"ITEM-1","itemData":{"DOI":"10.5194/essd-8-605-2016","author":[{"dropping-particle":"Le","family":"Quéré","given":"Corinne","non-dropping-particle":"","parse-names":false,"suffix":""},{"dropping-particle":"","family":"Andrew","given":"Robbie M","non-dropping-particle":"","parse-names":false,"suffix":""},{"dropping-particle":"","family":"Friedlingstein","given":"Pierre","non-dropping-particle":"","parse-names":false,"suffix":""},{"dropping-particle":"","family":"Sitch","given":"Stephen","non-dropping-particle":"","parse-names":false,"suffix":""},{"dropping-particle":"","family":"Hauck","given":"Judith","non-dropping-particle":"","parse-names":false,"suffix":""},{"dropping-particle":"","family":"Pongratz","given":"Julia","non-dropping-particle":"","parse-names":false,"suffix":""},{"dropping-particle":"","family":"Pickers","given":"Penelope A.","non-dropping-particle":"","parse-names":false,"suffix":""},{"dropping-particle":"","family":"Canadell","given":"Josep G","non-dropping-particle":"","parse-names":false,"suffix":""},{"dropping-particle":"","family":"Korsbakken","given":"Jan Ivar","non-dropping-particle":"","parse-names":false,"suffix":""},{"dropping-particle":"","family":"Peters","given":"Glen P.","non-dropping-particle":"","parse-names":false,"suffix":""},{"dropping-particle":"","family":"Canadell","given":"Josep G.","non-dropping-particle":"","parse-names":false,"suffix":""},{"dropping-particle":"","family":"Arneth","given":"Almut","non-dropping-particle":"","parse-names":false,"suffix":""},{"dropping-particle":"","family":"Arora","given":"Vivek K.","non-dropping-particle":"","parse-names":false,"suffix":""},{"dropping-particle":"","family":"Barbero","given":"Leticia","non-dropping-particle":"","parse-names":false,"suffix":""},{"dropping-particle":"","family":"Bastos","given":"Ana","non-dropping-particle":"","parse-names":false,"suffix":""},{"dropping-particle":"","family":"Bopp","given":"Laurent","non-dropping-particle":"","parse-names":false,"suffix":""},{"dropping-particle":"","family":"Chevallier","given":"Frederick","non-dropping-particle":"","parse-names":false,"suffix":""},{"dropping-particle":"","family":"Chini","given":"Louise P.","non-dropping-particle":"","parse-names":false,"suffix":""},{"dropping-particle":"","family":"Ciais","given":"Philippe","non-dropping-particle":"","parse-names":false,"suffix":""},{"dropping-particle":"","family":"Doney","given":"Scott C.","non-dropping-particle":"","parse-names":false,"suffix":""},{"dropping-particle":"","family":"Gkritzalis","given":"Thanos","non-dropping-particle":"","parse-names":false,"suffix":""},{"dropping-particle":"","family":"Goll","given":"Daniel S.","non-dropping-particle":"","parse-names":false,"suffix":""},{"dropping-particle":"","family":"Harris","given":"Ian","non-dropping-particle":"","parse-names":false,"suffix":""},{"dropping-particle":"","family":"Haverd","given":"Vanessa","non-dropping-particle":"","parse-names":false,"suffix":""},{"dropping-particle":"","family":"Hoffman","given":"Forrest M.","non-dropping-particle":"","parse-names":false,"suffix":""},{"dropping-particle":"","family":"Hoppema","given":"Mario","non-dropping-particle":"","parse-names":false,"suffix":""},{"dropping-particle":"","family":"Houghton","given":"Richard A.","non-dropping-particle":"","parse-names":false,"suffix":""},{"dropping-particle":"","family":"Hurtt","given":"George","non-dropping-particle":"","parse-names":false,"suffix":""},{"dropping-particle":"","family":"Ilyina","given":"Tatiana","non-dropping-particle":"","parse-names":false,"suffix":""},{"dropping-particle":"","family":"Jain","given":"Atul K.","non-dropping-particle":"","parse-names":false,"suffix":""},{"dropping-particle":"","family":"Johannessen","given":"Truls","non-dropping-particle":"","parse-names":false,"suffix":""},{"dropping-particle":"","family":"Jones","given":"Chris D.","non-dropping-particle":"","parse-names":false,"suffix":""},{"dropping-particle":"","family":"Kato","given":"Etsushi","non-dropping-particle":"","parse-names":false,"suffix":""},{"dropping-particle":"","family":"Keeling","given":"Ralph F.","non-dropping-particle":"","parse-names":false,"suffix":""},{"dropping-particle":"","family":"Goldewijk","given":"Kees Kelin","non-dropping-particle":"","parse-names":false,"suffix":""},{"dropping-particle":"","family":"Landschützer","given":"Peter","non-dropping-particle":"","parse-names":false,"suffix":""},{"dropping-particle":"","family":"Lefèvre","given":"Nathalie","non-dropping-particle":"","parse-names":false,"suffix":""},{"dropping-particle":"","family":"Lienert","given":"Sebastian","non-dropping-particle":"","parse-names":false,"suffix":""},{"dropping-particle":"","family":"Liu","given":"Zhu","non-dropping-particle":"","parse-names":false,"suffix":""},{"dropping-particle":"","family":"Lombardozzi","given":"Danica","non-dropping-particle":"","parse-names":false,"suffix":""},{"dropping-particle":"","family":"Metzl","given":"Nicolas","non-dropping-particle":"","parse-names":false,"suffix":""},{"dropping-particle":"","family":"Munro","given":"David R.","non-dropping-particle":"","parse-names":false,"suffix":""},{"dropping-particle":"","family":"Nabel","given":"Julia E.M.S.","non-dropping-particle":"","parse-names":false,"suffix":""},{"dropping-particle":"","family":"Nakaoka","given":"Shin-ichiro","non-dropping-particle":"","parse-names":false,"suffix":""},{"dropping-particle":"","family":"Neill","given":"Craig","non-dropping-particle":"","parse-names":false,"suffix":""},{"dropping-particle":"","family":"Olsen","given":"Are","non-dropping-particle":"","parse-names":false,"suffix":""},{"dropping-particle":"","family":"Ono","given":"Tsueno","non-dropping-particle":"","parse-names":false,"suffix":""},{"dropping-particle":"","family":"Patra","given":"Prabir","non-dropping-particle":"","parse-names":false,"suffix":""},{"dropping-particle":"","family":"Peregon","given":"Anna","non-dropping-particle":"","parse-names":false,"suffix":""},{"dropping-particle":"","family":"Peters","given":"Wouter","non-dropping-particle":"","parse-names":false,"suffix":""},{"dropping-particle":"","family":"Peylin","given":"Philippe","non-dropping-particle":"","parse-names":false,"suffix":""},{"dropping-particle":"","family":"Pfeil","given":"Benjamin","non-dropping-particle":"","parse-names":false,"suffix":""},{"dropping-particle":"","family":"Pierrot","given":"Denis","non-dropping-particle":"","parse-names":false,"suffix":""},{"dropping-particle":"","family":"Poulter","given":"Benjamin","non-dropping-particle":"","parse-names":false,"suffix":""},{"dropping-particle":"","family":"Rehder","given":"Gregor","non-dropping-particle":"","parse-names":false,"suffix":""},{"dropping-particle":"","family":"Resplandy","given":"Laure","non-dropping-particle":"","parse-names":false,"suffix":""},{"dropping-particle":"","family":"Robertson","given":"Eddy","non-dropping-particle":"","parse-names":false,"suffix":""},{"dropping-particle":"","family":"Rocher","given":"Matthias","non-dropping-particle":"","parse-names":false,"suffix":""},{"dropping-particle":"","family":"Rödenbeck","given":"Christian","non-dropping-particle":"","parse-names":false,"suffix":""},{"dropping-particle":"","family":"Schuster","given":"Ute","non-dropping-particle":"","parse-names":false,"suffix":""},{"dropping-particle":"","family":"Schwinger","given":"Jörg","non-dropping-particle":"","parse-names":false,"suffix":""},{"dropping-particle":"","family":"Séférian","given":"Roland","non-dropping-particle":"","parse-names":false,"suffix":""},{"dropping-particle":"","family":"Skjelvan","given":"Ingunn","non-dropping-particle":"","parse-names":false,"suffix":""},{"dropping-particle":"","family":"Steinhoff","given":"Tobias","non-dropping-particle":"","parse-names":false,"suffix":""},{"dropping-particle":"","family":"Sutton","given":"Adrienne","non-dropping-particle":"","parse-names":false,"suffix":""},{"dropping-particle":"","family":"Tans","given":"Pieter P.","non-dropping-particle":"","parse-names":false,"suffix":""},{"dropping-particle":"","family":"Tian","given":"Hanqin","non-dropping-particle":"","parse-names":false,"suffix":""},{"dropping-particle":"","family":"Tilbrook","given":"Bronte","non-dropping-particle":"","parse-names":false,"suffix":""},{"dropping-particle":"","family":"Tubiello","given":"Francesco N.","non-dropping-particle":"","parse-names":false,"suffix":""},{"dropping-particle":"van der","family":"Laan-Luijkx","given":"Ingrid T.","non-dropping-particle":"","parse-names":false,"suffix":""},{"dropping-particle":"van der","family":"Werf","given":"Guido R.","non-dropping-particle":"","parse-names":false,"suffix":""},{"dropping-particle":"","family":"Viovy","given":"Nicolas","non-dropping-particle":"","parse-names":false,"suffix":""},{"dropping-particle":"","family":"Walker","given":"Anthony P.","non-dropping-particle":"","parse-names":false,"suffix":""},{"dropping-particle":"","family":"Wiltshire","given":"Andrew J.","non-dropping-particle":"","parse-names":false,"suffix":""},{"dropping-particle":"","family":"Wright","given":"Rebecca","non-dropping-particle":"","parse-names":false,"suffix":""},{"dropping-particle":"","family":"Zaehle","given":"Sönke","non-dropping-particle":"","parse-names":false,"suffix":""},{"dropping-particle":"","family":"Zheng","given":"Bo","non-dropping-particle":"","parse-names":false,"suffix":""}],"container-title":"Earth System Science Data","id":"ITEM-1","issued":{"date-parts":[["2018"]]},"page":"2141-2194","title":"Global Carbon Budget 2018","type":"article-journal","volume":"10"},"uris":["http://www.mendeley.com/documents/?uuid=6a008701-4a90-4d43-9d3c-d708afcc9928"]}],"mendeley":{"formattedCitation":"(Quéré et al., 2018)","plainTextFormattedCitation":"(Quéré et al., 2018)","previouslyFormattedCitation":"(Quéré et al., 2018)"},"properties":{"noteIndex":0},"schema":"https://github.com/citation-style-language/schema/raw/master/csl-citation.json"}</w:instrText>
      </w:r>
      <w:r w:rsidR="00143BF0">
        <w:fldChar w:fldCharType="separate"/>
      </w:r>
      <w:r w:rsidR="00B53BF6" w:rsidRPr="00B53BF6">
        <w:rPr>
          <w:noProof/>
        </w:rPr>
        <w:t>(Quéré et al., 2018)</w:t>
      </w:r>
      <w:r w:rsidR="00143BF0">
        <w:fldChar w:fldCharType="end"/>
      </w:r>
      <w:r w:rsidR="00143BF0">
        <w:t>.</w:t>
      </w:r>
    </w:p>
    <w:p w14:paraId="30C88865" w14:textId="62432A2B" w:rsidR="00E77203" w:rsidRDefault="00AF48FC" w:rsidP="008946FA">
      <w:pPr>
        <w:spacing w:line="360" w:lineRule="auto"/>
      </w:pPr>
      <w:r>
        <w:lastRenderedPageBreak/>
        <w:t>Why has there been such a</w:t>
      </w:r>
      <w:r w:rsidR="006C1563">
        <w:t xml:space="preserve"> lack of action? </w:t>
      </w:r>
      <w:r w:rsidR="004E1F98">
        <w:t xml:space="preserve">One prominent </w:t>
      </w:r>
      <w:r w:rsidR="00F5337B">
        <w:t>explanation is that a top-down global agreement on burden sharing, technological transfers and</w:t>
      </w:r>
      <w:r w:rsidR="00A7154A">
        <w:t xml:space="preserve"> climate</w:t>
      </w:r>
      <w:r w:rsidR="00F5337B">
        <w:t xml:space="preserve"> finance is </w:t>
      </w:r>
      <w:r w:rsidR="008946FA">
        <w:t>needed</w:t>
      </w:r>
      <w:r w:rsidR="00C82BB8">
        <w:t xml:space="preserve"> </w:t>
      </w:r>
      <w:r w:rsidR="00C82BB8">
        <w:fldChar w:fldCharType="begin" w:fldLock="1"/>
      </w:r>
      <w:r w:rsidR="00AE1CAD">
        <w:instrText>ADDIN CSL_CITATION {"citationItems":[{"id":"ITEM-1","itemData":{"DOI":"10.1038/nclimate2937","ISSN":"17586798","abstract":"Effective mitigation of climate change will require deep international cooperation, which is much more difficult to organize than the shallow coordination observed so far. Assessing the prospects for effective joint action on climate change requires an understanding of both the structure of the climate change problem and national preferences for policy action. Preferences have become clearer in light of the United Nations Framework Convention on Climate Change Conference of the Parties in December 2015. Although deep cooperation remains elusive, many partial efforts could build confidence and lead to larger cuts in emissions. This strategy of decentralized policy coordination will not solve the climate problem, but it could lead incrementally to deeper cooperation.","author":[{"dropping-particle":"","family":"Keohane","given":"Robert O.","non-dropping-particle":"","parse-names":false,"suffix":""},{"dropping-particle":"","family":"Victor","given":"David G.","non-dropping-particle":"","parse-names":false,"suffix":""}],"container-title":"Nature Climate Change","id":"ITEM-1","issue":"6","issued":{"date-parts":[["2016"]]},"page":"570-575","publisher":"Nature Publishing Group","title":"Cooperation and discord in global climate policy","type":"article-journal","volume":"6"},"uris":["http://www.mendeley.com/documents/?uuid=7792d584-5c63-4529-ace6-aa4ce6989921"]}],"mendeley":{"formattedCitation":"(Keohane &amp; Victor, 2016)","plainTextFormattedCitation":"(Keohane &amp; Victor, 2016)","previouslyFormattedCitation":"(Keohane &amp; Victor, 2016)"},"properties":{"noteIndex":0},"schema":"https://github.com/citation-style-language/schema/raw/master/csl-citation.json"}</w:instrText>
      </w:r>
      <w:r w:rsidR="00C82BB8">
        <w:fldChar w:fldCharType="separate"/>
      </w:r>
      <w:r w:rsidR="00B53BF6" w:rsidRPr="00B53BF6">
        <w:rPr>
          <w:noProof/>
        </w:rPr>
        <w:t>(Keohane &amp; Victor, 2016)</w:t>
      </w:r>
      <w:r w:rsidR="00C82BB8">
        <w:fldChar w:fldCharType="end"/>
      </w:r>
      <w:r w:rsidR="00E77203">
        <w:t>.</w:t>
      </w:r>
      <w:r w:rsidR="007854DD">
        <w:t xml:space="preserve"> Since Paris produced only a bot</w:t>
      </w:r>
      <w:r w:rsidR="00541138">
        <w:t xml:space="preserve">tom-up voluntary pledge system </w:t>
      </w:r>
      <w:r w:rsidR="007854DD">
        <w:t>with no recourse for sanctions</w:t>
      </w:r>
      <w:r w:rsidR="00E77203">
        <w:t xml:space="preserve">, </w:t>
      </w:r>
      <w:r w:rsidR="007854DD">
        <w:t>n</w:t>
      </w:r>
      <w:r w:rsidR="008946FA">
        <w:t xml:space="preserve">ations </w:t>
      </w:r>
      <w:r w:rsidR="007550C5">
        <w:t xml:space="preserve">currently </w:t>
      </w:r>
      <w:r w:rsidR="007854DD">
        <w:t>have few incentives to initiate strong mitigation</w:t>
      </w:r>
      <w:r w:rsidR="00541138">
        <w:t>. Instead they will</w:t>
      </w:r>
      <w:r w:rsidR="007854DD">
        <w:t xml:space="preserve"> minimise costs</w:t>
      </w:r>
      <w:r w:rsidR="00541138">
        <w:t>, avoid strong commitments,</w:t>
      </w:r>
      <w:r w:rsidR="007854DD">
        <w:t xml:space="preserve"> and freeride</w:t>
      </w:r>
      <w:r w:rsidR="007550C5">
        <w:t xml:space="preserve"> on the actions of others</w:t>
      </w:r>
      <w:r w:rsidR="008946FA">
        <w:t>.</w:t>
      </w:r>
    </w:p>
    <w:p w14:paraId="431ABE95" w14:textId="099B1C33" w:rsidR="00E77203" w:rsidRDefault="00BC45E5" w:rsidP="007874F1">
      <w:pPr>
        <w:spacing w:line="360" w:lineRule="auto"/>
      </w:pPr>
      <w:r>
        <w:t>Another</w:t>
      </w:r>
      <w:r w:rsidR="00A7154A">
        <w:t xml:space="preserve"> common</w:t>
      </w:r>
      <w:r>
        <w:t xml:space="preserve"> line of explanation </w:t>
      </w:r>
      <w:r w:rsidR="005B7313">
        <w:t>puts the blame on</w:t>
      </w:r>
      <w:r>
        <w:t xml:space="preserve"> intrinsic </w:t>
      </w:r>
      <w:r w:rsidR="00C469C5">
        <w:t xml:space="preserve">human </w:t>
      </w:r>
      <w:r w:rsidR="004843B1">
        <w:t>characteristics</w:t>
      </w:r>
      <w:r w:rsidR="00E77203">
        <w:t xml:space="preserve">. It is argued that </w:t>
      </w:r>
      <w:r w:rsidR="00A7154A">
        <w:t xml:space="preserve">humans </w:t>
      </w:r>
      <w:r w:rsidR="00E77203">
        <w:t xml:space="preserve">are </w:t>
      </w:r>
      <w:r w:rsidR="005B7313">
        <w:t>uniquely unsuited to perceiving</w:t>
      </w:r>
      <w:r>
        <w:t xml:space="preserve"> the proximity </w:t>
      </w:r>
      <w:r w:rsidR="00E77203">
        <w:t>and severit</w:t>
      </w:r>
      <w:r w:rsidR="004843B1">
        <w:t>y of climate change</w:t>
      </w:r>
      <w:r w:rsidR="00415CA4">
        <w:t>, and consequently taking actions</w:t>
      </w:r>
      <w:r w:rsidR="004843B1">
        <w:t xml:space="preserve"> </w:t>
      </w:r>
      <w:r w:rsidR="004843B1">
        <w:fldChar w:fldCharType="begin" w:fldLock="1"/>
      </w:r>
      <w:r w:rsidR="00AE1CAD">
        <w:instrText>ADDIN CSL_CITATION {"citationItems":[{"id":"ITEM-1","itemData":{"DOI":"10.1037/a0023566","ISBN":"1433810662","ISSN":"0003066X","PMID":"21553954","abstract":"Most people think climate change and sustainability are important problems, but too few global citizens engaged in high-greenhouse-gas-emitting behavior are engaged in enough mitigating behavior to stem the increasing flow of greenhouse gases and other environmental problems. Why is that? Structural barriers such as a climate-averse infrastructure are part of the answer, but psychological barriers also impede behavioral choices that would facilitate mitigation, adaptation, and environmental sustainability. Although many individuals are engaged in some ameliorative action, most could do more, but they are hindered by seven categories of psychological barriers, or \"dragons of inaction\": limited cognition about the problem, ideological world views that tend to preclude pro-environmental attitudes and behavior, comparisons with key other people, sunk costs and behavioral momentum, discredence toward experts and authorities, perceived risks of change, and positive but inadequate behavior change. Structural barriers must be removed wherever possible, but this is unlikely to be sufficient. Psychologists must work with other scientists, technical experts, and policymakers to help citizens overcome these psychological barriers.","author":[{"dropping-particle":"","family":"Gifford","given":"Robert","non-dropping-particle":"","parse-names":false,"suffix":""}],"container-title":"American Psychologist","id":"ITEM-1","issue":"4","issued":{"date-parts":[["2011"]]},"page":"290-302","title":"The Dragons of Inaction: Psychological Barriers That Limit Climate Change Mitigation and Adaptation","type":"article-journal","volume":"66"},"uris":["http://www.mendeley.com/documents/?uuid=a3afdd58-8827-4f9e-b802-92107df2d4c7"]}],"mendeley":{"formattedCitation":"(Gifford, 2011)","plainTextFormattedCitation":"(Gifford, 2011)","previouslyFormattedCitation":"(Gifford, 2011)"},"properties":{"noteIndex":0},"schema":"https://github.com/citation-style-language/schema/raw/master/csl-citation.json"}</w:instrText>
      </w:r>
      <w:r w:rsidR="004843B1">
        <w:fldChar w:fldCharType="separate"/>
      </w:r>
      <w:r w:rsidR="00B53BF6" w:rsidRPr="00B53BF6">
        <w:rPr>
          <w:noProof/>
        </w:rPr>
        <w:t>(Gifford, 2011)</w:t>
      </w:r>
      <w:r w:rsidR="004843B1">
        <w:fldChar w:fldCharType="end"/>
      </w:r>
      <w:r w:rsidR="00A7154A">
        <w:t xml:space="preserve">. </w:t>
      </w:r>
      <w:r w:rsidR="008946FA">
        <w:t xml:space="preserve">Furthermore, we struggle with </w:t>
      </w:r>
      <w:r w:rsidR="007874F1">
        <w:t xml:space="preserve">ethical </w:t>
      </w:r>
      <w:r w:rsidR="00A7154A">
        <w:t>and socio-temporal</w:t>
      </w:r>
      <w:r w:rsidR="008946FA">
        <w:t xml:space="preserve"> aspects of climate change mitigation</w:t>
      </w:r>
      <w:r w:rsidR="007874F1">
        <w:t xml:space="preserve">, </w:t>
      </w:r>
      <w:r w:rsidR="004843B1">
        <w:t xml:space="preserve">such as the need to </w:t>
      </w:r>
      <w:r w:rsidR="00E77203">
        <w:t xml:space="preserve">shoulder </w:t>
      </w:r>
      <w:r w:rsidR="007874F1">
        <w:t xml:space="preserve">the </w:t>
      </w:r>
      <w:r>
        <w:t>costs of mitigation</w:t>
      </w:r>
      <w:r w:rsidR="00C469C5">
        <w:t xml:space="preserve"> on behalf of </w:t>
      </w:r>
      <w:r w:rsidR="005534F5">
        <w:t xml:space="preserve">distant victims and </w:t>
      </w:r>
      <w:r w:rsidR="00C469C5">
        <w:t>future generations</w:t>
      </w:r>
      <w:r>
        <w:t xml:space="preserve"> </w:t>
      </w:r>
      <w:r>
        <w:fldChar w:fldCharType="begin" w:fldLock="1"/>
      </w:r>
      <w:r w:rsidR="00AE1CAD">
        <w:instrText>ADDIN CSL_CITATION {"citationItems":[{"id":"ITEM-1","itemData":{"ISBN":"0199985146","author":[{"dropping-particle":"","family":"Gardiner","given":"Stephen M.","non-dropping-particle":"","parse-names":false,"suffix":""}],"id":"ITEM-1","issued":{"date-parts":[["2011"]]},"publisher":"Oxford University Press","publisher-place":"Oxford","title":"A Perfect Moral Storm: The Ethical Tragedy of Climate Change","type":"book"},"uris":["http://www.mendeley.com/documents/?uuid=bec9cf4a-7d4b-40db-a680-726c37d825f4"]}],"mendeley":{"formattedCitation":"(Gardiner, 2011)","plainTextFormattedCitation":"(Gardiner, 2011)","previouslyFormattedCitation":"(Gardiner, 2011)"},"properties":{"noteIndex":0},"schema":"https://github.com/citation-style-language/schema/raw/master/csl-citation.json"}</w:instrText>
      </w:r>
      <w:r>
        <w:fldChar w:fldCharType="separate"/>
      </w:r>
      <w:r w:rsidR="00B53BF6" w:rsidRPr="00B53BF6">
        <w:rPr>
          <w:noProof/>
        </w:rPr>
        <w:t>(Gardiner, 2011)</w:t>
      </w:r>
      <w:r>
        <w:fldChar w:fldCharType="end"/>
      </w:r>
      <w:r>
        <w:t>.</w:t>
      </w:r>
      <w:r w:rsidR="005B7313">
        <w:t xml:space="preserve"> </w:t>
      </w:r>
      <w:r w:rsidR="007874F1">
        <w:t>A ‘perfect moral storm’ locks society and its institutions into inaction.</w:t>
      </w:r>
    </w:p>
    <w:p w14:paraId="1B75D1CE" w14:textId="736D273A" w:rsidR="00C05B3F" w:rsidRDefault="005B7313" w:rsidP="00E77203">
      <w:pPr>
        <w:spacing w:line="360" w:lineRule="auto"/>
      </w:pPr>
      <w:r>
        <w:t>A third avenue focuses on social and infrastructural sources of carbon ‘lock-in’</w:t>
      </w:r>
      <w:r w:rsidR="00C05B3F">
        <w:t xml:space="preserve">. </w:t>
      </w:r>
      <w:r w:rsidR="009B4B18">
        <w:t xml:space="preserve">It is argued that energy systems </w:t>
      </w:r>
      <w:r w:rsidR="000A663E">
        <w:t xml:space="preserve">and other human infrastructures </w:t>
      </w:r>
      <w:r w:rsidR="009B4B18">
        <w:t>have built-in sources of inertia that severely constrain the speed and ambition of transitions, such as the long lifetimes and sunk costs of fossil emitting infrastructures (e.g. power plants), or</w:t>
      </w:r>
      <w:r w:rsidR="00C05B3F">
        <w:t xml:space="preserve"> socially embedded patterns of </w:t>
      </w:r>
      <w:r w:rsidR="009B4B18">
        <w:t xml:space="preserve">energy </w:t>
      </w:r>
      <w:r w:rsidR="00C05B3F">
        <w:t>use that are ‘normal’</w:t>
      </w:r>
      <w:r w:rsidR="00415CA4">
        <w:t xml:space="preserve"> and resistant to change</w:t>
      </w:r>
      <w:r w:rsidR="00C05B3F">
        <w:t xml:space="preserve"> </w:t>
      </w:r>
      <w:r w:rsidR="00C05B3F">
        <w:fldChar w:fldCharType="begin" w:fldLock="1"/>
      </w:r>
      <w:r w:rsidR="00AE1CAD">
        <w:instrText>ADDIN CSL_CITATION {"citationItems":[{"id":"ITEM-1","itemData":{"DOI":"10.1146/annurev-environ-110615-085934","ISBN":"1543-5938","ISSN":"1543-5938","abstract":"Existing technologies, institutions, and behavioral norms together act to con-strain the rate and magnitude of carbon emissions reductions in the coming decades. The inertia of carbon emissions due to such mutually reinforcing physical, economic, and social constraints is referred to as carbon lock-in. Carbon lock-in is a special case of path dependency, which is common in the evolution of complex systems. However, carbon lock-in is particularly prone to entrenchment given the large capital costs, long infrastructure lifetimes, and interrelationships between the socioeconomic and technical systems in-volved. Further, the urgency of efforts to avoid dangerous climate change exacerbates the liability of even small lock-in risks. Although carbon lock-in has been recognized for years, efforts to characterize the types and causes of carbon lock-in, or to quantitatively assess and evaluate its policy implications, have been limited and scattered across a number of different disciplines. This systematic review of the literature synthesizes what is known about the types and causes of carbon lock-in, including the scale, magnitude, and longevity of the effects, and policy implications. We identify three main types of carbon lock-in and describe how they coevolve: (a) infrastructural and technological, (b) institutional, and (c) behavioral. Although each type of lock-in has its own set of processes, all three are tightly intertwined and contribute to the inertia of carbon emissions. We outline the conditions, opportunities, and strategies for fostering transitions toward less-carbon-intensive emissions trajectories. We conclude by proposing a carbon lock-in research agenda that can help bridge the gaps between science, knowledge, and policy-making.","author":[{"dropping-particle":"","family":"Seto","given":"Karen C.","non-dropping-particle":"","parse-names":false,"suffix":""},{"dropping-particle":"","family":"Davis","given":"Steven J.","non-dropping-particle":"","parse-names":false,"suffix":""},{"dropping-particle":"","family":"Mitchell","given":"Ronald B.","non-dropping-particle":"","parse-names":false,"suffix":""},{"dropping-particle":"","family":"Stokes","given":"Eleanor C.","non-dropping-particle":"","parse-names":false,"suffix":""},{"dropping-particle":"","family":"Unruh","given":"Gregory","non-dropping-particle":"","parse-names":false,"suffix":""},{"dropping-particle":"","family":"Ürge-Vorsatz","given":"Diana","non-dropping-particle":"","parse-names":false,"suffix":""}],"container-title":"Annual Review of Environment and Resources","id":"ITEM-1","issue":"1","issued":{"date-parts":[["2016"]]},"page":"425-452","title":"Carbon Lock-In: Types, Causes, and Policy Implications","type":"article-journal","volume":"41"},"uris":["http://www.mendeley.com/documents/?uuid=5c2fedbd-51cf-49f6-8dba-401e274811b1"]},{"id":"ITEM-2","itemData":{"DOI":"10.1016/j.gloenvcha.2018.06.006","ISBN":"1851432515, 9781851432516","ISSN":"09593780","abstract":"As climate policy needs to address all feasible ways to reduce carbon emissions, there is an increasing focus on demand-side solutions. Studies of household carbon footprints have allocated emissions during production to the consumption of the produced goods, and provided an understanding of what products and consumer actions cause significant emissions. Social scientists have investigated how attitudes, social norms, and structural factors shape salient behavior. Yet, there is often a disconnect as emission reductions through individual actions in the important domains of housing and mobility are challenging to attain due to lock-ins and structural constraints. Furthermore, most behavioral research focuses on actions that are easy to trace but of limited consequence as a share of total emissions. Here we study specific alternative consumption patterns seeking both to understand the behavioral and structural factors that determine those patterns and to quantify their effect on carbon footprints. We do so utilizing a survey on consumer behavioral, attitudinal, contextual and socio-demographic factors in four different regions in the EU. Some differences occur in terms of the driving forces behind behaviors and their carbon intensities. Based on observed differences in mobility carbon footprints across households, we find that the key determining element to reduced emissions is settlement density, while car ownership, rising income and long distances are associated with higher mobility footprints. For housing, our results indicate that changes in dwelling standards and larger household sizes may reduce energy needs and the reliance on fossil fuels. However, there remains a strong need for incentives to reduce the carbon intensity of heating and air travel. We discuss combined effects and the role of policy in overcoming structural barriers in domains where consumers as individuals have limited agency.","author":[{"dropping-particle":"","family":"Ivanova","given":"Diana","non-dropping-particle":"","parse-names":false,"suffix":""},{"dropping-particle":"","family":"Vita","given":"Gibran","non-dropping-particle":"","parse-names":false,"suffix":""},{"dropping-particle":"","family":"Wood","given":"Richard","non-dropping-particle":"","parse-names":false,"suffix":""},{"dropping-particle":"","family":"Lausselet","given":"Carine","non-dropping-particle":"","parse-names":false,"suffix":""},{"dropping-particle":"","family":"Dumitru","given":"Adina","non-dropping-particle":"","parse-names":false,"suffix":""},{"dropping-particle":"","family":"Krause","given":"Karen","non-dropping-particle":"","parse-names":false,"suffix":""},{"dropping-particle":"","family":"Macsinga","given":"Irina","non-dropping-particle":"","parse-names":false,"suffix":""},{"dropping-particle":"","family":"Hertwich","given":"Edgar G.","non-dropping-particle":"","parse-names":false,"suffix":""}],"container-title":"Global Environmental Change","id":"ITEM-2","issued":{"date-parts":[["2018"]]},"page":"117-130","publisher":"Elsevier Ltd","title":"Carbon mitigation in domains of high consumer lock-in","type":"article-journal","volume":"52"},"uris":["http://www.mendeley.com/documents/?uuid=9d6730b7-b7f7-4e3d-8c64-ab43091dfd1d"]},{"id":"ITEM-3","itemData":{"DOI":"10.1177/0263276414536746","ISBN":"0263276414","ISSN":"0263-2764","abstract":"Energy has an ambivalent status in social theory, variously figuring as a driver or an outcome of social and institutional change, or as something that is woven into the fabric of society itself. In this article the authors consider the underlying models on which different approaches depend. One common strategy is to view energy as a resource base, the management and organization of which depends on various intersecting systems: political, economic and technological. This is not the only route to take. The authors develop an alternative approach, viewing energy supply and energy demand as part of the ongoing reproduction of bundles and complexes of social practice. In articulating and comparing these two positions they show how social-theoretical commitments influence the ways in which problems like those of reducing carbon emissions are framed and addressed. Whereas theories of practice highlight basic questions about what energy is for, these issues are routinely and perhaps necessarily obscured by those who see energy as an abstract resource that structures or that is structured by a range of interlocking social systems.","author":[{"dropping-particle":"","family":"Shove","given":"Elizabeth","non-dropping-particle":"","parse-names":false,"suffix":""},{"dropping-particle":"","family":"Walker","given":"Gordon","non-dropping-particle":"","parse-names":false,"suffix":""}],"container-title":"Theory, Culture &amp; Society","id":"ITEM-3","issue":"5","issued":{"date-parts":[["2014"]]},"page":"41-58","title":"What Is Energy For? Social Practice and Energy Demand","type":"article-journal","volume":"31"},"uris":["http://www.mendeley.com/documents/?uuid=70144b20-f9a6-4b27-9a54-9772813034d6"]},{"id":"ITEM-4","itemData":{"DOI":"10.1088/1748-9326/9/8/084018","ISSN":"1748-9326","author":[{"dropping-particle":"","family":"Davis","given":"Steven J","non-dropping-particle":"","parse-names":false,"suffix":""},{"dropping-particle":"","family":"Socolow","given":"Robert H","non-dropping-particle":"","parse-names":false,"suffix":""}],"container-title":"Environmental Research Letters","id":"ITEM-4","issue":"8","issued":{"date-parts":[["2014","8","1"]]},"page":"084018","publisher":"IOP Publishing","title":"Commitment accounting of CO2 emissions","type":"article-journal","volume":"9"},"uris":["http://www.mendeley.com/documents/?uuid=766dd9ae-73f8-4d43-9766-54173a7fd9cb"]},{"id":"ITEM-5","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Change","id":"ITEM-5","issue":"12","issued":{"date-parts":[["2016"]]},"page":"1054","publisher":"Nature Publishing Group","title":"Urban infrastructure choices structure climate solutions","type":"article-journal","volume":"6"},"uris":["http://www.mendeley.com/documents/?uuid=6fc574a6-f3d9-4225-9eea-4da080b3c100"]}],"mendeley":{"formattedCitation":"(Creutzig et al., 2016; Davis &amp; Socolow, 2014; Ivanova et al., 2018; Seto et al., 2016; Shove &amp; Walker, 2014)","plainTextFormattedCitation":"(Creutzig et al., 2016; Davis &amp; Socolow, 2014; Ivanova et al., 2018; Seto et al., 2016; Shove &amp; Walker, 2014)","previouslyFormattedCitation":"(Creutzig et al., 2016; Davis &amp; Socolow, 2014; Ivanova et al., 2018; Seto et al., 2016; Shove &amp; Walker, 2014)"},"properties":{"noteIndex":0},"schema":"https://github.com/citation-style-language/schema/raw/master/csl-citation.json"}</w:instrText>
      </w:r>
      <w:r w:rsidR="00C05B3F">
        <w:fldChar w:fldCharType="separate"/>
      </w:r>
      <w:r w:rsidR="00B53BF6" w:rsidRPr="00B53BF6">
        <w:rPr>
          <w:noProof/>
        </w:rPr>
        <w:t>(Creutzig et al., 2016; Davis &amp; Socolow, 2014; Ivanova et al., 2018; Seto et al., 2016; Shove &amp; Walker, 2014)</w:t>
      </w:r>
      <w:r w:rsidR="00C05B3F">
        <w:fldChar w:fldCharType="end"/>
      </w:r>
      <w:r w:rsidR="00C05B3F">
        <w:t>.</w:t>
      </w:r>
    </w:p>
    <w:p w14:paraId="565297CB" w14:textId="5E487DA4" w:rsidR="001D0956" w:rsidRDefault="00541138" w:rsidP="00AC7C78">
      <w:pPr>
        <w:spacing w:line="360" w:lineRule="auto"/>
      </w:pPr>
      <w:r>
        <w:t>While each of these explanations contain</w:t>
      </w:r>
      <w:r w:rsidR="00421F30">
        <w:t>s</w:t>
      </w:r>
      <w:r>
        <w:t xml:space="preserve"> a grain of truth, a fourth has recei</w:t>
      </w:r>
      <w:r w:rsidR="00421F30">
        <w:t xml:space="preserve">ved far less attention to date: the </w:t>
      </w:r>
      <w:r w:rsidR="00AC7C78">
        <w:t>climate gridlock</w:t>
      </w:r>
      <w:r w:rsidR="00421F30">
        <w:t xml:space="preserve"> has political economic causes</w:t>
      </w:r>
      <w:r w:rsidR="00AC7C78">
        <w:t xml:space="preserve">. </w:t>
      </w:r>
      <w:r w:rsidR="00765296">
        <w:t xml:space="preserve">In </w:t>
      </w:r>
      <w:r w:rsidR="00D84076">
        <w:t xml:space="preserve">this </w:t>
      </w:r>
      <w:r w:rsidR="00765296">
        <w:t>view, shift</w:t>
      </w:r>
      <w:r w:rsidR="00FB35C4">
        <w:t>s</w:t>
      </w:r>
      <w:r w:rsidR="00765296">
        <w:t xml:space="preserve"> away from fossil fuels and energy-intensive activities </w:t>
      </w:r>
      <w:r w:rsidR="00FB35C4">
        <w:t xml:space="preserve">are </w:t>
      </w:r>
      <w:r w:rsidR="00765296">
        <w:t>seen through a lens of power and conflict between interest groups</w:t>
      </w:r>
      <w:r w:rsidR="004A0A09">
        <w:t xml:space="preserve"> </w:t>
      </w:r>
      <w:r w:rsidR="004A0A09">
        <w:fldChar w:fldCharType="begin" w:fldLock="1"/>
      </w:r>
      <w:r w:rsidR="00AE1CAD">
        <w:instrText>ADDIN CSL_CITATION {"citationItems":[{"id":"ITEM-1","itemData":{"DOI":"10.1016/j.energy.2009.12.026","ISBN":"0360-5442","ISSN":"03605442","abstract":"The article seeks to explicate a link between energy and long-term economic growth and development. While in many ways intuitive, attempts at sketching theoretical frameworks explicating this link have been few and simplistic, typically limited to technology and economics. This article emphasizes the importance of politics as well, fostering a symbiosis between the dominant industries of a historical epoch and the energy system that enabled them to flourish. The framework combines Joseph Schumpeter and Mancur Olson, emphasizing 1) the importance of structural economic change for long-term growth and development and 2) vested interests. The framework yields one theoretical proposition: In order to rise, states must prevent vested interests from blocking structural change. States that are unable to do this will get locked into yesterday's technologies, industries and energy systems, effectively consigning themselves to stagnation and decline. A brief empirical section provides historical data from 6 historical epochs (including present-day renewables) over a period of 250 years to demonstrate the usefulness of the approach. While no exhaustive test, the data suggests that countries that have prevented vested interests from blocking change have been far more successful in fostering a symbiosis between energy and industry than those countries that have not. © 2009 Elsevier Ltd. All rights reserved.","author":[{"dropping-particle":"","family":"Moe","given":"Espen","non-dropping-particle":"","parse-names":false,"suffix":""}],"container-title":"Energy","id":"ITEM-1","issue":"4","issued":{"date-parts":[["2010"]]},"page":"1730-1740","publisher":"Elsevier Ltd","title":"Energy, industry and politics: Energy, vested interests, and long-term economic growth and development","type":"article-journal","volume":"35"},"uris":["http://www.mendeley.com/documents/?uuid=3f7a8ad5-17fd-43b5-8c39-27b7d9e2f823"]},{"id":"ITEM-2","itemData":{"DOI":"10.1016/j.jclepro.2015.02.006","ISSN":"09596526","abstract":"In this essay, we aim to demonstrate the value of a power lens on consumption and absolute reductions. Specifically, we illuminate what we perceive to be a troublesome pattern of neglect of questions of power in research and action on sustainable consumption and absolute reductions. In pursuit of our objectives, we delineate how many of the informal and implicit “theories of social change” of scholars and activists in sustainable consumption and sustainable development fail to address power in a sufficiently explicit, comprehensive and differentiated manner and how that failure translates into insufficient understandings of the drivers of consumption and the potential for and barriers to absolute reductions. Second, we develop the contours of a power lens on sustainable consumption. Third, we illustrate the value of such a power lens, with a particular focus on the case of meat consumption.","author":[{"dropping-particle":"","family":"Fuchs","given":"Doris","non-dropping-particle":"","parse-names":false,"suffix":""},{"dropping-particle":"","family":"Giulio","given":"Antonietta","non-dropping-particle":"Di","parse-names":false,"suffix":""},{"dropping-particle":"","family":"Glaab","given":"Katharina","non-dropping-particle":"","parse-names":false,"suffix":""},{"dropping-particle":"","family":"Lorek","given":"Sylvia","non-dropping-particle":"","parse-names":false,"suffix":""},{"dropping-particle":"","family":"Maniates","given":"Michael","non-dropping-particle":"","parse-names":false,"suffix":""},{"dropping-particle":"","family":"Princen","given":"Tom","non-dropping-particle":"","parse-names":false,"suffix":""},{"dropping-particle":"","family":"Røpke","given":"Inge","non-dropping-particle":"","parse-names":false,"suffix":""}],"container-title":"Journal of Cleaner Production","id":"ITEM-2","issued":{"date-parts":[["2015"]]},"page":"298-307","publisher":"Elsevier Ltd","title":"Power: The missing element in sustainable consumption and absolute reductions research and action","type":"article-journal","volume":"132"},"uris":["http://www.mendeley.com/documents/?uuid=49f13009-0db9-4e2a-8b8f-7e16bea389e8"]},{"id":"ITEM-3","itemData":{"DOI":"10.1177/0263774X16660561","author":[{"dropping-particle":"","family":"Lockwood","given":"Matthew","non-dropping-particle":"","parse-names":false,"suffix":""},{"dropping-particle":"","family":"Kuzemko","given":"Caroline","non-dropping-particle":"","parse-names":false,"suffix":""},{"dropping-particle":"","family":"Mitchell","given":"Catherine","non-dropping-particle":"","parse-names":false,"suffix":""},{"dropping-particle":"","family":"Hoggett","given":"Richard","non-dropping-particle":"","parse-names":false,"suffix":""}],"container-title":"Environment and Planning C: Government and Policy","id":"ITEM-3","issue":"0","issued":{"date-parts":[["2016"]]},"page":"1-22","title":"Historical institutionalism and the politics of sustainable energy transitions : A research agenda","type":"article-journal","volume":"0"},"uris":["http://www.mendeley.com/documents/?uuid=30e13820-471a-4c4f-8ac1-41fb6922c6ad"]},{"id":"ITEM-4","itemData":{"DOI":"10.1016/j.erss.2018.06.001","ISSN":"22146296","abstract":"Meeting the climate change targets in the Paris Agreement implies a substantial and rapid acceleration of low-carbon transitions. Combining insights from political science, policy analysis and socio-technical transition studies, this paper addresses the politics of deliberate acceleration by taking stock of emerging examples, mobilizing relevant theoretical approaches, and articulating a new research agenda. Going beyond routine appeals for more ‘political will’ it organises ideas and examples under three themes: 1) the role of coalitions in supporting and hindering acceleration; 2) the role of feedbacks, through which policies may shape actor preferences which, in turn, create stronger policies; and 3) the role of broader contexts (political economies, institutions, cultural norms, and technical systems) in creating more (or less) favourable conditions for deliberate acceleration. We discuss the importance of each theme, briefly review previous research and articulate new research questions. Our concluding section discusses the current and potential future relationship between transitions theory and political science.","author":[{"dropping-particle":"","family":"Roberts","given":"Cameron","non-dropping-particle":"","parse-names":false,"suffix":""},{"dropping-particle":"","family":"Geels","given":"Frank W.","non-dropping-particle":"","parse-names":false,"suffix":""},{"dropping-particle":"","family":"Lockwood","given":"Matthew","non-dropping-particle":"","parse-names":false,"suffix":""},{"dropping-particle":"","family":"Newell","given":"Peter","non-dropping-particle":"","parse-names":false,"suffix":""},{"dropping-particle":"","family":"Schmitz","given":"Hubert","non-dropping-particle":"","parse-names":false,"suffix":""},{"dropping-particle":"","family":"Turnheim","given":"Bruno","non-dropping-particle":"","parse-names":false,"suffix":""},{"dropping-particle":"","family":"Jordan","given":"Andy","non-dropping-particle":"","parse-names":false,"suffix":""}],"container-title":"Energy Research and Social Science","id":"ITEM-4","issue":"February","issued":{"date-parts":[["2018"]]},"page":"304-311","publisher":"Elsevier","title":"The politics of accelerating low-carbon transitions: Towards a new research agenda","type":"article-journal","volume":"44"},"uris":["http://www.mendeley.com/documents/?uuid=e2d15c03-55bb-49e4-b0bd-177fa28bc8fd"]},{"id":"ITEM-5","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Sustainability","id":"ITEM-5","issued":{"date-parts":[["2018"]]},"page":"16-22","title":"The politics of rapid urban transformation","type":"article-journal","volume":"31"},"uris":["http://www.mendeley.com/documents/?uuid=d99a888b-e902-45f3-bf81-eb06d4293424"]},{"id":"ITEM-6","itemData":{"DOI":"10.1016/j.joule.2017.09.018","ISSN":"25424351","author":[{"dropping-particle":"","family":"Geels","given":"Frank W.","non-dropping-particle":"","parse-names":false,"suffix":""},{"dropping-particle":"","family":"Sovacool","given":"Benjamin K.","non-dropping-particle":"","parse-names":false,"suffix":""},{"dropping-particle":"","family":"Schwanen","given":"Tim","non-dropping-particle":"","parse-names":false,"suffix":""},{"dropping-particle":"","family":"Sorrell","given":"Steve","non-dropping-particle":"","parse-names":false,"suffix":""}],"container-title":"Joule","id":"ITEM-6","issued":{"date-parts":[["2017"]]},"page":"1-17","publisher":"Elsevier Inc.","title":"The Socio-Technical Dynamics of Low-Carbon Transitions","type":"article-journal"},"uris":["http://www.mendeley.com/documents/?uuid=40b0562a-3d11-4ef9-99ae-fc67b5e900e4"]}],"mendeley":{"formattedCitation":"(Fuchs et al., 2015; Geels, Sovacool, Schwanen, &amp; Sorrell, 2017; Grandin, Haarstad, Kjærås, &amp; Bouzarovski, 2018; Lockwood, Kuzemko, Mitchell, &amp; Hoggett, 2016; Moe, 2010; Roberts et al., 2018)","plainTextFormattedCitation":"(Fuchs et al., 2015; Geels, Sovacool, Schwanen, &amp; Sorrell, 2017; Grandin, Haarstad, Kjærås, &amp; Bouzarovski, 2018; Lockwood, Kuzemko, Mitchell, &amp; Hoggett, 2016; Moe, 2010; Roberts et al., 2018)","previouslyFormattedCitation":"(Fuchs et al., 2015; Geels, Sovacool, Schwanen, &amp; Sorrell, 2017; Grandin, Haarstad, Kjærås, &amp; Bouzarovski, 2018; Lockwood, Kuzemko, Mitchell, &amp; Hoggett, 2016; Moe, 2010; Roberts et al., 2018)"},"properties":{"noteIndex":0},"schema":"https://github.com/citation-style-language/schema/raw/master/csl-citation.json"}</w:instrText>
      </w:r>
      <w:r w:rsidR="004A0A09">
        <w:fldChar w:fldCharType="separate"/>
      </w:r>
      <w:r w:rsidR="00B53BF6" w:rsidRPr="00B53BF6">
        <w:rPr>
          <w:noProof/>
        </w:rPr>
        <w:t>(Fuchs et al., 2015; Geels, Sovacool, Schwanen, &amp; Sorrell, 2017; Grandin, Haarstad, Kjærås, &amp; Bouzarovski, 2018; Lockwood, Kuzemko, Mitchell, &amp; Hoggett, 2016; Moe, 2010; Roberts et al., 2018)</w:t>
      </w:r>
      <w:r w:rsidR="004A0A09">
        <w:fldChar w:fldCharType="end"/>
      </w:r>
      <w:r w:rsidR="00765296">
        <w:t>.</w:t>
      </w:r>
      <w:r w:rsidR="00765296" w:rsidRPr="00765296">
        <w:t xml:space="preserve"> </w:t>
      </w:r>
      <w:r w:rsidR="00FB35C4">
        <w:t>F</w:t>
      </w:r>
      <w:r w:rsidR="00765296">
        <w:t xml:space="preserve">ossil fuel </w:t>
      </w:r>
      <w:r w:rsidR="00E54F63">
        <w:t>interests</w:t>
      </w:r>
      <w:r w:rsidR="00FB02AF">
        <w:t xml:space="preserve"> are central </w:t>
      </w:r>
      <w:r w:rsidR="00FB35C4">
        <w:t>to the analysis</w:t>
      </w:r>
      <w:r w:rsidR="00AD47F1">
        <w:t xml:space="preserve">: strong climate policy poses an existential threat to their standard operating practices, and they will mobilise vast financial and political resources to prevent it. </w:t>
      </w:r>
      <w:r w:rsidR="00415CA4">
        <w:t>Th</w:t>
      </w:r>
      <w:r w:rsidR="00421F30">
        <w:t xml:space="preserve">is may involve </w:t>
      </w:r>
      <w:r w:rsidR="004A0A09">
        <w:t xml:space="preserve">political lobbying, </w:t>
      </w:r>
      <w:r w:rsidR="00FD0C23">
        <w:t>shaping public discourses</w:t>
      </w:r>
      <w:r w:rsidR="004A0A09">
        <w:t xml:space="preserve"> against</w:t>
      </w:r>
      <w:r w:rsidR="00AD47F1">
        <w:t xml:space="preserve"> climate action</w:t>
      </w:r>
      <w:r w:rsidR="00E54F63">
        <w:t xml:space="preserve">, </w:t>
      </w:r>
      <w:r w:rsidR="00AD47F1">
        <w:t>or ‘capturing’ the very</w:t>
      </w:r>
      <w:r w:rsidR="00D84076">
        <w:t xml:space="preserve"> government bodies</w:t>
      </w:r>
      <w:r w:rsidR="00AD47F1">
        <w:t xml:space="preserve"> that are tasked with their regulation. </w:t>
      </w:r>
      <w:r w:rsidR="00AC7C78">
        <w:t xml:space="preserve">Incumbent interests </w:t>
      </w:r>
      <w:r w:rsidR="009B4B18">
        <w:t xml:space="preserve">are also </w:t>
      </w:r>
      <w:r w:rsidR="00AC7C78">
        <w:t xml:space="preserve">situated within a history and trajectory of political </w:t>
      </w:r>
      <w:r w:rsidR="009B4B18">
        <w:t>institutions and societal norms, often passively reinforcing</w:t>
      </w:r>
      <w:r w:rsidR="00AC7C78">
        <w:t xml:space="preserve"> and entrench</w:t>
      </w:r>
      <w:r w:rsidR="009B4B18">
        <w:t xml:space="preserve">ing their articulation of power. For </w:t>
      </w:r>
      <w:r w:rsidR="00FB02AF">
        <w:t>political economists</w:t>
      </w:r>
      <w:r w:rsidR="00E54F63" w:rsidRPr="00D82B23">
        <w:t xml:space="preserve">, </w:t>
      </w:r>
      <w:r w:rsidR="00AC7C78">
        <w:t>carbon lock-in</w:t>
      </w:r>
      <w:r w:rsidR="009B4B18">
        <w:t xml:space="preserve"> </w:t>
      </w:r>
      <w:r w:rsidR="00AC7C78">
        <w:t>and moral failure</w:t>
      </w:r>
      <w:r w:rsidR="009B4B18">
        <w:t>s</w:t>
      </w:r>
      <w:r w:rsidR="00AC7C78">
        <w:t xml:space="preserve"> </w:t>
      </w:r>
      <w:r w:rsidR="00FB35C4">
        <w:t>are n</w:t>
      </w:r>
      <w:r w:rsidR="00421F30">
        <w:t xml:space="preserve">ot accidents of modern society – they </w:t>
      </w:r>
      <w:r w:rsidR="00AD47F1">
        <w:t xml:space="preserve">are </w:t>
      </w:r>
      <w:r w:rsidR="00292558" w:rsidRPr="00D82B23">
        <w:t>design feature</w:t>
      </w:r>
      <w:r w:rsidR="00FB35C4">
        <w:t>s of the fossil economy</w:t>
      </w:r>
      <w:r w:rsidR="00292558" w:rsidRPr="00D82B23">
        <w:t>.</w:t>
      </w:r>
    </w:p>
    <w:p w14:paraId="671D88D2" w14:textId="4F8F4C0C" w:rsidR="00D82B23" w:rsidRDefault="00441C6C" w:rsidP="00E77203">
      <w:pPr>
        <w:spacing w:line="360" w:lineRule="auto"/>
      </w:pPr>
      <w:r>
        <w:t>T</w:t>
      </w:r>
      <w:r w:rsidR="00D82B23">
        <w:t>he</w:t>
      </w:r>
      <w:r w:rsidR="004812FA">
        <w:t xml:space="preserve">re are many strands of </w:t>
      </w:r>
      <w:r w:rsidR="00D82B23">
        <w:t>political econom</w:t>
      </w:r>
      <w:r w:rsidR="004812FA">
        <w:t>ic</w:t>
      </w:r>
      <w:r w:rsidR="00D82B23">
        <w:t xml:space="preserve"> literature</w:t>
      </w:r>
      <w:r>
        <w:t xml:space="preserve"> on climate </w:t>
      </w:r>
      <w:r w:rsidR="00FA6139">
        <w:t>change mitigation</w:t>
      </w:r>
      <w:r>
        <w:t xml:space="preserve">. </w:t>
      </w:r>
      <w:r w:rsidR="004812FA">
        <w:t>T</w:t>
      </w:r>
      <w:r>
        <w:t xml:space="preserve">heoretical </w:t>
      </w:r>
      <w:r w:rsidR="004812FA">
        <w:t xml:space="preserve">approaches </w:t>
      </w:r>
      <w:r>
        <w:t xml:space="preserve">have </w:t>
      </w:r>
      <w:r w:rsidR="004812FA">
        <w:t xml:space="preserve">been used to </w:t>
      </w:r>
      <w:r>
        <w:t xml:space="preserve">explore the conditions and contexts that support (or hinder) energy </w:t>
      </w:r>
      <w:r w:rsidR="004812FA">
        <w:t xml:space="preserve">and </w:t>
      </w:r>
      <w:r>
        <w:t xml:space="preserve">climate transitions </w:t>
      </w:r>
      <w:r>
        <w:fldChar w:fldCharType="begin" w:fldLock="1"/>
      </w:r>
      <w:r w:rsidR="00AE1CAD">
        <w:instrText>ADDIN CSL_CITATION {"citationItems":[{"id":"ITEM-1","itemData":{"DOI":"10.1016/j.energy.2009.12.026","ISBN":"0360-5442","ISSN":"03605442","abstract":"The article seeks to explicate a link between energy and long-term economic growth and development. While in many ways intuitive, attempts at sketching theoretical frameworks explicating this link have been few and simplistic, typically limited to technology and economics. This article emphasizes the importance of politics as well, fostering a symbiosis between the dominant industries of a historical epoch and the energy system that enabled them to flourish. The framework combines Joseph Schumpeter and Mancur Olson, emphasizing 1) the importance of structural economic change for long-term growth and development and 2) vested interests. The framework yields one theoretical proposition: In order to rise, states must prevent vested interests from blocking structural change. States that are unable to do this will get locked into yesterday's technologies, industries and energy systems, effectively consigning themselves to stagnation and decline. A brief empirical section provides historical data from 6 historical epochs (including present-day renewables) over a period of 250 years to demonstrate the usefulness of the approach. While no exhaustive test, the data suggests that countries that have prevented vested interests from blocking change have been far more successful in fostering a symbiosis between energy and industry than those countries that have not. © 2009 Elsevier Ltd. All rights reserved.","author":[{"dropping-particle":"","family":"Moe","given":"Espen","non-dropping-particle":"","parse-names":false,"suffix":""}],"container-title":"Energy","id":"ITEM-1","issue":"4","issued":{"date-parts":[["2010"]]},"page":"1730-1740","publisher":"Elsevier Ltd","title":"Energy, industry and politics: Energy, vested interests, and long-term economic growth and development","type":"article-journal","volume":"35"},"uris":["http://www.mendeley.com/documents/?uuid=3f7a8ad5-17fd-43b5-8c39-27b7d9e2f823"]},{"id":"ITEM-2","itemData":{"DOI":"10.1080/09644016.2015.1074382","ISSN":"0964-4016","abstract":"A framework is presented for thinking about state intervention in developed capitalist economies in two domains: social policy and environmental policy (and, within that, climate-change policy). Five drivers of welfare state development are identified, the ‘five Is’ of Industrialisation: Interests, Institutions, Ideas/Ideologies, and International Influences. Research applying this framework to the postwar development of welfare states in the OECD is summarised, distinguishing two periods: up to 1980, and from 1980 to 2008. How far this framework can contribute to understanding the rise and differential patterns of environmental governance and intervention across advanced capitalist states since 1970 is explored, before briefly comparing and contrasting the determinants of welfare states and environmental states, identifying common drivers in both domains and regime-specific drivers in each. The same framework is then applied to developments since 2008 and into the near future, sketching two potential con...","author":[{"dropping-particle":"","family":"Gough","given":"Ian","non-dropping-particle":"","parse-names":false,"suffix":""}],"container-title":"Environmental Politics","id":"ITEM-2","issue":"1","issued":{"date-parts":[["2016"]]},"page":"24-47","publisher":"Routledge","title":"Welfare states and environmental states: a comparative analysis","type":"article-journal","volume":"25"},"uris":["http://www.mendeley.com/documents/?uuid=c5b49bf7-eb2f-48b4-aa43-f9a7ee3ac74d"]},{"id":"ITEM-3","itemData":{"DOI":"10.1016/j.joule.2017.09.018","ISSN":"25424351","author":[{"dropping-particle":"","family":"Geels","given":"Frank W.","non-dropping-particle":"","parse-names":false,"suffix":""},{"dropping-particle":"","family":"Sovacool","given":"Benjamin K.","non-dropping-particle":"","parse-names":false,"suffix":""},{"dropping-particle":"","family":"Schwanen","given":"Tim","non-dropping-particle":"","parse-names":false,"suffix":""},{"dropping-particle":"","family":"Sorrell","given":"Steve","non-dropping-particle":"","parse-names":false,"suffix":""}],"container-title":"Joule","id":"ITEM-3","issued":{"date-parts":[["2017"]]},"page":"1-17","publisher":"Elsevier Inc.","title":"The Socio-Technical Dynamics of Low-Carbon Transitions","type":"article-journal"},"uris":["http://www.mendeley.com/documents/?uuid=40b0562a-3d11-4ef9-99ae-fc67b5e900e4"]}],"mendeley":{"formattedCitation":"(Geels et al., 2017; Gough, 2016; Moe, 2010)","plainTextFormattedCitation":"(Geels et al., 2017; Gough, 2016; Moe, 2010)","previouslyFormattedCitation":"(Geels et al., 2017; Gough, 2016; Moe, 2010)"},"properties":{"noteIndex":0},"schema":"https://github.com/citation-style-language/schema/raw/master/csl-citation.json"}</w:instrText>
      </w:r>
      <w:r>
        <w:fldChar w:fldCharType="separate"/>
      </w:r>
      <w:r w:rsidR="00B53BF6" w:rsidRPr="00B53BF6">
        <w:rPr>
          <w:noProof/>
        </w:rPr>
        <w:t>(Geels et al., 2017; Gough, 2016; Moe, 2010)</w:t>
      </w:r>
      <w:r>
        <w:fldChar w:fldCharType="end"/>
      </w:r>
      <w:r>
        <w:t xml:space="preserve">. </w:t>
      </w:r>
      <w:r w:rsidR="006B66EC">
        <w:t xml:space="preserve">Within these, </w:t>
      </w:r>
      <w:r>
        <w:t xml:space="preserve">institutions are </w:t>
      </w:r>
      <w:r>
        <w:lastRenderedPageBreak/>
        <w:t>argued to have a central role in mediating the power of interest groups and locking-in technology systems</w:t>
      </w:r>
      <w:r w:rsidR="001D7979">
        <w:t xml:space="preserve"> through sets of rules</w:t>
      </w:r>
      <w:r>
        <w:t xml:space="preserve"> </w:t>
      </w:r>
      <w:r>
        <w:fldChar w:fldCharType="begin" w:fldLock="1"/>
      </w:r>
      <w:r w:rsidR="00AE1CAD">
        <w:instrText>ADDIN CSL_CITATION {"citationItems":[{"id":"ITEM-1","itemData":{"DOI":"10.1177/0263774X16660561","author":[{"dropping-particle":"","family":"Lockwood","given":"Matthew","non-dropping-particle":"","parse-names":false,"suffix":""},{"dropping-particle":"","family":"Kuzemko","given":"Caroline","non-dropping-particle":"","parse-names":false,"suffix":""},{"dropping-particle":"","family":"Mitchell","given":"Catherine","non-dropping-particle":"","parse-names":false,"suffix":""},{"dropping-particle":"","family":"Hoggett","given":"Richard","non-dropping-particle":"","parse-names":false,"suffix":""}],"container-title":"Environment and Planning C: Government and Policy","id":"ITEM-1","issue":"0","issued":{"date-parts":[["2016"]]},"page":"1-22","title":"Historical institutionalism and the politics of sustainable energy transitions : A research agenda","type":"article-journal","volume":"0"},"uris":["http://www.mendeley.com/documents/?uuid=30e13820-471a-4c4f-8ac1-41fb6922c6ad"]},{"id":"ITEM-2","itemData":{"DOI":"10.1111/gove.12338","ISSN":"14680491","abstract":"© 2018 Wiley Periodicals, Inc. State capacity is central to the provision of public goods, including environmental protection. Drawing on climate policy making, this article argues that the division of labor between the bureaucracy and legislature in policy formulation is a critical source of state capacity. In cases of bureaucratic policy design, the legislature sets policy goals and delegates policy design to bureaucracies. This division of labor shifts distributional conflict to autonomous bureaucracies, allowing for effective policy design. California followed this path in climate policy making, setting it on track to meet climate goals. In cases of legislative policy design, bureaucracies set goals and legislatures design policy measures. Since legislators have incentives to respond to vested interests, legislative policy design is vulnerable to regulatory capture. In Germany, legislative policy design in climate policy making is preventing attainment of emissions reduction goals, as industry interests succeeded in blocking key policy measures. Our findings highlight procedural sources of state capacity.","author":[{"dropping-particle":"","family":"Meckling","given":"Jonas","non-dropping-particle":"","parse-names":false,"suffix":""},{"dropping-particle":"","family":"Nahm","given":"Jonas","non-dropping-particle":"","parse-names":false,"suffix":""}],"container-title":"Governance","id":"ITEM-2","issue":"4","issued":{"date-parts":[["2018"]]},"page":"741-757","title":"The power of process: State capacity and climate policy","type":"article-journal","volume":"31"},"uris":["http://www.mendeley.com/documents/?uuid=0e29249a-891a-47de-8799-0b4d6c9e9f29"]}],"mendeley":{"formattedCitation":"(Lockwood et al., 2016; Meckling &amp; Nahm, 2018)","plainTextFormattedCitation":"(Lockwood et al., 2016; Meckling &amp; Nahm, 2018)","previouslyFormattedCitation":"(Lockwood et al., 2016; Meckling &amp; Nahm, 2018)"},"properties":{"noteIndex":0},"schema":"https://github.com/citation-style-language/schema/raw/master/csl-citation.json"}</w:instrText>
      </w:r>
      <w:r>
        <w:fldChar w:fldCharType="separate"/>
      </w:r>
      <w:r w:rsidR="00B53BF6" w:rsidRPr="00B53BF6">
        <w:rPr>
          <w:noProof/>
        </w:rPr>
        <w:t>(Lockwood et al., 2016; Meckling &amp; Nahm, 2018)</w:t>
      </w:r>
      <w:r>
        <w:fldChar w:fldCharType="end"/>
      </w:r>
      <w:r>
        <w:t xml:space="preserve">. There has been much attention on the appropriate design of climate policies </w:t>
      </w:r>
      <w:r w:rsidR="00823361">
        <w:t xml:space="preserve">to overcome political constraints, for instance by </w:t>
      </w:r>
      <w:r w:rsidR="001F516B">
        <w:t>compensating</w:t>
      </w:r>
      <w:r w:rsidR="00711BDC">
        <w:t xml:space="preserve"> interest groups</w:t>
      </w:r>
      <w:r w:rsidR="00823361">
        <w:t>, or</w:t>
      </w:r>
      <w:r w:rsidR="00930D81">
        <w:t xml:space="preserve"> by</w:t>
      </w:r>
      <w:r w:rsidR="00823361">
        <w:t xml:space="preserve"> </w:t>
      </w:r>
      <w:r w:rsidR="00930D81">
        <w:t xml:space="preserve">bringing </w:t>
      </w:r>
      <w:r w:rsidR="00FB35C4">
        <w:t xml:space="preserve">social </w:t>
      </w:r>
      <w:r w:rsidR="00930D81">
        <w:t xml:space="preserve">and health co-benefits to the forefront </w:t>
      </w:r>
      <w:r w:rsidR="00823361">
        <w:fldChar w:fldCharType="begin" w:fldLock="1"/>
      </w:r>
      <w:r w:rsidR="00AE1CAD">
        <w:instrText>ADDIN CSL_CITATION {"citationItems":[{"id":"ITEM-1","itemData":{"DOI":"10.1002/wene.256","ISSN":"20418396","abstract":"Adrien Vogt-Schilb, Inter-American Development Bank, avogtschilb@iadb.org Stephane Hallegatte, World Bank, shallegatte@worldbank.org Abstract Countries have pledged to stabilize global warming at a 1.5 to 2°C increase. Either target requires reaching net zero emissions before the end of the century, which implies a major transformation of the economic system. This paper reviews the literature on how policymakers can design climate policies and their Nationally Determined Contributions (NDCs) to reach zero-net emissions before the end of the century in a socially and politically-acceptable manner. To get the ambition right, policymakers can use sectoral roadmaps with targets and indicators that track progress towards zero emissions (e.g. regarding renewable power or reforestation). Indeed, monitoring economy-wide emissions reductions alone would not ensure that short-term action contributes meaningfully to the long-term decarbonization goal. To get the political economy right, climate policies can be designed so that they contribute to non-climate objectives and create coalitions of supporters. For instance, revenues from carbon taxes can fund social assistance and infrastructure investment, while reducing tax evasion and informality. To minimize social and economic disruptions and avoid stranded assets, policymakers can start with a low carbon price level and use complementary policies. Designed at the sector level, complementary policies such as performance standards or feebates for cars, building norms, or moratoriums on new coal power plants can be negotiated in partnership with local stakeholders and trigger a transition to zero carbon without creating disruptive stranded assets.","author":[{"dropping-particle":"","family":"Vogt-Schilb","given":"Adrien","non-dropping-particle":"","parse-names":false,"suffix":""},{"dropping-particle":"","family":"Hallegatte","given":"Stephane","non-dropping-particle":"","parse-names":false,"suffix":""}],"container-title":"Wiley Interdisciplinary Reviews: Energy and Environment","id":"ITEM-1","issued":{"date-parts":[["2017"]]},"title":"Climate policies and nationally determined contributions: reconciling the needed ambition with the political economy","type":"article-journal","volume":"e256"},"uris":["http://www.mendeley.com/documents/?uuid=53353736-258a-4980-afad-6f632f9c6d80"]},{"id":"ITEM-2","itemData":{"DOI":"10.1080/14693062.2017.1386540","ISSN":"17527457","abstract":"© 2017 Informa UK Limited, trading as Taylor  &amp;  Francis Group. National and global mitigation scenarios consistent with 1.5°C require an early phase-out of coal in major coal-dependent countries, compared to standard technical and economic lifetimes. This appears particularly apparent in the light of recent massive investments in coal power capacity, the significant pipeline of coal power capacity coming online, as well as upstream supporting infrastructure. This article analyses the existing and planned capital stock in the coal power sector in the light of scenarios consistent with 1.5°C. The article analyses the political economy and labour aspects of this abrupt and significant transition, in the light of domestic equity and development objectives. Firstly, the article examines employment issues and reviews the existing literature and practice with support schemes for regional and sectoral structural adjustment for the reduction of coal sector activity. Secondly, the paper surveys the domestic political economy of coal sector transition in major coal using countries, namely Australia, South Africa, China and India. A final section provides conclusions and policy recommendations. Key policy insights Achieving mitigation pathways in line with limiting warming to 1.5°C, or even well-below 2°C, would require the early retirement of coal sector assets in production and consumption. Historically, coal sector transition has often been associated with prolonged socio-economic dislocation in affected regions. Policies to accompany affected regions are thus a crucial part of policy mixes to limit warming to 1.5°C and even 2°C. Such policies should be anticipatory and long-term, as opposed to reactive policies focused on short-term measures to smooth the transition. A survey of major coal using countries shows that each is a long way from putting in place a long-term framework to transition the coal sector.","author":[{"dropping-particle":"","family":"Spencer","given":"Thomas","non-dropping-particle":"","parse-names":false,"suffix":""},{"dropping-particle":"","family":"Colombier","given":"Michel","non-dropping-particle":"","parse-names":false,"suffix":""},{"dropping-particle":"","family":"Sartor","given":"Oliver","non-dropping-particle":"","parse-names":false,"suffix":""},{"dropping-particle":"","family":"Garg","given":"Amit","non-dropping-particle":"","parse-names":false,"suffix":""},{"dropping-particle":"","family":"Tiwari","given":"Vineet","non-dropping-particle":"","parse-names":false,"suffix":""},{"dropping-particle":"","family":"Burton","given":"Jesse","non-dropping-particle":"","parse-names":false,"suffix":""},{"dropping-particle":"","family":"Caetano","given":"Tara","non-dropping-particle":"","parse-names":false,"suffix":""},{"dropping-particle":"","family":"Green","given":"Fergus","non-dropping-particle":"","parse-names":false,"suffix":""},{"dropping-particle":"","family":"Teng","given":"Fei","non-dropping-particle":"","parse-names":false,"suffix":""},{"dropping-particle":"","family":"Wiseman","given":"John","non-dropping-particle":"","parse-names":false,"suffix":""}],"container-title":"Climate Policy","id":"ITEM-2","issue":"3","issued":{"date-parts":[["2018"]]},"page":"335-351","title":"The 1.5°C target and coal sector transition: at the limits of societal feasibility","type":"article-journal","volume":"18"},"uris":["http://www.mendeley.com/documents/?uuid=fde14ecd-e7be-416b-82cc-705875781da3"]},{"id":"ITEM-3","itemData":{"DOI":"10.3390/ijerph15040674","ISSN":"16604601","PMID":"29617317","abstract":"A complex, whole-of-economy issue such as climate change demands an interdisciplinary, multi-sectoral response. However, evidence suggests that human health has remained elusive in its influence on the development of ambitious climate change mitigation policies for many national governments, despite a recognition that the combustion of fossil fuels results in pervasive short- and long-term health consequences. We use insights from literature on the political economy of health and climate change, the science&amp;ndash;policy interface and power in policy-making, to identify additional barriers to the meaningful incorporation of health co-benefits into climate change mitigation policy development. Specifically, we identify four key interrelated areas where barriers may exist in relation to health co-benefits: discourse, efficiency, vested interests and structural challenges. With these insights in mind, we argue that the current politico-economic paradigm in which climate change is situated and the processes used to develop climate change mitigation policies do not adequately support accounting for health co-benefits. We present approaches for enhancing the role of health co-benefits in the development of climate change mitigation policies to ensure that health is embedded in the broader climate change agenda.","author":[{"dropping-particle":"","family":"Workman","given":"Annabelle","non-dropping-particle":"","parse-names":false,"suffix":""},{"dropping-particle":"","family":"Blashki","given":"Grant","non-dropping-particle":"","parse-names":false,"suffix":""},{"dropping-particle":"","family":"Bowen","given":"Kathryn J.","non-dropping-particle":"","parse-names":false,"suffix":""},{"dropping-particle":"","family":"Karoly","given":"David J.","non-dropping-particle":"","parse-names":false,"suffix":""},{"dropping-particle":"","family":"Wiseman","given":"John","non-dropping-particle":"","parse-names":false,"suffix":""}],"container-title":"International Journal of Environmental Research and Public Health","id":"ITEM-3","issue":"4","issued":{"date-parts":[["2018"]]},"page":"1-18","title":"The Political Economy of Health Co-Benefits: Embedding Health in the Climate Change Agenda","type":"article-journal","volume":"15"},"uris":["http://www.mendeley.com/documents/?uuid=c686098a-1c53-4735-9a08-9fda97f65c6b"]}],"mendeley":{"formattedCitation":"(Spencer et al., 2018; Vogt-Schilb &amp; Hallegatte, 2017; Workman, Blashki, Bowen, Karoly, &amp; Wiseman, 2018)","plainTextFormattedCitation":"(Spencer et al., 2018; Vogt-Schilb &amp; Hallegatte, 2017; Workman, Blashki, Bowen, Karoly, &amp; Wiseman, 2018)","previouslyFormattedCitation":"(Spencer et al., 2018; Vogt-Schilb &amp; Hallegatte, 2017; Workman, Blashki, Bowen, Karoly, &amp; Wiseman, 2018)"},"properties":{"noteIndex":0},"schema":"https://github.com/citation-style-language/schema/raw/master/csl-citation.json"}</w:instrText>
      </w:r>
      <w:r w:rsidR="00823361">
        <w:fldChar w:fldCharType="separate"/>
      </w:r>
      <w:r w:rsidR="00B53BF6" w:rsidRPr="00B53BF6">
        <w:rPr>
          <w:noProof/>
        </w:rPr>
        <w:t>(Spencer et al., 2018; Vogt-Schilb &amp; Hallegatte, 2017; Workman, Blashki, Bowen, Karoly, &amp; Wiseman, 2018)</w:t>
      </w:r>
      <w:r w:rsidR="00823361">
        <w:fldChar w:fldCharType="end"/>
      </w:r>
      <w:r w:rsidR="00823361">
        <w:t xml:space="preserve">. </w:t>
      </w:r>
      <w:r w:rsidR="00FA6139">
        <w:t xml:space="preserve">Marxian-inspired research has explored the structural factors underlying the dominance of fossil fuels in the global economy </w:t>
      </w:r>
      <w:r w:rsidR="00FA6139">
        <w:fldChar w:fldCharType="begin" w:fldLock="1"/>
      </w:r>
      <w:r w:rsidR="00AE1CAD">
        <w:instrText>ADDIN CSL_CITATION {"citationItems":[{"id":"ITEM-1","itemData":{"ISBN":"9781784781293","author":[{"dropping-particle":"","family":"Malm","given":"Andreas","non-dropping-particle":"","parse-names":false,"suffix":""}],"id":"ITEM-1","issued":{"date-parts":[["2016"]]},"publisher":"Verso","publisher-place":"London","title":"Fossil Capital: The Rise of Steam Power and the Roots of Global Warming","type":"book"},"uris":["http://www.mendeley.com/documents/?uuid=981c0c89-6de3-4316-8a6e-e299abef04ea"]},{"id":"ITEM-2","itemData":{"DOI":"10.1002/WCC.506","ISSN":"1757-7799","author":[{"dropping-particle":"","family":"Paterson","given":"Matthew","non-dropping-particle":"","parse-names":false,"suffix":""},{"dropping-particle":"","family":"P‐Laberge","given":"Xavier","non-dropping-particle":"","parse-names":false,"suffix":""}],"container-title":"Wiley Interdisciplinary Reviews: Climate Change","id":"ITEM-2","issue":"November 2017","issued":{"date-parts":[["2018"]]},"page":"1-16","title":"Political economies of climate change","type":"article-journal"},"uris":["http://www.mendeley.com/documents/?uuid=89d72bd5-2f5b-4037-8978-7aee57bed12b"]}],"mendeley":{"formattedCitation":"(Malm, 2016; Paterson &amp; P‐Laberge, 2018)","plainTextFormattedCitation":"(Malm, 2016; Paterson &amp; P‐Laberge, 2018)","previouslyFormattedCitation":"(Malm, 2016; Paterson &amp; P‐Laberge, 2018)"},"properties":{"noteIndex":0},"schema":"https://github.com/citation-style-language/schema/raw/master/csl-citation.json"}</w:instrText>
      </w:r>
      <w:r w:rsidR="00FA6139">
        <w:fldChar w:fldCharType="separate"/>
      </w:r>
      <w:r w:rsidR="00B53BF6" w:rsidRPr="00B53BF6">
        <w:rPr>
          <w:noProof/>
        </w:rPr>
        <w:t>(Malm, 2016; Paterson &amp; P‐Laberge, 2018)</w:t>
      </w:r>
      <w:r w:rsidR="00FA6139">
        <w:fldChar w:fldCharType="end"/>
      </w:r>
      <w:r w:rsidR="00FA6139">
        <w:t xml:space="preserve">. And there has been </w:t>
      </w:r>
      <w:r w:rsidR="0026092C">
        <w:t xml:space="preserve">a series of studies on the cross-national political economic </w:t>
      </w:r>
      <w:r w:rsidR="0036212B">
        <w:t>factors that shape</w:t>
      </w:r>
      <w:r w:rsidR="0026092C">
        <w:t xml:space="preserve"> climate legislation and policy adoption </w:t>
      </w:r>
      <w:r w:rsidR="0026092C">
        <w:fldChar w:fldCharType="begin" w:fldLock="1"/>
      </w:r>
      <w:r w:rsidR="00AE1CAD">
        <w:instrText>ADDIN CSL_CITATION {"citationItems":[{"id":"ITEM-1","itemData":{"DOI":"10.17863/CAM.7825","abstract":"In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 Abstract 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schemes.","author":[{"dropping-particle":"","family":"Dolphin","given":"G. G.","non-dropping-particle":"","parse-names":false,"suffix":""},{"dropping-particle":"","family":"Pollitt","given":"M. G.","non-dropping-particle":"","parse-names":false,"suffix":""},{"dropping-particle":"","family":"Newbery","given":"D. G.","non-dropping-particle":"","parse-names":false,"suffix":""}],"collection-title":"Cambridge Working Paper Economics","id":"ITEM-1","issued":{"date-parts":[["2016"]]},"number":"1663","number-of-pages":"1-45","publisher-place":"Cambrdige, UK","title":"The Political Economy of Carbon Pricing: a Panel Analysis","type":"report"},"uris":["http://www.mendeley.com/documents/?uuid=6e269377-11ab-4240-a1eb-07b94f1ee52b"]},{"id":"ITEM-2","itemData":{"DOI":"10.1016/j.gloenvcha.2015.08.008","author":[{"dropping-particle":"","family":"Fankhauser","given":"Sam","non-dropping-particle":"","parse-names":false,"suffix":""},{"dropping-particle":"","family":"Gennaioli","given":"Caterina","non-dropping-particle":"","parse-names":false,"suffix":""},{"dropping-particle":"","family":"Collins","given":"Murray","non-dropping-particle":"","parse-names":false,"suffix":""}],"container-title":"Global Environmental Change","id":"ITEM-2","issued":{"date-parts":[["2015"]]},"page":"52-61","publisher":"Elsevier Ltd","title":"The political economy of passing climate change legislation: evidence from a survey","type":"article-journal","volume":"35"},"uris":["http://www.mendeley.com/documents/?uuid=860f5671-59a0-4f8d-a7d7-b495238f5d28"]}],"mendeley":{"formattedCitation":"(Dolphin, Pollitt, &amp; Newbery, 2016; Fankhauser, Gennaioli, &amp; Collins, 2015)","plainTextFormattedCitation":"(Dolphin, Pollitt, &amp; Newbery, 2016; Fankhauser, Gennaioli, &amp; Collins, 2015)","previouslyFormattedCitation":"(Dolphin, Pollitt, &amp; Newbery, 2016; Fankhauser, Gennaioli, &amp; Collins, 2015)"},"properties":{"noteIndex":0},"schema":"https://github.com/citation-style-language/schema/raw/master/csl-citation.json"}</w:instrText>
      </w:r>
      <w:r w:rsidR="0026092C">
        <w:fldChar w:fldCharType="separate"/>
      </w:r>
      <w:r w:rsidR="00B53BF6" w:rsidRPr="00B53BF6">
        <w:rPr>
          <w:noProof/>
        </w:rPr>
        <w:t>(Dolphin, Pollitt, &amp; Newbery, 2016; Fankhauser, Gennaioli, &amp; Collins, 2015)</w:t>
      </w:r>
      <w:r w:rsidR="0026092C">
        <w:fldChar w:fldCharType="end"/>
      </w:r>
      <w:r w:rsidR="0026092C">
        <w:t>.</w:t>
      </w:r>
    </w:p>
    <w:p w14:paraId="7E6D4147" w14:textId="31D2E8BF" w:rsidR="00FA6139" w:rsidRDefault="00051A6F" w:rsidP="00AC47C7">
      <w:pPr>
        <w:spacing w:line="360" w:lineRule="auto"/>
      </w:pPr>
      <w:r>
        <w:t xml:space="preserve">In this article we contribute to the latter stream of work, exploring </w:t>
      </w:r>
      <w:r w:rsidR="00FA6139">
        <w:t xml:space="preserve">political economic </w:t>
      </w:r>
      <w:r w:rsidR="0036212B">
        <w:t xml:space="preserve">contexts </w:t>
      </w:r>
      <w:r w:rsidR="00D84076">
        <w:t xml:space="preserve">that manifest </w:t>
      </w:r>
      <w:r w:rsidR="004A43F4">
        <w:t xml:space="preserve">at </w:t>
      </w:r>
      <w:r>
        <w:t>a</w:t>
      </w:r>
      <w:r w:rsidR="00D84076">
        <w:t xml:space="preserve"> national</w:t>
      </w:r>
      <w:r>
        <w:t xml:space="preserve"> level</w:t>
      </w:r>
      <w:r w:rsidR="00D84076">
        <w:t xml:space="preserve"> and point to substantive </w:t>
      </w:r>
      <w:r w:rsidR="00416A8A">
        <w:t>international divergences in the prospects for rapidly mitigating climate change.</w:t>
      </w:r>
      <w:r>
        <w:t xml:space="preserve"> </w:t>
      </w:r>
      <w:r w:rsidR="00167896">
        <w:t xml:space="preserve">We adopt the language of ‘constraints’ to describe social, political and institutional contexts that appear to </w:t>
      </w:r>
      <w:r w:rsidR="00AC47C7">
        <w:t>actively prevent</w:t>
      </w:r>
      <w:r w:rsidR="00167896">
        <w:t xml:space="preserve"> climate policy </w:t>
      </w:r>
      <w:r w:rsidR="007550C5">
        <w:t>progress</w:t>
      </w:r>
      <w:r w:rsidR="00167896">
        <w:t xml:space="preserve">. </w:t>
      </w:r>
      <w:r w:rsidR="0036212B">
        <w:t>In doing so we consciously avoid the more passive</w:t>
      </w:r>
      <w:r w:rsidR="00AC47C7">
        <w:t xml:space="preserve"> </w:t>
      </w:r>
      <w:r w:rsidR="00B76547">
        <w:t>and prevalent</w:t>
      </w:r>
      <w:r w:rsidR="0036212B">
        <w:t xml:space="preserve"> formulations of climate policy ‘determinants’ </w:t>
      </w:r>
      <w:r w:rsidR="00395A12">
        <w:t>or</w:t>
      </w:r>
      <w:r w:rsidR="0036212B">
        <w:t xml:space="preserve"> ‘enabling conditions’</w:t>
      </w:r>
      <w:r w:rsidR="00627C97">
        <w:t>.</w:t>
      </w:r>
      <w:r w:rsidR="00474A63">
        <w:t xml:space="preserve"> </w:t>
      </w:r>
      <w:r w:rsidR="00627C97">
        <w:t>S</w:t>
      </w:r>
      <w:r w:rsidR="00474A63">
        <w:t xml:space="preserve">ince </w:t>
      </w:r>
      <w:r w:rsidR="007F3D67">
        <w:t xml:space="preserve">many policies </w:t>
      </w:r>
      <w:r w:rsidR="00627C97">
        <w:t>are</w:t>
      </w:r>
      <w:r w:rsidR="007F3D67">
        <w:t xml:space="preserve"> </w:t>
      </w:r>
      <w:r w:rsidR="00AC47C7">
        <w:t xml:space="preserve">either </w:t>
      </w:r>
      <w:r w:rsidR="00395A12">
        <w:t>inexpensive</w:t>
      </w:r>
      <w:r w:rsidR="00AC47C7">
        <w:t xml:space="preserve"> (</w:t>
      </w:r>
      <w:r w:rsidR="007F3D67">
        <w:t>fossil subsidy reform</w:t>
      </w:r>
      <w:r w:rsidR="00AC47C7">
        <w:t>), socially desirable (low-emissions zones</w:t>
      </w:r>
      <w:r w:rsidR="00B474B9">
        <w:t>, retrofit programs</w:t>
      </w:r>
      <w:r w:rsidR="00AC47C7">
        <w:t xml:space="preserve">), or both (revenue neutral carbon pricing), active hindrance </w:t>
      </w:r>
      <w:r w:rsidR="007F3D67">
        <w:t>ough</w:t>
      </w:r>
      <w:r w:rsidR="00474A63">
        <w:t>t to be the semantic assumption.</w:t>
      </w:r>
    </w:p>
    <w:p w14:paraId="186DA18F" w14:textId="3DD775D7" w:rsidR="00AC5A5D" w:rsidRDefault="00AC47C7" w:rsidP="00E77203">
      <w:pPr>
        <w:spacing w:line="360" w:lineRule="auto"/>
      </w:pPr>
      <w:r>
        <w:t>Our overarching question is:</w:t>
      </w:r>
      <w:r w:rsidR="00AC5A5D">
        <w:t xml:space="preserve"> </w:t>
      </w:r>
      <w:r w:rsidR="00B474B9">
        <w:rPr>
          <w:i/>
        </w:rPr>
        <w:t xml:space="preserve">what are national </w:t>
      </w:r>
      <w:r w:rsidR="003B4A78">
        <w:rPr>
          <w:i/>
        </w:rPr>
        <w:t>political economic constraints</w:t>
      </w:r>
      <w:r w:rsidR="00AC5A5D" w:rsidRPr="00EE1410">
        <w:rPr>
          <w:i/>
        </w:rPr>
        <w:t xml:space="preserve"> to climate policy</w:t>
      </w:r>
      <w:r w:rsidR="002378E5">
        <w:rPr>
          <w:i/>
        </w:rPr>
        <w:t xml:space="preserve">, and </w:t>
      </w:r>
      <w:r w:rsidR="00B474B9">
        <w:rPr>
          <w:i/>
        </w:rPr>
        <w:t>which countries are exposed to them</w:t>
      </w:r>
      <w:r w:rsidR="00AC5A5D">
        <w:rPr>
          <w:i/>
        </w:rPr>
        <w:t>?</w:t>
      </w:r>
      <w:r>
        <w:t xml:space="preserve"> We address this via </w:t>
      </w:r>
      <w:r w:rsidR="00AC5A5D">
        <w:t xml:space="preserve">the following </w:t>
      </w:r>
      <w:r w:rsidR="00B474B9">
        <w:t xml:space="preserve">three </w:t>
      </w:r>
      <w:r w:rsidR="00AC5A5D">
        <w:t>objectives:</w:t>
      </w:r>
    </w:p>
    <w:p w14:paraId="639C5659" w14:textId="05B5E9D5" w:rsidR="00B474B9" w:rsidRDefault="00B474B9" w:rsidP="002F365B">
      <w:pPr>
        <w:pStyle w:val="ListParagraph"/>
        <w:numPr>
          <w:ilvl w:val="0"/>
          <w:numId w:val="2"/>
        </w:numPr>
        <w:spacing w:line="360" w:lineRule="auto"/>
      </w:pPr>
      <w:r>
        <w:t xml:space="preserve">Establish a conceptual foundation for </w:t>
      </w:r>
      <w:r w:rsidR="00F83AEE">
        <w:t>comparing national climate</w:t>
      </w:r>
      <w:r w:rsidR="00362F9B">
        <w:t xml:space="preserve"> policy progress</w:t>
      </w:r>
      <w:r w:rsidR="00F83AEE">
        <w:t xml:space="preserve"> and identifying political economic constraints</w:t>
      </w:r>
      <w:r>
        <w:t xml:space="preserve"> </w:t>
      </w:r>
      <w:r w:rsidR="00C43D1A">
        <w:t>(section 2 of the paper)</w:t>
      </w:r>
    </w:p>
    <w:p w14:paraId="6C8D4ECC" w14:textId="299B685F" w:rsidR="00AC5A5D" w:rsidRDefault="003B4A78" w:rsidP="00936D99">
      <w:pPr>
        <w:pStyle w:val="ListParagraph"/>
        <w:numPr>
          <w:ilvl w:val="0"/>
          <w:numId w:val="2"/>
        </w:numPr>
        <w:spacing w:line="360" w:lineRule="auto"/>
      </w:pPr>
      <w:r>
        <w:t xml:space="preserve">Review </w:t>
      </w:r>
      <w:r w:rsidR="00B474B9">
        <w:t xml:space="preserve">and synthesise </w:t>
      </w:r>
      <w:r>
        <w:t xml:space="preserve">the </w:t>
      </w:r>
      <w:r w:rsidR="00495D21">
        <w:t xml:space="preserve">empirical </w:t>
      </w:r>
      <w:r>
        <w:t xml:space="preserve">literature </w:t>
      </w:r>
      <w:r w:rsidR="00F83AEE">
        <w:t xml:space="preserve">that </w:t>
      </w:r>
      <w:r w:rsidR="00362F9B">
        <w:t>examines</w:t>
      </w:r>
      <w:r w:rsidR="00F83AEE">
        <w:t xml:space="preserve"> </w:t>
      </w:r>
      <w:r w:rsidR="00495D21">
        <w:t>political, social and institutional constraints to climate legislation</w:t>
      </w:r>
      <w:r w:rsidR="007550C5">
        <w:t xml:space="preserve"> adoption,</w:t>
      </w:r>
      <w:r w:rsidR="00495D21">
        <w:t xml:space="preserve"> policy adoption</w:t>
      </w:r>
      <w:r w:rsidR="007550C5">
        <w:t xml:space="preserve">, and policy stringency </w:t>
      </w:r>
      <w:r w:rsidR="00C43D1A">
        <w:t>(section 3)</w:t>
      </w:r>
    </w:p>
    <w:p w14:paraId="395889C3" w14:textId="2F68108F" w:rsidR="00495D21" w:rsidRDefault="007550C5" w:rsidP="00534EFF">
      <w:pPr>
        <w:pStyle w:val="ListParagraph"/>
        <w:numPr>
          <w:ilvl w:val="0"/>
          <w:numId w:val="2"/>
        </w:numPr>
        <w:spacing w:line="360" w:lineRule="auto"/>
      </w:pPr>
      <w:r>
        <w:t>Identify</w:t>
      </w:r>
      <w:r w:rsidR="00B474B9">
        <w:t xml:space="preserve"> indicators </w:t>
      </w:r>
      <w:r>
        <w:t xml:space="preserve">reflecting climate </w:t>
      </w:r>
      <w:r w:rsidR="00B474B9">
        <w:t>policy progress and</w:t>
      </w:r>
      <w:r w:rsidR="00C43D1A">
        <w:t xml:space="preserve"> political economic constraints; </w:t>
      </w:r>
      <w:r w:rsidR="00421F30">
        <w:t>analyse</w:t>
      </w:r>
      <w:r w:rsidR="00C43D1A">
        <w:t xml:space="preserve"> stylized facts and</w:t>
      </w:r>
      <w:r w:rsidR="00B474B9">
        <w:t xml:space="preserve"> </w:t>
      </w:r>
      <w:r w:rsidR="00421F30">
        <w:t>build</w:t>
      </w:r>
      <w:r w:rsidR="00B474B9">
        <w:t xml:space="preserve"> a typology of countries</w:t>
      </w:r>
      <w:r w:rsidR="00935EED">
        <w:t xml:space="preserve"> exposed </w:t>
      </w:r>
      <w:r w:rsidR="00421F30">
        <w:t>to similar constraint profiles</w:t>
      </w:r>
      <w:r w:rsidR="00C43D1A">
        <w:t xml:space="preserve"> (section 4)</w:t>
      </w:r>
    </w:p>
    <w:p w14:paraId="1334824E" w14:textId="3D52C180" w:rsidR="0005057E" w:rsidRDefault="002C518B">
      <w:pPr>
        <w:spacing w:line="360" w:lineRule="auto"/>
      </w:pPr>
      <w:r>
        <w:t xml:space="preserve">The focus of this article </w:t>
      </w:r>
      <w:r w:rsidR="00514835">
        <w:t xml:space="preserve">is </w:t>
      </w:r>
      <w:r>
        <w:t xml:space="preserve">on identifying broad </w:t>
      </w:r>
      <w:r w:rsidR="00C43D1A">
        <w:t xml:space="preserve">political </w:t>
      </w:r>
      <w:r>
        <w:t>structures and international trends</w:t>
      </w:r>
      <w:r w:rsidR="00A34C68">
        <w:t xml:space="preserve"> such as democratic norms, corruption, climate awareness, and so forth</w:t>
      </w:r>
      <w:r w:rsidR="00514835">
        <w:t xml:space="preserve">. It therefore </w:t>
      </w:r>
      <w:r>
        <w:t>lends itself to quantitative analysis</w:t>
      </w:r>
      <w:r w:rsidR="00514835">
        <w:t xml:space="preserve">, but </w:t>
      </w:r>
      <w:r>
        <w:t>remains at a relatively high level of abstraction compared to case studies</w:t>
      </w:r>
      <w:r w:rsidR="00514835">
        <w:t xml:space="preserve"> and</w:t>
      </w:r>
      <w:r>
        <w:t xml:space="preserve"> mid-range theories </w:t>
      </w:r>
      <w:r w:rsidR="00514835">
        <w:t xml:space="preserve">that </w:t>
      </w:r>
      <w:r w:rsidR="007D1E19">
        <w:t>often</w:t>
      </w:r>
      <w:r w:rsidR="00514835">
        <w:t xml:space="preserve"> inform political economic research</w:t>
      </w:r>
      <w:r>
        <w:t>. Nonetheless, as we</w:t>
      </w:r>
      <w:r w:rsidR="007550C5">
        <w:t xml:space="preserve"> will</w:t>
      </w:r>
      <w:r>
        <w:t xml:space="preserve"> argue</w:t>
      </w:r>
      <w:r w:rsidR="00C43D1A">
        <w:t xml:space="preserve"> in the conclusion (section 5)</w:t>
      </w:r>
      <w:r>
        <w:t xml:space="preserve">, </w:t>
      </w:r>
      <w:r w:rsidR="00421F30">
        <w:t xml:space="preserve">one can observe </w:t>
      </w:r>
      <w:r>
        <w:t xml:space="preserve">systematic differences between countries in terms of their prevailing contexts and </w:t>
      </w:r>
      <w:r w:rsidR="00421F30">
        <w:t xml:space="preserve">rates of </w:t>
      </w:r>
      <w:r>
        <w:t xml:space="preserve">climate </w:t>
      </w:r>
      <w:r w:rsidR="009A5830">
        <w:t>policy progress</w:t>
      </w:r>
      <w:r w:rsidR="00C43D1A">
        <w:t xml:space="preserve">. This basic observation has been largely unappreciated in </w:t>
      </w:r>
      <w:r w:rsidR="00A40265">
        <w:t xml:space="preserve">mitigation </w:t>
      </w:r>
      <w:r w:rsidR="00421F30">
        <w:t xml:space="preserve">and scenario </w:t>
      </w:r>
      <w:r w:rsidR="00A40265">
        <w:t xml:space="preserve">literature so far, calling for a clear-eyed assessment of the challenge and new thinking </w:t>
      </w:r>
      <w:r w:rsidR="00C34B24">
        <w:t>to find</w:t>
      </w:r>
      <w:r w:rsidR="00A40265">
        <w:t xml:space="preserve"> </w:t>
      </w:r>
      <w:r w:rsidR="00C34B24">
        <w:t xml:space="preserve">viable </w:t>
      </w:r>
      <w:r w:rsidR="00A40265">
        <w:t>entry points to strong international climate policy.</w:t>
      </w:r>
    </w:p>
    <w:p w14:paraId="4BC5969F" w14:textId="47928652" w:rsidR="007929F1" w:rsidRDefault="009F3FFE" w:rsidP="00936D99">
      <w:pPr>
        <w:pStyle w:val="Heading2"/>
        <w:numPr>
          <w:ilvl w:val="0"/>
          <w:numId w:val="1"/>
        </w:numPr>
        <w:spacing w:after="120" w:line="360" w:lineRule="auto"/>
        <w:ind w:left="357" w:hanging="357"/>
      </w:pPr>
      <w:r>
        <w:lastRenderedPageBreak/>
        <w:t>Background and theoretical setting</w:t>
      </w:r>
    </w:p>
    <w:p w14:paraId="04C56005" w14:textId="0F8E80B3" w:rsidR="009F537C" w:rsidRDefault="00BD6AD4" w:rsidP="000D5CD4">
      <w:pPr>
        <w:spacing w:line="360" w:lineRule="auto"/>
      </w:pPr>
      <w:r>
        <w:t xml:space="preserve">In this section we </w:t>
      </w:r>
      <w:r w:rsidR="000D5CD4">
        <w:t xml:space="preserve">first </w:t>
      </w:r>
      <w:r>
        <w:t xml:space="preserve">identify </w:t>
      </w:r>
      <w:r w:rsidR="000D5CD4">
        <w:t xml:space="preserve">a </w:t>
      </w:r>
      <w:r w:rsidR="001F52E3">
        <w:t xml:space="preserve">basic </w:t>
      </w:r>
      <w:r w:rsidR="000D5CD4">
        <w:t>framework to characterise constraints</w:t>
      </w:r>
      <w:r w:rsidR="00421F30">
        <w:t xml:space="preserve">, borrowing from the well-known Hall </w:t>
      </w:r>
      <w:r w:rsidR="00421F30">
        <w:fldChar w:fldCharType="begin" w:fldLock="1"/>
      </w:r>
      <w:r w:rsidR="00AE1CAD">
        <w:instrText>ADDIN CSL_CITATION {"citationItems":[{"id":"ITEM-1","itemData":{"author":[{"dropping-particle":"","family":"Hall","given":"Peter A.","non-dropping-particle":"","parse-names":false,"suffix":""}],"container-title":"Comparative Politics: Rationality, Culture, and Structure","editor":[{"dropping-particle":"","family":"Lichbach","given":"Mark Irving","non-dropping-particle":"","parse-names":false,"suffix":""},{"dropping-particle":"","family":"Zuckerman","given":"Alan S.","non-dropping-particle":"","parse-names":false,"suffix":""}],"id":"ITEM-1","issued":{"date-parts":[["1997"]]},"page":"174-207","publisher":"Cambridge University Press","publisher-place":"Cambrdige, UK","title":"The role of interests, institutions, and ideas in the comparative political economy of the industrialized natoins","type":"chapter"},"suppress-author":1,"uris":["http://www.mendeley.com/documents/?uuid=4882695a-59ac-44d3-ba71-aa6d69dbf617"]}],"mendeley":{"formattedCitation":"(1997)","plainTextFormattedCitation":"(1997)","previouslyFormattedCitation":"(1997)"},"properties":{"noteIndex":0},"schema":"https://github.com/citation-style-language/schema/raw/master/csl-citation.json"}</w:instrText>
      </w:r>
      <w:r w:rsidR="00421F30">
        <w:fldChar w:fldCharType="separate"/>
      </w:r>
      <w:r w:rsidR="00B53BF6" w:rsidRPr="00B53BF6">
        <w:rPr>
          <w:noProof/>
        </w:rPr>
        <w:t>(1997)</w:t>
      </w:r>
      <w:r w:rsidR="00421F30">
        <w:fldChar w:fldCharType="end"/>
      </w:r>
      <w:r w:rsidR="00421F30">
        <w:t xml:space="preserve"> classification of interest, idea and institution-based analysis. We then turn</w:t>
      </w:r>
      <w:r w:rsidR="001F52E3">
        <w:t xml:space="preserve"> to a critical issue: what is the appropriate dependent variable for </w:t>
      </w:r>
      <w:r>
        <w:t>comparing countries and performance</w:t>
      </w:r>
      <w:r w:rsidR="001F52E3">
        <w:t>?</w:t>
      </w:r>
    </w:p>
    <w:p w14:paraId="7A4D2B40" w14:textId="738820CA" w:rsidR="00211F78" w:rsidRDefault="00477FBA" w:rsidP="00936D99">
      <w:pPr>
        <w:pStyle w:val="Heading3"/>
        <w:numPr>
          <w:ilvl w:val="1"/>
          <w:numId w:val="1"/>
        </w:numPr>
        <w:spacing w:after="120" w:line="360" w:lineRule="auto"/>
        <w:ind w:left="788" w:hanging="431"/>
      </w:pPr>
      <w:r>
        <w:t>A framework of interests, institutions and ideas</w:t>
      </w:r>
    </w:p>
    <w:p w14:paraId="1B5F4D88" w14:textId="4BB1447A" w:rsidR="00835CA0" w:rsidRDefault="009E2B40" w:rsidP="00E77203">
      <w:pPr>
        <w:spacing w:line="360" w:lineRule="auto"/>
      </w:pPr>
      <w:r>
        <w:t xml:space="preserve">Hall </w:t>
      </w:r>
      <w:r>
        <w:fldChar w:fldCharType="begin" w:fldLock="1"/>
      </w:r>
      <w:r w:rsidR="00AE1CAD">
        <w:instrText>ADDIN CSL_CITATION {"citationItems":[{"id":"ITEM-1","itemData":{"author":[{"dropping-particle":"","family":"Hall","given":"Peter A.","non-dropping-particle":"","parse-names":false,"suffix":""}],"container-title":"Comparative Politics: Rationality, Culture, and Structure","editor":[{"dropping-particle":"","family":"Lichbach","given":"Mark Irving","non-dropping-particle":"","parse-names":false,"suffix":""},{"dropping-particle":"","family":"Zuckerman","given":"Alan S.","non-dropping-particle":"","parse-names":false,"suffix":""}],"id":"ITEM-1","issued":{"date-parts":[["1997"]]},"page":"174-207","publisher":"Cambridge University Press","publisher-place":"Cambrdige, UK","title":"The role of interests, institutions, and ideas in the comparative political economy of the industrialized natoins","type":"chapter"},"suppress-author":1,"uris":["http://www.mendeley.com/documents/?uuid=4882695a-59ac-44d3-ba71-aa6d69dbf617"]}],"mendeley":{"formattedCitation":"(1997)","plainTextFormattedCitation":"(1997)","previouslyFormattedCitation":"(1997)"},"properties":{"noteIndex":0},"schema":"https://github.com/citation-style-language/schema/raw/master/csl-citation.json"}</w:instrText>
      </w:r>
      <w:r>
        <w:fldChar w:fldCharType="separate"/>
      </w:r>
      <w:r w:rsidR="00B53BF6" w:rsidRPr="00B53BF6">
        <w:rPr>
          <w:noProof/>
        </w:rPr>
        <w:t>(1997)</w:t>
      </w:r>
      <w:r>
        <w:fldChar w:fldCharType="end"/>
      </w:r>
      <w:r>
        <w:t xml:space="preserve"> argues that p</w:t>
      </w:r>
      <w:r w:rsidR="00835CA0">
        <w:t xml:space="preserve">olitical economy analysis can be broadly categorised into approaches focusing on interests, ideas, </w:t>
      </w:r>
      <w:r w:rsidR="00E55ABE">
        <w:t xml:space="preserve">and </w:t>
      </w:r>
      <w:r w:rsidR="00835CA0">
        <w:t xml:space="preserve">institutions. </w:t>
      </w:r>
      <w:r w:rsidR="007A0732">
        <w:t xml:space="preserve">Interest-based </w:t>
      </w:r>
      <w:r w:rsidR="00403392">
        <w:t>analysis</w:t>
      </w:r>
      <w:r>
        <w:t xml:space="preserve"> recognise</w:t>
      </w:r>
      <w:r w:rsidR="00403392">
        <w:t>s</w:t>
      </w:r>
      <w:r>
        <w:t xml:space="preserve"> that</w:t>
      </w:r>
      <w:r w:rsidR="00F2579F">
        <w:t xml:space="preserve"> societal changes have </w:t>
      </w:r>
      <w:r w:rsidR="007A0732">
        <w:t xml:space="preserve">material </w:t>
      </w:r>
      <w:r>
        <w:t>(</w:t>
      </w:r>
      <w:r w:rsidR="006216DB">
        <w:t>e.g.</w:t>
      </w:r>
      <w:r w:rsidR="00403392">
        <w:t xml:space="preserve"> monetary</w:t>
      </w:r>
      <w:r>
        <w:t xml:space="preserve">) </w:t>
      </w:r>
      <w:r w:rsidR="007A0732">
        <w:t xml:space="preserve">consequences for </w:t>
      </w:r>
      <w:r>
        <w:t>different</w:t>
      </w:r>
      <w:r w:rsidR="007A0732">
        <w:t xml:space="preserve"> actors, such as workers, capitalists, and political agents. </w:t>
      </w:r>
      <w:r w:rsidR="00F2579F">
        <w:t xml:space="preserve">These groups therefore respond to, and participate in, social change. Often the </w:t>
      </w:r>
      <w:r>
        <w:t xml:space="preserve">interests </w:t>
      </w:r>
      <w:r w:rsidR="00F2579F">
        <w:t xml:space="preserve">of different actors </w:t>
      </w:r>
      <w:r w:rsidR="00996061">
        <w:t>may</w:t>
      </w:r>
      <w:r>
        <w:t xml:space="preserve"> </w:t>
      </w:r>
      <w:r w:rsidR="007A0732">
        <w:t xml:space="preserve">intersect, </w:t>
      </w:r>
      <w:r w:rsidR="006216DB">
        <w:t xml:space="preserve">stimulating the formation of </w:t>
      </w:r>
      <w:r w:rsidR="007A0732">
        <w:t xml:space="preserve">coalitions </w:t>
      </w:r>
      <w:r w:rsidR="006216DB">
        <w:t xml:space="preserve">to push for a </w:t>
      </w:r>
      <w:r>
        <w:t xml:space="preserve">common agenda; </w:t>
      </w:r>
      <w:r w:rsidR="007A0732">
        <w:t xml:space="preserve">or </w:t>
      </w:r>
      <w:r>
        <w:t xml:space="preserve">they may </w:t>
      </w:r>
      <w:r w:rsidR="007A0732">
        <w:t>diverge, resulting in political conflict and struggles over scarce resources</w:t>
      </w:r>
      <w:r w:rsidR="00F54A2D">
        <w:t xml:space="preserve"> such as economic rents</w:t>
      </w:r>
      <w:r w:rsidR="007A0732">
        <w:t xml:space="preserve">. </w:t>
      </w:r>
      <w:r w:rsidR="0048129B">
        <w:t xml:space="preserve">The socio-technical transitions literature argues that industrial interests are often </w:t>
      </w:r>
      <w:r w:rsidR="006216DB">
        <w:t>associated with</w:t>
      </w:r>
      <w:r w:rsidR="0048129B">
        <w:t xml:space="preserve"> particular technolog</w:t>
      </w:r>
      <w:r w:rsidR="00E55ABE">
        <w:t>y domains, such as oil and gas, automobiles, or nuclear energy</w:t>
      </w:r>
      <w:r w:rsidR="0048129B">
        <w:t xml:space="preserve"> </w:t>
      </w:r>
      <w:r w:rsidR="0048129B">
        <w:fldChar w:fldCharType="begin" w:fldLock="1"/>
      </w:r>
      <w:r w:rsidR="00AE1CAD">
        <w:instrText>ADDIN CSL_CITATION {"citationItems":[{"id":"ITEM-1","itemData":{"DOI":"10.1016/j.respol.2007.01.003","ISBN":"0048-7333","ISSN":"00487333","PMID":"652","abstract":"Contributing to debates about transitions and system changes, this article has two aims. First, it uses criticisms on the multi-level perspective as stepping stones for further conceptual refinements. Second, it develops a typology of four transition pathways: transformation, reconfiguration, technological substitution, and de-alignment and re-alignment. These pathways differ in combinations of timing and nature of multi-level interactions. They are illustrated with historical examples. ?? 2007 Elsevier B.V. All rights reserved.","author":[{"dropping-particle":"","family":"Geels","given":"Frank W.","non-dropping-particle":"","parse-names":false,"suffix":""},{"dropping-particle":"","family":"Schot","given":"Johan","non-dropping-particle":"","parse-names":false,"suffix":""}],"container-title":"Research Policy","id":"ITEM-1","issue":"3","issued":{"date-parts":[["2007"]]},"page":"399-417","title":"Typology of sociotechnical transition pathways","type":"article-journal","volume":"36"},"uris":["http://www.mendeley.com/documents/?uuid=35a1018f-2e77-469b-9236-65b78d9d6462"]}],"mendeley":{"formattedCitation":"(Geels &amp; Schot, 2007)","plainTextFormattedCitation":"(Geels &amp; Schot, 2007)","previouslyFormattedCitation":"(Geels &amp; Schot, 2007)"},"properties":{"noteIndex":0},"schema":"https://github.com/citation-style-language/schema/raw/master/csl-citation.json"}</w:instrText>
      </w:r>
      <w:r w:rsidR="0048129B">
        <w:fldChar w:fldCharType="separate"/>
      </w:r>
      <w:r w:rsidR="00B53BF6" w:rsidRPr="00B53BF6">
        <w:rPr>
          <w:noProof/>
        </w:rPr>
        <w:t>(Geels &amp; Schot, 2007)</w:t>
      </w:r>
      <w:r w:rsidR="0048129B">
        <w:fldChar w:fldCharType="end"/>
      </w:r>
      <w:r w:rsidR="006216DB">
        <w:t>. The</w:t>
      </w:r>
      <w:r w:rsidR="007A0732">
        <w:t xml:space="preserve"> conflict between</w:t>
      </w:r>
      <w:r>
        <w:t xml:space="preserve"> incumbent fossil fuel energy producers versus </w:t>
      </w:r>
      <w:r w:rsidR="0048129B">
        <w:t xml:space="preserve">‘niche’ </w:t>
      </w:r>
      <w:r>
        <w:t xml:space="preserve">renewable energy-based entrants is </w:t>
      </w:r>
      <w:r w:rsidR="006216DB">
        <w:t xml:space="preserve">therefore </w:t>
      </w:r>
      <w:r>
        <w:t xml:space="preserve">highlighted as a contemporary example of </w:t>
      </w:r>
      <w:r w:rsidR="00996061">
        <w:t xml:space="preserve">interest-based struggles that spill </w:t>
      </w:r>
      <w:r>
        <w:t xml:space="preserve">over into political pressure </w:t>
      </w:r>
      <w:r w:rsidR="00B32181">
        <w:t xml:space="preserve">to block climate reform </w:t>
      </w:r>
      <w:r w:rsidR="00B32181">
        <w:fldChar w:fldCharType="begin" w:fldLock="1"/>
      </w:r>
      <w:r w:rsidR="00AE1CAD">
        <w:instrText>ADDIN CSL_CITATION {"citationItems":[{"id":"ITEM-1","itemData":{"author":[{"dropping-particle":"","family":"Moe","given":"Espen","non-dropping-particle":"","parse-names":false,"suffix":""}],"id":"ITEM-1","issued":{"date-parts":[["2015"]]},"publisher":"Palgrave Macmillan","publisher-place":"London","title":"Renewable Energy Transformation or Fossil Fuel Backlash - Vested Interests in the Political Economy","type":"book"},"uris":["http://www.mendeley.com/documents/?uuid=e5697cca-57ac-42c6-a9a2-61af4eb0dda4"]}],"mendeley":{"formattedCitation":"(Moe, 2015)","plainTextFormattedCitation":"(Moe, 2015)","previouslyFormattedCitation":"(Moe, 2015)"},"properties":{"noteIndex":0},"schema":"https://github.com/citation-style-language/schema/raw/master/csl-citation.json"}</w:instrText>
      </w:r>
      <w:r w:rsidR="00B32181">
        <w:fldChar w:fldCharType="separate"/>
      </w:r>
      <w:r w:rsidR="00B53BF6" w:rsidRPr="00B53BF6">
        <w:rPr>
          <w:noProof/>
        </w:rPr>
        <w:t>(Moe, 2015)</w:t>
      </w:r>
      <w:r w:rsidR="00B32181">
        <w:fldChar w:fldCharType="end"/>
      </w:r>
      <w:r w:rsidR="00B32181">
        <w:t>.</w:t>
      </w:r>
    </w:p>
    <w:p w14:paraId="4780F2F5" w14:textId="73E7FC05" w:rsidR="008B7AFF" w:rsidRDefault="00B32181" w:rsidP="00E77203">
      <w:pPr>
        <w:spacing w:line="360" w:lineRule="auto"/>
      </w:pPr>
      <w:r>
        <w:t xml:space="preserve">Institution-based analysis </w:t>
      </w:r>
      <w:r w:rsidR="00C80768">
        <w:t>usually focuses on the organisation and functions of the nation state. In most political economy traditions the state is seen to have a central</w:t>
      </w:r>
      <w:r w:rsidR="008B7AFF">
        <w:t xml:space="preserve"> role in </w:t>
      </w:r>
      <w:r w:rsidR="00DB2525">
        <w:t xml:space="preserve">setting the boundary conditions for social, political and economic activities, while also </w:t>
      </w:r>
      <w:r w:rsidR="008B7AFF">
        <w:t>facilitating</w:t>
      </w:r>
      <w:r w:rsidR="00C80768">
        <w:t xml:space="preserve"> markets and capital accumulation</w:t>
      </w:r>
      <w:r w:rsidR="00516013">
        <w:t xml:space="preserve"> </w:t>
      </w:r>
      <w:r w:rsidR="00C80768">
        <w:fldChar w:fldCharType="begin" w:fldLock="1"/>
      </w:r>
      <w:r w:rsidR="00AE1CAD">
        <w:instrText>ADDIN CSL_CITATION {"citationItems":[{"id":"ITEM-1","itemData":{"author":[{"dropping-particle":"","family":"Heilbroner","given":"Robert L.","non-dropping-particle":"","parse-names":false,"suffix":""}],"id":"ITEM-1","issued":{"date-parts":[["1985"]]},"publisher":"W.W. Norton &amp; Company, Inc.","publisher-place":"London","title":"The Nature and Logic of Capitalism","type":"book"},"uris":["http://www.mendeley.com/documents/?uuid=6699becc-f72f-4142-ba4b-a33d26404f6b"]}],"mendeley":{"formattedCitation":"(Heilbroner, 1985)","plainTextFormattedCitation":"(Heilbroner, 1985)","previouslyFormattedCitation":"(Heilbroner, 1985)"},"properties":{"noteIndex":0},"schema":"https://github.com/citation-style-language/schema/raw/master/csl-citation.json"}</w:instrText>
      </w:r>
      <w:r w:rsidR="00C80768">
        <w:fldChar w:fldCharType="separate"/>
      </w:r>
      <w:r w:rsidR="00B53BF6" w:rsidRPr="00B53BF6">
        <w:rPr>
          <w:noProof/>
        </w:rPr>
        <w:t>(Heilbroner, 1985)</w:t>
      </w:r>
      <w:r w:rsidR="00C80768">
        <w:fldChar w:fldCharType="end"/>
      </w:r>
      <w:r w:rsidR="00C80768">
        <w:t xml:space="preserve">. </w:t>
      </w:r>
      <w:r w:rsidR="008B7AFF">
        <w:t>Both the quality of the</w:t>
      </w:r>
      <w:r w:rsidR="00C80768">
        <w:t xml:space="preserve"> institutions </w:t>
      </w:r>
      <w:r w:rsidR="008B7AFF">
        <w:t xml:space="preserve">that carry out these tasks </w:t>
      </w:r>
      <w:r w:rsidR="00C80768">
        <w:t xml:space="preserve">(i.e. </w:t>
      </w:r>
      <w:r w:rsidR="008B7AFF">
        <w:t xml:space="preserve">their </w:t>
      </w:r>
      <w:r w:rsidR="00C80768">
        <w:t xml:space="preserve">technical and bureaucratic capability) and their different organisational forms </w:t>
      </w:r>
      <w:r w:rsidR="008B7AFF">
        <w:t xml:space="preserve">(e.g. exposure to veto players or political cycles) are highly consequential for understanding the constraints to structural change </w:t>
      </w:r>
      <w:r w:rsidR="008B7AFF">
        <w:fldChar w:fldCharType="begin" w:fldLock="1"/>
      </w:r>
      <w:r w:rsidR="00AE1CAD">
        <w:instrText>ADDIN CSL_CITATION {"citationItems":[{"id":"ITEM-1","itemData":{"DOI":"10.1177/0263774X16660561","author":[{"dropping-particle":"","family":"Lockwood","given":"Matthew","non-dropping-particle":"","parse-names":false,"suffix":""},{"dropping-particle":"","family":"Kuzemko","given":"Caroline","non-dropping-particle":"","parse-names":false,"suffix":""},{"dropping-particle":"","family":"Mitchell","given":"Catherine","non-dropping-particle":"","parse-names":false,"suffix":""},{"dropping-particle":"","family":"Hoggett","given":"Richard","non-dropping-particle":"","parse-names":false,"suffix":""}],"container-title":"Environment and Planning C: Government and Policy","id":"ITEM-1","issue":"0","issued":{"date-parts":[["2016"]]},"page":"1-22","title":"Historical institutionalism and the politics of sustainable energy transitions : A research agenda","type":"article-journal","volume":"0"},"uris":["http://www.mendeley.com/documents/?uuid=30e13820-471a-4c4f-8ac1-41fb6922c6ad"]},{"id":"ITEM-2","itemData":{"DOI":"10.1016/j.erss.2018.06.001","ISSN":"22146296","abstract":"Meeting the climate change targets in the Paris Agreement implies a substantial and rapid acceleration of low-carbon transitions. Combining insights from political science, policy analysis and socio-technical transition studies, this paper addresses the politics of deliberate acceleration by taking stock of emerging examples, mobilizing relevant theoretical approaches, and articulating a new research agenda. Going beyond routine appeals for more ‘political will’ it organises ideas and examples under three themes: 1) the role of coalitions in supporting and hindering acceleration; 2) the role of feedbacks, through which policies may shape actor preferences which, in turn, create stronger policies; and 3) the role of broader contexts (political economies, institutions, cultural norms, and technical systems) in creating more (or less) favourable conditions for deliberate acceleration. We discuss the importance of each theme, briefly review previous research and articulate new research questions. Our concluding section discusses the current and potential future relationship between transitions theory and political science.","author":[{"dropping-particle":"","family":"Roberts","given":"Cameron","non-dropping-particle":"","parse-names":false,"suffix":""},{"dropping-particle":"","family":"Geels","given":"Frank W.","non-dropping-particle":"","parse-names":false,"suffix":""},{"dropping-particle":"","family":"Lockwood","given":"Matthew","non-dropping-particle":"","parse-names":false,"suffix":""},{"dropping-particle":"","family":"Newell","given":"Peter","non-dropping-particle":"","parse-names":false,"suffix":""},{"dropping-particle":"","family":"Schmitz","given":"Hubert","non-dropping-particle":"","parse-names":false,"suffix":""},{"dropping-particle":"","family":"Turnheim","given":"Bruno","non-dropping-particle":"","parse-names":false,"suffix":""},{"dropping-particle":"","family":"Jordan","given":"Andy","non-dropping-particle":"","parse-names":false,"suffix":""}],"container-title":"Energy Research and Social Science","id":"ITEM-2","issue":"February","issued":{"date-parts":[["2018"]]},"page":"304-311","publisher":"Elsevier","title":"The politics of accelerating low-carbon transitions: Towards a new research agenda","type":"article-journal","volume":"44"},"uris":["http://www.mendeley.com/documents/?uuid=e2d15c03-55bb-49e4-b0bd-177fa28bc8fd"]}],"mendeley":{"formattedCitation":"(Lockwood et al., 2016; Roberts et al., 2018)","plainTextFormattedCitation":"(Lockwood et al., 2016; Roberts et al., 2018)","previouslyFormattedCitation":"(Lockwood et al., 2016; Roberts et al., 2018)"},"properties":{"noteIndex":0},"schema":"https://github.com/citation-style-language/schema/raw/master/csl-citation.json"}</w:instrText>
      </w:r>
      <w:r w:rsidR="008B7AFF">
        <w:fldChar w:fldCharType="separate"/>
      </w:r>
      <w:r w:rsidR="00B53BF6" w:rsidRPr="00B53BF6">
        <w:rPr>
          <w:noProof/>
        </w:rPr>
        <w:t>(Lockwood et al., 2016; Roberts et al., 2018)</w:t>
      </w:r>
      <w:r w:rsidR="008B7AFF">
        <w:fldChar w:fldCharType="end"/>
      </w:r>
      <w:r w:rsidR="008B7AFF">
        <w:t>.</w:t>
      </w:r>
    </w:p>
    <w:p w14:paraId="6372CBDB" w14:textId="77777777" w:rsidR="00C41826" w:rsidRDefault="00C41826" w:rsidP="00C41826">
      <w:pPr>
        <w:spacing w:line="360" w:lineRule="auto"/>
      </w:pPr>
      <w:r>
        <w:t xml:space="preserve">Idea-based analysis argues that the underlying worldviews and ideologies of different actors matter. Certain worldviews can undermine political consensus on important points of policy, such as a pre-disposition towards rationalising the status quo </w:t>
      </w:r>
      <w:r>
        <w:fldChar w:fldCharType="begin" w:fldLock="1"/>
      </w:r>
      <w:r>
        <w:instrText>ADDIN CSL_CITATION {"citationItems":[{"id":"ITEM-1","itemData":{"DOI":"10.1111/j.1467-9221.2004.00402.x","ISBN":"1467-9221","ISSN":"0162-895X","PMID":"225026900003","abstract":"Most theories in social and political psychology stress self-interest, intergroup conflict, eth- nocentrism, homophily, ingroup bias, outgroup antipathy, dominance, and resistance. System justification theory is influenced by these perspectives—including social identity and social dominance theories—but it departs from them in several respects. Advocates of system justification theory argue that (a) there is a general ideological motive to justify the existing social order, (b) this motive is at least partially responsible for the internalization of inferiority among members of disadvantaged groups, (c) it is observed most readily at an implicit, nonconscious level of awareness and (d) paradoxically, it is sometimes strongest among those who are most harmed by the status quo. This article reviews and integrates 10 years of research on 20 hypotheses derived from a system justification per- spective, focusing on the phenomenon of implicit outgroup favoritism among members of disadvantaged groups (including African Americans, the elderly, and gays/lesbians) and its relation to political ideology (especially liberalism-conservatism).","author":[{"dropping-particle":"","family":"Jost","given":"John T.","non-dropping-particle":"","parse-names":false,"suffix":""},{"dropping-particle":"","family":"Banaji","given":"Mahzarin R.","non-dropping-particle":"","parse-names":false,"suffix":""},{"dropping-particle":"","family":"Nosek","given":"Brian a.","non-dropping-particle":"","parse-names":false,"suffix":""}],"container-title":"Political Psychology","id":"ITEM-1","issue":"6","issued":{"date-parts":[["2004"]]},"page":"881-919","title":"A Decade of System Justification Theory: Accumulated Evidence of Conscious and Unconscious Bolstering of the Status Quo","type":"article-journal","volume":"25"},"uris":["http://www.mendeley.com/documents/?uuid=96e5f8e5-2579-4c4d-b46f-67dd0b05b750"]}],"mendeley":{"formattedCitation":"(Jost, Banaji, &amp; Nosek, 2004)","plainTextFormattedCitation":"(Jost, Banaji, &amp; Nosek, 2004)","previouslyFormattedCitation":"(Jost, Banaji, &amp; Nosek, 2004)"},"properties":{"noteIndex":0},"schema":"https://github.com/citation-style-language/schema/raw/master/csl-citation.json"}</w:instrText>
      </w:r>
      <w:r>
        <w:fldChar w:fldCharType="separate"/>
      </w:r>
      <w:r w:rsidRPr="00B53BF6">
        <w:rPr>
          <w:noProof/>
        </w:rPr>
        <w:t>(Jost, Banaji, &amp; Nosek, 2004)</w:t>
      </w:r>
      <w:r>
        <w:fldChar w:fldCharType="end"/>
      </w:r>
      <w:r>
        <w:t xml:space="preserve">, or an increasing distrust of ‘elites’ such as scientists and politicians </w:t>
      </w:r>
      <w:r>
        <w:fldChar w:fldCharType="begin" w:fldLock="1"/>
      </w:r>
      <w:r>
        <w:instrText>ADDIN CSL_CITATION {"citationItems":[{"id":"ITEM-1","itemData":{"DOI":"10.1080/09644016.2018.1458411","ISSN":"17438934","abstract":"The rise of right-wing populism (RWP) poses a challenge for the climate agenda, as leaders and supporters tend to be climate sceptics and hostile to policy prescribing action on climate change. However, there is a surprising dearth of research that investigates the nature and causes of this association. Two kinds of explanation are considered, drawing on the literature on populism. One is termed ‘structuralist’, drawing on accounts of the roots of populism in economic and political marginalisation amongst those ‘left behind’ by globalisation and technological change. A second focuses on the ideological content of RWP, especially its antagonism between ‘the people’ and a cosmopolitan elite, with climate change and policy occupying a symbolic place in this contrast. It is argued that there are limits to the structuralist approach, and that an ideologically based explanation is more compelling. An agenda for future research on RWP and climate science and policy is proposed.","author":[{"dropping-particle":"","family":"Lockwood","given":"Matthew","non-dropping-particle":"","parse-names":false,"suffix":""}],"container-title":"Environmental Politics","id":"ITEM-1","issue":"4","issued":{"date-parts":[["2018"]]},"page":"1-21","publisher":"Routledge","title":"Right-wing populism and the climate change agenda: exploring the linkages","type":"article-journal","volume":"27"},"uris":["http://www.mendeley.com/documents/?uuid=bfe6cbb8-f11f-4e75-bb56-d856c8556f06"]}],"mendeley":{"formattedCitation":"(Lockwood, 2018)","plainTextFormattedCitation":"(Lockwood, 2018)","previouslyFormattedCitation":"(Lockwood, 2018)"},"properties":{"noteIndex":0},"schema":"https://github.com/citation-style-language/schema/raw/master/csl-citation.json"}</w:instrText>
      </w:r>
      <w:r>
        <w:fldChar w:fldCharType="separate"/>
      </w:r>
      <w:r w:rsidRPr="00B53BF6">
        <w:rPr>
          <w:noProof/>
        </w:rPr>
        <w:t>(Lockwood, 2018)</w:t>
      </w:r>
      <w:r>
        <w:fldChar w:fldCharType="end"/>
      </w:r>
      <w:r>
        <w:t xml:space="preserve">. Beyond the voting public, the ideas of particularly influential actors (e.g. business leaders and politicians) are argued to be highly consequential for social and political change. Such individuals might lead political institutions, or can directly implement policies </w:t>
      </w:r>
      <w:r>
        <w:fldChar w:fldCharType="begin" w:fldLock="1"/>
      </w:r>
      <w:r>
        <w:instrText>ADDIN CSL_CITATION {"citationItems":[{"id":"ITEM-1","itemData":{"author":[{"dropping-particle":"","family":"Hall","given":"Peter A.","non-dropping-particle":"","parse-names":false,"suffix":""}],"container-title":"Comparative Politics: Rationality, Culture, and Structure","editor":[{"dropping-particle":"","family":"Lichbach","given":"Mark Irving","non-dropping-particle":"","parse-names":false,"suffix":""},{"dropping-particle":"","family":"Zuckerman","given":"Alan S.","non-dropping-particle":"","parse-names":false,"suffix":""}],"id":"ITEM-1","issued":{"date-parts":[["1997"]]},"page":"174-207","publisher":"Cambridge University Press","publisher-place":"Cambrdige, UK","title":"The role of interests, institutions, and ideas in the comparative political economy of the industrialized natoins","type":"chapter"},"uris":["http://www.mendeley.com/documents/?uuid=4882695a-59ac-44d3-ba71-aa6d69dbf617"]}],"mendeley":{"formattedCitation":"(Hall, 1997)","plainTextFormattedCitation":"(Hall, 1997)","previouslyFormattedCitation":"(Hall, 1997)"},"properties":{"noteIndex":0},"schema":"https://github.com/citation-style-language/schema/raw/master/csl-citation.json"}</w:instrText>
      </w:r>
      <w:r>
        <w:fldChar w:fldCharType="separate"/>
      </w:r>
      <w:r w:rsidRPr="00B53BF6">
        <w:rPr>
          <w:noProof/>
        </w:rPr>
        <w:t>(Hall, 1997)</w:t>
      </w:r>
      <w:r>
        <w:fldChar w:fldCharType="end"/>
      </w:r>
      <w:r>
        <w:t xml:space="preserve">. The volumes of literature on a post-1980s neoliberal turn in global governance – and its wide-reaching social, economic and political consequences – attests to this claim </w:t>
      </w:r>
      <w:r>
        <w:fldChar w:fldCharType="begin" w:fldLock="1"/>
      </w:r>
      <w:r>
        <w:instrText>ADDIN CSL_CITATION {"citationItems":[{"id":"ITEM-1","itemData":{"author":[{"dropping-particle":"","family":"Harvey","given":"David","non-dropping-particle":"","parse-names":false,"suffix":""}],"id":"ITEM-1","issued":{"date-parts":[["2005"]]},"publisher":"Oxford University Press","publisher-place":"New York","title":"A Brief History of Neoliberalism","type":"book"},"uris":["http://www.mendeley.com/documents/?uuid=a0f8d313-53d1-40b3-8660-4749cb08e5bc"]},{"id":"ITEM-2","itemData":{"author":[{"dropping-particle":"","family":"Rodrik","given":"Dani","non-dropping-particle":"","parse-names":false,"suffix":""},{"dropping-particle":"","family":"World Bank","given":"","non-dropping-particle":"","parse-names":false,"suffix":""}],"container-title":"Journal of Economic Literature","id":"ITEM-2","issue":"4","issued":{"date-parts":[["2006"]]},"page":"973-987","title":"Goodbye Washington Consensus, Hellow Washington Confusion? A Review of the World Bank's \"Economic Growth in the 1990s: Learning from a Decade of Reform\"","type":"article-journal","volume":"44"},"uris":["http://www.mendeley.com/documents/?uuid=545b379f-751f-4f36-a408-6492886ed461"]}],"mendeley":{"formattedCitation":"(Harvey, 2005; Rodrik &amp; World Bank, 2006)","plainTextFormattedCitation":"(Harvey, 2005; Rodrik &amp; World Bank, 2006)","previouslyFormattedCitation":"(Harvey, 2005; Rodrik &amp; World Bank, 2006)"},"properties":{"noteIndex":0},"schema":"https://github.com/citation-style-language/schema/raw/master/csl-citation.json"}</w:instrText>
      </w:r>
      <w:r>
        <w:fldChar w:fldCharType="separate"/>
      </w:r>
      <w:r w:rsidRPr="00B53BF6">
        <w:rPr>
          <w:noProof/>
        </w:rPr>
        <w:t>(Harvey, 2005; Rodrik &amp; World Bank, 2006)</w:t>
      </w:r>
      <w:r>
        <w:fldChar w:fldCharType="end"/>
      </w:r>
      <w:r>
        <w:t>.</w:t>
      </w:r>
    </w:p>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260"/>
        <w:gridCol w:w="4534"/>
      </w:tblGrid>
      <w:tr w:rsidR="001C2FBD" w14:paraId="003D7132" w14:textId="77777777" w:rsidTr="00421F30">
        <w:tc>
          <w:tcPr>
            <w:tcW w:w="1276" w:type="dxa"/>
            <w:tcBorders>
              <w:top w:val="single" w:sz="4" w:space="0" w:color="auto"/>
              <w:bottom w:val="single" w:sz="4" w:space="0" w:color="auto"/>
            </w:tcBorders>
          </w:tcPr>
          <w:p w14:paraId="0B102192" w14:textId="77777777" w:rsidR="001C2FBD" w:rsidRDefault="001C2FBD" w:rsidP="00B06AE4"/>
        </w:tc>
        <w:tc>
          <w:tcPr>
            <w:tcW w:w="3260" w:type="dxa"/>
            <w:tcBorders>
              <w:top w:val="single" w:sz="4" w:space="0" w:color="auto"/>
              <w:bottom w:val="single" w:sz="4" w:space="0" w:color="auto"/>
            </w:tcBorders>
          </w:tcPr>
          <w:p w14:paraId="04E49B56" w14:textId="77777777" w:rsidR="001C2FBD" w:rsidRPr="003E15F6" w:rsidRDefault="001C2FBD" w:rsidP="00B06AE4">
            <w:pPr>
              <w:rPr>
                <w:b/>
              </w:rPr>
            </w:pPr>
            <w:r w:rsidRPr="003E15F6">
              <w:rPr>
                <w:b/>
              </w:rPr>
              <w:t>Analytical focus</w:t>
            </w:r>
          </w:p>
        </w:tc>
        <w:tc>
          <w:tcPr>
            <w:tcW w:w="4534" w:type="dxa"/>
            <w:tcBorders>
              <w:top w:val="single" w:sz="4" w:space="0" w:color="auto"/>
              <w:bottom w:val="single" w:sz="4" w:space="0" w:color="auto"/>
            </w:tcBorders>
          </w:tcPr>
          <w:p w14:paraId="5127D5AF" w14:textId="2E49B634" w:rsidR="001C2FBD" w:rsidRPr="003E15F6" w:rsidRDefault="00DA5000" w:rsidP="00B06AE4">
            <w:pPr>
              <w:rPr>
                <w:b/>
              </w:rPr>
            </w:pPr>
            <w:r>
              <w:rPr>
                <w:b/>
              </w:rPr>
              <w:t>Potential i</w:t>
            </w:r>
            <w:r w:rsidRPr="003E15F6">
              <w:rPr>
                <w:b/>
              </w:rPr>
              <w:t xml:space="preserve">nfluence </w:t>
            </w:r>
            <w:r w:rsidR="001C2FBD" w:rsidRPr="003E15F6">
              <w:rPr>
                <w:b/>
              </w:rPr>
              <w:t xml:space="preserve">on </w:t>
            </w:r>
            <w:r w:rsidR="001C2FBD">
              <w:rPr>
                <w:b/>
              </w:rPr>
              <w:t xml:space="preserve">climate </w:t>
            </w:r>
            <w:r w:rsidR="001C2FBD" w:rsidRPr="003E15F6">
              <w:rPr>
                <w:b/>
              </w:rPr>
              <w:t>policy</w:t>
            </w:r>
          </w:p>
        </w:tc>
      </w:tr>
      <w:tr w:rsidR="001C2FBD" w14:paraId="23BAB98B" w14:textId="77777777" w:rsidTr="00421F30">
        <w:trPr>
          <w:trHeight w:val="20"/>
        </w:trPr>
        <w:tc>
          <w:tcPr>
            <w:tcW w:w="1276" w:type="dxa"/>
            <w:tcBorders>
              <w:top w:val="single" w:sz="4" w:space="0" w:color="auto"/>
            </w:tcBorders>
          </w:tcPr>
          <w:p w14:paraId="502C3DBD" w14:textId="77777777" w:rsidR="001C2FBD" w:rsidRPr="003E15F6" w:rsidRDefault="001C2FBD" w:rsidP="00421F30">
            <w:pPr>
              <w:spacing w:before="60" w:after="120"/>
              <w:rPr>
                <w:b/>
              </w:rPr>
            </w:pPr>
            <w:r w:rsidRPr="003E15F6">
              <w:rPr>
                <w:b/>
              </w:rPr>
              <w:t>Interests</w:t>
            </w:r>
          </w:p>
        </w:tc>
        <w:tc>
          <w:tcPr>
            <w:tcW w:w="3260" w:type="dxa"/>
            <w:tcBorders>
              <w:top w:val="single" w:sz="4" w:space="0" w:color="auto"/>
            </w:tcBorders>
          </w:tcPr>
          <w:p w14:paraId="4C496CCE" w14:textId="149723AE" w:rsidR="001C2FBD" w:rsidRDefault="001C2FBD" w:rsidP="00421F30">
            <w:pPr>
              <w:spacing w:before="60" w:after="120"/>
            </w:pPr>
            <w:r>
              <w:t xml:space="preserve">Power and motives of collective actors, such as industrial associations, political parties, </w:t>
            </w:r>
            <w:r w:rsidR="00F2579F">
              <w:t>social classes</w:t>
            </w:r>
            <w:r>
              <w:t>, NGOs</w:t>
            </w:r>
          </w:p>
        </w:tc>
        <w:tc>
          <w:tcPr>
            <w:tcW w:w="4534" w:type="dxa"/>
            <w:tcBorders>
              <w:top w:val="single" w:sz="4" w:space="0" w:color="auto"/>
            </w:tcBorders>
          </w:tcPr>
          <w:p w14:paraId="37DFE757" w14:textId="6535441B" w:rsidR="001C2FBD" w:rsidRDefault="001C2FBD" w:rsidP="00421F30">
            <w:pPr>
              <w:spacing w:before="60" w:after="120"/>
            </w:pPr>
            <w:r>
              <w:t>Powerful interests</w:t>
            </w:r>
            <w:r w:rsidR="00DA5000">
              <w:t xml:space="preserve"> can</w:t>
            </w:r>
            <w:r>
              <w:t xml:space="preserve"> determine – within an institutional setting – the priority order for </w:t>
            </w:r>
            <w:r w:rsidR="0068158D">
              <w:t>p</w:t>
            </w:r>
            <w:r>
              <w:t>olic</w:t>
            </w:r>
            <w:r w:rsidR="0068158D">
              <w:t>ies</w:t>
            </w:r>
            <w:r>
              <w:t xml:space="preserve">, or shape the possibility space for reform by deploying veto powers </w:t>
            </w:r>
          </w:p>
        </w:tc>
      </w:tr>
      <w:tr w:rsidR="001C2FBD" w14:paraId="72DBFFD1" w14:textId="77777777" w:rsidTr="00421F30">
        <w:trPr>
          <w:trHeight w:val="20"/>
        </w:trPr>
        <w:tc>
          <w:tcPr>
            <w:tcW w:w="1276" w:type="dxa"/>
          </w:tcPr>
          <w:p w14:paraId="4D6CC12B" w14:textId="77777777" w:rsidR="001C2FBD" w:rsidRPr="003E15F6" w:rsidRDefault="001C2FBD" w:rsidP="00421F30">
            <w:pPr>
              <w:spacing w:before="60" w:after="120"/>
              <w:rPr>
                <w:b/>
              </w:rPr>
            </w:pPr>
            <w:r w:rsidRPr="003E15F6">
              <w:rPr>
                <w:b/>
              </w:rPr>
              <w:t>Institutions</w:t>
            </w:r>
          </w:p>
        </w:tc>
        <w:tc>
          <w:tcPr>
            <w:tcW w:w="3260" w:type="dxa"/>
          </w:tcPr>
          <w:p w14:paraId="603B66E3" w14:textId="217D2716" w:rsidR="001C2FBD" w:rsidRPr="003E15F6" w:rsidRDefault="00F2579F" w:rsidP="00421F30">
            <w:pPr>
              <w:spacing w:before="60" w:after="120"/>
            </w:pPr>
            <w:r>
              <w:t xml:space="preserve">Organisation, </w:t>
            </w:r>
            <w:r w:rsidR="001C2FBD">
              <w:t xml:space="preserve">functions </w:t>
            </w:r>
            <w:r>
              <w:t xml:space="preserve">and capabilities </w:t>
            </w:r>
            <w:r w:rsidR="001C2FBD">
              <w:t xml:space="preserve">of public policy making </w:t>
            </w:r>
            <w:r w:rsidR="0068158D">
              <w:t>bodies, e.g. the nation state</w:t>
            </w:r>
          </w:p>
        </w:tc>
        <w:tc>
          <w:tcPr>
            <w:tcW w:w="4534" w:type="dxa"/>
          </w:tcPr>
          <w:p w14:paraId="61E6EB41" w14:textId="32CC4E32" w:rsidR="001C2FBD" w:rsidRDefault="001C2FBD" w:rsidP="00421F30">
            <w:pPr>
              <w:spacing w:before="60" w:after="120"/>
            </w:pPr>
            <w:r>
              <w:t xml:space="preserve">Institutions mediate the distribution of power resources among interests, the channels for promoting ideas (e.g. </w:t>
            </w:r>
            <w:r w:rsidR="0068158D">
              <w:t xml:space="preserve">via </w:t>
            </w:r>
            <w:r>
              <w:t>media and education), and the quality of policy implementation</w:t>
            </w:r>
          </w:p>
        </w:tc>
      </w:tr>
      <w:tr w:rsidR="001C2FBD" w14:paraId="7963A249" w14:textId="77777777" w:rsidTr="00421F30">
        <w:trPr>
          <w:trHeight w:val="20"/>
        </w:trPr>
        <w:tc>
          <w:tcPr>
            <w:tcW w:w="1276" w:type="dxa"/>
            <w:tcBorders>
              <w:bottom w:val="single" w:sz="4" w:space="0" w:color="auto"/>
            </w:tcBorders>
          </w:tcPr>
          <w:p w14:paraId="7CF1E1A5" w14:textId="77777777" w:rsidR="001C2FBD" w:rsidRPr="003E15F6" w:rsidRDefault="001C2FBD" w:rsidP="00421F30">
            <w:pPr>
              <w:spacing w:before="60" w:after="120"/>
              <w:rPr>
                <w:b/>
              </w:rPr>
            </w:pPr>
            <w:r w:rsidRPr="003E15F6">
              <w:rPr>
                <w:b/>
              </w:rPr>
              <w:t>Ideas</w:t>
            </w:r>
          </w:p>
        </w:tc>
        <w:tc>
          <w:tcPr>
            <w:tcW w:w="3260" w:type="dxa"/>
            <w:tcBorders>
              <w:bottom w:val="single" w:sz="4" w:space="0" w:color="auto"/>
            </w:tcBorders>
          </w:tcPr>
          <w:p w14:paraId="666A665C" w14:textId="77777777" w:rsidR="001C2FBD" w:rsidRDefault="001C2FBD" w:rsidP="00421F30">
            <w:pPr>
              <w:spacing w:before="60" w:after="120"/>
            </w:pPr>
            <w:r>
              <w:t>Content claims and narratives embedded in social, political and cultural discourses</w:t>
            </w:r>
          </w:p>
        </w:tc>
        <w:tc>
          <w:tcPr>
            <w:tcW w:w="4534" w:type="dxa"/>
            <w:tcBorders>
              <w:bottom w:val="single" w:sz="4" w:space="0" w:color="auto"/>
            </w:tcBorders>
          </w:tcPr>
          <w:p w14:paraId="1AE5B529" w14:textId="77777777" w:rsidR="001C2FBD" w:rsidRDefault="001C2FBD" w:rsidP="00421F30">
            <w:pPr>
              <w:keepNext/>
              <w:spacing w:before="60" w:after="120"/>
            </w:pPr>
            <w:r>
              <w:t>Ideas with a wide reach shape the underlying worldviews of key interests and the public, regarding the need for (and possibility of achieving) reform</w:t>
            </w:r>
          </w:p>
        </w:tc>
      </w:tr>
    </w:tbl>
    <w:p w14:paraId="7E55B3CA" w14:textId="16CDCB01" w:rsidR="001C2FBD" w:rsidRPr="00093C59" w:rsidRDefault="001C2FBD" w:rsidP="001C2FBD">
      <w:pPr>
        <w:pStyle w:val="Caption"/>
        <w:rPr>
          <w:b/>
          <w:sz w:val="22"/>
        </w:rPr>
      </w:pPr>
      <w:r w:rsidRPr="00093C59">
        <w:rPr>
          <w:b/>
          <w:sz w:val="22"/>
        </w:rPr>
        <w:t xml:space="preserve">Table </w:t>
      </w:r>
      <w:r w:rsidRPr="00093C59">
        <w:rPr>
          <w:b/>
          <w:sz w:val="22"/>
        </w:rPr>
        <w:fldChar w:fldCharType="begin"/>
      </w:r>
      <w:r w:rsidRPr="00093C59">
        <w:rPr>
          <w:b/>
          <w:sz w:val="22"/>
        </w:rPr>
        <w:instrText xml:space="preserve"> SEQ Table \* ARABIC </w:instrText>
      </w:r>
      <w:r w:rsidRPr="00093C59">
        <w:rPr>
          <w:b/>
          <w:sz w:val="22"/>
        </w:rPr>
        <w:fldChar w:fldCharType="separate"/>
      </w:r>
      <w:r w:rsidR="00403128" w:rsidRPr="00093C59">
        <w:rPr>
          <w:b/>
          <w:noProof/>
          <w:sz w:val="22"/>
        </w:rPr>
        <w:t>1</w:t>
      </w:r>
      <w:r w:rsidRPr="00093C59">
        <w:rPr>
          <w:b/>
          <w:sz w:val="22"/>
        </w:rPr>
        <w:fldChar w:fldCharType="end"/>
      </w:r>
      <w:r w:rsidRPr="00093C59">
        <w:rPr>
          <w:b/>
          <w:sz w:val="22"/>
        </w:rPr>
        <w:t xml:space="preserve">: A </w:t>
      </w:r>
      <w:r w:rsidR="00CF10E4" w:rsidRPr="00093C59">
        <w:rPr>
          <w:b/>
          <w:sz w:val="22"/>
        </w:rPr>
        <w:t>basic</w:t>
      </w:r>
      <w:r w:rsidRPr="00093C59">
        <w:rPr>
          <w:b/>
          <w:sz w:val="22"/>
        </w:rPr>
        <w:t xml:space="preserve"> categorisation of political economy </w:t>
      </w:r>
      <w:r w:rsidR="00CF10E4" w:rsidRPr="00093C59">
        <w:rPr>
          <w:b/>
          <w:sz w:val="22"/>
        </w:rPr>
        <w:t>constraints</w:t>
      </w:r>
      <w:r w:rsidRPr="00093C59">
        <w:rPr>
          <w:b/>
          <w:sz w:val="22"/>
        </w:rPr>
        <w:t xml:space="preserve"> on climate policy</w:t>
      </w:r>
    </w:p>
    <w:p w14:paraId="16B507BB" w14:textId="5241BC22" w:rsidR="00EE5B83" w:rsidRDefault="00457C91" w:rsidP="00E77203">
      <w:pPr>
        <w:spacing w:line="360" w:lineRule="auto"/>
      </w:pPr>
      <w:r>
        <w:t xml:space="preserve">Political economists often argue that ideas, institutions and interests interact in a complex manner, </w:t>
      </w:r>
      <w:r w:rsidR="006216DB">
        <w:t>potentially fusing</w:t>
      </w:r>
      <w:r>
        <w:t xml:space="preserve"> into ‘structures’</w:t>
      </w:r>
      <w:r w:rsidR="00993821">
        <w:t>, ‘complexes’</w:t>
      </w:r>
      <w:r>
        <w:t xml:space="preserve"> or ‘regimes’ that are internally consistent and self-reinforcing</w:t>
      </w:r>
      <w:r w:rsidR="00993821">
        <w:t xml:space="preserve"> </w:t>
      </w:r>
      <w:r w:rsidR="00993821">
        <w:fldChar w:fldCharType="begin" w:fldLock="1"/>
      </w:r>
      <w:r w:rsidR="00AE1CAD">
        <w:instrText>ADDIN CSL_CITATION {"citationItems":[{"id":"ITEM-1","itemData":{"DOI":"10.1016/j.joule.2017.09.018","ISSN":"25424351","author":[{"dropping-particle":"","family":"Geels","given":"Frank W.","non-dropping-particle":"","parse-names":false,"suffix":""},{"dropping-particle":"","family":"Sovacool","given":"Benjamin K.","non-dropping-particle":"","parse-names":false,"suffix":""},{"dropping-particle":"","family":"Schwanen","given":"Tim","non-dropping-particle":"","parse-names":false,"suffix":""},{"dropping-particle":"","family":"Sorrell","given":"Steve","non-dropping-particle":"","parse-names":false,"suffix":""}],"container-title":"Joule","id":"ITEM-1","issued":{"date-parts":[["2017"]]},"page":"1-17","publisher":"Elsevier Inc.","title":"The Socio-Technical Dynamics of Low-Carbon Transitions","type":"article-journal"},"uris":["http://www.mendeley.com/documents/?uuid=40b0562a-3d11-4ef9-99ae-fc67b5e900e4"]}],"mendeley":{"formattedCitation":"(Geels et al., 2017)","plainTextFormattedCitation":"(Geels et al., 2017)","previouslyFormattedCitation":"(Geels et al., 2017)"},"properties":{"noteIndex":0},"schema":"https://github.com/citation-style-language/schema/raw/master/csl-citation.json"}</w:instrText>
      </w:r>
      <w:r w:rsidR="00993821">
        <w:fldChar w:fldCharType="separate"/>
      </w:r>
      <w:r w:rsidR="00B53BF6" w:rsidRPr="00B53BF6">
        <w:rPr>
          <w:noProof/>
        </w:rPr>
        <w:t>(Geels et al., 2017)</w:t>
      </w:r>
      <w:r w:rsidR="00993821">
        <w:fldChar w:fldCharType="end"/>
      </w:r>
      <w:r>
        <w:t xml:space="preserve">. </w:t>
      </w:r>
      <w:r w:rsidR="00993821">
        <w:t xml:space="preserve">The dominance of private </w:t>
      </w:r>
      <w:r w:rsidR="00FF3CFA">
        <w:t xml:space="preserve">car </w:t>
      </w:r>
      <w:r w:rsidR="00993821">
        <w:t xml:space="preserve">transport in many countries is one example, </w:t>
      </w:r>
      <w:r w:rsidR="003A2097">
        <w:t xml:space="preserve">itself the result of </w:t>
      </w:r>
      <w:r w:rsidR="00993821">
        <w:t xml:space="preserve">decades of </w:t>
      </w:r>
      <w:r w:rsidR="004400B6">
        <w:t xml:space="preserve">sunk </w:t>
      </w:r>
      <w:r w:rsidR="00993821">
        <w:t>investment in infrastructure (roads</w:t>
      </w:r>
      <w:r w:rsidR="004400B6">
        <w:t>, refineries</w:t>
      </w:r>
      <w:r w:rsidR="00FF3CFA">
        <w:t>, factories</w:t>
      </w:r>
      <w:r w:rsidR="00993821">
        <w:t>), facilitating institutions (transportation ministries</w:t>
      </w:r>
      <w:r w:rsidR="00FF3CFA">
        <w:t>, automobile associations</w:t>
      </w:r>
      <w:r w:rsidR="00993821">
        <w:t xml:space="preserve">), cultural </w:t>
      </w:r>
      <w:r w:rsidR="006216DB">
        <w:t>conditioning</w:t>
      </w:r>
      <w:r w:rsidR="00993821">
        <w:t xml:space="preserve"> (cars as symbol</w:t>
      </w:r>
      <w:r w:rsidR="00255554">
        <w:t>s</w:t>
      </w:r>
      <w:r w:rsidR="00993821">
        <w:t xml:space="preserve"> of freedom and status), and </w:t>
      </w:r>
      <w:r w:rsidR="00FF3CFA">
        <w:t xml:space="preserve">manufacturing </w:t>
      </w:r>
      <w:r w:rsidR="00255554">
        <w:t xml:space="preserve">industries that support </w:t>
      </w:r>
      <w:r w:rsidR="00993821">
        <w:t>a wide array of actors (</w:t>
      </w:r>
      <w:r w:rsidR="004F621F">
        <w:t>capitalists,</w:t>
      </w:r>
      <w:r w:rsidR="00FF3CFA">
        <w:t xml:space="preserve"> workers,</w:t>
      </w:r>
      <w:r w:rsidR="004F621F">
        <w:t xml:space="preserve"> </w:t>
      </w:r>
      <w:r w:rsidR="00993821">
        <w:t>unions,</w:t>
      </w:r>
      <w:r w:rsidR="004F621F">
        <w:t xml:space="preserve"> </w:t>
      </w:r>
      <w:r w:rsidR="00993821">
        <w:t>regional economies)</w:t>
      </w:r>
      <w:r w:rsidR="004F621F">
        <w:t xml:space="preserve"> </w:t>
      </w:r>
      <w:r w:rsidR="00E61B61">
        <w:fldChar w:fldCharType="begin" w:fldLock="1"/>
      </w:r>
      <w:r w:rsidR="00AE1CAD">
        <w:instrText>ADDIN CSL_CITATION {"citationItems":[{"id":"ITEM-1","itemData":{"author":[{"dropping-particle":"","family":"Mattioli","given":"Giulio","non-dropping-particle":"","parse-names":false,"suffix":""},{"dropping-particle":"","family":"Roberts","given":"Cameron","non-dropping-particle":"","parse-names":false,"suffix":""},{"dropping-particle":"","family":"Steinberger","given":"Julia K.","non-dropping-particle":"","parse-names":false,"suffix":""},{"dropping-particle":"","family":"Brown","given":"Andrew","non-dropping-particle":"","parse-names":false,"suffix":""}],"id":"ITEM-1","issued":{"date-parts":[["2018"]]},"publisher-place":"Leicester, UK","title":"The system of car provision: elements of a political economy of car dependence","type":"report"},"uris":["http://www.mendeley.com/documents/?uuid=61030b62-8bde-4df4-8c4e-ff311d53a5d5"]}],"mendeley":{"formattedCitation":"(Mattioli, Roberts, Steinberger, &amp; Brown, 2018)","plainTextFormattedCitation":"(Mattioli, Roberts, Steinberger, &amp; Brown, 2018)","previouslyFormattedCitation":"(Mattioli, Roberts, Steinberger, &amp; Brown, 2018)"},"properties":{"noteIndex":0},"schema":"https://github.com/citation-style-language/schema/raw/master/csl-citation.json"}</w:instrText>
      </w:r>
      <w:r w:rsidR="00E61B61">
        <w:fldChar w:fldCharType="separate"/>
      </w:r>
      <w:r w:rsidR="00B53BF6" w:rsidRPr="00B53BF6">
        <w:rPr>
          <w:noProof/>
        </w:rPr>
        <w:t>(Mattioli, Roberts, Steinberger, &amp; Brown, 2018)</w:t>
      </w:r>
      <w:r w:rsidR="00E61B61">
        <w:fldChar w:fldCharType="end"/>
      </w:r>
      <w:r w:rsidR="00993821">
        <w:t>.</w:t>
      </w:r>
      <w:r w:rsidR="0013511E">
        <w:t xml:space="preserve"> </w:t>
      </w:r>
      <w:r w:rsidR="003A2097">
        <w:t>The</w:t>
      </w:r>
      <w:r w:rsidR="007115FA">
        <w:t xml:space="preserve"> ‘ways of doing things’ </w:t>
      </w:r>
      <w:r w:rsidR="003A2097">
        <w:t xml:space="preserve">that are established by regimes may be </w:t>
      </w:r>
      <w:r w:rsidR="007115FA">
        <w:t xml:space="preserve">so embedded in daily life as to appear a natural social phenomenon, with alternatives rarely discussed or </w:t>
      </w:r>
      <w:r w:rsidR="004400B6">
        <w:t xml:space="preserve">simply </w:t>
      </w:r>
      <w:r w:rsidR="007115FA">
        <w:t xml:space="preserve">deemed ‘infeasible’. </w:t>
      </w:r>
      <w:r w:rsidR="006552A4">
        <w:t>Together this</w:t>
      </w:r>
      <w:r w:rsidR="00EE5B83">
        <w:t xml:space="preserve"> explains the difficulty of initiating wide-reaching energy transitions – and the need for analysis</w:t>
      </w:r>
      <w:r w:rsidR="006552A4">
        <w:t xml:space="preserve"> that identifies </w:t>
      </w:r>
      <w:r w:rsidR="00211F78">
        <w:t>architectures</w:t>
      </w:r>
      <w:r w:rsidR="006552A4">
        <w:t xml:space="preserve"> of constraints, rather than individual and separable issues</w:t>
      </w:r>
      <w:r w:rsidR="00EE5B83">
        <w:t>.</w:t>
      </w:r>
    </w:p>
    <w:p w14:paraId="75035F80" w14:textId="77A3A40F" w:rsidR="00F14903" w:rsidRDefault="00F14903" w:rsidP="00936D99">
      <w:pPr>
        <w:pStyle w:val="Heading3"/>
        <w:numPr>
          <w:ilvl w:val="1"/>
          <w:numId w:val="1"/>
        </w:numPr>
        <w:spacing w:after="120" w:line="360" w:lineRule="auto"/>
        <w:ind w:left="788" w:hanging="431"/>
      </w:pPr>
      <w:r>
        <w:t>Defining the dependent variable</w:t>
      </w:r>
    </w:p>
    <w:p w14:paraId="34B808E4" w14:textId="51F882F1" w:rsidR="00083EC2" w:rsidRDefault="00FF3CFA" w:rsidP="00D93727">
      <w:pPr>
        <w:spacing w:line="360" w:lineRule="auto"/>
      </w:pPr>
      <w:r>
        <w:t xml:space="preserve">To judge the influence of constraints, one needs a comparative </w:t>
      </w:r>
      <w:r w:rsidR="0068158D">
        <w:t>measure or success</w:t>
      </w:r>
      <w:r w:rsidR="004F0FC0">
        <w:t xml:space="preserve"> (</w:t>
      </w:r>
      <w:r w:rsidR="0068158D">
        <w:t>or failure</w:t>
      </w:r>
      <w:r w:rsidR="004F0FC0">
        <w:t>)</w:t>
      </w:r>
      <w:r w:rsidR="0068158D">
        <w:t xml:space="preserve"> in </w:t>
      </w:r>
      <w:r>
        <w:t xml:space="preserve">national </w:t>
      </w:r>
      <w:r w:rsidR="0068158D">
        <w:t>climate policy</w:t>
      </w:r>
      <w:r w:rsidR="004F0FC0">
        <w:t xml:space="preserve"> making</w:t>
      </w:r>
      <w:r>
        <w:t>.</w:t>
      </w:r>
      <w:r w:rsidR="00D310F1">
        <w:t xml:space="preserve"> </w:t>
      </w:r>
      <w:r w:rsidR="00D93727">
        <w:t>An obvious</w:t>
      </w:r>
      <w:r w:rsidR="00C95343">
        <w:t xml:space="preserve"> approach is to examine </w:t>
      </w:r>
      <w:r w:rsidR="00565647">
        <w:t xml:space="preserve">trends </w:t>
      </w:r>
      <w:r w:rsidR="00C95343">
        <w:t xml:space="preserve">in national carbon emissions. This </w:t>
      </w:r>
      <w:r w:rsidR="00565647">
        <w:t xml:space="preserve">is taken by </w:t>
      </w:r>
      <w:r w:rsidR="00C95343">
        <w:t xml:space="preserve">a large volume of </w:t>
      </w:r>
      <w:r w:rsidR="00565647">
        <w:t xml:space="preserve">well-reviewed </w:t>
      </w:r>
      <w:r w:rsidR="00C95343">
        <w:t>studies</w:t>
      </w:r>
      <w:r w:rsidR="0075659C">
        <w:t xml:space="preserve"> </w:t>
      </w:r>
      <w:r w:rsidR="00083EC2">
        <w:t>that aim to uncover the ‘</w:t>
      </w:r>
      <w:r w:rsidR="0075659C">
        <w:t>human drivers of carbon emissions’</w:t>
      </w:r>
      <w:r w:rsidR="004400B6">
        <w:t>, including political economy determinants</w:t>
      </w:r>
      <w:r w:rsidR="00C95343">
        <w:t xml:space="preserve"> </w:t>
      </w:r>
      <w:r w:rsidR="00C95343">
        <w:fldChar w:fldCharType="begin" w:fldLock="1"/>
      </w:r>
      <w:r w:rsidR="00AE1CAD">
        <w:instrText>ADDIN CSL_CITATION {"citationItems":[{"id":"ITEM-1","itemData":{"DOI":"10.1146/annurev-environ-110615-085440","author":[{"dropping-particle":"","family":"Dietz","given":"Thomas","non-dropping-particle":"","parse-names":false,"suffix":""}],"container-title":"Annual Review of Environment and Resources","id":"ITEM-1","issued":{"date-parts":[["2017"]]},"page":"189-213","title":"Drivers of Human Stress on the Environment in the Twenty-First Century","type":"article-journal","volume":"42"},"uris":["http://www.mendeley.com/documents/?uuid=1f9e2d7b-95f4-44e5-ae35-7f29e5907b8c"]},{"id":"ITEM-2","itemData":{"DOI":"10.1038/NCLIMATE1506","author":[{"dropping-particle":"","family":"Rosa","given":"Eugene a.","non-dropping-particle":"","parse-names":false,"suffix":""},{"dropping-particle":"","family":"Dietz","given":"Thomas","non-dropping-particle":"","parse-names":false,"suffix":""}],"container-title":"Nature Climate Change","id":"ITEM-2","issue":"August","issued":{"date-parts":[["2012"]]},"page":"581-586","title":"Human drivers of national greenhouse-gas emissions","type":"article-journal","volume":"2"},"uris":["http://www.mendeley.com/documents/?uuid=54fc1d4a-ca84-4160-841b-0dc41807abb4"]},{"id":"ITEM-3","itemData":{"DOI":"10.1002/wcc.554","ISSN":"17577780","author":[{"dropping-particle":"","family":"Jorgenson","given":"Andrew K.","non-dropping-particle":"","parse-names":false,"suffix":""},{"dropping-particle":"","family":"Fiske","given":"Shirley","non-dropping-particle":"","parse-names":false,"suffix":""},{"dropping-particle":"","family":"Hubacek","given":"Klaus","non-dropping-particle":"","parse-names":false,"suffix":""},{"dropping-particle":"","family":"Li","given":"Jia","non-dropping-particle":"","parse-names":false,"suffix":""},{"dropping-particle":"","family":"McGovern","given":"Tom","non-dropping-particle":"","parse-names":false,"suffix":""},{"dropping-particle":"","family":"Rick","given":"Torben","non-dropping-particle":"","parse-names":false,"suffix":""},{"dropping-particle":"","family":"Schor","given":"Juliet B.","non-dropping-particle":"","parse-names":false,"suffix":""},{"dropping-particle":"","family":"Solecki","given":"William","non-dropping-particle":"","parse-names":false,"suffix":""},{"dropping-particle":"","family":"York","given":"Richard","non-dropping-particle":"","parse-names":false,"suffix":""},{"dropping-particle":"","family":"Zycherman","given":"Ariela","non-dropping-particle":"","parse-names":false,"suffix":""}],"container-title":"Wiley Interdisciplinary Reviews: Climate Change","id":"ITEM-3","issue":"June","issued":{"date-parts":[["2018"]]},"page":"e554","title":"Social science perspectives on drivers of and responses to global climate change","type":"article-journal"},"uris":["http://www.mendeley.com/documents/?uuid=c357bbc1-e5ef-4e81-b7a7-047ccb4f449d"]},{"id":"ITEM-4","itemData":{"DOI":"10.1016/j.ecolecon.2007.06.019","ISBN":"0921-8009","ISSN":"09218009","abstract":"In meeting the threat posed by climate change nations have responded quite differently. Using an extensive data set this study explores factors that affect individuals' attitudes towards climate change and how those attitudes ultimately affect national climate change policy. The results show that attitudes do indeed matter in implementing policy and that attitudes are shaped not only by how individuals react to the specific attributes of climate change, but also by information, by the openness of society and by attitudes toward the trustworthiness of government. © 2007 Elsevier B.V. All rights reserved.","author":[{"dropping-particle":"","family":"Tjernström","given":"E.","non-dropping-particle":"","parse-names":false,"suffix":""},{"dropping-particle":"","family":"Tietenberg","given":"T.","non-dropping-particle":"","parse-names":false,"suffix":""}],"container-title":"Ecological Economics","id":"ITEM-4","issue":"2","issued":{"date-parts":[["2008"]]},"page":"315-324","title":"Do differences in attitudes explain differences in national climate change policies?","type":"article-journal","volume":"65"},"uris":["http://www.mendeley.com/documents/?uuid=9b8324cc-d326-4643-8c0d-b09c6a7477f6"]}],"mendeley":{"formattedCitation":"(Dietz, 2017; Jorgenson et al., 2018; Rosa &amp; Dietz, 2012; Tjernström &amp; Tietenberg, 2008)","plainTextFormattedCitation":"(Dietz, 2017; Jorgenson et al., 2018; Rosa &amp; Dietz, 2012; Tjernström &amp; Tietenberg, 2008)","previouslyFormattedCitation":"(Dietz, 2017; Jorgenson et al., 2018; Rosa &amp; Dietz, 2012; Tjernström &amp; Tietenberg, 2008)"},"properties":{"noteIndex":0},"schema":"https://github.com/citation-style-language/schema/raw/master/csl-citation.json"}</w:instrText>
      </w:r>
      <w:r w:rsidR="00C95343">
        <w:fldChar w:fldCharType="separate"/>
      </w:r>
      <w:r w:rsidR="00B53BF6" w:rsidRPr="00B53BF6">
        <w:rPr>
          <w:noProof/>
        </w:rPr>
        <w:t>(Dietz, 2017; Jorgenson et al., 2018; Rosa &amp; Dietz, 2012; Tjernström &amp; Tietenberg, 2008)</w:t>
      </w:r>
      <w:r w:rsidR="00C95343">
        <w:fldChar w:fldCharType="end"/>
      </w:r>
      <w:r w:rsidR="0075659C">
        <w:t xml:space="preserve">. </w:t>
      </w:r>
      <w:r w:rsidR="00903F3E">
        <w:t xml:space="preserve">An </w:t>
      </w:r>
      <w:r w:rsidR="0075659C">
        <w:t>advantage is the long and consistent time series of emissions accounts available</w:t>
      </w:r>
      <w:r w:rsidR="00083EC2">
        <w:t xml:space="preserve"> </w:t>
      </w:r>
      <w:r w:rsidR="00083EC2">
        <w:fldChar w:fldCharType="begin" w:fldLock="1"/>
      </w:r>
      <w:r w:rsidR="00AE1CAD">
        <w:instrText>ADDIN CSL_CITATION {"citationItems":[{"id":"ITEM-1","itemData":{"DOI":"10.5194/essd-8-605-2016","author":[{"dropping-particle":"Le","family":"Quéré","given":"Corinne","non-dropping-particle":"","parse-names":false,"suffix":""},{"dropping-particle":"","family":"Andrew","given":"Robbie M","non-dropping-particle":"","parse-names":false,"suffix":""},{"dropping-particle":"","family":"Friedlingstein","given":"Pierre","non-dropping-particle":"","parse-names":false,"suffix":""},{"dropping-particle":"","family":"Sitch","given":"Stephen","non-dropping-particle":"","parse-names":false,"suffix":""},{"dropping-particle":"","family":"Hauck","given":"Judith","non-dropping-particle":"","parse-names":false,"suffix":""},{"dropping-particle":"","family":"Pongratz","given":"Julia","non-dropping-particle":"","parse-names":false,"suffix":""},{"dropping-particle":"","family":"Pickers","given":"Penelope A.","non-dropping-particle":"","parse-names":false,"suffix":""},{"dropping-particle":"","family":"Canadell","given":"Josep G","non-dropping-particle":"","parse-names":false,"suffix":""},{"dropping-particle":"","family":"Korsbakken","given":"Jan Ivar","non-dropping-particle":"","parse-names":false,"suffix":""},{"dropping-particle":"","family":"Peters","given":"Glen P.","non-dropping-particle":"","parse-names":false,"suffix":""},{"dropping-particle":"","family":"Canadell","given":"Josep G.","non-dropping-particle":"","parse-names":false,"suffix":""},{"dropping-particle":"","family":"Arneth","given":"Almut","non-dropping-particle":"","parse-names":false,"suffix":""},{"dropping-particle":"","family":"Arora","given":"Vivek K.","non-dropping-particle":"","parse-names":false,"suffix":""},{"dropping-particle":"","family":"Barbero","given":"Leticia","non-dropping-particle":"","parse-names":false,"suffix":""},{"dropping-particle":"","family":"Bastos","given":"Ana","non-dropping-particle":"","parse-names":false,"suffix":""},{"dropping-particle":"","family":"Bopp","given":"Laurent","non-dropping-particle":"","parse-names":false,"suffix":""},{"dropping-particle":"","family":"Chevallier","given":"Frederick","non-dropping-particle":"","parse-names":false,"suffix":""},{"dropping-particle":"","family":"Chini","given":"Louise P.","non-dropping-particle":"","parse-names":false,"suffix":""},{"dropping-particle":"","family":"Ciais","given":"Philippe","non-dropping-particle":"","parse-names":false,"suffix":""},{"dropping-particle":"","family":"Doney","given":"Scott C.","non-dropping-particle":"","parse-names":false,"suffix":""},{"dropping-particle":"","family":"Gkritzalis","given":"Thanos","non-dropping-particle":"","parse-names":false,"suffix":""},{"dropping-particle":"","family":"Goll","given":"Daniel S.","non-dropping-particle":"","parse-names":false,"suffix":""},{"dropping-particle":"","family":"Harris","given":"Ian","non-dropping-particle":"","parse-names":false,"suffix":""},{"dropping-particle":"","family":"Haverd","given":"Vanessa","non-dropping-particle":"","parse-names":false,"suffix":""},{"dropping-particle":"","family":"Hoffman","given":"Forrest M.","non-dropping-particle":"","parse-names":false,"suffix":""},{"dropping-particle":"","family":"Hoppema","given":"Mario","non-dropping-particle":"","parse-names":false,"suffix":""},{"dropping-particle":"","family":"Houghton","given":"Richard A.","non-dropping-particle":"","parse-names":false,"suffix":""},{"dropping-particle":"","family":"Hurtt","given":"George","non-dropping-particle":"","parse-names":false,"suffix":""},{"dropping-particle":"","family":"Ilyina","given":"Tatiana","non-dropping-particle":"","parse-names":false,"suffix":""},{"dropping-particle":"","family":"Jain","given":"Atul K.","non-dropping-particle":"","parse-names":false,"suffix":""},{"dropping-particle":"","family":"Johannessen","given":"Truls","non-dropping-particle":"","parse-names":false,"suffix":""},{"dropping-particle":"","family":"Jones","given":"Chris D.","non-dropping-particle":"","parse-names":false,"suffix":""},{"dropping-particle":"","family":"Kato","given":"Etsushi","non-dropping-particle":"","parse-names":false,"suffix":""},{"dropping-particle":"","family":"Keeling","given":"Ralph F.","non-dropping-particle":"","parse-names":false,"suffix":""},{"dropping-particle":"","family":"Goldewijk","given":"Kees Kelin","non-dropping-particle":"","parse-names":false,"suffix":""},{"dropping-particle":"","family":"Landschützer","given":"Peter","non-dropping-particle":"","parse-names":false,"suffix":""},{"dropping-particle":"","family":"Lefèvre","given":"Nathalie","non-dropping-particle":"","parse-names":false,"suffix":""},{"dropping-particle":"","family":"Lienert","given":"Sebastian","non-dropping-particle":"","parse-names":false,"suffix":""},{"dropping-particle":"","family":"Liu","given":"Zhu","non-dropping-particle":"","parse-names":false,"suffix":""},{"dropping-particle":"","family":"Lombardozzi","given":"Danica","non-dropping-particle":"","parse-names":false,"suffix":""},{"dropping-particle":"","family":"Metzl","given":"Nicolas","non-dropping-particle":"","parse-names":false,"suffix":""},{"dropping-particle":"","family":"Munro","given":"David R.","non-dropping-particle":"","parse-names":false,"suffix":""},{"dropping-particle":"","family":"Nabel","given":"Julia E.M.S.","non-dropping-particle":"","parse-names":false,"suffix":""},{"dropping-particle":"","family":"Nakaoka","given":"Shin-ichiro","non-dropping-particle":"","parse-names":false,"suffix":""},{"dropping-particle":"","family":"Neill","given":"Craig","non-dropping-particle":"","parse-names":false,"suffix":""},{"dropping-particle":"","family":"Olsen","given":"Are","non-dropping-particle":"","parse-names":false,"suffix":""},{"dropping-particle":"","family":"Ono","given":"Tsueno","non-dropping-particle":"","parse-names":false,"suffix":""},{"dropping-particle":"","family":"Patra","given":"Prabir","non-dropping-particle":"","parse-names":false,"suffix":""},{"dropping-particle":"","family":"Peregon","given":"Anna","non-dropping-particle":"","parse-names":false,"suffix":""},{"dropping-particle":"","family":"Peters","given":"Wouter","non-dropping-particle":"","parse-names":false,"suffix":""},{"dropping-particle":"","family":"Peylin","given":"Philippe","non-dropping-particle":"","parse-names":false,"suffix":""},{"dropping-particle":"","family":"Pfeil","given":"Benjamin","non-dropping-particle":"","parse-names":false,"suffix":""},{"dropping-particle":"","family":"Pierrot","given":"Denis","non-dropping-particle":"","parse-names":false,"suffix":""},{"dropping-particle":"","family":"Poulter","given":"Benjamin","non-dropping-particle":"","parse-names":false,"suffix":""},{"dropping-particle":"","family":"Rehder","given":"Gregor","non-dropping-particle":"","parse-names":false,"suffix":""},{"dropping-particle":"","family":"Resplandy","given":"Laure","non-dropping-particle":"","parse-names":false,"suffix":""},{"dropping-particle":"","family":"Robertson","given":"Eddy","non-dropping-particle":"","parse-names":false,"suffix":""},{"dropping-particle":"","family":"Rocher","given":"Matthias","non-dropping-particle":"","parse-names":false,"suffix":""},{"dropping-particle":"","family":"Rödenbeck","given":"Christian","non-dropping-particle":"","parse-names":false,"suffix":""},{"dropping-particle":"","family":"Schuster","given":"Ute","non-dropping-particle":"","parse-names":false,"suffix":""},{"dropping-particle":"","family":"Schwinger","given":"Jörg","non-dropping-particle":"","parse-names":false,"suffix":""},{"dropping-particle":"","family":"Séférian","given":"Roland","non-dropping-particle":"","parse-names":false,"suffix":""},{"dropping-particle":"","family":"Skjelvan","given":"Ingunn","non-dropping-particle":"","parse-names":false,"suffix":""},{"dropping-particle":"","family":"Steinhoff","given":"Tobias","non-dropping-particle":"","parse-names":false,"suffix":""},{"dropping-particle":"","family":"Sutton","given":"Adrienne","non-dropping-particle":"","parse-names":false,"suffix":""},{"dropping-particle":"","family":"Tans","given":"Pieter P.","non-dropping-particle":"","parse-names":false,"suffix":""},{"dropping-particle":"","family":"Tian","given":"Hanqin","non-dropping-particle":"","parse-names":false,"suffix":""},{"dropping-particle":"","family":"Tilbrook","given":"Bronte","non-dropping-particle":"","parse-names":false,"suffix":""},{"dropping-particle":"","family":"Tubiello","given":"Francesco N.","non-dropping-particle":"","parse-names":false,"suffix":""},{"dropping-particle":"van der","family":"Laan-Luijkx","given":"Ingrid T.","non-dropping-particle":"","parse-names":false,"suffix":""},{"dropping-particle":"van der","family":"Werf","given":"Guido R.","non-dropping-particle":"","parse-names":false,"suffix":""},{"dropping-particle":"","family":"Viovy","given":"Nicolas","non-dropping-particle":"","parse-names":false,"suffix":""},{"dropping-particle":"","family":"Walker","given":"Anthony P.","non-dropping-particle":"","parse-names":false,"suffix":""},{"dropping-particle":"","family":"Wiltshire","given":"Andrew J.","non-dropping-particle":"","parse-names":false,"suffix":""},{"dropping-particle":"","family":"Wright","given":"Rebecca","non-dropping-particle":"","parse-names":false,"suffix":""},{"dropping-particle":"","family":"Zaehle","given":"Sönke","non-dropping-particle":"","parse-names":false,"suffix":""},{"dropping-particle":"","family":"Zheng","given":"Bo","non-dropping-particle":"","parse-names":false,"suffix":""}],"container-title":"Earth System Science Data","id":"ITEM-1","issued":{"date-parts":[["2018"]]},"page":"2141-2194","title":"Global Carbon Budget 2018","type":"article-journal","volume":"10"},"uris":["http://www.mendeley.com/documents/?uuid=6a008701-4a90-4d43-9d3c-d708afcc9928"]}],"mendeley":{"formattedCitation":"(Quéré et al., 2018)","plainTextFormattedCitation":"(Quéré et al., 2018)","previouslyFormattedCitation":"(Quéré et al., 2018)"},"properties":{"noteIndex":0},"schema":"https://github.com/citation-style-language/schema/raw/master/csl-citation.json"}</w:instrText>
      </w:r>
      <w:r w:rsidR="00083EC2">
        <w:fldChar w:fldCharType="separate"/>
      </w:r>
      <w:r w:rsidR="00B53BF6" w:rsidRPr="00B53BF6">
        <w:rPr>
          <w:noProof/>
        </w:rPr>
        <w:t>(Quéré et al., 2018)</w:t>
      </w:r>
      <w:r w:rsidR="00083EC2">
        <w:fldChar w:fldCharType="end"/>
      </w:r>
      <w:r w:rsidR="0075659C">
        <w:t xml:space="preserve">, </w:t>
      </w:r>
      <w:r w:rsidR="00083EC2">
        <w:t xml:space="preserve">facilitating quantitative assessments into the influence of various factors. </w:t>
      </w:r>
      <w:r w:rsidR="00903F3E">
        <w:t xml:space="preserve">A </w:t>
      </w:r>
      <w:r w:rsidR="00083EC2">
        <w:t xml:space="preserve">disadvantage is that current emissions are often the outcome of path dependencies that significantly pre-date contemporary climate concerns, </w:t>
      </w:r>
      <w:r w:rsidR="00903F3E">
        <w:t>such as</w:t>
      </w:r>
      <w:r w:rsidR="00B37140">
        <w:t xml:space="preserve"> early</w:t>
      </w:r>
      <w:r w:rsidR="00903F3E">
        <w:t xml:space="preserve"> </w:t>
      </w:r>
      <w:r w:rsidR="00083EC2">
        <w:t xml:space="preserve">decisions </w:t>
      </w:r>
      <w:r w:rsidR="004400B6">
        <w:t>that shape</w:t>
      </w:r>
      <w:r w:rsidR="00083EC2">
        <w:t xml:space="preserve"> the fuel content of national energy systems </w:t>
      </w:r>
      <w:r w:rsidR="00083EC2">
        <w:fldChar w:fldCharType="begin" w:fldLock="1"/>
      </w:r>
      <w:r w:rsidR="00AE1CAD">
        <w:instrText>ADDIN CSL_CITATION {"citationItems":[{"id":"ITEM-1","itemData":{"DOI":"10.1016/j.enpol.2012.04.030","ISSN":"03014215","author":[{"dropping-particle":"","family":"Foxon","given":"Timothy J.","non-dropping-particle":"","parse-names":false,"suffix":""},{"dropping-particle":"","family":"Pearson","given":"Peter J.G.","non-dropping-particle":"","parse-names":false,"suffix":""},{"dropping-particle":"","family":"Arapostathis","given":"Stathis","non-dropping-particle":"","parse-names":false,"suffix":""},{"dropping-particle":"","family":"Carlsson-Hyslop","given":"Anna","non-dropping-particle":"","parse-names":false,"suffix":""},{"dropping-particle":"","family":"Thornton","given":"Judith","non-dropping-particle":"","parse-names":false,"suffix":""}],"container-title":"Energy Policy","id":"ITEM-1","issued":{"date-parts":[["2013","1"]]},"page":"146-158","publisher":"Elsevier","title":"Branching points for transition pathways: assessing responses of actors to challenges on pathways to a low carbon future","type":"article-journal","volume":"52"},"uris":["http://www.mendeley.com/documents/?uuid=167d3c80-8ae3-40a2-94af-fe7969d98a78"]}],"mendeley":{"formattedCitation":"(Foxon, Pearson, Arapostathis, Carlsson-Hyslop, &amp; Thornton, 2013)","plainTextFormattedCitation":"(Foxon, Pearson, Arapostathis, Carlsson-Hyslop, &amp; Thornton, 2013)","previouslyFormattedCitation":"(Foxon, Pearson, Arapostathis, Carlsson-Hyslop, &amp; Thornton, 2013)"},"properties":{"noteIndex":0},"schema":"https://github.com/citation-style-language/schema/raw/master/csl-citation.json"}</w:instrText>
      </w:r>
      <w:r w:rsidR="00083EC2">
        <w:fldChar w:fldCharType="separate"/>
      </w:r>
      <w:r w:rsidR="00B53BF6" w:rsidRPr="00B53BF6">
        <w:rPr>
          <w:noProof/>
        </w:rPr>
        <w:t>(Foxon, Pearson, Arapostathis, Carlsson-Hyslop, &amp; Thornton, 2013)</w:t>
      </w:r>
      <w:r w:rsidR="00083EC2">
        <w:fldChar w:fldCharType="end"/>
      </w:r>
      <w:r w:rsidR="0092103F">
        <w:t xml:space="preserve">, or global </w:t>
      </w:r>
      <w:r w:rsidR="00494AC4">
        <w:t>developments that shape</w:t>
      </w:r>
      <w:r w:rsidR="0092103F">
        <w:t xml:space="preserve"> the distribution of </w:t>
      </w:r>
      <w:r w:rsidR="0092103F">
        <w:lastRenderedPageBreak/>
        <w:t xml:space="preserve">manufacturing activities </w:t>
      </w:r>
      <w:r w:rsidR="0092103F">
        <w:fldChar w:fldCharType="begin" w:fldLock="1"/>
      </w:r>
      <w:r w:rsidR="00AE1CAD">
        <w:instrText>ADDIN CSL_CITATION {"citationItems":[{"id":"ITEM-1","itemData":{"DOI":"10.1073/pnas.1006388108","ISSN":"1091-6490","PMID":"21518879","abstract":"Despite the emergence of regional climate policies, growth in global CO(2) emissions has remained strong. From 1990 to 2008 CO(2) emissions in developed countries (defined as countries with emission-reduction commitments in the Kyoto Protocol, Annex B) have stabilized, but emissions in developing countries (non-Annex B) have doubled. Some studies suggest that the stabilization of emissions in developed countries was partially because of growing imports from developing countries. To quantify the growth in emission transfers via international trade, we developed a trade-linked global database for CO(2) emissions covering 113 countries and 57 economic sectors from 1990 to 2008. We find that the emissions from the production of traded goods and services have increased from 4.3 Gt CO(2) in 1990 (20% of global emissions) to 7.8 Gt CO(2) in 2008 (26%). Most developed countries have increased their consumption-based emissions faster than their territorial emissions, and non-energy-intensive manufacturing had a key role in the emission transfers. The net emission transfers via international trade from developing to developed countries increased from 0.4 Gt CO(2) in 1990 to 1.6 Gt CO(2) in 2008, which exceeds the Kyoto Protocol emission reductions. Our results indicate that international trade is a significant factor in explaining the change in emissions in many countries, from both a production and consumption perspective. We suggest that countries monitor emission transfers via international trade, in addition to territorial emissions, to ensure progress toward stabilization of global greenhouse gas emissions.","author":[{"dropping-particle":"","family":"Peters","given":"Glen P.","non-dropping-particle":"","parse-names":false,"suffix":""},{"dropping-particle":"","family":"Minx","given":"Jan C","non-dropping-particle":"","parse-names":false,"suffix":""},{"dropping-particle":"","family":"Weber","given":"Christopher L","non-dropping-particle":"","parse-names":false,"suffix":""},{"dropping-particle":"","family":"Edenhofer","given":"Ottmar","non-dropping-particle":"","parse-names":false,"suffix":""}],"container-title":"Proceedings of the National Academy of Sciences of the United States of America","id":"ITEM-1","issue":"21","issued":{"date-parts":[["2011","5","24"]]},"page":"8903-8","title":"Growth in emission transfers via international trade from 1990 to 2008.","type":"article-journal","volume":"108"},"uris":["http://www.mendeley.com/documents/?uuid=9ce27be3-51ec-437a-a0b2-ae6c34d27708"]}],"mendeley":{"formattedCitation":"(Peters, Minx, Weber, &amp; Edenhofer, 2011)","plainTextFormattedCitation":"(Peters, Minx, Weber, &amp; Edenhofer, 2011)","previouslyFormattedCitation":"(Peters, Minx, Weber, &amp; Edenhofer, 2011)"},"properties":{"noteIndex":0},"schema":"https://github.com/citation-style-language/schema/raw/master/csl-citation.json"}</w:instrText>
      </w:r>
      <w:r w:rsidR="0092103F">
        <w:fldChar w:fldCharType="separate"/>
      </w:r>
      <w:r w:rsidR="00B53BF6" w:rsidRPr="00B53BF6">
        <w:rPr>
          <w:noProof/>
        </w:rPr>
        <w:t>(Peters, Minx, Weber, &amp; Edenhofer, 2011)</w:t>
      </w:r>
      <w:r w:rsidR="0092103F">
        <w:fldChar w:fldCharType="end"/>
      </w:r>
      <w:r w:rsidR="00083EC2">
        <w:t xml:space="preserve">. </w:t>
      </w:r>
      <w:r w:rsidR="00624731">
        <w:t>For these reasons, recent</w:t>
      </w:r>
      <w:r w:rsidR="00B37140">
        <w:t xml:space="preserve"> </w:t>
      </w:r>
      <w:r w:rsidR="00BC7C14">
        <w:t>trends in</w:t>
      </w:r>
      <w:r w:rsidR="00B37140">
        <w:t xml:space="preserve"> emissions are </w:t>
      </w:r>
      <w:r w:rsidR="00D93727">
        <w:t xml:space="preserve">an incomplete </w:t>
      </w:r>
      <w:r w:rsidR="00B37140">
        <w:t>guide to</w:t>
      </w:r>
      <w:r w:rsidR="00FA0F2D">
        <w:t xml:space="preserve"> </w:t>
      </w:r>
      <w:r w:rsidR="00D93727">
        <w:t xml:space="preserve">progress </w:t>
      </w:r>
      <w:r w:rsidR="00494AC4">
        <w:t>in</w:t>
      </w:r>
      <w:r w:rsidR="00624731">
        <w:t xml:space="preserve"> climate policy making</w:t>
      </w:r>
      <w:r w:rsidR="00FA0F2D">
        <w:t>.</w:t>
      </w:r>
    </w:p>
    <w:p w14:paraId="456F27B3" w14:textId="3CAD78A7" w:rsidR="00477FBA" w:rsidRDefault="00B37140" w:rsidP="00E77203">
      <w:pPr>
        <w:spacing w:line="360" w:lineRule="auto"/>
      </w:pPr>
      <w:r>
        <w:t>A second option is to examine the adoption of climate targets</w:t>
      </w:r>
      <w:r w:rsidR="00D61333">
        <w:t>, legislation</w:t>
      </w:r>
      <w:r>
        <w:t xml:space="preserve"> and international agreements. </w:t>
      </w:r>
      <w:r w:rsidR="001C2247">
        <w:t xml:space="preserve">These </w:t>
      </w:r>
      <w:r w:rsidR="00D0483D">
        <w:t>‘</w:t>
      </w:r>
      <w:r w:rsidR="0031471A">
        <w:t>intentions to mitigate</w:t>
      </w:r>
      <w:r w:rsidR="00D0483D">
        <w:t>’</w:t>
      </w:r>
      <w:r w:rsidR="008A1ED6">
        <w:t xml:space="preserve"> </w:t>
      </w:r>
      <w:r w:rsidR="001C2247">
        <w:t xml:space="preserve">might include </w:t>
      </w:r>
      <w:r>
        <w:t xml:space="preserve">the Nationally Determined Contributions (NDCs: the bottom-up </w:t>
      </w:r>
      <w:r w:rsidR="004D70AC">
        <w:t xml:space="preserve">climate </w:t>
      </w:r>
      <w:r>
        <w:t xml:space="preserve">commitments </w:t>
      </w:r>
      <w:r w:rsidR="004D70AC">
        <w:t xml:space="preserve">by countries to </w:t>
      </w:r>
      <w:r w:rsidR="00D74166">
        <w:t>the Paris Agreement)</w:t>
      </w:r>
      <w:r w:rsidR="001C2247">
        <w:t xml:space="preserve">, </w:t>
      </w:r>
      <w:r w:rsidR="004D70AC">
        <w:t xml:space="preserve">compilations of </w:t>
      </w:r>
      <w:r w:rsidR="001C2247">
        <w:t xml:space="preserve">national </w:t>
      </w:r>
      <w:r w:rsidR="004D70AC">
        <w:t xml:space="preserve">targets and legislative measures </w:t>
      </w:r>
      <w:r w:rsidR="004D70AC">
        <w:fldChar w:fldCharType="begin" w:fldLock="1"/>
      </w:r>
      <w:r w:rsidR="00AE1CAD">
        <w:instrText>ADDIN CSL_CITATION {"citationItems":[{"id":"ITEM-1","itemData":{"DOI":"10.1080/14693062.2018.1489772","ISSN":"17527457","abstract":"Global climate change governance has changed substantially in the last decade, with a shift in focus from negotiating globally agreed greenhouse gas (GHG) reduction targets to nationally determined contributions, as enshrined in the 2015 Paris Agreement. This paper analyses trends in adoption of national climate legislation and strategies, GHG targets, and renewable and energy efficiency targets in almost all UNFCCC Parties, focusing on the period from 2007 to 2017. The uniqueness and added value of this paper reside in its broad sweep of countries, the more than decade-long coverage and the use of objective metrics rather than normative judgements. Key results show that national climate legislation and strategies witnessed a strong increase in the first half of the assessed decade, likely due to the political lead up to the Copenhagen Climate Conference in 2009, but have somewhat stagnated in recent years, currently covering 70% of global GHG emissions (almost 50% of countries). In comparison, the coverage of GHG targets increased considerably in the run up to adoption of the Paris Agreement and 89% of global GHG emissions are currently covered by such targets. Renewable energy targets saw a steady spread, with 79% of the global GHG emissions covered in 2017 compared to 45% in 2007, with a steep increase in developing countries. Key policy insights The number of countries that have national legislation and strategies in place increased strongly up to 2012, but the increase has levelled off in recent years, now covering 70% of global emissions by 2017 (48% of countries and 76% of global population). Economy-wide GHG reduction targets witnessed a strong increase in the build up to 2015 and are adopted by countries covering 89% of global GHG emissions (76% not counting USA) and 90% of global population (86% not counting USA) in 2017. Renewable energy targets saw a steady increase throughout the last decade with coverage of countries in 2017 comparable to that of GHG targets. Key shifts in national measures coincide with landmark international events – an increase in legislation and strategy in the build-up to the Copenhagen Climate Conference and an increase in targets around the Paris Agreement – emphasizing the importance of the international process to maintaining national momentum.","author":[{"dropping-particle":"","family":"Iacobuta","given":"Gabriela","non-dropping-particle":"","parse-names":false,"suffix":""},{"dropping-particle":"","family":"Dubash","given":"Navroz K.","non-dropping-particle":"","parse-names":false,"suffix":""},{"dropping-particle":"","family":"Upadhyaya","given":"Prabhat","non-dropping-particle":"","parse-names":false,"suffix":""},{"dropping-particle":"","family":"Deribe","given":"Mekdelawit","non-dropping-particle":"","parse-names":false,"suffix":""},{"dropping-particle":"","family":"Höhne","given":"Niklas","non-dropping-particle":"","parse-names":false,"suffix":""}],"container-title":"Climate Policy","id":"ITEM-1","issued":{"date-parts":[["2018"]]},"page":"1-19","title":"National climate change mitigation legislation, strategy and targets: a global update","type":"article-journal","volume":"3062"},"uris":["http://www.mendeley.com/documents/?uuid=10e0db5d-7d29-46d9-870a-4351a4d4c6f2"]},{"id":"ITEM-2","itemData":{"author":[{"dropping-particle":"","family":"Grantham Institute","given":"","non-dropping-particle":"","parse-names":false,"suffix":""}],"id":"ITEM-2","issued":{"date-parts":[["2017"]]},"publisher-place":"London","title":"Climate Change Laws of the World database","type":"report"},"uris":["http://www.mendeley.com/documents/?uuid=50667aa3-fc88-4714-a50a-eebf79045590"]}],"mendeley":{"formattedCitation":"(Grantham Institute, 2017; Iacobuta et al., 2018)","plainTextFormattedCitation":"(Grantham Institute, 2017; Iacobuta et al., 2018)","previouslyFormattedCitation":"(Grantham Institute, 2017; Iacobuta et al., 2018)"},"properties":{"noteIndex":0},"schema":"https://github.com/citation-style-language/schema/raw/master/csl-citation.json"}</w:instrText>
      </w:r>
      <w:r w:rsidR="004D70AC">
        <w:fldChar w:fldCharType="separate"/>
      </w:r>
      <w:r w:rsidR="00B53BF6" w:rsidRPr="00B53BF6">
        <w:rPr>
          <w:noProof/>
        </w:rPr>
        <w:t>(Grantham Institute, 2017; Iacobuta et al., 2018)</w:t>
      </w:r>
      <w:r w:rsidR="004D70AC">
        <w:fldChar w:fldCharType="end"/>
      </w:r>
      <w:r w:rsidR="001C2247">
        <w:t>, or the commitment</w:t>
      </w:r>
      <w:r w:rsidR="00E71C1D">
        <w:t>s</w:t>
      </w:r>
      <w:r w:rsidR="001C2247">
        <w:t xml:space="preserve"> of countries to UNFCCC protocols </w:t>
      </w:r>
      <w:r w:rsidR="001C2247">
        <w:fldChar w:fldCharType="begin" w:fldLock="1"/>
      </w:r>
      <w:r w:rsidR="00AE1CAD">
        <w:instrText>ADDIN CSL_CITATION {"citationItems":[{"id":"ITEM-1","itemData":{"DOI":"10.1016/j.envsci.2012.09.007","ISBN":"1462-9011","ISSN":"14629011","abstract":"Valid and reliable measurement of countries' climate policy performance is important both for policy-making and analytical purposes. The authors contribute to this end by introducing a new dataset that offers such information for up to 172 countries for the time period 1996-2008. Their Climate Change Cooperation Index (C3-I) captures overall performance as well as performance in terms of political behavior (output) and emissions (outcome). The C3-I, thus, allows for a systematic global comparison of countries' climate policies. The paper also compares the C3-I with its most relevant alternative, the Climate Change Performance Index (CCPI) by Germanwatch. © 2012 Elsevier Ltd.","author":[{"dropping-particle":"","family":"Bernauer","given":"Thomas","non-dropping-particle":"","parse-names":false,"suffix":""},{"dropping-particle":"","family":"Böhmelt","given":"Tobias","non-dropping-particle":"","parse-names":false,"suffix":""}],"container-title":"Environmental Science and Policy","id":"ITEM-1","issued":{"date-parts":[["2013"]]},"page":"196-206","title":"National climate policies in international comparison: The Climate Change Cooperation Index","type":"article-journal","volume":"25"},"uris":["http://www.mendeley.com/documents/?uuid=d5f136eb-c995-4f47-a59c-3b4371c07281"]}],"mendeley":{"formattedCitation":"(Bernauer &amp; Böhmelt, 2013)","plainTextFormattedCitation":"(Bernauer &amp; Böhmelt, 2013)","previouslyFormattedCitation":"(Bernauer &amp; Böhmelt, 2013)"},"properties":{"noteIndex":0},"schema":"https://github.com/citation-style-language/schema/raw/master/csl-citation.json"}</w:instrText>
      </w:r>
      <w:r w:rsidR="001C2247">
        <w:fldChar w:fldCharType="separate"/>
      </w:r>
      <w:r w:rsidR="00B53BF6" w:rsidRPr="00B53BF6">
        <w:rPr>
          <w:noProof/>
        </w:rPr>
        <w:t>(Bernauer &amp; Böhmelt, 2013)</w:t>
      </w:r>
      <w:r w:rsidR="001C2247">
        <w:fldChar w:fldCharType="end"/>
      </w:r>
      <w:r w:rsidR="001C2247">
        <w:t>.</w:t>
      </w:r>
      <w:r w:rsidR="000D5C16">
        <w:t xml:space="preserve"> The large va</w:t>
      </w:r>
      <w:r w:rsidR="00D61333">
        <w:t>riation in country commitments and different types of strategies adopted (</w:t>
      </w:r>
      <w:r w:rsidR="00A54917">
        <w:t xml:space="preserve">e.g. </w:t>
      </w:r>
      <w:r w:rsidR="00D61333">
        <w:t xml:space="preserve">legislation vs. </w:t>
      </w:r>
      <w:r w:rsidR="00A54917">
        <w:t>executive targets</w:t>
      </w:r>
      <w:r w:rsidR="00D61333">
        <w:t xml:space="preserve">) </w:t>
      </w:r>
      <w:r w:rsidR="000D5C16">
        <w:t xml:space="preserve">attests to the interesting nature of these data. Yet, a clear disadvantage is that </w:t>
      </w:r>
      <w:r w:rsidR="00A54917">
        <w:t>intentions</w:t>
      </w:r>
      <w:r w:rsidR="008A1ED6">
        <w:t xml:space="preserve"> often do not reflect outcomes.</w:t>
      </w:r>
      <w:r w:rsidR="0031471A">
        <w:t xml:space="preserve"> Ambitious target setting can be a form of ‘symbolic meta-policy’ that </w:t>
      </w:r>
      <w:r w:rsidR="00B92886">
        <w:t xml:space="preserve">satisfies </w:t>
      </w:r>
      <w:r w:rsidR="00D0483D">
        <w:t xml:space="preserve">short-term </w:t>
      </w:r>
      <w:r w:rsidR="0031471A">
        <w:t>political</w:t>
      </w:r>
      <w:r w:rsidR="00D0483D">
        <w:t xml:space="preserve"> demands</w:t>
      </w:r>
      <w:r w:rsidR="0031471A">
        <w:t xml:space="preserve">, but does not manifest in concrete instruments and actions that lead to </w:t>
      </w:r>
      <w:r w:rsidR="00D0483D">
        <w:t xml:space="preserve">long-term </w:t>
      </w:r>
      <w:r w:rsidR="0031471A">
        <w:t xml:space="preserve">emissions </w:t>
      </w:r>
      <w:r w:rsidR="00B92886">
        <w:t>reductions</w:t>
      </w:r>
      <w:r w:rsidR="0031471A">
        <w:t xml:space="preserve"> </w:t>
      </w:r>
      <w:r w:rsidR="0031471A">
        <w:fldChar w:fldCharType="begin" w:fldLock="1"/>
      </w:r>
      <w:r w:rsidR="00AE1CAD">
        <w:instrText>ADDIN CSL_CITATION {"citationItems":[{"id":"ITEM-1","itemData":{"DOI":"10.1111/1467-9248.12123","ISSN":"14679248","abstract":"This paper seeks to understand how the UK government's headline climate change targets are translated into action at the local level in the transport sector drawing on the findings of research in two English regions. In doing so, these headline targets are identified as a symbolic meta-policy that results in little action on the ground and which challenges established conceptions of policy implementation. Both the ‘meta’ and ‘symbolic’ aspects of the policy offer part of the explanation for the lack of substantive action on the ground. As a meta-policy, the headline targets across government require the elaboration of other policies at other levels such as targets for government departments and local authorities, but these are largely absent, leaving the meta-policy without teeth. Over time, these headline targets have developed into a symbolic policy, serving political goals but having little practical effectiveness.","author":[{"dropping-particle":"","family":"Bache","given":"Ian","non-dropping-particle":"","parse-names":false,"suffix":""},{"dropping-particle":"","family":"Reardon","given":"Louise","non-dropping-particle":"","parse-names":false,"suffix":""},{"dropping-particle":"","family":"Bartle","given":"Ian","non-dropping-particle":"","parse-names":false,"suffix":""},{"dropping-particle":"","family":"Flinders","given":"Matthew","non-dropping-particle":"","parse-names":false,"suffix":""},{"dropping-particle":"","family":"Marsden","given":"Greg","non-dropping-particle":"","parse-names":false,"suffix":""}],"container-title":"Political Studies","id":"ITEM-1","issue":"4","issued":{"date-parts":[["2015"]]},"page":"830-851","title":"Symbolic Meta-Policy: (Not) Tackling Climate Change in the Transport Sector","type":"article-journal","volume":"63"},"uris":["http://www.mendeley.com/documents/?uuid=86f18bfe-b653-414c-b416-bfa1bc64e058"]}],"mendeley":{"formattedCitation":"(Bache, Reardon, Bartle, Flinders, &amp; Marsden, 2015)","plainTextFormattedCitation":"(Bache, Reardon, Bartle, Flinders, &amp; Marsden, 2015)","previouslyFormattedCitation":"(Bache, Reardon, Bartle, Flinders, &amp; Marsden, 2015)"},"properties":{"noteIndex":0},"schema":"https://github.com/citation-style-language/schema/raw/master/csl-citation.json"}</w:instrText>
      </w:r>
      <w:r w:rsidR="0031471A">
        <w:fldChar w:fldCharType="separate"/>
      </w:r>
      <w:r w:rsidR="00B53BF6" w:rsidRPr="00B53BF6">
        <w:rPr>
          <w:noProof/>
        </w:rPr>
        <w:t>(Bache, Reardon, Bartle, Flinders, &amp; Marsden, 2015)</w:t>
      </w:r>
      <w:r w:rsidR="0031471A">
        <w:fldChar w:fldCharType="end"/>
      </w:r>
      <w:r w:rsidR="0031471A">
        <w:t>.</w:t>
      </w:r>
      <w:r w:rsidR="0031471A">
        <w:rPr>
          <w:rStyle w:val="FootnoteReference"/>
        </w:rPr>
        <w:footnoteReference w:id="2"/>
      </w:r>
      <w:r w:rsidR="0031471A">
        <w:t xml:space="preserve"> </w:t>
      </w:r>
      <w:r w:rsidR="008A1ED6">
        <w:t xml:space="preserve">This is </w:t>
      </w:r>
      <w:r w:rsidR="00E51682">
        <w:t xml:space="preserve">increasingly clear from </w:t>
      </w:r>
      <w:r w:rsidR="008A1ED6">
        <w:t xml:space="preserve">countries with ambitious targets, such as </w:t>
      </w:r>
      <w:r w:rsidR="00E51682">
        <w:t xml:space="preserve">Germany, </w:t>
      </w:r>
      <w:r w:rsidR="008A1ED6">
        <w:t>but a poor track record of making progress towards them</w:t>
      </w:r>
      <w:r w:rsidR="00B00BBB">
        <w:t xml:space="preserve"> </w:t>
      </w:r>
      <w:r w:rsidR="00B00BBB">
        <w:fldChar w:fldCharType="begin" w:fldLock="1"/>
      </w:r>
      <w:r w:rsidR="00AE1CAD">
        <w:instrText>ADDIN CSL_CITATION {"citationItems":[{"id":"ITEM-1","itemData":{"DOI":"10.1111/gove.12338","ISSN":"14680491","abstract":"© 2018 Wiley Periodicals, Inc. State capacity is central to the provision of public goods, including environmental protection. Drawing on climate policy making, this article argues that the division of labor between the bureaucracy and legislature in policy formulation is a critical source of state capacity. In cases of bureaucratic policy design, the legislature sets policy goals and delegates policy design to bureaucracies. This division of labor shifts distributional conflict to autonomous bureaucracies, allowing for effective policy design. California followed this path in climate policy making, setting it on track to meet climate goals. In cases of legislative policy design, bureaucracies set goals and legislatures design policy measures. Since legislators have incentives to respond to vested interests, legislative policy design is vulnerable to regulatory capture. In Germany, legislative policy design in climate policy making is preventing attainment of emissions reduction goals, as industry interests succeeded in blocking key policy measures. Our findings highlight procedural sources of state capacity.","author":[{"dropping-particle":"","family":"Meckling","given":"Jonas","non-dropping-particle":"","parse-names":false,"suffix":""},{"dropping-particle":"","family":"Nahm","given":"Jonas","non-dropping-particle":"","parse-names":false,"suffix":""}],"container-title":"Governance","id":"ITEM-1","issue":"4","issued":{"date-parts":[["2018"]]},"page":"741-757","title":"The power of process: State capacity and climate policy","type":"article-journal","volume":"31"},"uris":["http://www.mendeley.com/documents/?uuid=0e29249a-891a-47de-8799-0b4d6c9e9f29"]}],"mendeley":{"formattedCitation":"(Meckling &amp; Nahm, 2018)","plainTextFormattedCitation":"(Meckling &amp; Nahm, 2018)","previouslyFormattedCitation":"(Meckling &amp; Nahm, 2018)"},"properties":{"noteIndex":0},"schema":"https://github.com/citation-style-language/schema/raw/master/csl-citation.json"}</w:instrText>
      </w:r>
      <w:r w:rsidR="00B00BBB">
        <w:fldChar w:fldCharType="separate"/>
      </w:r>
      <w:r w:rsidR="00B53BF6" w:rsidRPr="00B53BF6">
        <w:rPr>
          <w:noProof/>
        </w:rPr>
        <w:t>(Meckling &amp; Nahm, 2018)</w:t>
      </w:r>
      <w:r w:rsidR="00B00BBB">
        <w:fldChar w:fldCharType="end"/>
      </w:r>
      <w:r w:rsidR="0031471A">
        <w:t>.</w:t>
      </w:r>
    </w:p>
    <w:p w14:paraId="51B9FE30" w14:textId="77777777" w:rsidR="00C41826" w:rsidRDefault="00C41826" w:rsidP="00C41826">
      <w:pPr>
        <w:spacing w:line="360" w:lineRule="auto"/>
      </w:pPr>
      <w:r>
        <w:t xml:space="preserve">A third approach is to examine the adoption of climate policies, particularly ‘flagship’ policies such as carbon taxes, renewable energy tariffs, or moratoria on new fossil fuel infrastructure </w:t>
      </w:r>
      <w:r>
        <w:fldChar w:fldCharType="begin" w:fldLock="1"/>
      </w:r>
      <w:r>
        <w:instrText>ADDIN CSL_CITATION {"citationItems":[{"id":"ITEM-1","itemData":{"DOI":"10.1080/14693062.2014.991908","ISSN":"17527457","abstract":"The few systematic international comparisons of climate policy strength made so far have serious weaknesses, particularly those that assign arbitrary weightings to different policy instrument types in order to calculate an aggregate score for policy strength. This article avoids these problems by ranking the six biggest emitters by far – China, the US, the EU, India, Russia, and Japan – on a set of six key policy instruments that are individually potent and together representative of climate policy as a whole: carbon taxes, emissions trading, feed-in tariffs, renewable energy quotas, fossil fuel power plant bans, and vehicle emissions standards. The results cast strong doubt on any idea that there is a clear hierarchy on climate policy with Europe at the top: the EU does lead on a number of policies but so does Japan. China, the US, and India each lead on one area. Russia is inactive on all fronts. At the same time climate policy everywhere remains weak compared to what it could be.Policy relevanceThis study enables climate policy strength, defined as the extent to which the statutory provisions of climate policies are likely to restrict GHG emissions if implemented as intended, to be assessed and compared more realistically across space and time. As such its availability for the six biggest emitters, which together account for over 70% of global CO2 emissions, should facilitate international negotiations (1) by giving participants a better idea of where major emitters stand relative to each other as far as climate policy stringency is concerned, and (2) by identifying areas of weakness that need action.","author":[{"dropping-particle":"","family":"Compston","given":"Hugh","non-dropping-particle":"","parse-names":false,"suffix":""},{"dropping-particle":"","family":"Bailey","given":"Ian","non-dropping-particle":"","parse-names":false,"suffix":""}],"container-title":"Climate Policy","id":"ITEM-1","issue":"2","issued":{"date-parts":[["2016"]]},"page":"145-164","title":"Climate policy strength compared: China, the US, the EU, India, Russia, and Japan","type":"article-journal","volume":"16"},"uris":["http://www.mendeley.com/documents/?uuid=7f4f4dec-5cc2-4969-9f2a-1924e31ca3c1"]},{"id":"ITEM-2","itemData":{"DOI":"10.1016/j.envsci.2018.03.003","ISSN":"18736416","abstract":"Over the last decades, a growing number of countries around the world adopted policies towards climate change. However, apart from the remarkable increase in legislative activity, we know little about the composition of country portfolios on climate policy and whether those rely mainly on specific climate policies or the integration of climate objectives across domains. Research on policy integration is often bound by a dearth of suitable data and has to rely on small-n comparative case study designs or a certain type of policy when investigating these phenomena. Our paper addresses this gap by drawing on the Climate Change Laws of the World database for national climate legislation across eight policy categories. Hereby, we systematically assess how climate-related policies have developed over the last 27 years and across 171 countries. The analysis shows that since 1990, the scope of country portfolios has risen considerably. This increase started somewhat slowly in the 1990s but accelerated afterwards across all categories, albeit at different times and to varying degrees of coverage. In particular, climate policies on energy demand and supply as well as administrative arrangements are widespread. Our findings suggest that efforts at CPI were more common in the energy than the transportation domain. The focus of climate specific categories, i.e. no efforts at CPI, were ‘administrative arrangements’, and, albeit to a much lesser extent, policies addressing carbon pricing. With respect to future climate action, the results of our cross-country analysis are two-fold. On the one hand, it is reasonable to assume that countries not having enacted policies in the most commonly addressed categories will soon follow suit. On the other hand, transportation and carbon pricing, specifically, are policy areas that are least addressed in our sample and represent an area where much is yet to be uncovered.","author":[{"dropping-particle":"","family":"Schmidt","given":"Nicole M.","non-dropping-particle":"","parse-names":false,"suffix":""},{"dropping-particle":"","family":"Fleig","given":"Andreas","non-dropping-particle":"","parse-names":false,"suffix":""}],"container-title":"Environmental Science and Policy","id":"ITEM-2","issue":"February","issued":{"date-parts":[["2018"]]},"page":"177-185","publisher":"Elsevier","title":"Global patterns of national climate policies: Analyzing 171 country portfolios on climate policy integration","type":"article-journal","volume":"84"},"uris":["http://www.mendeley.com/documents/?uuid=cf0a713e-d100-4201-8ea6-070d0f74fc17"]}],"mendeley":{"formattedCitation":"(Compston &amp; Bailey, 2016; Schmidt &amp; Fleig, 2018)","plainTextFormattedCitation":"(Compston &amp; Bailey, 2016; Schmidt &amp; Fleig, 2018)","previouslyFormattedCitation":"(Compston &amp; Bailey, 2016; Schmidt &amp; Fleig, 2018)"},"properties":{"noteIndex":0},"schema":"https://github.com/citation-style-language/schema/raw/master/csl-citation.json"}</w:instrText>
      </w:r>
      <w:r>
        <w:fldChar w:fldCharType="separate"/>
      </w:r>
      <w:r w:rsidRPr="00B53BF6">
        <w:rPr>
          <w:noProof/>
        </w:rPr>
        <w:t>(Compston &amp; Bailey, 2016; Schmidt &amp; Fleig, 2018)</w:t>
      </w:r>
      <w:r>
        <w:fldChar w:fldCharType="end"/>
      </w:r>
      <w:r>
        <w:t>. In contrast to legislation adoption, these instruments move beyond targets to directly penalising fossil fuel use, encouraging lower energy demand, or supporting renewable energy. This seems to be a promising approach, and yet the variety and variability of climate policy instruments clearly hampers comparative research: some countries and jurisdictions favour economic instruments (a carbon price), others tend towards direct regulation, and many countries have no formal instruments whatsoever at this stage.</w:t>
      </w:r>
    </w:p>
    <w:p w14:paraId="67596009" w14:textId="77777777" w:rsidR="00C41826" w:rsidRDefault="00C41826" w:rsidP="00C41826">
      <w:pPr>
        <w:spacing w:line="360" w:lineRule="auto"/>
      </w:pPr>
      <w:r>
        <w:t xml:space="preserve">A fourth approach is to examine the stringency of adopted policies, such as the price level of a carbon tax, or the ‘gap’ between current fossil prices and an effective rate </w:t>
      </w:r>
      <w:r>
        <w:fldChar w:fldCharType="begin" w:fldLock="1"/>
      </w:r>
      <w:r>
        <w:instrText>ADDIN CSL_CITATION {"citationItems":[{"id":"ITEM-1","itemData":{"DOI":"10.1787/9789264305304-en","ISBN":"9789264305298","abstract":"To tackle climate change, CO2 emissions need to be cut. Pricing carbon is one of the most effective and lowest-cost ways of inducing such cuts. This report presents the first full analysis of the use of carbon pricing on energy in 41 OECD and G20 economies, covering 80% of global energy use and of CO2 emissions. The analysis takes a comprehensive view of carbon prices, including specific taxes on energy use, carbon taxes and tradable emission permit prices. It shows the entire distribution of effective carbon rates by country and the composition of effective carbon rates by six economic sectors within each country. Carbon prices are seen to be often very low, but some countries price significant shares of their carbon emissions. The ‘carbon pricing gap’, a synthetic indicator showing the extent to which effective carbon rates fall short of pricing emissions at EUR 30 per tonne, the low-end estimate of the cost of carbon used in this study, sheds light on potential ways of strengthening carbon pricing.","author":[{"dropping-particle":"","family":"OECD","given":"","non-dropping-particle":"","parse-names":false,"suffix":""}],"id":"ITEM-1","issued":{"date-parts":[["2018"]]},"publisher":"OECD Publishing","publisher-place":"Paris","title":"Effective Carbon Rates 2018: Pricing carbon emissions through taxes and emissions trading","type":"book"},"uris":["http://www.mendeley.com/documents/?uuid=d5c11690-e81d-4a63-a0ca-d1952b219a33"]}],"mendeley":{"formattedCitation":"(OECD, 2018)","plainTextFormattedCitation":"(OECD, 2018)","previouslyFormattedCitation":"(OECD, 2018)"},"properties":{"noteIndex":0},"schema":"https://github.com/citation-style-language/schema/raw/master/csl-citation.json"}</w:instrText>
      </w:r>
      <w:r>
        <w:fldChar w:fldCharType="separate"/>
      </w:r>
      <w:r w:rsidRPr="00B53BF6">
        <w:rPr>
          <w:noProof/>
        </w:rPr>
        <w:t>(OECD, 2018)</w:t>
      </w:r>
      <w:r>
        <w:fldChar w:fldCharType="end"/>
      </w:r>
      <w:r>
        <w:t xml:space="preserve">. Alternatively, one could track explicit policy support and subsidies for fossil fuels (i.e. the negative carbon price). The International Energy Agency </w:t>
      </w:r>
      <w:r>
        <w:fldChar w:fldCharType="begin" w:fldLock="1"/>
      </w:r>
      <w:r>
        <w:instrText>ADDIN CSL_CITATION {"citationItems":[{"id":"ITEM-1","itemData":{"author":[{"dropping-particle":"","family":"IEA","given":"","non-dropping-particle":"","parse-names":false,"suffix":""}],"id":"ITEM-1","issued":{"date-parts":[["2018"]]},"publisher-place":"Paris","title":"World Energy Outlook","type":"report"},"uris":["http://www.mendeley.com/documents/?uuid=f9ed767c-7e31-4a60-8e8a-b5e3740197b4"]}],"mendeley":{"formattedCitation":"(IEA, 2018b)","plainTextFormattedCitation":"(IEA, 2018b)","previouslyFormattedCitation":"(IEA, 2018b)"},"properties":{"noteIndex":0},"schema":"https://github.com/citation-style-language/schema/raw/master/csl-citation.json"}</w:instrText>
      </w:r>
      <w:r>
        <w:fldChar w:fldCharType="separate"/>
      </w:r>
      <w:r w:rsidRPr="00B53BF6">
        <w:rPr>
          <w:noProof/>
        </w:rPr>
        <w:t>(IEA, 2018b)</w:t>
      </w:r>
      <w:r>
        <w:fldChar w:fldCharType="end"/>
      </w:r>
      <w:r>
        <w:t xml:space="preserve"> tracks fossil subsidies across 41 countries at present (totalling 300bn US$ in 2017), while researchers at the International Monetary Fund have assessed pre- and post-tax subsidy rates across all countries </w:t>
      </w:r>
      <w:r>
        <w:fldChar w:fldCharType="begin" w:fldLock="1"/>
      </w:r>
      <w:r>
        <w:instrText>ADDIN CSL_CITATION {"citationItems":[{"id":"ITEM-1","itemData":{"abstract":"This paper updates estimates of fossil fuel subsidies, defined as fuel consumption times the gap between existing and efficient prices (i.e., prices warranted by supply costs, environmental costs, and revenue considerations), for 191 countries. Globally, subsidies remained large at $4.7 trillion (6.3 percent of global GDP) in 2015 and are projected at $5.2 trillion (6.5 percent of GDP) in 2017. The largest subsidizers in 2015 were China ($1.4 trillion), United States ($649 billion), Russia ($551 billion), European Union ($289 billion), and India ($209 billion). About three quarters of global subsidies are due to domestic factors—energy pricing reform thus remains largely in countries’ own national interest—while coal and petroleum together account for 85 percent of global subsidies. Efficient fossil fuel pricing in 2015 would have lowered global carbon emissions by 28 percent and fossil fuel air pollution deaths by 46 percent, and increased government revenue by 3.8 percent of GDP. JEL","author":[{"dropping-particle":"","family":"Coady","given":"David","non-dropping-particle":"","parse-names":false,"suffix":""},{"dropping-particle":"","family":"Parry","given":"Ian","non-dropping-particle":"","parse-names":false,"suffix":""},{"dropping-particle":"","family":"Le","given":"Nghia-piotr","non-dropping-particle":"","parse-names":false,"suffix":""},{"dropping-particle":"","family":"Shang","given":"Baoping","non-dropping-particle":"","parse-names":false,"suffix":""}],"collection-title":"19","id":"ITEM-1","issued":{"date-parts":[["2019"]]},"number":"89","publisher-place":"Washington, D.C.","title":"Global Fossil Fuel Subsidies Remain Large: An Update Based on Country-Level Estimates","type":"report"},"uris":["http://www.mendeley.com/documents/?uuid=05bd599e-89c2-4f96-a1ec-4369511f3b53"]},{"id":"ITEM-2","itemData":{"DOI":"10.1016/j.worlddev.2016.10.004","ISSN":"18735991","abstract":"This paper estimates fossil fuel subsidies and the economic and environmental benefits from reforming them, focusing mostly on a broad notion of subsidies arising when consumer prices are below supply costs plus environmental costs and general consumption taxes. Estimated subsidies are $4.9 trillion worldwide in 2013 and $5.3 trillion in 2015 (6.5% of global GDP in both years). Undercharging for global warming accounts for 22% of the subsidy in 2013, air pollution 46%, broader vehicle externalities 13%, supply costs 11%, and general consumer taxes 8%. China was the biggest subsidizer in 2013 ($1.8 trillion), followed by the United States ($0.6 trillion), and Russia, the European Union, and India (each with about $0.3 trillion). Eliminating subsidies would have reduced global carbon emissions in 2013 by 21% and fossil fuel air pollution deaths 55%, while raising revenue of 4%, and social welfare by 2.2%, of global GDP.","author":[{"dropping-particle":"","family":"Coady","given":"David","non-dropping-particle":"","parse-names":false,"suffix":""},{"dropping-particle":"","family":"Parry","given":"Ian","non-dropping-particle":"","parse-names":false,"suffix":""},{"dropping-particle":"","family":"Sears","given":"Louis","non-dropping-particle":"","parse-names":false,"suffix":""},{"dropping-particle":"","family":"Shang","given":"Baoping","non-dropping-particle":"","parse-names":false,"suffix":""}],"container-title":"World Development","id":"ITEM-2","issued":{"date-parts":[["2017"]]},"page":"11-27","publisher":"Elsevier Ltd","title":"How Large Are Global Fossil Fuel Subsidies?","type":"article-journal","volume":"91"},"uris":["http://www.mendeley.com/documents/?uuid=50c3d64d-db98-449a-86b5-0670caebaa8b"]}],"mendeley":{"formattedCitation":"(Coady et al., 2019; Coady, Parry, Sears, &amp; Shang, 2017)","plainTextFormattedCitation":"(Coady et al., 2019; Coady, Parry, Sears, &amp; Shang, 2017)","previouslyFormattedCitation":"(Coady et al., 2019; Coady, Parry, Sears, &amp; Shang, 2017)"},"properties":{"noteIndex":0},"schema":"https://github.com/citation-style-language/schema/raw/master/csl-citation.json"}</w:instrText>
      </w:r>
      <w:r>
        <w:fldChar w:fldCharType="separate"/>
      </w:r>
      <w:r w:rsidRPr="00B53BF6">
        <w:rPr>
          <w:noProof/>
        </w:rPr>
        <w:t>(Coady et al., 2019; Coady, Parry, Sears, &amp; Shang, 2017)</w:t>
      </w:r>
      <w:r>
        <w:fldChar w:fldCharType="end"/>
      </w:r>
      <w:r>
        <w:t>.</w:t>
      </w:r>
    </w:p>
    <w:p w14:paraId="3E457720" w14:textId="77777777" w:rsidR="00C41826" w:rsidRDefault="00C41826" w:rsidP="00C41826">
      <w:pPr>
        <w:spacing w:line="360" w:lineRule="auto"/>
      </w:pPr>
      <w:r>
        <w:t xml:space="preserve">A final approach is to examine policy outcomes. This likely to be the optimal, but most challenging approach, as it requires estimating a counterfactual (e.g. the business as usual case). So far, assessments have been rather straightforward, for example by combining measures of policy </w:t>
      </w:r>
      <w:r>
        <w:lastRenderedPageBreak/>
        <w:t xml:space="preserve">adoption with recent trends and levels of GHG emissions, energy use and renewable energy penetration </w:t>
      </w:r>
      <w:r>
        <w:fldChar w:fldCharType="begin" w:fldLock="1"/>
      </w:r>
      <w:r>
        <w:instrText>ADDIN CSL_CITATION {"citationItems":[{"id":"ITEM-1","itemData":{"ISBN":"9783943704686","author":[{"dropping-particle":"","family":"Burck","given":"Jan","non-dropping-particle":"","parse-names":false,"suffix":""},{"dropping-particle":"","family":"Hagen","given":"Ursula","non-dropping-particle":"","parse-names":false,"suffix":""},{"dropping-particle":"","family":"Marten","given":"Franziska","non-dropping-particle":"","parse-names":false,"suffix":""},{"dropping-particle":"","family":"Höhne","given":"Niklas","non-dropping-particle":"","parse-names":false,"suffix":""},{"dropping-particle":"","family":"Bals","given":"Christoph","non-dropping-particle":"","parse-names":false,"suffix":""}],"id":"ITEM-1","issued":{"date-parts":[["2019"]]},"publisher-place":"Bonn","title":"Climate Change Performance Index 2019","type":"report"},"uris":["http://www.mendeley.com/documents/?uuid=a8bff83c-b51b-4843-9327-4f3a77334e68"]}],"mendeley":{"formattedCitation":"(Burck et al., 2019)","plainTextFormattedCitation":"(Burck et al., 2019)","previouslyFormattedCitation":"(Burck et al., 2019)"},"properties":{"noteIndex":0},"schema":"https://github.com/citation-style-language/schema/raw/master/csl-citation.json"}</w:instrText>
      </w:r>
      <w:r>
        <w:fldChar w:fldCharType="separate"/>
      </w:r>
      <w:r w:rsidRPr="00B53BF6">
        <w:rPr>
          <w:noProof/>
        </w:rPr>
        <w:t>(Burck et al., 2019)</w:t>
      </w:r>
      <w:r>
        <w:fldChar w:fldCharType="end"/>
      </w:r>
      <w:r>
        <w:t>. Such assessments are highly dependent on data availability – with only 60 countries tracked in the latest iteration of the CCPI – and are likely too premature to provide a good comparative picture.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4621"/>
        <w:gridCol w:w="244"/>
        <w:gridCol w:w="2691"/>
      </w:tblGrid>
      <w:tr w:rsidR="005A218C" w14:paraId="25EA25C5" w14:textId="3D061B88" w:rsidTr="00D93727">
        <w:tc>
          <w:tcPr>
            <w:tcW w:w="1514" w:type="dxa"/>
            <w:tcBorders>
              <w:top w:val="single" w:sz="4" w:space="0" w:color="auto"/>
              <w:bottom w:val="single" w:sz="4" w:space="0" w:color="auto"/>
            </w:tcBorders>
          </w:tcPr>
          <w:p w14:paraId="386B6448" w14:textId="125CDF2E" w:rsidR="005A218C" w:rsidRPr="009446BE" w:rsidRDefault="005A218C" w:rsidP="000253AB">
            <w:pPr>
              <w:rPr>
                <w:b/>
              </w:rPr>
            </w:pPr>
            <w:r w:rsidRPr="009446BE">
              <w:rPr>
                <w:b/>
              </w:rPr>
              <w:t>Dependent variable</w:t>
            </w:r>
          </w:p>
        </w:tc>
        <w:tc>
          <w:tcPr>
            <w:tcW w:w="4621" w:type="dxa"/>
            <w:tcBorders>
              <w:top w:val="single" w:sz="4" w:space="0" w:color="auto"/>
              <w:bottom w:val="single" w:sz="4" w:space="0" w:color="auto"/>
            </w:tcBorders>
          </w:tcPr>
          <w:p w14:paraId="0AF2F693" w14:textId="0FEAB172" w:rsidR="005A218C" w:rsidRPr="009446BE" w:rsidRDefault="005A218C" w:rsidP="000253AB">
            <w:pPr>
              <w:rPr>
                <w:b/>
              </w:rPr>
            </w:pPr>
            <w:r w:rsidRPr="009446BE">
              <w:rPr>
                <w:b/>
              </w:rPr>
              <w:t>Description</w:t>
            </w:r>
          </w:p>
        </w:tc>
        <w:tc>
          <w:tcPr>
            <w:tcW w:w="244" w:type="dxa"/>
            <w:tcBorders>
              <w:top w:val="single" w:sz="4" w:space="0" w:color="auto"/>
              <w:bottom w:val="single" w:sz="4" w:space="0" w:color="auto"/>
            </w:tcBorders>
          </w:tcPr>
          <w:p w14:paraId="2E5AF99D" w14:textId="77777777" w:rsidR="005A218C" w:rsidRPr="009446BE" w:rsidRDefault="005A218C" w:rsidP="000253AB">
            <w:pPr>
              <w:rPr>
                <w:b/>
              </w:rPr>
            </w:pPr>
          </w:p>
        </w:tc>
        <w:tc>
          <w:tcPr>
            <w:tcW w:w="2691" w:type="dxa"/>
            <w:tcBorders>
              <w:top w:val="single" w:sz="4" w:space="0" w:color="auto"/>
              <w:bottom w:val="single" w:sz="4" w:space="0" w:color="auto"/>
            </w:tcBorders>
          </w:tcPr>
          <w:p w14:paraId="7326C144" w14:textId="0441BBA1" w:rsidR="005A218C" w:rsidRPr="009446BE" w:rsidRDefault="005A218C" w:rsidP="000253AB">
            <w:pPr>
              <w:rPr>
                <w:b/>
              </w:rPr>
            </w:pPr>
            <w:r>
              <w:rPr>
                <w:b/>
              </w:rPr>
              <w:t>Example data sources</w:t>
            </w:r>
          </w:p>
        </w:tc>
      </w:tr>
      <w:tr w:rsidR="00B92886" w14:paraId="192C9EDF" w14:textId="77777777" w:rsidTr="00D93727">
        <w:trPr>
          <w:trHeight w:val="498"/>
        </w:trPr>
        <w:tc>
          <w:tcPr>
            <w:tcW w:w="1514" w:type="dxa"/>
            <w:tcBorders>
              <w:top w:val="single" w:sz="4" w:space="0" w:color="auto"/>
            </w:tcBorders>
          </w:tcPr>
          <w:p w14:paraId="27907CB3" w14:textId="3257C87F" w:rsidR="00B92886" w:rsidRPr="009446BE" w:rsidRDefault="00B92886" w:rsidP="00D93727">
            <w:pPr>
              <w:spacing w:before="120" w:after="120"/>
              <w:rPr>
                <w:b/>
              </w:rPr>
            </w:pPr>
            <w:r>
              <w:rPr>
                <w:b/>
              </w:rPr>
              <w:t>Emissions</w:t>
            </w:r>
            <w:r w:rsidR="00534EFF">
              <w:rPr>
                <w:b/>
              </w:rPr>
              <w:t xml:space="preserve"> &amp;</w:t>
            </w:r>
            <w:r>
              <w:rPr>
                <w:b/>
              </w:rPr>
              <w:t xml:space="preserve"> energy trends</w:t>
            </w:r>
          </w:p>
        </w:tc>
        <w:tc>
          <w:tcPr>
            <w:tcW w:w="4621" w:type="dxa"/>
            <w:tcBorders>
              <w:top w:val="single" w:sz="4" w:space="0" w:color="auto"/>
            </w:tcBorders>
          </w:tcPr>
          <w:p w14:paraId="6D0CAFA6" w14:textId="2550E7DB" w:rsidR="00B92886" w:rsidRDefault="00B92886" w:rsidP="00D93727">
            <w:pPr>
              <w:spacing w:before="120" w:after="120"/>
            </w:pPr>
            <w:r>
              <w:t>Recent or long-term changes in CO</w:t>
            </w:r>
            <w:r w:rsidRPr="00D93727">
              <w:rPr>
                <w:vertAlign w:val="subscript"/>
              </w:rPr>
              <w:t>2</w:t>
            </w:r>
            <w:r w:rsidR="00534EFF">
              <w:t xml:space="preserve"> emissions, </w:t>
            </w:r>
            <w:r>
              <w:t>the</w:t>
            </w:r>
            <w:r w:rsidR="00534EFF">
              <w:t xml:space="preserve"> fuel content of energy systems, or the carbon efficiency of national economies</w:t>
            </w:r>
          </w:p>
        </w:tc>
        <w:tc>
          <w:tcPr>
            <w:tcW w:w="244" w:type="dxa"/>
            <w:tcBorders>
              <w:top w:val="single" w:sz="4" w:space="0" w:color="auto"/>
            </w:tcBorders>
          </w:tcPr>
          <w:p w14:paraId="1ABB5E3B" w14:textId="77777777" w:rsidR="00B92886" w:rsidRDefault="00B92886" w:rsidP="00D93727">
            <w:pPr>
              <w:spacing w:before="120" w:after="120"/>
            </w:pPr>
          </w:p>
        </w:tc>
        <w:tc>
          <w:tcPr>
            <w:tcW w:w="2691" w:type="dxa"/>
            <w:tcBorders>
              <w:top w:val="single" w:sz="4" w:space="0" w:color="auto"/>
            </w:tcBorders>
          </w:tcPr>
          <w:p w14:paraId="211AB8B4" w14:textId="5C55703B" w:rsidR="00B92886" w:rsidRDefault="00B92886" w:rsidP="00D93727">
            <w:pPr>
              <w:spacing w:before="120" w:after="120"/>
            </w:pPr>
            <w:r>
              <w:t xml:space="preserve">Global carbon budget </w:t>
            </w:r>
            <w:r>
              <w:fldChar w:fldCharType="begin" w:fldLock="1"/>
            </w:r>
            <w:r w:rsidR="00AE1CAD">
              <w:instrText>ADDIN CSL_CITATION {"citationItems":[{"id":"ITEM-1","itemData":{"DOI":"10.5194/essd-8-605-2016","author":[{"dropping-particle":"Le","family":"Quéré","given":"Corinne","non-dropping-particle":"","parse-names":false,"suffix":""},{"dropping-particle":"","family":"Andrew","given":"Robbie M","non-dropping-particle":"","parse-names":false,"suffix":""},{"dropping-particle":"","family":"Friedlingstein","given":"Pierre","non-dropping-particle":"","parse-names":false,"suffix":""},{"dropping-particle":"","family":"Sitch","given":"Stephen","non-dropping-particle":"","parse-names":false,"suffix":""},{"dropping-particle":"","family":"Hauck","given":"Judith","non-dropping-particle":"","parse-names":false,"suffix":""},{"dropping-particle":"","family":"Pongratz","given":"Julia","non-dropping-particle":"","parse-names":false,"suffix":""},{"dropping-particle":"","family":"Pickers","given":"Penelope A.","non-dropping-particle":"","parse-names":false,"suffix":""},{"dropping-particle":"","family":"Canadell","given":"Josep G","non-dropping-particle":"","parse-names":false,"suffix":""},{"dropping-particle":"","family":"Korsbakken","given":"Jan Ivar","non-dropping-particle":"","parse-names":false,"suffix":""},{"dropping-particle":"","family":"Peters","given":"Glen P.","non-dropping-particle":"","parse-names":false,"suffix":""},{"dropping-particle":"","family":"Canadell","given":"Josep G.","non-dropping-particle":"","parse-names":false,"suffix":""},{"dropping-particle":"","family":"Arneth","given":"Almut","non-dropping-particle":"","parse-names":false,"suffix":""},{"dropping-particle":"","family":"Arora","given":"Vivek K.","non-dropping-particle":"","parse-names":false,"suffix":""},{"dropping-particle":"","family":"Barbero","given":"Leticia","non-dropping-particle":"","parse-names":false,"suffix":""},{"dropping-particle":"","family":"Bastos","given":"Ana","non-dropping-particle":"","parse-names":false,"suffix":""},{"dropping-particle":"","family":"Bopp","given":"Laurent","non-dropping-particle":"","parse-names":false,"suffix":""},{"dropping-particle":"","family":"Chevallier","given":"Frederick","non-dropping-particle":"","parse-names":false,"suffix":""},{"dropping-particle":"","family":"Chini","given":"Louise P.","non-dropping-particle":"","parse-names":false,"suffix":""},{"dropping-particle":"","family":"Ciais","given":"Philippe","non-dropping-particle":"","parse-names":false,"suffix":""},{"dropping-particle":"","family":"Doney","given":"Scott C.","non-dropping-particle":"","parse-names":false,"suffix":""},{"dropping-particle":"","family":"Gkritzalis","given":"Thanos","non-dropping-particle":"","parse-names":false,"suffix":""},{"dropping-particle":"","family":"Goll","given":"Daniel S.","non-dropping-particle":"","parse-names":false,"suffix":""},{"dropping-particle":"","family":"Harris","given":"Ian","non-dropping-particle":"","parse-names":false,"suffix":""},{"dropping-particle":"","family":"Haverd","given":"Vanessa","non-dropping-particle":"","parse-names":false,"suffix":""},{"dropping-particle":"","family":"Hoffman","given":"Forrest M.","non-dropping-particle":"","parse-names":false,"suffix":""},{"dropping-particle":"","family":"Hoppema","given":"Mario","non-dropping-particle":"","parse-names":false,"suffix":""},{"dropping-particle":"","family":"Houghton","given":"Richard A.","non-dropping-particle":"","parse-names":false,"suffix":""},{"dropping-particle":"","family":"Hurtt","given":"George","non-dropping-particle":"","parse-names":false,"suffix":""},{"dropping-particle":"","family":"Ilyina","given":"Tatiana","non-dropping-particle":"","parse-names":false,"suffix":""},{"dropping-particle":"","family":"Jain","given":"Atul K.","non-dropping-particle":"","parse-names":false,"suffix":""},{"dropping-particle":"","family":"Johannessen","given":"Truls","non-dropping-particle":"","parse-names":false,"suffix":""},{"dropping-particle":"","family":"Jones","given":"Chris D.","non-dropping-particle":"","parse-names":false,"suffix":""},{"dropping-particle":"","family":"Kato","given":"Etsushi","non-dropping-particle":"","parse-names":false,"suffix":""},{"dropping-particle":"","family":"Keeling","given":"Ralph F.","non-dropping-particle":"","parse-names":false,"suffix":""},{"dropping-particle":"","family":"Goldewijk","given":"Kees Kelin","non-dropping-particle":"","parse-names":false,"suffix":""},{"dropping-particle":"","family":"Landschützer","given":"Peter","non-dropping-particle":"","parse-names":false,"suffix":""},{"dropping-particle":"","family":"Lefèvre","given":"Nathalie","non-dropping-particle":"","parse-names":false,"suffix":""},{"dropping-particle":"","family":"Lienert","given":"Sebastian","non-dropping-particle":"","parse-names":false,"suffix":""},{"dropping-particle":"","family":"Liu","given":"Zhu","non-dropping-particle":"","parse-names":false,"suffix":""},{"dropping-particle":"","family":"Lombardozzi","given":"Danica","non-dropping-particle":"","parse-names":false,"suffix":""},{"dropping-particle":"","family":"Metzl","given":"Nicolas","non-dropping-particle":"","parse-names":false,"suffix":""},{"dropping-particle":"","family":"Munro","given":"David R.","non-dropping-particle":"","parse-names":false,"suffix":""},{"dropping-particle":"","family":"Nabel","given":"Julia E.M.S.","non-dropping-particle":"","parse-names":false,"suffix":""},{"dropping-particle":"","family":"Nakaoka","given":"Shin-ichiro","non-dropping-particle":"","parse-names":false,"suffix":""},{"dropping-particle":"","family":"Neill","given":"Craig","non-dropping-particle":"","parse-names":false,"suffix":""},{"dropping-particle":"","family":"Olsen","given":"Are","non-dropping-particle":"","parse-names":false,"suffix":""},{"dropping-particle":"","family":"Ono","given":"Tsueno","non-dropping-particle":"","parse-names":false,"suffix":""},{"dropping-particle":"","family":"Patra","given":"Prabir","non-dropping-particle":"","parse-names":false,"suffix":""},{"dropping-particle":"","family":"Peregon","given":"Anna","non-dropping-particle":"","parse-names":false,"suffix":""},{"dropping-particle":"","family":"Peters","given":"Wouter","non-dropping-particle":"","parse-names":false,"suffix":""},{"dropping-particle":"","family":"Peylin","given":"Philippe","non-dropping-particle":"","parse-names":false,"suffix":""},{"dropping-particle":"","family":"Pfeil","given":"Benjamin","non-dropping-particle":"","parse-names":false,"suffix":""},{"dropping-particle":"","family":"Pierrot","given":"Denis","non-dropping-particle":"","parse-names":false,"suffix":""},{"dropping-particle":"","family":"Poulter","given":"Benjamin","non-dropping-particle":"","parse-names":false,"suffix":""},{"dropping-particle":"","family":"Rehder","given":"Gregor","non-dropping-particle":"","parse-names":false,"suffix":""},{"dropping-particle":"","family":"Resplandy","given":"Laure","non-dropping-particle":"","parse-names":false,"suffix":""},{"dropping-particle":"","family":"Robertson","given":"Eddy","non-dropping-particle":"","parse-names":false,"suffix":""},{"dropping-particle":"","family":"Rocher","given":"Matthias","non-dropping-particle":"","parse-names":false,"suffix":""},{"dropping-particle":"","family":"Rödenbeck","given":"Christian","non-dropping-particle":"","parse-names":false,"suffix":""},{"dropping-particle":"","family":"Schuster","given":"Ute","non-dropping-particle":"","parse-names":false,"suffix":""},{"dropping-particle":"","family":"Schwinger","given":"Jörg","non-dropping-particle":"","parse-names":false,"suffix":""},{"dropping-particle":"","family":"Séférian","given":"Roland","non-dropping-particle":"","parse-names":false,"suffix":""},{"dropping-particle":"","family":"Skjelvan","given":"Ingunn","non-dropping-particle":"","parse-names":false,"suffix":""},{"dropping-particle":"","family":"Steinhoff","given":"Tobias","non-dropping-particle":"","parse-names":false,"suffix":""},{"dropping-particle":"","family":"Sutton","given":"Adrienne","non-dropping-particle":"","parse-names":false,"suffix":""},{"dropping-particle":"","family":"Tans","given":"Pieter P.","non-dropping-particle":"","parse-names":false,"suffix":""},{"dropping-particle":"","family":"Tian","given":"Hanqin","non-dropping-particle":"","parse-names":false,"suffix":""},{"dropping-particle":"","family":"Tilbrook","given":"Bronte","non-dropping-particle":"","parse-names":false,"suffix":""},{"dropping-particle":"","family":"Tubiello","given":"Francesco N.","non-dropping-particle":"","parse-names":false,"suffix":""},{"dropping-particle":"van der","family":"Laan-Luijkx","given":"Ingrid T.","non-dropping-particle":"","parse-names":false,"suffix":""},{"dropping-particle":"van der","family":"Werf","given":"Guido R.","non-dropping-particle":"","parse-names":false,"suffix":""},{"dropping-particle":"","family":"Viovy","given":"Nicolas","non-dropping-particle":"","parse-names":false,"suffix":""},{"dropping-particle":"","family":"Walker","given":"Anthony P.","non-dropping-particle":"","parse-names":false,"suffix":""},{"dropping-particle":"","family":"Wiltshire","given":"Andrew J.","non-dropping-particle":"","parse-names":false,"suffix":""},{"dropping-particle":"","family":"Wright","given":"Rebecca","non-dropping-particle":"","parse-names":false,"suffix":""},{"dropping-particle":"","family":"Zaehle","given":"Sönke","non-dropping-particle":"","parse-names":false,"suffix":""},{"dropping-particle":"","family":"Zheng","given":"Bo","non-dropping-particle":"","parse-names":false,"suffix":""}],"container-title":"Earth System Science Data","id":"ITEM-1","issued":{"date-parts":[["2018"]]},"page":"2141-2194","title":"Global Carbon Budget 2018","type":"article-journal","volume":"10"},"uris":["http://www.mendeley.com/documents/?uuid=6a008701-4a90-4d43-9d3c-d708afcc9928"]}],"mendeley":{"formattedCitation":"(Quéré et al., 2018)","plainTextFormattedCitation":"(Quéré et al., 2018)","previouslyFormattedCitation":"(Quéré et al., 2018)"},"properties":{"noteIndex":0},"schema":"https://github.com/citation-style-language/schema/raw/master/csl-citation.json"}</w:instrText>
            </w:r>
            <w:r>
              <w:fldChar w:fldCharType="separate"/>
            </w:r>
            <w:r w:rsidR="00B53BF6" w:rsidRPr="00B53BF6">
              <w:rPr>
                <w:noProof/>
              </w:rPr>
              <w:t>(Quéré et al., 2018)</w:t>
            </w:r>
            <w:r>
              <w:fldChar w:fldCharType="end"/>
            </w:r>
          </w:p>
        </w:tc>
      </w:tr>
      <w:tr w:rsidR="005A218C" w14:paraId="3BE862DF" w14:textId="30D1479D" w:rsidTr="00D93727">
        <w:trPr>
          <w:trHeight w:val="1381"/>
        </w:trPr>
        <w:tc>
          <w:tcPr>
            <w:tcW w:w="1514" w:type="dxa"/>
          </w:tcPr>
          <w:p w14:paraId="22B7AB2B" w14:textId="7843D58E" w:rsidR="005A218C" w:rsidRPr="009446BE" w:rsidRDefault="005A218C" w:rsidP="00D93727">
            <w:pPr>
              <w:spacing w:after="120"/>
              <w:rPr>
                <w:b/>
              </w:rPr>
            </w:pPr>
            <w:r w:rsidRPr="009446BE">
              <w:rPr>
                <w:b/>
              </w:rPr>
              <w:t>Climate legislation</w:t>
            </w:r>
            <w:r w:rsidR="00534EFF">
              <w:rPr>
                <w:b/>
              </w:rPr>
              <w:t xml:space="preserve"> adoption</w:t>
            </w:r>
          </w:p>
        </w:tc>
        <w:tc>
          <w:tcPr>
            <w:tcW w:w="4621" w:type="dxa"/>
          </w:tcPr>
          <w:p w14:paraId="7B2E57BA" w14:textId="53CDF3D9" w:rsidR="005A218C" w:rsidRDefault="005A218C" w:rsidP="00FB1059">
            <w:pPr>
              <w:spacing w:after="120"/>
            </w:pPr>
            <w:r>
              <w:t xml:space="preserve">The ratification of climate treaties (e.g. the Kyoto Protocol, Paris Agreement); setting of climate targets (e.g. </w:t>
            </w:r>
            <w:r w:rsidR="00FB1059">
              <w:t>NDCs</w:t>
            </w:r>
            <w:r>
              <w:t>); adoption of legislation</w:t>
            </w:r>
            <w:r w:rsidR="00187769">
              <w:t xml:space="preserve"> and laws</w:t>
            </w:r>
            <w:r>
              <w:t xml:space="preserve"> (e.g. UK Climate Change Act 2008); creation of responsible ministries</w:t>
            </w:r>
          </w:p>
        </w:tc>
        <w:tc>
          <w:tcPr>
            <w:tcW w:w="244" w:type="dxa"/>
          </w:tcPr>
          <w:p w14:paraId="67B519E4" w14:textId="77777777" w:rsidR="005A218C" w:rsidRDefault="005A218C" w:rsidP="00D93727">
            <w:pPr>
              <w:spacing w:after="120"/>
            </w:pPr>
          </w:p>
        </w:tc>
        <w:tc>
          <w:tcPr>
            <w:tcW w:w="2691" w:type="dxa"/>
          </w:tcPr>
          <w:p w14:paraId="29AF2116" w14:textId="0F2D4126" w:rsidR="00187769" w:rsidRDefault="00187769" w:rsidP="00D93727">
            <w:pPr>
              <w:spacing w:after="120"/>
            </w:pPr>
            <w:r>
              <w:t xml:space="preserve">Climate Change Laws of the World </w:t>
            </w:r>
            <w:r>
              <w:fldChar w:fldCharType="begin" w:fldLock="1"/>
            </w:r>
            <w:r w:rsidR="00AE1CAD">
              <w:instrText>ADDIN CSL_CITATION {"citationItems":[{"id":"ITEM-1","itemData":{"author":[{"dropping-particle":"","family":"Grantham Institute","given":"","non-dropping-particle":"","parse-names":false,"suffix":""}],"id":"ITEM-1","issued":{"date-parts":[["2017"]]},"publisher-place":"London","title":"Climate Change Laws of the World database","type":"report"},"uris":["http://www.mendeley.com/documents/?uuid=50667aa3-fc88-4714-a50a-eebf79045590"]}],"mendeley":{"formattedCitation":"(Grantham Institute, 2017)","plainTextFormattedCitation":"(Grantham Institute, 2017)","previouslyFormattedCitation":"(Grantham Institute, 2017)"},"properties":{"noteIndex":0},"schema":"https://github.com/citation-style-language/schema/raw/master/csl-citation.json"}</w:instrText>
            </w:r>
            <w:r>
              <w:fldChar w:fldCharType="separate"/>
            </w:r>
            <w:r w:rsidR="00B53BF6" w:rsidRPr="00B53BF6">
              <w:rPr>
                <w:noProof/>
              </w:rPr>
              <w:t>(Grantham Institute, 2017)</w:t>
            </w:r>
            <w:r>
              <w:fldChar w:fldCharType="end"/>
            </w:r>
            <w:r w:rsidR="00D93727">
              <w:t xml:space="preserve">; Climate change mitigation legislation, strategy, and targets </w:t>
            </w:r>
            <w:r w:rsidR="00D93727">
              <w:fldChar w:fldCharType="begin" w:fldLock="1"/>
            </w:r>
            <w:r w:rsidR="00AE1CAD">
              <w:instrText>ADDIN CSL_CITATION {"citationItems":[{"id":"ITEM-1","itemData":{"DOI":"10.1080/14693062.2018.1489772","ISSN":"17527457","abstract":"Global climate change governance has changed substantially in the last decade, with a shift in focus from negotiating globally agreed greenhouse gas (GHG) reduction targets to nationally determined contributions, as enshrined in the 2015 Paris Agreement. This paper analyses trends in adoption of national climate legislation and strategies, GHG targets, and renewable and energy efficiency targets in almost all UNFCCC Parties, focusing on the period from 2007 to 2017. The uniqueness and added value of this paper reside in its broad sweep of countries, the more than decade-long coverage and the use of objective metrics rather than normative judgements. Key results show that national climate legislation and strategies witnessed a strong increase in the first half of the assessed decade, likely due to the political lead up to the Copenhagen Climate Conference in 2009, but have somewhat stagnated in recent years, currently covering 70% of global GHG emissions (almost 50% of countries). In comparison, the coverage of GHG targets increased considerably in the run up to adoption of the Paris Agreement and 89% of global GHG emissions are currently covered by such targets. Renewable energy targets saw a steady spread, with 79% of the global GHG emissions covered in 2017 compared to 45% in 2007, with a steep increase in developing countries. Key policy insights The number of countries that have national legislation and strategies in place increased strongly up to 2012, but the increase has levelled off in recent years, now covering 70% of global emissions by 2017 (48% of countries and 76% of global population). Economy-wide GHG reduction targets witnessed a strong increase in the build up to 2015 and are adopted by countries covering 89% of global GHG emissions (76% not counting USA) and 90% of global population (86% not counting USA) in 2017. Renewable energy targets saw a steady increase throughout the last decade with coverage of countries in 2017 comparable to that of GHG targets. Key shifts in national measures coincide with landmark international events – an increase in legislation and strategy in the build-up to the Copenhagen Climate Conference and an increase in targets around the Paris Agreement – emphasizing the importance of the international process to maintaining national momentum.","author":[{"dropping-particle":"","family":"Iacobuta","given":"Gabriela","non-dropping-particle":"","parse-names":false,"suffix":""},{"dropping-particle":"","family":"Dubash","given":"Navroz K.","non-dropping-particle":"","parse-names":false,"suffix":""},{"dropping-particle":"","family":"Upadhyaya","given":"Prabhat","non-dropping-particle":"","parse-names":false,"suffix":""},{"dropping-particle":"","family":"Deribe","given":"Mekdelawit","non-dropping-particle":"","parse-names":false,"suffix":""},{"dropping-particle":"","family":"Höhne","given":"Niklas","non-dropping-particle":"","parse-names":false,"suffix":""}],"container-title":"Climate Policy","id":"ITEM-1","issued":{"date-parts":[["2018"]]},"page":"1-19","title":"National climate change mitigation legislation, strategy and targets: a global update","type":"article-journal","volume":"3062"},"uris":["http://www.mendeley.com/documents/?uuid=10e0db5d-7d29-46d9-870a-4351a4d4c6f2"]}],"mendeley":{"formattedCitation":"(Iacobuta et al., 2018)","plainTextFormattedCitation":"(Iacobuta et al., 2018)","previouslyFormattedCitation":"(Iacobuta et al., 2018)"},"properties":{"noteIndex":0},"schema":"https://github.com/citation-style-language/schema/raw/master/csl-citation.json"}</w:instrText>
            </w:r>
            <w:r w:rsidR="00D93727">
              <w:fldChar w:fldCharType="separate"/>
            </w:r>
            <w:r w:rsidR="00B53BF6" w:rsidRPr="00B53BF6">
              <w:rPr>
                <w:noProof/>
              </w:rPr>
              <w:t>(Iacobuta et al., 2018)</w:t>
            </w:r>
            <w:r w:rsidR="00D93727">
              <w:fldChar w:fldCharType="end"/>
            </w:r>
          </w:p>
        </w:tc>
      </w:tr>
      <w:tr w:rsidR="005A218C" w14:paraId="7EBC60C8" w14:textId="3E9519FD" w:rsidTr="00D93727">
        <w:trPr>
          <w:trHeight w:val="1426"/>
        </w:trPr>
        <w:tc>
          <w:tcPr>
            <w:tcW w:w="1514" w:type="dxa"/>
          </w:tcPr>
          <w:p w14:paraId="5D25D8DB" w14:textId="400CBC2A" w:rsidR="005A218C" w:rsidRPr="009446BE" w:rsidRDefault="005A218C" w:rsidP="00D50BA8">
            <w:pPr>
              <w:spacing w:after="120"/>
              <w:rPr>
                <w:b/>
              </w:rPr>
            </w:pPr>
            <w:r w:rsidRPr="009446BE">
              <w:rPr>
                <w:b/>
              </w:rPr>
              <w:t>Climate policy adoption</w:t>
            </w:r>
          </w:p>
        </w:tc>
        <w:tc>
          <w:tcPr>
            <w:tcW w:w="4621" w:type="dxa"/>
          </w:tcPr>
          <w:p w14:paraId="0FFD2D37" w14:textId="1F59BAE4" w:rsidR="005A218C" w:rsidRDefault="005A218C" w:rsidP="00D50BA8">
            <w:pPr>
              <w:spacing w:after="120"/>
            </w:pPr>
            <w:r>
              <w:t xml:space="preserve">The adoption of regulations, standards and instruments that support </w:t>
            </w:r>
            <w:r w:rsidR="00687DCD">
              <w:t>energy demand reduction</w:t>
            </w:r>
            <w:r w:rsidR="002C3A90">
              <w:t xml:space="preserve"> and</w:t>
            </w:r>
            <w:r w:rsidR="00687DCD">
              <w:t xml:space="preserve"> </w:t>
            </w:r>
            <w:r>
              <w:t>renewable energy technologies</w:t>
            </w:r>
            <w:r w:rsidR="00687DCD">
              <w:t>,</w:t>
            </w:r>
            <w:r>
              <w:t xml:space="preserve"> or penalise fossil fuel use (feed-in-tariffs, carbon tax, emissions trading schemes, coal moratoria</w:t>
            </w:r>
            <w:r w:rsidR="005910C9">
              <w:t xml:space="preserve">, </w:t>
            </w:r>
            <w:r w:rsidR="002C3A90">
              <w:t xml:space="preserve">energy </w:t>
            </w:r>
            <w:r w:rsidR="005910C9">
              <w:t>subsidy reform</w:t>
            </w:r>
            <w:r w:rsidR="002C3A90">
              <w:t>s</w:t>
            </w:r>
            <w:r>
              <w:t xml:space="preserve">) </w:t>
            </w:r>
          </w:p>
        </w:tc>
        <w:tc>
          <w:tcPr>
            <w:tcW w:w="244" w:type="dxa"/>
          </w:tcPr>
          <w:p w14:paraId="7912E64F" w14:textId="77777777" w:rsidR="005A218C" w:rsidRDefault="005A218C" w:rsidP="00D50BA8">
            <w:pPr>
              <w:spacing w:after="120"/>
            </w:pPr>
          </w:p>
        </w:tc>
        <w:tc>
          <w:tcPr>
            <w:tcW w:w="2691" w:type="dxa"/>
          </w:tcPr>
          <w:p w14:paraId="2C62DF70" w14:textId="2C76AF47" w:rsidR="00D50BA8" w:rsidRDefault="005A218C" w:rsidP="00D50BA8">
            <w:pPr>
              <w:spacing w:after="120"/>
            </w:pPr>
            <w:r>
              <w:t xml:space="preserve">Carbon Pricing Dashboard </w:t>
            </w:r>
            <w:r>
              <w:fldChar w:fldCharType="begin" w:fldLock="1"/>
            </w:r>
            <w:r w:rsidR="00AE1CAD">
              <w:instrText>ADDIN CSL_CITATION {"citationItems":[{"id":"ITEM-1","itemData":{"URL":"https://carbonpricingdashboard.worldbank.org/","accessed":{"date-parts":[["2019","1","9"]]},"author":[{"dropping-particle":"","family":"World Bank","given":"","non-dropping-particle":"","parse-names":false,"suffix":""}],"id":"ITEM-1","issued":{"date-parts":[["2019"]]},"title":"World Bank Carbon Pricing Dashboard","type":"webpage"},"uris":["http://www.mendeley.com/documents/?uuid=4645ad41-9828-4ddd-829d-f76f73f54623"]}],"mendeley":{"formattedCitation":"(World Bank, 2019)","plainTextFormattedCitation":"(World Bank, 2019)","previouslyFormattedCitation":"(World Bank, 2019)"},"properties":{"noteIndex":0},"schema":"https://github.com/citation-style-language/schema/raw/master/csl-citation.json"}</w:instrText>
            </w:r>
            <w:r>
              <w:fldChar w:fldCharType="separate"/>
            </w:r>
            <w:r w:rsidR="00B53BF6" w:rsidRPr="00B53BF6">
              <w:rPr>
                <w:noProof/>
              </w:rPr>
              <w:t>(World Bank, 2019)</w:t>
            </w:r>
            <w:r>
              <w:fldChar w:fldCharType="end"/>
            </w:r>
            <w:r w:rsidR="00D50BA8">
              <w:t xml:space="preserve">; Effective carbon rates </w:t>
            </w:r>
            <w:r w:rsidR="00D50BA8">
              <w:fldChar w:fldCharType="begin" w:fldLock="1"/>
            </w:r>
            <w:r w:rsidR="00AE1CAD">
              <w:instrText>ADDIN CSL_CITATION {"citationItems":[{"id":"ITEM-1","itemData":{"DOI":"10.1787/9789264305304-en","ISBN":"9789264305298","abstract":"To tackle climate change, CO2 emissions need to be cut. Pricing carbon is one of the most effective and lowest-cost ways of inducing such cuts. This report presents the first full analysis of the use of carbon pricing on energy in 41 OECD and G20 economies, covering 80% of global energy use and of CO2 emissions. The analysis takes a comprehensive view of carbon prices, including specific taxes on energy use, carbon taxes and tradable emission permit prices. It shows the entire distribution of effective carbon rates by country and the composition of effective carbon rates by six economic sectors within each country. Carbon prices are seen to be often very low, but some countries price significant shares of their carbon emissions. The ‘carbon pricing gap’, a synthetic indicator showing the extent to which effective carbon rates fall short of pricing emissions at EUR 30 per tonne, the low-end estimate of the cost of carbon used in this study, sheds light on potential ways of strengthening carbon pricing.","author":[{"dropping-particle":"","family":"OECD","given":"","non-dropping-particle":"","parse-names":false,"suffix":""}],"id":"ITEM-1","issued":{"date-parts":[["2018"]]},"publisher":"OECD Publishing","publisher-place":"Paris","title":"Effective Carbon Rates 2018: Pricing carbon emissions through taxes and emissions trading","type":"book"},"uris":["http://www.mendeley.com/documents/?uuid=d5c11690-e81d-4a63-a0ca-d1952b219a33"]}],"mendeley":{"formattedCitation":"(OECD, 2018)","plainTextFormattedCitation":"(OECD, 2018)","previouslyFormattedCitation":"(OECD, 2018)"},"properties":{"noteIndex":0},"schema":"https://github.com/citation-style-language/schema/raw/master/csl-citation.json"}</w:instrText>
            </w:r>
            <w:r w:rsidR="00D50BA8">
              <w:fldChar w:fldCharType="separate"/>
            </w:r>
            <w:r w:rsidR="00B53BF6" w:rsidRPr="00B53BF6">
              <w:rPr>
                <w:noProof/>
              </w:rPr>
              <w:t>(OECD, 2018)</w:t>
            </w:r>
            <w:r w:rsidR="00D50BA8">
              <w:fldChar w:fldCharType="end"/>
            </w:r>
          </w:p>
          <w:p w14:paraId="651A5803" w14:textId="549E8833" w:rsidR="00DC021B" w:rsidRDefault="00DC021B" w:rsidP="00D50BA8">
            <w:pPr>
              <w:spacing w:after="120"/>
            </w:pPr>
          </w:p>
        </w:tc>
      </w:tr>
      <w:tr w:rsidR="005A218C" w14:paraId="1B4A7450" w14:textId="3EAF59E9" w:rsidTr="00D93727">
        <w:trPr>
          <w:trHeight w:val="837"/>
        </w:trPr>
        <w:tc>
          <w:tcPr>
            <w:tcW w:w="1514" w:type="dxa"/>
          </w:tcPr>
          <w:p w14:paraId="1BD9D5A4" w14:textId="032F24EF" w:rsidR="005A218C" w:rsidRPr="009446BE" w:rsidRDefault="004657D9" w:rsidP="00D50BA8">
            <w:pPr>
              <w:spacing w:after="120"/>
              <w:rPr>
                <w:b/>
              </w:rPr>
            </w:pPr>
            <w:r>
              <w:rPr>
                <w:b/>
              </w:rPr>
              <w:t>Climate p</w:t>
            </w:r>
            <w:r w:rsidR="005A218C" w:rsidRPr="009446BE">
              <w:rPr>
                <w:b/>
              </w:rPr>
              <w:t>olicy stringency</w:t>
            </w:r>
          </w:p>
        </w:tc>
        <w:tc>
          <w:tcPr>
            <w:tcW w:w="4621" w:type="dxa"/>
          </w:tcPr>
          <w:p w14:paraId="0EE5A728" w14:textId="42A88891" w:rsidR="005A218C" w:rsidRDefault="005A218C" w:rsidP="004657D9">
            <w:pPr>
              <w:spacing w:after="120"/>
            </w:pPr>
            <w:r>
              <w:t>The scope and strength of policies adopted (e.g. the emissions covered by a carbon tax, and the price level of the tax)</w:t>
            </w:r>
            <w:r w:rsidR="00002678">
              <w:t>.</w:t>
            </w:r>
            <w:r w:rsidR="004657D9">
              <w:t xml:space="preserve"> T</w:t>
            </w:r>
            <w:r w:rsidR="00002678">
              <w:t>he</w:t>
            </w:r>
            <w:r w:rsidR="004657D9">
              <w:t xml:space="preserve"> level of continued subsidy</w:t>
            </w:r>
            <w:r w:rsidR="00002678">
              <w:t xml:space="preserve"> support for fossil fuel use.</w:t>
            </w:r>
          </w:p>
        </w:tc>
        <w:tc>
          <w:tcPr>
            <w:tcW w:w="244" w:type="dxa"/>
          </w:tcPr>
          <w:p w14:paraId="68190BEB" w14:textId="77777777" w:rsidR="005A218C" w:rsidRDefault="005A218C" w:rsidP="00D50BA8">
            <w:pPr>
              <w:spacing w:after="120"/>
            </w:pPr>
          </w:p>
        </w:tc>
        <w:tc>
          <w:tcPr>
            <w:tcW w:w="2691" w:type="dxa"/>
          </w:tcPr>
          <w:p w14:paraId="23EB3321" w14:textId="2029D00B" w:rsidR="005A218C" w:rsidRDefault="004657D9" w:rsidP="00D50BA8">
            <w:pPr>
              <w:spacing w:after="120"/>
            </w:pPr>
            <w:r>
              <w:t xml:space="preserve">World Energy Outlook </w:t>
            </w:r>
            <w:r>
              <w:fldChar w:fldCharType="begin" w:fldLock="1"/>
            </w:r>
            <w:r w:rsidR="00AE1CAD">
              <w:instrText>ADDIN CSL_CITATION {"citationItems":[{"id":"ITEM-1","itemData":{"author":[{"dropping-particle":"","family":"IEA","given":"","non-dropping-particle":"","parse-names":false,"suffix":""}],"id":"ITEM-1","issued":{"date-parts":[["2018"]]},"publisher-place":"Paris","title":"World Energy Outlook","type":"report"},"uris":["http://www.mendeley.com/documents/?uuid=f9ed767c-7e31-4a60-8e8a-b5e3740197b4"]}],"mendeley":{"formattedCitation":"(IEA, 2018b)","plainTextFormattedCitation":"(IEA, 2018b)","previouslyFormattedCitation":"(IEA, 2018b)"},"properties":{"noteIndex":0},"schema":"https://github.com/citation-style-language/schema/raw/master/csl-citation.json"}</w:instrText>
            </w:r>
            <w:r>
              <w:fldChar w:fldCharType="separate"/>
            </w:r>
            <w:r w:rsidR="00B53BF6" w:rsidRPr="00B53BF6">
              <w:rPr>
                <w:noProof/>
              </w:rPr>
              <w:t>(IEA, 2018b)</w:t>
            </w:r>
            <w:r>
              <w:fldChar w:fldCharType="end"/>
            </w:r>
            <w:r>
              <w:t xml:space="preserve">; Global Fossil Subsidies </w:t>
            </w:r>
            <w:r>
              <w:fldChar w:fldCharType="begin" w:fldLock="1"/>
            </w:r>
            <w:r w:rsidR="00AE1CAD">
              <w:instrText>ADDIN CSL_CITATION {"citationItems":[{"id":"ITEM-1","itemData":{"abstract":"This paper updates estimates of fossil fuel subsidies, defined as fuel consumption times the gap between existing and efficient prices (i.e., prices warranted by supply costs, environmental costs, and revenue considerations), for 191 countries. Globally, subsidies remained large at $4.7 trillion (6.3 percent of global GDP) in 2015 and are projected at $5.2 trillion (6.5 percent of GDP) in 2017. The largest subsidizers in 2015 were China ($1.4 trillion), United States ($649 billion), Russia ($551 billion), European Union ($289 billion), and India ($209 billion). About three quarters of global subsidies are due to domestic factors—energy pricing reform thus remains largely in countries’ own national interest—while coal and petroleum together account for 85 percent of global subsidies. Efficient fossil fuel pricing in 2015 would have lowered global carbon emissions by 28 percent and fossil fuel air pollution deaths by 46 percent, and increased government revenue by 3.8 percent of GDP. JEL","author":[{"dropping-particle":"","family":"Coady","given":"David","non-dropping-particle":"","parse-names":false,"suffix":""},{"dropping-particle":"","family":"Parry","given":"Ian","non-dropping-particle":"","parse-names":false,"suffix":""},{"dropping-particle":"","family":"Le","given":"Nghia-piotr","non-dropping-particle":"","parse-names":false,"suffix":""},{"dropping-particle":"","family":"Shang","given":"Baoping","non-dropping-particle":"","parse-names":false,"suffix":""}],"collection-title":"19","id":"ITEM-1","issued":{"date-parts":[["2019"]]},"number":"89","publisher-place":"Washington, D.C.","title":"Global Fossil Fuel Subsidies Remain Large: An Update Based on Country-Level Estimates","type":"report"},"uris":["http://www.mendeley.com/documents/?uuid=05bd599e-89c2-4f96-a1ec-4369511f3b53"]}],"mendeley":{"formattedCitation":"(Coady, Parry, Le, &amp; Shang, 2019)","plainTextFormattedCitation":"(Coady, Parry, Le, &amp; Shang, 2019)","previouslyFormattedCitation":"(Coady, Parry, Le, &amp; Shang, 2019)"},"properties":{"noteIndex":0},"schema":"https://github.com/citation-style-language/schema/raw/master/csl-citation.json"}</w:instrText>
            </w:r>
            <w:r>
              <w:fldChar w:fldCharType="separate"/>
            </w:r>
            <w:r w:rsidR="00B53BF6" w:rsidRPr="00B53BF6">
              <w:rPr>
                <w:noProof/>
              </w:rPr>
              <w:t>(Coady, Parry, Le, &amp; Shang, 2019)</w:t>
            </w:r>
            <w:r>
              <w:fldChar w:fldCharType="end"/>
            </w:r>
          </w:p>
        </w:tc>
      </w:tr>
      <w:tr w:rsidR="005A218C" w:rsidRPr="007E1110" w14:paraId="323BE2ED" w14:textId="11153D07" w:rsidTr="00D93727">
        <w:trPr>
          <w:trHeight w:val="359"/>
        </w:trPr>
        <w:tc>
          <w:tcPr>
            <w:tcW w:w="1514" w:type="dxa"/>
            <w:tcBorders>
              <w:bottom w:val="single" w:sz="4" w:space="0" w:color="auto"/>
            </w:tcBorders>
          </w:tcPr>
          <w:p w14:paraId="4F364FA1" w14:textId="568BEECE" w:rsidR="005A218C" w:rsidRPr="009446BE" w:rsidRDefault="004657D9" w:rsidP="00D50BA8">
            <w:pPr>
              <w:spacing w:after="120"/>
              <w:rPr>
                <w:b/>
              </w:rPr>
            </w:pPr>
            <w:r>
              <w:rPr>
                <w:b/>
              </w:rPr>
              <w:t>Climate p</w:t>
            </w:r>
            <w:r w:rsidR="005A218C" w:rsidRPr="009446BE">
              <w:rPr>
                <w:b/>
              </w:rPr>
              <w:t>olicy outcomes</w:t>
            </w:r>
          </w:p>
        </w:tc>
        <w:tc>
          <w:tcPr>
            <w:tcW w:w="4621" w:type="dxa"/>
            <w:tcBorders>
              <w:bottom w:val="single" w:sz="4" w:space="0" w:color="auto"/>
            </w:tcBorders>
          </w:tcPr>
          <w:p w14:paraId="7199BEDC" w14:textId="5E3BC98D" w:rsidR="005A218C" w:rsidRDefault="005A218C" w:rsidP="00D50BA8">
            <w:pPr>
              <w:keepNext/>
              <w:spacing w:after="120"/>
            </w:pPr>
            <w:r>
              <w:t>Composite indicators of climate policy adoption, emissions trends and renewable energy technology adoption</w:t>
            </w:r>
          </w:p>
        </w:tc>
        <w:tc>
          <w:tcPr>
            <w:tcW w:w="244" w:type="dxa"/>
            <w:tcBorders>
              <w:bottom w:val="single" w:sz="4" w:space="0" w:color="auto"/>
            </w:tcBorders>
          </w:tcPr>
          <w:p w14:paraId="76D2E651" w14:textId="77777777" w:rsidR="005A218C" w:rsidRDefault="005A218C" w:rsidP="00D50BA8">
            <w:pPr>
              <w:keepNext/>
              <w:spacing w:after="120"/>
            </w:pPr>
          </w:p>
        </w:tc>
        <w:tc>
          <w:tcPr>
            <w:tcW w:w="2691" w:type="dxa"/>
            <w:tcBorders>
              <w:bottom w:val="single" w:sz="4" w:space="0" w:color="auto"/>
            </w:tcBorders>
          </w:tcPr>
          <w:p w14:paraId="13DABB26" w14:textId="1F1840C7" w:rsidR="005A218C" w:rsidRPr="005A218C" w:rsidRDefault="005A218C" w:rsidP="00D50BA8">
            <w:pPr>
              <w:keepNext/>
              <w:spacing w:after="120"/>
              <w:rPr>
                <w:lang w:val="de-DE"/>
              </w:rPr>
            </w:pPr>
            <w:r w:rsidRPr="005A218C">
              <w:rPr>
                <w:lang w:val="de-DE"/>
              </w:rPr>
              <w:t xml:space="preserve">CCPI </w:t>
            </w:r>
            <w:r>
              <w:fldChar w:fldCharType="begin" w:fldLock="1"/>
            </w:r>
            <w:r w:rsidR="00AE1CAD">
              <w:rPr>
                <w:lang w:val="de-DE"/>
              </w:rPr>
              <w:instrText>ADDIN CSL_CITATION {"citationItems":[{"id":"ITEM-1","itemData":{"ISBN":"9783943704686","author":[{"dropping-particle":"","family":"Burck","given":"Jan","non-dropping-particle":"","parse-names":false,"suffix":""},{"dropping-particle":"","family":"Hagen","given":"Ursula","non-dropping-particle":"","parse-names":false,"suffix":""},{"dropping-particle":"","family":"Marten","given":"Franziska","non-dropping-particle":"","parse-names":false,"suffix":""},{"dropping-particle":"","family":"Höhne","given":"Niklas","non-dropping-particle":"","parse-names":false,"suffix":""},{"dropping-particle":"","family":"Bals","given":"Christoph","non-dropping-particle":"","parse-names":false,"suffix":""}],"id":"ITEM-1","issued":{"date-parts":[["2019"]]},"publisher-place":"Bonn","title":"Climate Change Performance Index 2019","type":"report"},"uris":["http://www.mendeley.com/documents/?uuid=a8bff83c-b51b-4843-9327-4f3a77334e68"]}],"mendeley":{"formattedCitation":"(Burck, Hagen, Marten, Höhne, &amp; Bals, 2019)","plainTextFormattedCitation":"(Burck, Hagen, Marten, Höhne, &amp; Bals, 2019)","previouslyFormattedCitation":"(Burck, Hagen, Marten, Höhne, &amp; Bals, 2019)"},"properties":{"noteIndex":0},"schema":"https://github.com/citation-style-language/schema/raw/master/csl-citation.json"}</w:instrText>
            </w:r>
            <w:r>
              <w:fldChar w:fldCharType="separate"/>
            </w:r>
            <w:r w:rsidR="00B53BF6" w:rsidRPr="00B53BF6">
              <w:rPr>
                <w:noProof/>
                <w:lang w:val="de-DE"/>
              </w:rPr>
              <w:t>(Burck, Hagen, Marten, Höhne, &amp; Bals, 2019)</w:t>
            </w:r>
            <w:r>
              <w:fldChar w:fldCharType="end"/>
            </w:r>
          </w:p>
        </w:tc>
      </w:tr>
    </w:tbl>
    <w:p w14:paraId="5E4FB4B4" w14:textId="5155344B" w:rsidR="00E216F9" w:rsidRPr="00093C59" w:rsidRDefault="005534C1" w:rsidP="00E77203">
      <w:pPr>
        <w:pStyle w:val="Caption"/>
        <w:spacing w:line="360" w:lineRule="auto"/>
        <w:rPr>
          <w:b/>
          <w:sz w:val="22"/>
        </w:rPr>
      </w:pPr>
      <w:r w:rsidRPr="00093C59">
        <w:rPr>
          <w:b/>
          <w:sz w:val="22"/>
        </w:rPr>
        <w:t xml:space="preserve">Table </w:t>
      </w:r>
      <w:r w:rsidR="005B7313" w:rsidRPr="00093C59">
        <w:rPr>
          <w:b/>
          <w:noProof/>
          <w:sz w:val="22"/>
        </w:rPr>
        <w:fldChar w:fldCharType="begin"/>
      </w:r>
      <w:r w:rsidR="005B7313" w:rsidRPr="00093C59">
        <w:rPr>
          <w:b/>
          <w:noProof/>
          <w:sz w:val="22"/>
        </w:rPr>
        <w:instrText xml:space="preserve"> SEQ Table \* ARABIC </w:instrText>
      </w:r>
      <w:r w:rsidR="005B7313" w:rsidRPr="00093C59">
        <w:rPr>
          <w:b/>
          <w:noProof/>
          <w:sz w:val="22"/>
        </w:rPr>
        <w:fldChar w:fldCharType="separate"/>
      </w:r>
      <w:r w:rsidR="00403128" w:rsidRPr="00093C59">
        <w:rPr>
          <w:b/>
          <w:noProof/>
          <w:sz w:val="22"/>
        </w:rPr>
        <w:t>2</w:t>
      </w:r>
      <w:r w:rsidR="005B7313" w:rsidRPr="00093C59">
        <w:rPr>
          <w:b/>
          <w:noProof/>
          <w:sz w:val="22"/>
        </w:rPr>
        <w:fldChar w:fldCharType="end"/>
      </w:r>
      <w:r w:rsidRPr="00093C59">
        <w:rPr>
          <w:b/>
          <w:sz w:val="22"/>
        </w:rPr>
        <w:t xml:space="preserve">: Dependent variables </w:t>
      </w:r>
      <w:r w:rsidR="003272BD" w:rsidRPr="00093C59">
        <w:rPr>
          <w:b/>
          <w:sz w:val="22"/>
        </w:rPr>
        <w:t xml:space="preserve">for comparing </w:t>
      </w:r>
      <w:r w:rsidRPr="00093C59">
        <w:rPr>
          <w:b/>
          <w:sz w:val="22"/>
        </w:rPr>
        <w:t>climate policy</w:t>
      </w:r>
      <w:r w:rsidR="003272BD" w:rsidRPr="00093C59">
        <w:rPr>
          <w:b/>
          <w:sz w:val="22"/>
        </w:rPr>
        <w:t xml:space="preserve"> </w:t>
      </w:r>
      <w:r w:rsidR="00B3545A" w:rsidRPr="00093C59">
        <w:rPr>
          <w:b/>
          <w:sz w:val="22"/>
        </w:rPr>
        <w:t>progress</w:t>
      </w:r>
    </w:p>
    <w:p w14:paraId="68F46C1E" w14:textId="5DF2C581" w:rsidR="007E11E6" w:rsidRDefault="00302E45" w:rsidP="009446BE">
      <w:pPr>
        <w:spacing w:line="360" w:lineRule="auto"/>
      </w:pPr>
      <w:r>
        <w:t>Evidently the cross-national comparison of climate policy performance is challenging</w:t>
      </w:r>
      <w:r w:rsidR="007E11E6">
        <w:t>.</w:t>
      </w:r>
      <w:r>
        <w:t xml:space="preserve"> </w:t>
      </w:r>
      <w:r w:rsidR="00EA08A0">
        <w:t>S</w:t>
      </w:r>
      <w:r>
        <w:t>ingle indicators</w:t>
      </w:r>
      <w:r w:rsidR="007E11E6">
        <w:t xml:space="preserve"> (such as emissions trends)</w:t>
      </w:r>
      <w:r>
        <w:t xml:space="preserve"> </w:t>
      </w:r>
      <w:r w:rsidR="00EA08A0">
        <w:t>appear to be</w:t>
      </w:r>
      <w:r>
        <w:t xml:space="preserve"> insufficient, </w:t>
      </w:r>
      <w:r w:rsidR="007E11E6">
        <w:t>and pragmatic concerns (data availability) will drastically narrow down the option space. I</w:t>
      </w:r>
      <w:r w:rsidR="002A4697">
        <w:t>n reviewing this literature, measures of legislation adoption, carbon tax adoption,</w:t>
      </w:r>
      <w:r w:rsidR="00F54A2D">
        <w:t xml:space="preserve"> and fossil subsidy rates</w:t>
      </w:r>
      <w:r w:rsidR="002A4697">
        <w:t xml:space="preserve"> appear to be the most mature and comprehensive. These dependent variables are the</w:t>
      </w:r>
      <w:r w:rsidR="00634CD4">
        <w:t>re</w:t>
      </w:r>
      <w:r w:rsidR="00FB1059">
        <w:t>fore</w:t>
      </w:r>
      <w:r w:rsidR="002A4697">
        <w:t xml:space="preserve"> focus of the following section, where they inform </w:t>
      </w:r>
      <w:r w:rsidR="00634CD4">
        <w:t>our</w:t>
      </w:r>
      <w:r w:rsidR="002A4697">
        <w:t xml:space="preserve"> assessment of constraints in the literature.</w:t>
      </w:r>
    </w:p>
    <w:p w14:paraId="2EF7D358" w14:textId="2A388CBA" w:rsidR="00615DF8" w:rsidRDefault="000253AB" w:rsidP="00936D99">
      <w:pPr>
        <w:pStyle w:val="Heading2"/>
        <w:numPr>
          <w:ilvl w:val="0"/>
          <w:numId w:val="1"/>
        </w:numPr>
        <w:spacing w:after="120" w:line="360" w:lineRule="auto"/>
        <w:ind w:left="357" w:hanging="357"/>
      </w:pPr>
      <w:r>
        <w:t xml:space="preserve">International assessments of </w:t>
      </w:r>
      <w:r w:rsidR="00D51E1D">
        <w:t>c</w:t>
      </w:r>
      <w:r w:rsidR="007807F9">
        <w:t xml:space="preserve">limate policy </w:t>
      </w:r>
      <w:r w:rsidR="00DA0DD4">
        <w:t>constraints</w:t>
      </w:r>
    </w:p>
    <w:p w14:paraId="5FB7B07D" w14:textId="69631520" w:rsidR="0021445B" w:rsidRPr="00474BDC" w:rsidRDefault="001C7D4F" w:rsidP="00E77203">
      <w:pPr>
        <w:spacing w:line="360" w:lineRule="auto"/>
      </w:pPr>
      <w:r>
        <w:t>What</w:t>
      </w:r>
      <w:r w:rsidR="0021445B">
        <w:t xml:space="preserve"> </w:t>
      </w:r>
      <w:r>
        <w:t xml:space="preserve">climate policy </w:t>
      </w:r>
      <w:r w:rsidR="0021445B">
        <w:t xml:space="preserve">constraints </w:t>
      </w:r>
      <w:r>
        <w:t xml:space="preserve">have </w:t>
      </w:r>
      <w:r w:rsidR="005910C9">
        <w:t xml:space="preserve">been </w:t>
      </w:r>
      <w:r>
        <w:t xml:space="preserve">examined </w:t>
      </w:r>
      <w:r w:rsidR="005910C9">
        <w:t>to date</w:t>
      </w:r>
      <w:r>
        <w:t>? In this section we focus on the international comparative literature, structuring identified constraints into the three broad areas already introduced</w:t>
      </w:r>
      <w:r w:rsidR="0021445B">
        <w:t xml:space="preserve">: </w:t>
      </w:r>
      <w:r w:rsidR="00FB482A">
        <w:t>the role of interests, institutions and ideas</w:t>
      </w:r>
      <w:r w:rsidR="00256ED8">
        <w:t xml:space="preserve"> </w:t>
      </w:r>
      <w:r w:rsidR="00256ED8">
        <w:fldChar w:fldCharType="begin" w:fldLock="1"/>
      </w:r>
      <w:r w:rsidR="00AE1CAD">
        <w:instrText>ADDIN CSL_CITATION {"citationItems":[{"id":"ITEM-1","itemData":{"author":[{"dropping-particle":"","family":"Hall","given":"Peter A.","non-dropping-particle":"","parse-names":false,"suffix":""}],"container-title":"Comparative Politics: Rationality, Culture, and Structure","editor":[{"dropping-particle":"","family":"Lichbach","given":"Mark Irving","non-dropping-particle":"","parse-names":false,"suffix":""},{"dropping-particle":"","family":"Zuckerman","given":"Alan S.","non-dropping-particle":"","parse-names":false,"suffix":""}],"id":"ITEM-1","issued":{"date-parts":[["1997"]]},"page":"174-207","publisher":"Cambridge University Press","publisher-place":"Cambrdige, UK","title":"The role of interests, institutions, and ideas in the comparative political economy of the industrialized natoins","type":"chapter"},"uris":["http://www.mendeley.com/documents/?uuid=4882695a-59ac-44d3-ba71-aa6d69dbf617"]}],"mendeley":{"formattedCitation":"(Hall, 1997)","plainTextFormattedCitation":"(Hall, 1997)","previouslyFormattedCitation":"(Hall, 1997)"},"properties":{"noteIndex":0},"schema":"https://github.com/citation-style-language/schema/raw/master/csl-citation.json"}</w:instrText>
      </w:r>
      <w:r w:rsidR="00256ED8">
        <w:fldChar w:fldCharType="separate"/>
      </w:r>
      <w:r w:rsidR="00B53BF6" w:rsidRPr="00B53BF6">
        <w:rPr>
          <w:noProof/>
        </w:rPr>
        <w:t>(Hall, 1997)</w:t>
      </w:r>
      <w:r w:rsidR="00256ED8">
        <w:fldChar w:fldCharType="end"/>
      </w:r>
      <w:r w:rsidR="00FB482A">
        <w:t>.</w:t>
      </w:r>
      <w:r w:rsidR="0021445B">
        <w:t xml:space="preserve"> </w:t>
      </w:r>
      <w:r>
        <w:t xml:space="preserve">We derive the relevant </w:t>
      </w:r>
      <w:r>
        <w:lastRenderedPageBreak/>
        <w:t>literature from a</w:t>
      </w:r>
      <w:r w:rsidR="0021445B">
        <w:t xml:space="preserve"> search in the </w:t>
      </w:r>
      <w:r w:rsidR="00E02B92">
        <w:t>W</w:t>
      </w:r>
      <w:r w:rsidR="0021445B">
        <w:t xml:space="preserve">eb of </w:t>
      </w:r>
      <w:r w:rsidR="00E02B92">
        <w:t>S</w:t>
      </w:r>
      <w:r w:rsidR="0021445B">
        <w:t xml:space="preserve">cience and </w:t>
      </w:r>
      <w:r w:rsidR="00E02B92">
        <w:t>S</w:t>
      </w:r>
      <w:r w:rsidR="0021445B">
        <w:t>copus</w:t>
      </w:r>
      <w:r w:rsidR="001A558D">
        <w:t xml:space="preserve">, followed by manually </w:t>
      </w:r>
      <w:r w:rsidR="004A6780">
        <w:t>following</w:t>
      </w:r>
      <w:r w:rsidR="00776647">
        <w:t xml:space="preserve"> </w:t>
      </w:r>
      <w:r w:rsidR="00302E45">
        <w:t xml:space="preserve">tracking </w:t>
      </w:r>
      <w:r w:rsidR="00776647">
        <w:t xml:space="preserve">citations </w:t>
      </w:r>
      <w:r w:rsidR="005910C9">
        <w:t>in Google Scholar</w:t>
      </w:r>
      <w:r w:rsidR="002A4697">
        <w:rPr>
          <w:rStyle w:val="FootnoteReference"/>
        </w:rPr>
        <w:footnoteReference w:id="3"/>
      </w:r>
      <w:r w:rsidR="00E02B92">
        <w:t xml:space="preserve">. </w:t>
      </w:r>
      <w:r w:rsidR="005910C9">
        <w:t xml:space="preserve">Studies </w:t>
      </w:r>
      <w:r w:rsidR="003671BD">
        <w:t>examining only emissions outcomes</w:t>
      </w:r>
      <w:r w:rsidR="005910C9">
        <w:t xml:space="preserve"> are rejected. Our focus is instead</w:t>
      </w:r>
      <w:r w:rsidR="003671BD">
        <w:t xml:space="preserve"> on </w:t>
      </w:r>
      <w:r w:rsidR="00452139">
        <w:t>those</w:t>
      </w:r>
      <w:r w:rsidR="00302E45">
        <w:t xml:space="preserve"> that examine </w:t>
      </w:r>
      <w:r w:rsidR="00452139">
        <w:t xml:space="preserve">determinants </w:t>
      </w:r>
      <w:r w:rsidR="009539B7">
        <w:t xml:space="preserve">of </w:t>
      </w:r>
      <w:r w:rsidR="003671BD">
        <w:t>legislation</w:t>
      </w:r>
      <w:r w:rsidR="009539B7">
        <w:t xml:space="preserve"> adoption</w:t>
      </w:r>
      <w:r w:rsidR="003671BD">
        <w:t xml:space="preserve">, </w:t>
      </w:r>
      <w:r w:rsidR="007B71E9">
        <w:t>carbon</w:t>
      </w:r>
      <w:r w:rsidR="009539B7">
        <w:t xml:space="preserve"> prices</w:t>
      </w:r>
      <w:r w:rsidR="007B71E9">
        <w:t>, and fossil subsidies</w:t>
      </w:r>
      <w:r w:rsidR="003671BD">
        <w:t>.</w:t>
      </w:r>
      <w:r w:rsidR="00974850">
        <w:t xml:space="preserve"> </w:t>
      </w:r>
      <w:r w:rsidR="005910C9">
        <w:t>We complement th</w:t>
      </w:r>
      <w:r w:rsidR="00AE1CAD">
        <w:t>is</w:t>
      </w:r>
      <w:r w:rsidR="005910C9">
        <w:t xml:space="preserve"> discussion with relevant case </w:t>
      </w:r>
      <w:r w:rsidR="00B048F8">
        <w:t>studies</w:t>
      </w:r>
      <w:r w:rsidR="00495033">
        <w:t>, surveys</w:t>
      </w:r>
      <w:r w:rsidR="005910C9">
        <w:t xml:space="preserve"> and qualitative research, particularly from literature</w:t>
      </w:r>
      <w:r w:rsidR="00495033">
        <w:t>s</w:t>
      </w:r>
      <w:r w:rsidR="005910C9">
        <w:t xml:space="preserve"> on public policy</w:t>
      </w:r>
      <w:r w:rsidR="00495033">
        <w:t xml:space="preserve"> making and </w:t>
      </w:r>
      <w:r w:rsidR="00776647">
        <w:t xml:space="preserve">public perceptions of </w:t>
      </w:r>
      <w:r w:rsidR="00495033">
        <w:t>climate</w:t>
      </w:r>
      <w:r w:rsidR="00776647">
        <w:t xml:space="preserve"> change</w:t>
      </w:r>
      <w:r w:rsidR="005910C9">
        <w:t>.</w:t>
      </w:r>
    </w:p>
    <w:p w14:paraId="2CEE744E" w14:textId="77777777" w:rsidR="00474BDC" w:rsidRDefault="00474BDC" w:rsidP="00936D99">
      <w:pPr>
        <w:pStyle w:val="Heading3"/>
        <w:numPr>
          <w:ilvl w:val="1"/>
          <w:numId w:val="1"/>
        </w:numPr>
        <w:spacing w:after="120" w:line="360" w:lineRule="auto"/>
        <w:ind w:left="788" w:hanging="431"/>
      </w:pPr>
      <w:r>
        <w:t>Interests</w:t>
      </w:r>
    </w:p>
    <w:p w14:paraId="52F0B18C" w14:textId="358C65EF" w:rsidR="00474BDC" w:rsidRDefault="00660C16" w:rsidP="004D248E">
      <w:pPr>
        <w:spacing w:line="360" w:lineRule="auto"/>
      </w:pPr>
      <w:r>
        <w:t>Certain interest</w:t>
      </w:r>
      <w:r w:rsidR="004D248E">
        <w:t xml:space="preserve"> </w:t>
      </w:r>
      <w:r>
        <w:t xml:space="preserve">groups </w:t>
      </w:r>
      <w:r w:rsidR="004E4B09">
        <w:t>may</w:t>
      </w:r>
      <w:r>
        <w:t xml:space="preserve"> oppose stringent </w:t>
      </w:r>
      <w:r w:rsidR="004D248E">
        <w:t xml:space="preserve">climate policy. </w:t>
      </w:r>
      <w:r w:rsidR="00482DE8">
        <w:t>For example</w:t>
      </w:r>
      <w:r w:rsidR="004D248E">
        <w:t>, e</w:t>
      </w:r>
      <w:r w:rsidR="00474BDC">
        <w:t>lectricity utilities with large portfolios of fossil fuel</w:t>
      </w:r>
      <w:r w:rsidR="00B50098">
        <w:t xml:space="preserve"> generation (coal, oil and gas) will face increased compliance costs in the short term</w:t>
      </w:r>
      <w:r w:rsidR="005910C9">
        <w:t>, along with the upstream suppliers of these fuels (fossil extraction, refining and transportation industries)</w:t>
      </w:r>
      <w:r w:rsidR="00B50098">
        <w:t xml:space="preserve">. In the long term, effective and global reforms ought to phase out freely carbon-emitting activities entirely, threatening the standard operating practices of some of the </w:t>
      </w:r>
      <w:r w:rsidR="00244B27">
        <w:t xml:space="preserve">most capitalised </w:t>
      </w:r>
      <w:r w:rsidR="00B50098">
        <w:t xml:space="preserve">international companies in existence (e.g. Shell, BP, </w:t>
      </w:r>
      <w:r w:rsidR="00071546">
        <w:t xml:space="preserve">ExxonMobil, </w:t>
      </w:r>
      <w:r w:rsidR="00B50098">
        <w:t>Sinopec</w:t>
      </w:r>
      <w:r w:rsidR="005910C9">
        <w:t>, Saudi Aramco</w:t>
      </w:r>
      <w:r w:rsidR="00B50098">
        <w:t xml:space="preserve"> and others). </w:t>
      </w:r>
      <w:r w:rsidR="00EE4210">
        <w:t>O</w:t>
      </w:r>
      <w:r w:rsidR="00474BDC">
        <w:t xml:space="preserve">ther energy-intensive industries are </w:t>
      </w:r>
      <w:r w:rsidR="00EE4210">
        <w:t xml:space="preserve">also </w:t>
      </w:r>
      <w:r w:rsidR="00474BDC">
        <w:t>materially exposed to climate policy, such as mining and smelting firms, and chemical and heavy manufacturing industries.</w:t>
      </w:r>
    </w:p>
    <w:p w14:paraId="014941BD" w14:textId="0CE7869D" w:rsidR="0021679D" w:rsidRDefault="00B50098" w:rsidP="0021679D">
      <w:pPr>
        <w:spacing w:line="360" w:lineRule="auto"/>
      </w:pPr>
      <w:r>
        <w:t>The</w:t>
      </w:r>
      <w:r w:rsidR="0068619D">
        <w:t xml:space="preserve">re is mixed evidence that </w:t>
      </w:r>
      <w:r>
        <w:t xml:space="preserve">fossil interests </w:t>
      </w:r>
      <w:r w:rsidR="0068619D">
        <w:t xml:space="preserve">influence the adoption of climate legislation, but </w:t>
      </w:r>
      <w:r w:rsidR="00244B27">
        <w:t>more</w:t>
      </w:r>
      <w:r w:rsidR="0068619D">
        <w:t xml:space="preserve"> support for the claim that they oppose climate policy adoption and stringency. </w:t>
      </w:r>
      <w:proofErr w:type="spellStart"/>
      <w:r w:rsidR="00244B27">
        <w:t>Steves</w:t>
      </w:r>
      <w:proofErr w:type="spellEnd"/>
      <w:r w:rsidR="00244B27">
        <w:t xml:space="preserve"> &amp; </w:t>
      </w:r>
      <w:proofErr w:type="spellStart"/>
      <w:r w:rsidR="00244B27">
        <w:t>T</w:t>
      </w:r>
      <w:r w:rsidR="00244B27" w:rsidRPr="0068619D">
        <w:rPr>
          <w:noProof/>
        </w:rPr>
        <w:t>eytelboym</w:t>
      </w:r>
      <w:proofErr w:type="spellEnd"/>
      <w:r w:rsidR="00244B27">
        <w:rPr>
          <w:noProof/>
        </w:rPr>
        <w:t xml:space="preserve"> </w:t>
      </w:r>
      <w:r w:rsidR="00244B27">
        <w:fldChar w:fldCharType="begin" w:fldLock="1"/>
      </w:r>
      <w:r w:rsidR="00AE1CAD">
        <w:instrText>ADDIN CSL_CITATION {"citationItems":[{"id":"ITEM-1","itemData":{"DOI":"10.2139/ssrn.2456538","ISSN":"1556-5068","PMID":"16716253","abstract":"Anthropogenic climate change poses a threat to all people and governments, but the response to that threat varies enormously across countries. Some adopt politically costly and economically challenging climate change mitigation policies, while others deny that climate change is occurring. Why do some countries adopt effective climate change policies while others do not? To answer this fundamental question, this paper analyses the political economy determinants of climate change policy around the world. In order to measure climate change policy, we introduce a new index, the ‘Climate Laws, Institutions and Measures Index’ (CLIMI), the first systematic attempt to measure countries’ policy responses to the risk of climate change. CLIMI covers all the relevant institutions and sector-specific policies in 95 countries, representing 90% of the world’s GHG emissions. We then use CLIMI to examine the political and economic factors that determine countries’ choices to implement policies to tackle climate change. We find that the level of democracy alone is not a major driver of climate change policy adoption, but that public knowledge of climate change is. Not surprisingly, a high concentration of carbon-intensive industry in the economy hinders the adoption of climate change policy. Countries in which the citizenry has a better public awareness of climate change have more effective climate policies regardless of the presence of democratic institutions.","author":[{"dropping-particle":"","family":"Steves","given":"Franklin","non-dropping-particle":"","parse-names":false,"suffix":""},{"dropping-particle":"","family":"Teytelboym","given":"Alexander","non-dropping-particle":"","parse-names":false,"suffix":""}],"container-title":"Smith School of Enterprise and the Environment","id":"ITEM-1","issue":"October","issued":{"date-parts":[["2013"]]},"publisher-place":"Oxford","title":"Political Economy of Climate Change Policy","type":"report","volume":"13-06"},"suppress-author":1,"uris":["http://www.mendeley.com/documents/?uuid=dd462bb8-22d5-4711-9e68-cf7fbb4d515e"]}],"mendeley":{"formattedCitation":"(2013)","plainTextFormattedCitation":"(2013)","previouslyFormattedCitation":"(2013)"},"properties":{"noteIndex":0},"schema":"https://github.com/citation-style-language/schema/raw/master/csl-citation.json"}</w:instrText>
      </w:r>
      <w:r w:rsidR="00244B27">
        <w:fldChar w:fldCharType="separate"/>
      </w:r>
      <w:r w:rsidR="00B53BF6" w:rsidRPr="00B53BF6">
        <w:rPr>
          <w:noProof/>
        </w:rPr>
        <w:t>(2013)</w:t>
      </w:r>
      <w:r w:rsidR="00244B27">
        <w:fldChar w:fldCharType="end"/>
      </w:r>
      <w:r w:rsidR="00244B27">
        <w:t xml:space="preserve"> find that </w:t>
      </w:r>
      <w:r w:rsidR="0068619D">
        <w:t xml:space="preserve">high shares of industry in GDP reduce </w:t>
      </w:r>
      <w:r w:rsidR="00244B27">
        <w:t xml:space="preserve">climate legislation </w:t>
      </w:r>
      <w:r w:rsidR="0068619D">
        <w:t xml:space="preserve">adoption </w:t>
      </w:r>
      <w:r w:rsidR="0021679D">
        <w:t>rates</w:t>
      </w:r>
      <w:r w:rsidR="00244B27">
        <w:t>.</w:t>
      </w:r>
      <w:r w:rsidR="0021679D">
        <w:t xml:space="preserve"> </w:t>
      </w:r>
      <w:proofErr w:type="spellStart"/>
      <w:r w:rsidR="00474BDC">
        <w:t>Lachapelle</w:t>
      </w:r>
      <w:proofErr w:type="spellEnd"/>
      <w:r w:rsidR="00474BDC">
        <w:t xml:space="preserve"> &amp; Paterson </w:t>
      </w:r>
      <w:r w:rsidR="00474BDC">
        <w:fldChar w:fldCharType="begin" w:fldLock="1"/>
      </w:r>
      <w:r w:rsidR="00AE1CAD">
        <w:instrText>ADDIN CSL_CITATION {"citationItems":[{"id":"ITEM-1","itemData":{"DOI":"10.1080/14693062.2013.811333","ISSN":"17527457","abstract":"Patterns of national climate policy performance and their implications for the geopolitics of climate change are examined. An overview of levels of emissions performance across countries is first provided. Substantial changes in emissions trends over time are documented, notably with GHG emissions trajectories, which are shaped less and less by the developed/developing country divide. Various patterns of policy convergence and divergence in the types of policies states implement are then surveyed. Four broad types of explanation that may account for these trends are then explored: (1) variation in the institutional form of country-level governance regimes, (2) patterns of dependence on fossil fuel energy, (3) broad systemic differences among states (specifically in their population densities, carbon intensity, and per capita incomes, and (4) variations in the traditions of economic intervention by states. The article contributes to the growing body of work on comparative climate policy, and provides a first attempt at exploring the comparative politics of instrument choice. The analysis challenges the continued importance of a North–South divide for the future of climate policy, thus reinforcing a sense of the ‘new geopolitics’ of climate change. Some of the implications of the analysis for debates about the form of future international agreement on mitigation policy are also explored.","author":[{"dropping-particle":"","family":"Lachapelle","given":"Erick","non-dropping-particle":"","parse-names":false,"suffix":""},{"dropping-particle":"","family":"Paterson","given":"Matthew","non-dropping-particle":"","parse-names":false,"suffix":""}],"container-title":"Climate Policy","id":"ITEM-1","issue":"5","issued":{"date-parts":[["2013"]]},"page":"547-571","title":"Drivers of national climate policy","type":"article-journal","volume":"13"},"suppress-author":1,"uris":["http://www.mendeley.com/documents/?uuid=b86eaeea-7a35-48c2-8487-71c86abf8931"]}],"mendeley":{"formattedCitation":"(2013)","plainTextFormattedCitation":"(2013)","previouslyFormattedCitation":"(2013)"},"properties":{"noteIndex":0},"schema":"https://github.com/citation-style-language/schema/raw/master/csl-citation.json"}</w:instrText>
      </w:r>
      <w:r w:rsidR="00474BDC">
        <w:fldChar w:fldCharType="separate"/>
      </w:r>
      <w:r w:rsidR="00B53BF6" w:rsidRPr="00B53BF6">
        <w:rPr>
          <w:noProof/>
        </w:rPr>
        <w:t>(2013)</w:t>
      </w:r>
      <w:r w:rsidR="00474BDC">
        <w:fldChar w:fldCharType="end"/>
      </w:r>
      <w:r w:rsidR="00474BDC">
        <w:t xml:space="preserve"> and </w:t>
      </w:r>
      <w:proofErr w:type="spellStart"/>
      <w:r w:rsidR="00474BDC">
        <w:t>Fankhauser</w:t>
      </w:r>
      <w:proofErr w:type="spellEnd"/>
      <w:r w:rsidR="00474BDC">
        <w:t xml:space="preserve"> et al. </w:t>
      </w:r>
      <w:r w:rsidR="00474BDC">
        <w:fldChar w:fldCharType="begin" w:fldLock="1"/>
      </w:r>
      <w:r w:rsidR="00AE1CAD">
        <w:instrText>ADDIN CSL_CITATION {"citationItems":[{"id":"ITEM-1","itemData":{"DOI":"10.1016/j.gloenvcha.2015.08.008","author":[{"dropping-particle":"","family":"Fankhauser","given":"Sam","non-dropping-particle":"","parse-names":false,"suffix":""},{"dropping-particle":"","family":"Gennaioli","given":"Caterina","non-dropping-particle":"","parse-names":false,"suffix":""},{"dropping-particle":"","family":"Collins","given":"Murray","non-dropping-particle":"","parse-names":false,"suffix":""}],"container-title":"Global Environmental Change","id":"ITEM-1","issued":{"date-parts":[["2015"]]},"page":"52-61","publisher":"Elsevier Ltd","title":"The political economy of passing climate change legislation: evidence from a survey","type":"article-journal","volume":"35"},"suppress-author":1,"uris":["http://www.mendeley.com/documents/?uuid=860f5671-59a0-4f8d-a7d7-b495238f5d28"]}],"mendeley":{"formattedCitation":"(2015)","plainTextFormattedCitation":"(2015)","previouslyFormattedCitation":"(2015)"},"properties":{"noteIndex":0},"schema":"https://github.com/citation-style-language/schema/raw/master/csl-citation.json"}</w:instrText>
      </w:r>
      <w:r w:rsidR="00474BDC">
        <w:fldChar w:fldCharType="separate"/>
      </w:r>
      <w:r w:rsidR="00B53BF6" w:rsidRPr="00B53BF6">
        <w:rPr>
          <w:noProof/>
        </w:rPr>
        <w:t>(2015)</w:t>
      </w:r>
      <w:r w:rsidR="00474BDC">
        <w:fldChar w:fldCharType="end"/>
      </w:r>
      <w:r w:rsidR="00474BDC">
        <w:t xml:space="preserve"> </w:t>
      </w:r>
      <w:r w:rsidR="00244B27">
        <w:t xml:space="preserve">examine the impact of fossil fuel exports in GDP on legislation adoption, finding </w:t>
      </w:r>
      <w:r w:rsidR="00474BDC">
        <w:t>a negative correlation, but not a significant relationship.</w:t>
      </w:r>
      <w:r w:rsidR="00B048F8">
        <w:t xml:space="preserve"> But</w:t>
      </w:r>
      <w:r w:rsidR="00071546">
        <w:t xml:space="preserve"> </w:t>
      </w:r>
      <w:r w:rsidR="00244B27">
        <w:t xml:space="preserve">when it comes to </w:t>
      </w:r>
      <w:r w:rsidR="0021679D">
        <w:t xml:space="preserve">climate policies, </w:t>
      </w:r>
      <w:r w:rsidR="00474BDC">
        <w:t xml:space="preserve">Dolphin et al. </w:t>
      </w:r>
      <w:r w:rsidR="00474BDC">
        <w:fldChar w:fldCharType="begin" w:fldLock="1"/>
      </w:r>
      <w:r w:rsidR="00AE1CAD">
        <w:instrText>ADDIN CSL_CITATION {"citationItems":[{"id":"ITEM-1","itemData":{"DOI":"10.17863/CAM.7825","abstract":"In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 Abstract 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schemes.","author":[{"dropping-particle":"","family":"Dolphin","given":"G. G.","non-dropping-particle":"","parse-names":false,"suffix":""},{"dropping-particle":"","family":"Pollitt","given":"M. G.","non-dropping-particle":"","parse-names":false,"suffix":""},{"dropping-particle":"","family":"Newbery","given":"D. G.","non-dropping-particle":"","parse-names":false,"suffix":""}],"collection-title":"Cambridge Working Paper Economics","id":"ITEM-1","issued":{"date-parts":[["2016"]]},"number":"1663","number-of-pages":"1-45","publisher-place":"Cambrdige, UK","title":"The Political Economy of Carbon Pricing: a Panel Analysis","type":"report"},"suppress-author":1,"uris":["http://www.mendeley.com/documents/?uuid=6e269377-11ab-4240-a1eb-07b94f1ee52b"]}],"mendeley":{"formattedCitation":"(2016)","plainTextFormattedCitation":"(2016)","previouslyFormattedCitation":"(2016)"},"properties":{"noteIndex":0},"schema":"https://github.com/citation-style-language/schema/raw/master/csl-citation.json"}</w:instrText>
      </w:r>
      <w:r w:rsidR="00474BDC">
        <w:fldChar w:fldCharType="separate"/>
      </w:r>
      <w:r w:rsidR="00B53BF6" w:rsidRPr="00B53BF6">
        <w:rPr>
          <w:noProof/>
        </w:rPr>
        <w:t>(2016)</w:t>
      </w:r>
      <w:r w:rsidR="00474BDC">
        <w:fldChar w:fldCharType="end"/>
      </w:r>
      <w:r w:rsidR="00E701C0">
        <w:t xml:space="preserve"> show that</w:t>
      </w:r>
      <w:r w:rsidR="0021679D">
        <w:t xml:space="preserve"> carbon tax adoption</w:t>
      </w:r>
      <w:r w:rsidR="00E701C0">
        <w:t xml:space="preserve"> is </w:t>
      </w:r>
      <w:r w:rsidR="0021679D">
        <w:t xml:space="preserve">strongly </w:t>
      </w:r>
      <w:r w:rsidR="00E701C0">
        <w:t xml:space="preserve">limited by </w:t>
      </w:r>
      <w:r w:rsidR="00474BDC">
        <w:t xml:space="preserve">high </w:t>
      </w:r>
      <w:r w:rsidR="0021679D">
        <w:t xml:space="preserve">industry shares of GDP, as well as </w:t>
      </w:r>
      <w:r w:rsidR="00474BDC">
        <w:t>fossil fuel shares</w:t>
      </w:r>
      <w:r w:rsidR="0021679D">
        <w:t xml:space="preserve"> of electricity generation</w:t>
      </w:r>
      <w:r w:rsidR="00474BDC">
        <w:t xml:space="preserve"> </w:t>
      </w:r>
      <w:r>
        <w:t>(coal and oil, but not gas)</w:t>
      </w:r>
      <w:r w:rsidR="00E701C0">
        <w:t xml:space="preserve">. </w:t>
      </w:r>
      <w:r w:rsidR="0021679D">
        <w:t xml:space="preserve">Carbon tax stringency, in turn, is </w:t>
      </w:r>
      <w:r w:rsidR="00244B27">
        <w:t xml:space="preserve">hampered </w:t>
      </w:r>
      <w:r w:rsidR="0021679D">
        <w:t xml:space="preserve">by </w:t>
      </w:r>
      <w:r w:rsidR="00E701C0">
        <w:t xml:space="preserve">high shares of coal in the energy generation </w:t>
      </w:r>
      <w:r w:rsidR="00244B27">
        <w:t xml:space="preserve">mix </w:t>
      </w:r>
      <w:r w:rsidR="00E701C0">
        <w:fldChar w:fldCharType="begin" w:fldLock="1"/>
      </w:r>
      <w:r w:rsidR="00AE1CAD">
        <w:instrText>ADDIN CSL_CITATION {"citationItems":[{"id":"ITEM-1","itemData":{"author":[{"dropping-particle":"","family":"Levi","given":"Sebastian","non-dropping-particle":"","parse-names":false,"suffix":""},{"dropping-particle":"","family":"Flachsland","given":"Christian","non-dropping-particle":"","parse-names":false,"suffix":""},{"dropping-particle":"","family":"Jakob","given":"Michael","non-dropping-particle":"","parse-names":false,"suffix":""}],"id":"ITEM-1","issued":{"date-parts":[["2019"]]},"title":"Political Economy Determinants of Carbon Pricing","type":"report"},"uris":["http://www.mendeley.com/documents/?uuid=e735e56c-ae2c-4e9e-8dcb-dbdd5ff69b92"]},{"id":"ITEM-2","itemData":{"DOI":"10.17863/CAM.7825","abstract":"In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 Abstract 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schemes.","author":[{"dropping-particle":"","family":"Dolphin","given":"G. G.","non-dropping-particle":"","parse-names":false,"suffix":""},{"dropping-particle":"","family":"Pollitt","given":"M. G.","non-dropping-particle":"","parse-names":false,"suffix":""},{"dropping-particle":"","family":"Newbery","given":"D. G.","non-dropping-particle":"","parse-names":false,"suffix":""}],"collection-title":"Cambridge Working Paper Economics","id":"ITEM-2","issued":{"date-parts":[["2016"]]},"number":"1663","number-of-pages":"1-45","publisher-place":"Cambrdige, UK","title":"The Political Economy of Carbon Pricing: a Panel Analysis","type":"report"},"uris":["http://www.mendeley.com/documents/?uuid=6e269377-11ab-4240-a1eb-07b94f1ee52b"]}],"mendeley":{"formattedCitation":"(Dolphin et al., 2016; Levi, Flachsland, &amp; Jakob, 2019)","plainTextFormattedCitation":"(Dolphin et al., 2016; Levi, Flachsland, &amp; Jakob, 2019)","previouslyFormattedCitation":"(Dolphin et al., 2016; Levi, Flachsland, &amp; Jakob, 2019)"},"properties":{"noteIndex":0},"schema":"https://github.com/citation-style-language/schema/raw/master/csl-citation.json"}</w:instrText>
      </w:r>
      <w:r w:rsidR="00E701C0">
        <w:fldChar w:fldCharType="separate"/>
      </w:r>
      <w:r w:rsidR="00B53BF6" w:rsidRPr="00B53BF6">
        <w:rPr>
          <w:noProof/>
        </w:rPr>
        <w:t>(Dolphin et al., 2016; Levi, Flachsland, &amp; Jakob, 2019)</w:t>
      </w:r>
      <w:r w:rsidR="00E701C0">
        <w:fldChar w:fldCharType="end"/>
      </w:r>
      <w:r w:rsidR="00E701C0">
        <w:t>.</w:t>
      </w:r>
      <w:r w:rsidR="0021679D">
        <w:t xml:space="preserve"> </w:t>
      </w:r>
    </w:p>
    <w:p w14:paraId="724C3648" w14:textId="06CC3011" w:rsidR="00474BDC" w:rsidRDefault="00825A0A" w:rsidP="00E77203">
      <w:pPr>
        <w:spacing w:line="360" w:lineRule="auto"/>
      </w:pPr>
      <w:r>
        <w:t>Fossil interests may take different approaches in minimising their exposure to regulation</w:t>
      </w:r>
      <w:r w:rsidR="00244B27">
        <w:t>, explaining these divergent effects</w:t>
      </w:r>
      <w:r>
        <w:t xml:space="preserve">. </w:t>
      </w:r>
      <w:r w:rsidR="00474BDC">
        <w:t xml:space="preserve">Direct opposition to </w:t>
      </w:r>
      <w:r w:rsidR="00426990">
        <w:t xml:space="preserve">climate </w:t>
      </w:r>
      <w:r w:rsidR="00474BDC">
        <w:t xml:space="preserve">policy adoption (or the roll-back of existing </w:t>
      </w:r>
      <w:r w:rsidR="0021679D">
        <w:t>policies</w:t>
      </w:r>
      <w:r w:rsidR="00474BDC">
        <w:t xml:space="preserve">) </w:t>
      </w:r>
      <w:r w:rsidR="00426990">
        <w:t>has been well documented</w:t>
      </w:r>
      <w:r w:rsidR="00474BDC">
        <w:t xml:space="preserve"> in case studies, such as the carbon tax repeal in Australia </w:t>
      </w:r>
      <w:r w:rsidR="00474BDC">
        <w:fldChar w:fldCharType="begin" w:fldLock="1"/>
      </w:r>
      <w:r w:rsidR="00AE1CAD">
        <w:instrText>ADDIN CSL_CITATION {"citationItems":[{"id":"ITEM-1","itemData":{"DOI":"10.1002/wcc.458","ISSN":"17577799","abstract":"The 2013 election of Australia's conservative Abbott Coalition (Liberal and National parties) government saw the repeal of carbon pricing, (which had previously been implemented by the Labor government in 2012), assume the first order of business. This Focus article reviews expert and political commentary and analysis of the repeal, and provides an overview of the Abbott government's dismantling and attempted dismantling of other climate initiatives. It reviews commentary and critiques of the government's substitute Direct Action (DA) policy and its capacity to reduce emissions. The views of the international community on the Abbott government's repositioning of Australia's climate policy are considered, as are the prospects of achieving effective emissions reduction policy under Abbott's successor, Prime Minister Malcolm Turnbull. The paper notes the role of the Senate in both assisting and frustrating government reforms, as well as aspects of policy continuity that could see a form of carbon pricing revived in future. It explores the correlation between the political ascension of Tony Abbott and his rejection of carbon pricing, whether his substitute DA mechanism will effectively reduce emissions, and the adequacy of Australia's current global climate policy aspirations. For further resources related to this article, please visit the WIREs website.","author":[{"dropping-particle":"","family":"Crowley","given":"Kate","non-dropping-particle":"","parse-names":false,"suffix":""}],"container-title":"Wiley Interdisciplinary Reviews: Climate Change","id":"ITEM-1","issue":"e458","issued":{"date-parts":[["2017"]]},"title":"Up and down with climate politics 2013–2016: the repeal of carbon pricing in Australia","type":"article-journal","volume":"8"},"uris":["http://www.mendeley.com/documents/?uuid=2aab40cb-0cda-4658-bfdf-e355fe2d17bd"]}],"mendeley":{"formattedCitation":"(Crowley, 2017)","plainTextFormattedCitation":"(Crowley, 2017)","previouslyFormattedCitation":"(Crowley, 2017)"},"properties":{"noteIndex":0},"schema":"https://github.com/citation-style-language/schema/raw/master/csl-citation.json"}</w:instrText>
      </w:r>
      <w:r w:rsidR="00474BDC">
        <w:fldChar w:fldCharType="separate"/>
      </w:r>
      <w:r w:rsidR="00B53BF6" w:rsidRPr="00B53BF6">
        <w:rPr>
          <w:noProof/>
        </w:rPr>
        <w:t>(Crowley, 2017)</w:t>
      </w:r>
      <w:r w:rsidR="00474BDC">
        <w:fldChar w:fldCharType="end"/>
      </w:r>
      <w:r w:rsidR="00426990">
        <w:t xml:space="preserve">, </w:t>
      </w:r>
      <w:r w:rsidR="00474BDC">
        <w:t xml:space="preserve">heavy lobbying against coal regulation in South Africa </w:t>
      </w:r>
      <w:r w:rsidR="00474BDC">
        <w:fldChar w:fldCharType="begin" w:fldLock="1"/>
      </w:r>
      <w:r w:rsidR="00AE1CAD">
        <w:instrText>ADDIN CSL_CITATION {"citationItems":[{"id":"ITEM-1","itemData":{"DOI":"10.1080/13563467.2013.849674","ISBN":"13563467 (ISSN)","ISSN":"14699923","PMID":"29076745","abstract":"This paper explores the political economy of energy transition in South Africa. An economic model based around a powerful 'minerals-energy complex' that has previously been able to provide domestic and foreign capital with cheap and plentiful coal-generated electricity is no longer economically or environmentally sustainable. The paper analyses the struggle over competing energy visions, infrastructures and political agendas in order to generate insights into the governance and financing of clean energy transitions in South Africa. It provides both a rich empirical account of key policy developments aimed at enabling such a transition and provides reflections on how best to theorise the contested politics of energy transitions. © 2014 © 2014 Taylor &amp; Francis.","author":[{"dropping-particle":"","family":"Baker","given":"Lucy","non-dropping-particle":"","parse-names":false,"suffix":""},{"dropping-particle":"","family":"Newell","given":"Peter","non-dropping-particle":"","parse-names":false,"suffix":""},{"dropping-particle":"","family":"Phillips","given":"Jon","non-dropping-particle":"","parse-names":false,"suffix":""}],"container-title":"New Political Economy","id":"ITEM-1","issue":"6","issued":{"date-parts":[["2014"]]},"page":"791-818","publisher":"Taylor &amp; Francis","title":"The Political Economy of Energy Transitions: The Case of South Africa","type":"article-journal","volume":"19"},"uris":["http://www.mendeley.com/documents/?uuid=b67e097f-8c23-4b18-b0ee-d8afec5c1f32"]}],"mendeley":{"formattedCitation":"(Baker, Newell, &amp; Phillips, 2014)","plainTextFormattedCitation":"(Baker, Newell, &amp; Phillips, 2014)","previouslyFormattedCitation":"(Baker, Newell, &amp; Phillips, 2014)"},"properties":{"noteIndex":0},"schema":"https://github.com/citation-style-language/schema/raw/master/csl-citation.json"}</w:instrText>
      </w:r>
      <w:r w:rsidR="00474BDC">
        <w:fldChar w:fldCharType="separate"/>
      </w:r>
      <w:r w:rsidR="00B53BF6" w:rsidRPr="00B53BF6">
        <w:rPr>
          <w:noProof/>
        </w:rPr>
        <w:t>(Baker, Newell, &amp; Phillips, 2014)</w:t>
      </w:r>
      <w:r w:rsidR="00474BDC">
        <w:fldChar w:fldCharType="end"/>
      </w:r>
      <w:r w:rsidR="00426990">
        <w:t>, and the more recent and widely commented-on failure of a carbon price ballot in Washington State</w:t>
      </w:r>
      <w:r w:rsidR="0021679D">
        <w:t>, US</w:t>
      </w:r>
      <w:r w:rsidR="00244B27">
        <w:t xml:space="preserve"> </w:t>
      </w:r>
      <w:r w:rsidR="00071546">
        <w:fldChar w:fldCharType="begin" w:fldLock="1"/>
      </w:r>
      <w:r w:rsidR="00AE1CAD">
        <w:instrText>ADDIN CSL_CITATION {"citationItems":[{"id":"ITEM-1","itemData":{"author":[{"dropping-particle":"","family":"InfluenceMap","given":"","non-dropping-particle":"","parse-names":false,"suffix":""}],"id":"ITEM-1","issue":"March","issued":{"date-parts":[["2019"]]},"publisher-place":"London","title":"Big Oil's Real Agenda on Climate Change","type":"report"},"uris":["http://www.mendeley.com/documents/?uuid=c7d96bab-9312-410b-a5e0-b107dc90840f"]}],"mendeley":{"formattedCitation":"(InfluenceMap, 2019)","plainTextFormattedCitation":"(InfluenceMap, 2019)","previouslyFormattedCitation":"(InfluenceMap, 2019)"},"properties":{"noteIndex":0},"schema":"https://github.com/citation-style-language/schema/raw/master/csl-citation.json"}</w:instrText>
      </w:r>
      <w:r w:rsidR="00071546">
        <w:fldChar w:fldCharType="separate"/>
      </w:r>
      <w:r w:rsidR="00B53BF6" w:rsidRPr="00B53BF6">
        <w:rPr>
          <w:noProof/>
        </w:rPr>
        <w:t>(InfluenceMap, 2019)</w:t>
      </w:r>
      <w:r w:rsidR="00071546">
        <w:fldChar w:fldCharType="end"/>
      </w:r>
      <w:r w:rsidR="00474BDC">
        <w:t xml:space="preserve">. Yet, when high political demand for climate policy is perceived, </w:t>
      </w:r>
      <w:r w:rsidR="002B3ABC">
        <w:t xml:space="preserve">affected interests </w:t>
      </w:r>
      <w:r w:rsidR="00474BDC">
        <w:t>may also tak</w:t>
      </w:r>
      <w:r w:rsidR="002B3ABC">
        <w:t>e a hedging strategy: support</w:t>
      </w:r>
      <w:r w:rsidR="00474BDC">
        <w:t xml:space="preserve"> the adoption of</w:t>
      </w:r>
      <w:r w:rsidR="00426990">
        <w:t xml:space="preserve"> policy</w:t>
      </w:r>
      <w:r w:rsidR="002B3ABC">
        <w:t>, but push</w:t>
      </w:r>
      <w:r w:rsidR="00474BDC">
        <w:t xml:space="preserve"> for </w:t>
      </w:r>
      <w:r w:rsidR="00474BDC">
        <w:lastRenderedPageBreak/>
        <w:t xml:space="preserve">exemptions or a particular instrument in order to minimise compliance costs </w:t>
      </w:r>
      <w:r w:rsidR="00474BDC">
        <w:fldChar w:fldCharType="begin" w:fldLock="1"/>
      </w:r>
      <w:r w:rsidR="00AE1CAD">
        <w:instrText>ADDIN CSL_CITATION {"citationItems":[{"id":"ITEM-1","itemData":{"DOI":"10.1162/GLEP_a_00296","author":[{"dropping-particle":"","family":"Meckling","given":"Jonas","non-dropping-particle":"","parse-names":false,"suffix":""}],"container-title":"Global Environmental Politics","id":"ITEM-1","issue":"2","issued":{"date-parts":[["2015"]]},"page":"19-37","title":"Oppose, Support, or Hedge? Distributional Effects, Regulatory Pressure, and Business Strategy in Environmental Politics","type":"article-journal","volume":"15"},"uris":["http://www.mendeley.com/documents/?uuid=4a092783-a8b4-46b0-9bb7-2caac46cc384"]}],"mendeley":{"formattedCitation":"(Meckling, 2015)","plainTextFormattedCitation":"(Meckling, 2015)","previouslyFormattedCitation":"(Meckling, 2015)"},"properties":{"noteIndex":0},"schema":"https://github.com/citation-style-language/schema/raw/master/csl-citation.json"}</w:instrText>
      </w:r>
      <w:r w:rsidR="00474BDC">
        <w:fldChar w:fldCharType="separate"/>
      </w:r>
      <w:r w:rsidR="00B53BF6" w:rsidRPr="00B53BF6">
        <w:rPr>
          <w:noProof/>
        </w:rPr>
        <w:t>(Meckling, 2015)</w:t>
      </w:r>
      <w:r w:rsidR="00474BDC">
        <w:fldChar w:fldCharType="end"/>
      </w:r>
      <w:r w:rsidR="00474BDC">
        <w:t>. The influence of vested interests is therefore mediated by domestic political contexts</w:t>
      </w:r>
      <w:r w:rsidR="00244B27">
        <w:t>, such as perceived popular demand for action</w:t>
      </w:r>
      <w:r w:rsidR="00474BDC">
        <w:t xml:space="preserve">, and may not necessarily manifest as opposition to climate </w:t>
      </w:r>
      <w:r w:rsidR="00474BDC" w:rsidRPr="00426990">
        <w:t>legislation</w:t>
      </w:r>
      <w:r w:rsidR="00F265BA">
        <w:t xml:space="preserve"> or policy adoption.</w:t>
      </w:r>
      <w:r w:rsidR="00071546">
        <w:t xml:space="preserve"> Alternatively, interests may declare public support for policies, but privately lobby against these through third party organisations, hence shielding their activities from public view </w:t>
      </w:r>
      <w:r w:rsidR="00071546">
        <w:fldChar w:fldCharType="begin" w:fldLock="1"/>
      </w:r>
      <w:r w:rsidR="00AE1CAD">
        <w:instrText>ADDIN CSL_CITATION {"citationItems":[{"id":"ITEM-1","itemData":{"author":[{"dropping-particle":"","family":"InfluenceMap","given":"","non-dropping-particle":"","parse-names":false,"suffix":""}],"id":"ITEM-1","issue":"March","issued":{"date-parts":[["2019"]]},"publisher-place":"London","title":"Big Oil's Real Agenda on Climate Change","type":"report"},"uris":["http://www.mendeley.com/documents/?uuid=c7d96bab-9312-410b-a5e0-b107dc90840f"]}],"mendeley":{"formattedCitation":"(InfluenceMap, 2019)","plainTextFormattedCitation":"(InfluenceMap, 2019)","previouslyFormattedCitation":"(InfluenceMap, 2019)"},"properties":{"noteIndex":0},"schema":"https://github.com/citation-style-language/schema/raw/master/csl-citation.json"}</w:instrText>
      </w:r>
      <w:r w:rsidR="00071546">
        <w:fldChar w:fldCharType="separate"/>
      </w:r>
      <w:r w:rsidR="00B53BF6" w:rsidRPr="00B53BF6">
        <w:rPr>
          <w:noProof/>
        </w:rPr>
        <w:t>(InfluenceMap, 2019)</w:t>
      </w:r>
      <w:r w:rsidR="00071546">
        <w:fldChar w:fldCharType="end"/>
      </w:r>
      <w:r w:rsidR="00071546">
        <w:t>.</w:t>
      </w:r>
    </w:p>
    <w:p w14:paraId="431C74CC" w14:textId="6EA1290E" w:rsidR="00E34148" w:rsidRDefault="00256ED8" w:rsidP="00E34148">
      <w:pPr>
        <w:keepNext/>
        <w:spacing w:line="360" w:lineRule="auto"/>
      </w:pPr>
      <w:r>
        <w:rPr>
          <w:noProof/>
          <w:lang w:eastAsia="en-GB"/>
        </w:rPr>
        <w:drawing>
          <wp:inline distT="0" distB="0" distL="0" distR="0" wp14:anchorId="37B0E81C" wp14:editId="348909A7">
            <wp:extent cx="4707173" cy="5629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_interes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1199" cy="5634220"/>
                    </a:xfrm>
                    <a:prstGeom prst="rect">
                      <a:avLst/>
                    </a:prstGeom>
                  </pic:spPr>
                </pic:pic>
              </a:graphicData>
            </a:graphic>
          </wp:inline>
        </w:drawing>
      </w:r>
    </w:p>
    <w:p w14:paraId="56EFE055" w14:textId="7D298584" w:rsidR="002513C7" w:rsidRPr="00093C59" w:rsidRDefault="00E34148" w:rsidP="002513C7">
      <w:pPr>
        <w:pStyle w:val="Caption"/>
        <w:rPr>
          <w:b/>
          <w:sz w:val="22"/>
        </w:rPr>
      </w:pPr>
      <w:bookmarkStart w:id="1" w:name="_Ref12627484"/>
      <w:r w:rsidRPr="00093C59">
        <w:rPr>
          <w:b/>
          <w:sz w:val="22"/>
        </w:rPr>
        <w:t xml:space="preserve">Figure </w:t>
      </w:r>
      <w:r w:rsidRPr="00093C59">
        <w:rPr>
          <w:b/>
          <w:sz w:val="22"/>
        </w:rPr>
        <w:fldChar w:fldCharType="begin"/>
      </w:r>
      <w:r w:rsidRPr="00093C59">
        <w:rPr>
          <w:b/>
          <w:sz w:val="22"/>
        </w:rPr>
        <w:instrText xml:space="preserve"> SEQ Figure \* ARABIC </w:instrText>
      </w:r>
      <w:r w:rsidRPr="00093C59">
        <w:rPr>
          <w:b/>
          <w:sz w:val="22"/>
        </w:rPr>
        <w:fldChar w:fldCharType="separate"/>
      </w:r>
      <w:r w:rsidR="00BA5D69" w:rsidRPr="00093C59">
        <w:rPr>
          <w:b/>
          <w:noProof/>
          <w:sz w:val="22"/>
        </w:rPr>
        <w:t>1</w:t>
      </w:r>
      <w:r w:rsidRPr="00093C59">
        <w:rPr>
          <w:b/>
          <w:sz w:val="22"/>
        </w:rPr>
        <w:fldChar w:fldCharType="end"/>
      </w:r>
      <w:bookmarkEnd w:id="1"/>
      <w:r w:rsidRPr="00093C59">
        <w:rPr>
          <w:b/>
          <w:sz w:val="22"/>
        </w:rPr>
        <w:t>: 2</w:t>
      </w:r>
      <w:r w:rsidR="00256ED8" w:rsidRPr="00093C59">
        <w:rPr>
          <w:b/>
          <w:sz w:val="22"/>
        </w:rPr>
        <w:t>0</w:t>
      </w:r>
      <w:r w:rsidRPr="00093C59">
        <w:rPr>
          <w:b/>
          <w:sz w:val="22"/>
        </w:rPr>
        <w:t xml:space="preserve"> countries </w:t>
      </w:r>
      <w:r w:rsidR="00D932AA" w:rsidRPr="00093C59">
        <w:rPr>
          <w:b/>
          <w:sz w:val="22"/>
        </w:rPr>
        <w:t xml:space="preserve">with the highest shares of </w:t>
      </w:r>
      <w:r w:rsidRPr="00093C59">
        <w:rPr>
          <w:b/>
          <w:sz w:val="22"/>
        </w:rPr>
        <w:t>oil &amp; gas rents</w:t>
      </w:r>
      <w:r w:rsidR="00093C59">
        <w:rPr>
          <w:b/>
          <w:sz w:val="22"/>
        </w:rPr>
        <w:t xml:space="preserve"> </w:t>
      </w:r>
      <w:r w:rsidRPr="00093C59">
        <w:rPr>
          <w:b/>
          <w:sz w:val="22"/>
        </w:rPr>
        <w:t xml:space="preserve">and </w:t>
      </w:r>
      <w:r w:rsidR="00D932AA" w:rsidRPr="00093C59">
        <w:rPr>
          <w:b/>
          <w:sz w:val="22"/>
        </w:rPr>
        <w:t>coal</w:t>
      </w:r>
      <w:r w:rsidR="002513C7" w:rsidRPr="00093C59">
        <w:rPr>
          <w:b/>
          <w:sz w:val="22"/>
        </w:rPr>
        <w:t xml:space="preserve">. </w:t>
      </w:r>
      <w:r w:rsidR="00093C59" w:rsidRPr="00093C59">
        <w:rPr>
          <w:sz w:val="22"/>
        </w:rPr>
        <w:t>Oil &amp; gas rents are relative to GDP, coal shares are relative to primary energy supply.</w:t>
      </w:r>
      <w:r w:rsidR="00093C59">
        <w:rPr>
          <w:b/>
          <w:sz w:val="22"/>
        </w:rPr>
        <w:t xml:space="preserve"> </w:t>
      </w:r>
      <w:r w:rsidR="002513C7" w:rsidRPr="00093C59">
        <w:rPr>
          <w:sz w:val="22"/>
        </w:rPr>
        <w:t>See section 4 for data sources.</w:t>
      </w:r>
    </w:p>
    <w:p w14:paraId="5C73EE0B" w14:textId="1AA7FAB9" w:rsidR="00C61ACB" w:rsidRDefault="0028744D" w:rsidP="0021445B">
      <w:pPr>
        <w:spacing w:line="360" w:lineRule="auto"/>
      </w:pPr>
      <w:r>
        <w:t xml:space="preserve">Besides fossil fuel interests, other groups are likely to have a stake in climate policy processes. Environmental NGOs are vocal proponents and are known to support and participate in a wide array of decision making and governance activities </w:t>
      </w:r>
      <w:r>
        <w:fldChar w:fldCharType="begin" w:fldLock="1"/>
      </w:r>
      <w:r w:rsidR="00AE1CAD">
        <w:instrText>ADDIN CSL_CITATION {"citationItems":[{"id":"ITEM-1","itemData":{"DOI":"10.1002/wcc.497","ISSN":"17577799","abstract":"In this article, we outline the multifaceted roles played by non-state\nactors within the United Nations Framework Convention on Climate Change\nand place this within the wider landscape of global climate governance.\nIn doing so, we look at both the formation and aftermath of the 2015\nParis Agreement. We argue that the Paris Agreement cements an\narchitecture of hybrid multilateralism that enables and constrains\nnon-state actor participation in global climate governance. We flesh out\nthe constitutive features of hybrid multilateralism, enumerate the\nmultiple positions non-state actors may employ under these conditions,\nand contend that non-state actors will play an increasingly important\nrole in the post-Paris era. To substantiate these claims, we assess\nthese shifts and ask how non-state actors may affect the legitimacy,\njustice, and effectiveness of the Paris Agreement. (c) 2017 Wiley\nPeriodicals, Inc.","author":[{"dropping-particle":"","family":"Kuyper","given":"Jonathan W.","non-dropping-particle":"","parse-names":false,"suffix":""},{"dropping-particle":"","family":"Linnér","given":"Björn Ola","non-dropping-particle":"","parse-names":false,"suffix":""},{"dropping-particle":"","family":"Schroeder","given":"Heike","non-dropping-particle":"","parse-names":false,"suffix":""}],"container-title":"Wiley Interdisciplinary Reviews: Climate Change","id":"ITEM-1","issue":"1","issued":{"date-parts":[["2018"]]},"page":"1-18","title":"Non-state actors in hybrid global climate governance: justice, legitimacy, and effectiveness in a post-Paris era","type":"article-journal","volume":"9"},"uris":["http://www.mendeley.com/documents/?uuid=75969448-4a48-4153-9d6d-20b885fd3af5"]}],"mendeley":{"formattedCitation":"(Kuyper, Linnér, &amp; Schroeder, 2018)","plainTextFormattedCitation":"(Kuyper, Linnér, &amp; Schroeder, 2018)","previouslyFormattedCitation":"(Kuyper, Linnér, &amp; Schroeder, 2018)"},"properties":{"noteIndex":0},"schema":"https://github.com/citation-style-language/schema/raw/master/csl-citation.json"}</w:instrText>
      </w:r>
      <w:r>
        <w:fldChar w:fldCharType="separate"/>
      </w:r>
      <w:r w:rsidR="00B53BF6" w:rsidRPr="00B53BF6">
        <w:rPr>
          <w:noProof/>
        </w:rPr>
        <w:t>(Kuyper, Linnér, &amp; Schroeder, 2018)</w:t>
      </w:r>
      <w:r>
        <w:fldChar w:fldCharType="end"/>
      </w:r>
      <w:r>
        <w:t xml:space="preserve">. Indeed, there is cross-national evidence that the absence of environmental NGOs hinders the adoption of climate </w:t>
      </w:r>
      <w:r>
        <w:lastRenderedPageBreak/>
        <w:t xml:space="preserve">legislation </w:t>
      </w:r>
      <w:r>
        <w:fldChar w:fldCharType="begin" w:fldLock="1"/>
      </w:r>
      <w:r w:rsidR="00AE1CAD">
        <w:instrText>ADDIN CSL_CITATION {"citationItems":[{"id":"ITEM-1","itemData":{"DOI":"10.1016/j.gloenvcha.2015.08.008","author":[{"dropping-particle":"","family":"Fankhauser","given":"Sam","non-dropping-particle":"","parse-names":false,"suffix":""},{"dropping-particle":"","family":"Gennaioli","given":"Caterina","non-dropping-particle":"","parse-names":false,"suffix":""},{"dropping-particle":"","family":"Collins","given":"Murray","non-dropping-particle":"","parse-names":false,"suffix":""}],"container-title":"Global Environmental Change","id":"ITEM-1","issued":{"date-parts":[["2015"]]},"page":"52-61","publisher":"Elsevier Ltd","title":"The political economy of passing climate change legislation: evidence from a survey","type":"article-journal","volume":"35"},"uris":["http://www.mendeley.com/documents/?uuid=860f5671-59a0-4f8d-a7d7-b495238f5d28"]},{"id":"ITEM-2","itemData":{"DOI":"10.1080/13510347.2015.1094059","ISSN":"1743890X","abstract":"In an ideal inclusive political system, all citizens are equally able to influence and challenge policies. We focus on how inclusiveness affects climate policies and outcomes. We argue that more inclusive systems should produce more policies in response to environmental threats and should have better outcomes. We test these hypotheses using panel and cross-sectional data relating to climate policy outputs and outcomes. The results suggest that inclusiveness is positively associated with policy outputs, but probably not with lower emissions of greenhouse gases. This pattern may relate to a lack of deliberation in systems, which are relatively inclusive in the narrower sense of pluralist democratic theory.","author":[{"dropping-particle":"","family":"Böhmelt","given":"Tobias","non-dropping-particle":"","parse-names":false,"suffix":""},{"dropping-particle":"","family":"Böker","given":"Marit","non-dropping-particle":"","parse-names":false,"suffix":""},{"dropping-particle":"","family":"Ward","given":"Hugh","non-dropping-particle":"","parse-names":false,"suffix":""}],"container-title":"Democratization","id":"ITEM-2","issue":"7","issued":{"date-parts":[["2016"]]},"page":"1272-1291","title":"Democratic inclusiveness, climate policy outputs, and climate policy outcomes","type":"article-journal","volume":"23"},"uris":["http://www.mendeley.com/documents/?uuid=f21b2858-7d84-40bd-80f1-8db4052dc264"]}],"mendeley":{"formattedCitation":"(Böhmelt, Böker, &amp; Ward, 2016; Fankhauser et al., 2015)","plainTextFormattedCitation":"(Böhmelt, Böker, &amp; Ward, 2016; Fankhauser et al., 2015)","previouslyFormattedCitation":"(Böhmelt, Böker, &amp; Ward, 2016; Fankhauser et al., 2015)"},"properties":{"noteIndex":0},"schema":"https://github.com/citation-style-language/schema/raw/master/csl-citation.json"}</w:instrText>
      </w:r>
      <w:r>
        <w:fldChar w:fldCharType="separate"/>
      </w:r>
      <w:r w:rsidR="00B53BF6" w:rsidRPr="00B53BF6">
        <w:rPr>
          <w:noProof/>
        </w:rPr>
        <w:t>(Böhmelt, Böker, &amp; Ward, 2016; Fankhauser et al., 2015)</w:t>
      </w:r>
      <w:r>
        <w:fldChar w:fldCharType="end"/>
      </w:r>
      <w:r>
        <w:t>. Similarly, low-carbon industries (e.g. renewable energy producers) are an interest group that would materially benefit from climate policy. There is emerging evidence from the case study literature that they indeed support and can be decisive for the adoption of climate policies, but require nurturing through</w:t>
      </w:r>
      <w:r w:rsidR="00754BC7">
        <w:t xml:space="preserve"> a ‘sequence’ of</w:t>
      </w:r>
      <w:r>
        <w:t xml:space="preserve"> technology policies in order to gain an initial foothold</w:t>
      </w:r>
      <w:r w:rsidR="00CC5B1E">
        <w:t xml:space="preserve"> </w:t>
      </w:r>
      <w:r>
        <w:fldChar w:fldCharType="begin" w:fldLock="1"/>
      </w:r>
      <w:r w:rsidR="00AE1CAD">
        <w:instrText>ADDIN CSL_CITATION {"citationItems":[{"id":"ITEM-1","itemData":{"DOI":"10.1038/s41560-017-0025-8","ISSN":"20587546","abstract":"Many economists have long held that carbon pricing—either through a carbon tax or cap-and-trade—is the most cost-effective way to decarbonize energy systems, along with subsidies for basic research and development. Meanwhile, green innovation and industrial policies aimed at fostering low-carbon energy technologies have proliferated widely. Most of these predate direct carbon pricing. Low-carbon leaders such as California and the European Union (EU) have followed a distinct policy sequence that helps overcome some of the political challenges facing low-carbon policy by building economic interest groups in support of decarbonization and reducing the cost of technologies required for emissions reductions. However, while politically effective, this policy pathway faces significant challenges to environmental and cost effectiveness, including excess rent capture and lock-in. Here we discuss options for addressing these challenges under political constraints. As countries move toward deeper emissions cuts, combining and sequencing policies will prove critical to avoid environmental, economic, and political dead-ends in decarbonizing energy systems. A policy sequence for low-carbon policy that is politically effective continues to face challenges of environmental and cost effectiveness. This Perspective outlines ways to address these issues within political constraints.","author":[{"dropping-particle":"","family":"Meckling","given":"Jonas","non-dropping-particle":"","parse-names":false,"suffix":""},{"dropping-particle":"","family":"Sterner","given":"Thomas","non-dropping-particle":"","parse-names":false,"suffix":""},{"dropping-particle":"","family":"Wagner","given":"Gernot","non-dropping-particle":"","parse-names":false,"suffix":""}],"container-title":"Nature Energy","id":"ITEM-1","issue":"12","issued":{"date-parts":[["2017"]]},"page":"918-922","publisher":"Springer US","title":"Policy sequencing toward decarbonization","type":"article-journal","volume":"2"},"uris":["http://www.mendeley.com/documents/?uuid=67f803d9-b3cf-4965-bb41-a907af91e677"]},{"id":"ITEM-2","itemData":{"DOI":"10.1038/s41558-018-0287-6","ISSN":"1758-678X","author":[{"dropping-particle":"","family":"Pahle","given":"Michael","non-dropping-particle":"","parse-names":false,"suffix":""},{"dropping-particle":"","family":"Burtraw","given":"Dallas","non-dropping-particle":"","parse-names":false,"suffix":""},{"dropping-particle":"","family":"Flachsland","given":"Christian","non-dropping-particle":"","parse-names":false,"suffix":""},{"dropping-particle":"","family":"Kelsey","given":"Nina","non-dropping-particle":"","parse-names":false,"suffix":""},{"dropping-particle":"","family":"Biber","given":"Eric","non-dropping-particle":"","parse-names":false,"suffix":""},{"dropping-particle":"","family":"Meckling","given":"Jonas","non-dropping-particle":"","parse-names":false,"suffix":""},{"dropping-particle":"","family":"Edenhofer","given":"Ottmar","non-dropping-particle":"","parse-names":false,"suffix":""},{"dropping-particle":"","family":"Zysman","given":"John","non-dropping-particle":"","parse-names":false,"suffix":""}],"container-title":"Nature Climate Change","id":"ITEM-2","issue":"10","issued":{"date-parts":[["2018"]]},"page":"861-867","publisher":"Springer US","title":"Sequencing to ratchet up climate policy stringency","type":"article-journal","volume":"8"},"uris":["http://www.mendeley.com/documents/?uuid=06201094-7835-48e1-9003-da36c3374678"]}],"mendeley":{"formattedCitation":"(Meckling, Sterner, &amp; Wagner, 2017; Pahle et al., 2018)","plainTextFormattedCitation":"(Meckling, Sterner, &amp; Wagner, 2017; Pahle et al., 2018)","previouslyFormattedCitation":"(Meckling, Sterner, &amp; Wagner, 2017; Pahle et al., 2018)"},"properties":{"noteIndex":0},"schema":"https://github.com/citation-style-language/schema/raw/master/csl-citation.json"}</w:instrText>
      </w:r>
      <w:r>
        <w:fldChar w:fldCharType="separate"/>
      </w:r>
      <w:r w:rsidR="00B53BF6" w:rsidRPr="00B53BF6">
        <w:rPr>
          <w:noProof/>
        </w:rPr>
        <w:t>(Meckling, Sterner, &amp; Wagner, 2017; Pahle et al., 2018)</w:t>
      </w:r>
      <w:r>
        <w:fldChar w:fldCharType="end"/>
      </w:r>
      <w:r>
        <w:t>.</w:t>
      </w:r>
      <w:r w:rsidR="00D54791">
        <w:t xml:space="preserve"> Workers and unions are another important constituency</w:t>
      </w:r>
      <w:r w:rsidR="00E10EBB">
        <w:t>,</w:t>
      </w:r>
      <w:r w:rsidR="00D54791">
        <w:t xml:space="preserve"> </w:t>
      </w:r>
      <w:r w:rsidR="00E10EBB">
        <w:t>often vocal in opposition to reforms that result in job losses</w:t>
      </w:r>
      <w:r w:rsidR="007F464F">
        <w:t xml:space="preserve">. International studies are limited, but small-n comparative research </w:t>
      </w:r>
      <w:r w:rsidR="00866B91">
        <w:t xml:space="preserve">has documented </w:t>
      </w:r>
      <w:r w:rsidR="007F464F">
        <w:t>heavy resistance from coal industry workers in particular, who are often</w:t>
      </w:r>
      <w:r w:rsidR="00E10EBB">
        <w:t xml:space="preserve"> well unionised and </w:t>
      </w:r>
      <w:r w:rsidR="007F464F">
        <w:t xml:space="preserve">geographically </w:t>
      </w:r>
      <w:r w:rsidR="00E10EBB">
        <w:t>concentrated</w:t>
      </w:r>
      <w:r w:rsidR="00866B91">
        <w:t xml:space="preserve">, and hence can be politically influential </w:t>
      </w:r>
      <w:r w:rsidR="007F464F">
        <w:fldChar w:fldCharType="begin" w:fldLock="1"/>
      </w:r>
      <w:r w:rsidR="00AE1CAD">
        <w:instrText>ADDIN CSL_CITATION {"citationItems":[{"id":"ITEM-1","itemData":{"DOI":"10.1080/14693062.2017.1386540","ISSN":"17527457","abstract":"© 2017 Informa UK Limited, trading as Taylor  &amp;  Francis Group. National and global mitigation scenarios consistent with 1.5°C require an early phase-out of coal in major coal-dependent countries, compared to standard technical and economic lifetimes. This appears particularly apparent in the light of recent massive investments in coal power capacity, the significant pipeline of coal power capacity coming online, as well as upstream supporting infrastructure. This article analyses the existing and planned capital stock in the coal power sector in the light of scenarios consistent with 1.5°C. The article analyses the political economy and labour aspects of this abrupt and significant transition, in the light of domestic equity and development objectives. Firstly, the article examines employment issues and reviews the existing literature and practice with support schemes for regional and sectoral structural adjustment for the reduction of coal sector activity. Secondly, the paper surveys the domestic political economy of coal sector transition in major coal using countries, namely Australia, South Africa, China and India. A final section provides conclusions and policy recommendations. Key policy insights Achieving mitigation pathways in line with limiting warming to 1.5°C, or even well-below 2°C, would require the early retirement of coal sector assets in production and consumption. Historically, coal sector transition has often been associated with prolonged socio-economic dislocation in affected regions. Policies to accompany affected regions are thus a crucial part of policy mixes to limit warming to 1.5°C and even 2°C. Such policies should be anticipatory and long-term, as opposed to reactive policies focused on short-term measures to smooth the transition. A survey of major coal using countries shows that each is a long way from putting in place a long-term framework to transition the coal sector.","author":[{"dropping-particle":"","family":"Spencer","given":"Thomas","non-dropping-particle":"","parse-names":false,"suffix":""},{"dropping-particle":"","family":"Colombier","given":"Michel","non-dropping-particle":"","parse-names":false,"suffix":""},{"dropping-particle":"","family":"Sartor","given":"Oliver","non-dropping-particle":"","parse-names":false,"suffix":""},{"dropping-particle":"","family":"Garg","given":"Amit","non-dropping-particle":"","parse-names":false,"suffix":""},{"dropping-particle":"","family":"Tiwari","given":"Vineet","non-dropping-particle":"","parse-names":false,"suffix":""},{"dropping-particle":"","family":"Burton","given":"Jesse","non-dropping-particle":"","parse-names":false,"suffix":""},{"dropping-particle":"","family":"Caetano","given":"Tara","non-dropping-particle":"","parse-names":false,"suffix":""},{"dropping-particle":"","family":"Green","given":"Fergus","non-dropping-particle":"","parse-names":false,"suffix":""},{"dropping-particle":"","family":"Teng","given":"Fei","non-dropping-particle":"","parse-names":false,"suffix":""},{"dropping-particle":"","family":"Wiseman","given":"John","non-dropping-particle":"","parse-names":false,"suffix":""}],"container-title":"Climate Policy","id":"ITEM-1","issue":"3","issued":{"date-parts":[["2018"]]},"page":"335-351","title":"The 1.5°C target and coal sector transition: at the limits of societal feasibility","type":"article-journal","volume":"18"},"uris":["http://www.mendeley.com/documents/?uuid=fde14ecd-e7be-416b-82cc-705875781da3"]}],"mendeley":{"formattedCitation":"(Spencer et al., 2018)","plainTextFormattedCitation":"(Spencer et al., 2018)","previouslyFormattedCitation":"(Spencer et al., 2018)"},"properties":{"noteIndex":0},"schema":"https://github.com/citation-style-language/schema/raw/master/csl-citation.json"}</w:instrText>
      </w:r>
      <w:r w:rsidR="007F464F">
        <w:fldChar w:fldCharType="separate"/>
      </w:r>
      <w:r w:rsidR="00B53BF6" w:rsidRPr="00B53BF6">
        <w:rPr>
          <w:noProof/>
        </w:rPr>
        <w:t>(Spencer et al., 2018)</w:t>
      </w:r>
      <w:r w:rsidR="007F464F">
        <w:fldChar w:fldCharType="end"/>
      </w:r>
      <w:r w:rsidR="007F464F">
        <w:t>.</w:t>
      </w:r>
    </w:p>
    <w:p w14:paraId="54B3C8EE" w14:textId="75762411" w:rsidR="00866B91" w:rsidRDefault="00866B91" w:rsidP="00866B91">
      <w:pPr>
        <w:spacing w:line="360" w:lineRule="auto"/>
      </w:pPr>
      <w:r>
        <w:t xml:space="preserve">Fossil fuel consumers have been extensively discussed in the context of efforts to reform fossil subsidies in the global South. Fossil fuel subsidy reform renders certain consumption behaviours more expensive (e.g. household energy and vehicle use) and can have varying distributional consequences </w:t>
      </w:r>
      <w:r>
        <w:fldChar w:fldCharType="begin" w:fldLock="1"/>
      </w:r>
      <w:r w:rsidR="00AE1CAD">
        <w:instrText>ADDIN CSL_CITATION {"citationItems":[{"id":"ITEM-1","itemData":{"DOI":"10.1016/j.ecolecon.2016.12.009","ISBN":"0921-8009","ISSN":"09218009","abstract":"This article provides a review of global energy subsidies—of definitions and estimation techniques, their type and scope, their drawbacks, and effective ways to reform them. Based on an assessment of both policy reports and peer-reviewed studies, this article presents evidence that energy subsidies could reach into the trillions of dollars each year. It also highlights how most subsidies appear to offer net costs to society, rather than benefits, in the form of government deficits, increased waste, shortages of energy fuels, and aggravated environmental impacts, among others. The review then talks about how tools such as best practices in measurement and estimation, subsidy elimination, impact studies, and adjustment packages can dramatically reorient subsidies so that they become more socially and environmentally sustainable. It also argues that such efforts need to explicitly learn from previous successes and recognize the importance of political economy, the possible winners and losers to subsidy reform. The final part proposes a future research agenda.","author":[{"dropping-particle":"","family":"Sovacool","given":"Benjamin K.","non-dropping-particle":"","parse-names":false,"suffix":""}],"container-title":"Ecological Economics","id":"ITEM-1","issued":{"date-parts":[["2017"]]},"page":"150-163","publisher":"The Author","title":"Reviewing, Reforming, and Rethinking Global Energy Subsidies: Towards a Political Economy Research Agenda","type":"article-journal","volume":"135"},"uris":["http://www.mendeley.com/documents/?uuid=89b2b066-f077-40ea-9c42-84261e5221cc"]}],"mendeley":{"formattedCitation":"(Sovacool, 2017)","plainTextFormattedCitation":"(Sovacool, 2017)","previouslyFormattedCitation":"(Sovacool, 2017)"},"properties":{"noteIndex":0},"schema":"https://github.com/citation-style-language/schema/raw/master/csl-citation.json"}</w:instrText>
      </w:r>
      <w:r>
        <w:fldChar w:fldCharType="separate"/>
      </w:r>
      <w:r w:rsidR="00B53BF6" w:rsidRPr="00B53BF6">
        <w:rPr>
          <w:noProof/>
        </w:rPr>
        <w:t>(Sovacool, 2017)</w:t>
      </w:r>
      <w:r>
        <w:fldChar w:fldCharType="end"/>
      </w:r>
      <w:r>
        <w:t>. In</w:t>
      </w:r>
      <w:r w:rsidR="00817B52">
        <w:t xml:space="preserve"> some cases</w:t>
      </w:r>
      <w:r>
        <w:t xml:space="preserve">, fossil fuel subsidies </w:t>
      </w:r>
      <w:r w:rsidR="00817B52">
        <w:t xml:space="preserve">can </w:t>
      </w:r>
      <w:r>
        <w:t xml:space="preserve">primarily benefit middle and upper classes (i.e. the minority of households </w:t>
      </w:r>
      <w:r w:rsidR="00817B52">
        <w:t>that have electricity and cars) - many</w:t>
      </w:r>
      <w:r w:rsidRPr="00866B91">
        <w:t xml:space="preserve"> have therefore suggested that fuel subsidies are </w:t>
      </w:r>
      <w:r>
        <w:t xml:space="preserve">intentionally distributed to ‘buy’ the support of politically influential constituencies </w:t>
      </w:r>
      <w:r>
        <w:fldChar w:fldCharType="begin" w:fldLock="1"/>
      </w:r>
      <w:r w:rsidR="00AE1CAD">
        <w:instrText>ADDIN CSL_CITATION {"citationItems":[{"id":"ITEM-1","itemData":{"DOI":"doi:10.1596/1813-9450-6470","abstract":"This paper provides an empirical analysis of economic and political determinants of gasoline and diesel prices for about 200 countries over the period 1991-2010. A range of both political and economic variables are found to systematically influence fuel prices, and in ways that differ systematically with countries’ per-capita income levels. For democracies, the analysis finds that fuel prices correlate positively with both duration of democracy and tenure of democratic leaders. In non-democratic societies there is more often no such relationship or it is the opposite of that for democracies. Regime switches -- transitions from non-democratic to democratic government, or vice versa -- reduce fuel prices. Fuel prices are also lower for more corrupt, or more centralized, governments. Higher levels of gross domestic product per capita lead to higher fuel prices, while export income from selling fossil fuels reduces these prices dramatically. Higher motor fuel consumption also appears to reduce fuel prices, most for gasoline. Absolute","author":[{"dropping-particle":"","family":"Beers","given":"Cees","non-dropping-particle":"van","parse-names":false,"suffix":""},{"dropping-particle":"","family":"Strand","given":"Jon","non-dropping-particle":"","parse-names":false,"suffix":""}],"collection-title":"Policy Research Working Paper","id":"ITEM-1","issue":"May","issued":{"date-parts":[["2013"]]},"number":"6470","title":"Political determinants of fossil fuel pricing","type":"report"},"uris":["http://www.mendeley.com/documents/?uuid=ca06098b-c993-459d-9e61-04ce3d8808ff"]},{"id":"ITEM-2","itemData":{"DOI":"10.1080/13563467.2014.923826","author":[{"dropping-particle":"","family":"Lockwood","given":"Matthew","non-dropping-particle":"","parse-names":false,"suffix":""}],"container-title":"New Political Economy","id":"ITEM-2","issue":"4","issued":{"date-parts":[["2015"]]},"page":"475-494","title":"Fossil Fuel Subsidy Reform , Rent Management and Political Fragmentation in Developing Countries","type":"article-journal","volume":"20"},"uris":["http://www.mendeley.com/documents/?uuid=11336dd9-ea30-46f5-bd1d-eddc393cbae4"]}],"mendeley":{"formattedCitation":"(Lockwood, 2015; van Beers &amp; Strand, 2013)","plainTextFormattedCitation":"(Lockwood, 2015; van Beers &amp; Strand, 2013)","previouslyFormattedCitation":"(Lockwood, 2015; van Beers &amp; Strand, 2013)"},"properties":{"noteIndex":0},"schema":"https://github.com/citation-style-language/schema/raw/master/csl-citation.json"}</w:instrText>
      </w:r>
      <w:r>
        <w:fldChar w:fldCharType="separate"/>
      </w:r>
      <w:r w:rsidR="00B53BF6" w:rsidRPr="00B53BF6">
        <w:rPr>
          <w:noProof/>
        </w:rPr>
        <w:t>(Lockwood, 2015; van Beers &amp; Strand, 2013)</w:t>
      </w:r>
      <w:r>
        <w:fldChar w:fldCharType="end"/>
      </w:r>
      <w:r>
        <w:t xml:space="preserve">. In other contexts, fuel subsidies also benefit poorer households (e.g. kerosene for cooking and lighting), but are often ineffective mechanisms for poverty reduction </w:t>
      </w:r>
      <w:r>
        <w:fldChar w:fldCharType="begin" w:fldLock="1"/>
      </w:r>
      <w:r w:rsidR="00AE1CAD">
        <w:instrText>ADDIN CSL_CITATION {"citationItems":[{"id":"ITEM-1","itemData":{"DOI":"10.1016/j.ecolecon.2016.12.009","ISBN":"0921-8009","ISSN":"09218009","abstract":"This article provides a review of global energy subsidies—of definitions and estimation techniques, their type and scope, their drawbacks, and effective ways to reform them. Based on an assessment of both policy reports and peer-reviewed studies, this article presents evidence that energy subsidies could reach into the trillions of dollars each year. It also highlights how most subsidies appear to offer net costs to society, rather than benefits, in the form of government deficits, increased waste, shortages of energy fuels, and aggravated environmental impacts, among others. The review then talks about how tools such as best practices in measurement and estimation, subsidy elimination, impact studies, and adjustment packages can dramatically reorient subsidies so that they become more socially and environmentally sustainable. It also argues that such efforts need to explicitly learn from previous successes and recognize the importance of political economy, the possible winners and losers to subsidy reform. The final part proposes a future research agenda.","author":[{"dropping-particle":"","family":"Sovacool","given":"Benjamin K.","non-dropping-particle":"","parse-names":false,"suffix":""}],"container-title":"Ecological Economics","id":"ITEM-1","issued":{"date-parts":[["2017"]]},"page":"150-163","publisher":"The Author","title":"Reviewing, Reforming, and Rethinking Global Energy Subsidies: Towards a Political Economy Research Agenda","type":"article-journal","volume":"135"},"uris":["http://www.mendeley.com/documents/?uuid=89b2b066-f077-40ea-9c42-84261e5221cc"]},{"id":"ITEM-2","itemData":{"DOI":"10.1016/j.esd.2011.12.007","ISSN":"09730826","abstract":"Kerosene subsidies intended for Indian households have been known for their poor targeting and high fiscal costs. However, the distributional benefits to the 160. million households that use kerosene are not well understood. In this paper, the kerosene subsidy is formally assessed as an instrument of income redistribution. The subsidy incidence, progressivity and efficacy of the kerosene subsidy are calculated for the state of Maharashtra, under actual and ideal implementation conditions.The analysis shows that kerosene subsidies are regressive and of minimal financial value to poor rural households. This is in part because household quotas are based on cooking needs, but kerosene is used predominantly for lighting. In urban areas, subsidies are progressive, and provide benefits of up to 5 to 10% of household expenditure among poorer households which lack affordable access to LPG and biomass. Overall, only 26% of the total subsidy value directly reaches households. This analysis suggests that subsidies targeted only to kerosene-dependent urban areas would have a higher efficacy than broad-based subsidies. © 2012 International Energy Initiative.","author":[{"dropping-particle":"","family":"Rao","given":"Narasimha D.","non-dropping-particle":"","parse-names":false,"suffix":""}],"container-title":"Energy for Sustainable Development","id":"ITEM-2","issue":"1","issued":{"date-parts":[["2012"]]},"page":"35-43","publisher":"International Energy Initiative","title":"Kerosene subsidies in India: When energy policy fails as social policy","type":"article-journal","volume":"16"},"uris":["http://www.mendeley.com/documents/?uuid=386b53a1-0917-468e-8565-a2a313dc0c34"]}],"mendeley":{"formattedCitation":"(Rao, 2012; Sovacool, 2017)","plainTextFormattedCitation":"(Rao, 2012; Sovacool, 2017)","previouslyFormattedCitation":"(Rao, 2012; Sovacool, 2017)"},"properties":{"noteIndex":0},"schema":"https://github.com/citation-style-language/schema/raw/master/csl-citation.json"}</w:instrText>
      </w:r>
      <w:r>
        <w:fldChar w:fldCharType="separate"/>
      </w:r>
      <w:r w:rsidR="00B53BF6" w:rsidRPr="00B53BF6">
        <w:rPr>
          <w:noProof/>
        </w:rPr>
        <w:t>(Rao, 2012; Sovacool, 2017)</w:t>
      </w:r>
      <w:r>
        <w:fldChar w:fldCharType="end"/>
      </w:r>
      <w:r>
        <w:t xml:space="preserve">. </w:t>
      </w:r>
      <w:r w:rsidR="00817B52">
        <w:t xml:space="preserve">Fossil subsidy reform can therefore have varying distributional implications </w:t>
      </w:r>
      <w:r w:rsidR="00817B52">
        <w:fldChar w:fldCharType="begin" w:fldLock="1"/>
      </w:r>
      <w:r w:rsidR="00AE1CAD">
        <w:instrText>ADDIN CSL_CITATION {"citationItems":[{"id":"ITEM-1","itemData":{"DOI":"10.1016/j.worlddev.2018.11.015","ISSN":"18735991","abstract":"Even though concerns about adverse distributional implications for the poor are one of the most important political challenges for carbon pricing, the existing literature reveals ambiguous results. For this reason, we assess the expected incidence of moderate carbon price increases for different income groups in 87 mostly low- and middle-income countries. Building on a consistent dataset and method, we find that for countries with per capita incomes of below USD 15,000 per year (at PPP-adjusted 2011 USD) carbon pricing has, on average, progressive distributional effects. We also develop a novel decomposition technique to show that distributional outcomes are primarily determined by differences among income groups in consumption patterns of energy, rather than of food, goods or services. We argue that an inverse U-shape relationship between energy expenditure shares and income explains why carbon pricing tends to be regressive in countries with relatively higher income. Since these countries are likely to have more financial resources and institutional capacities to deal with distributional issues, our findings suggest that mitigating climate change, raising domestic revenue and reducing economic inequality are not mutually exclusive, even in low- and middle-income countries.","author":[{"dropping-particle":"","family":"Dorband","given":"Ira Irina","non-dropping-particle":"","parse-names":false,"suffix":""},{"dropping-particle":"","family":"Jakob","given":"Michael","non-dropping-particle":"","parse-names":false,"suffix":""},{"dropping-particle":"","family":"Kalkuhl","given":"Matthias","non-dropping-particle":"","parse-names":false,"suffix":""},{"dropping-particle":"","family":"Steckel","given":"Jan Christoph","non-dropping-particle":"","parse-names":false,"suffix":""}],"container-title":"World Development","id":"ITEM-1","issued":{"date-parts":[["2019"]]},"page":"246-257","publisher":"The Authors","title":"Poverty and distributional effects of carbon pricing in low- and middle-income countries – A global comparative analysis","type":"article-journal","volume":"115"},"uris":["http://www.mendeley.com/documents/?uuid=15d49202-814e-4c50-92d5-c6ad97c521d3"]},{"id":"IT</w:instrText>
      </w:r>
      <w:r w:rsidR="00AE1CAD" w:rsidRPr="00AE1CAD">
        <w:rPr>
          <w:lang w:val="de-DE"/>
        </w:rPr>
        <w:instrText>EM-2","itemData":{"DOI":"10.2139/ssrn.3299337","author":[{"dropping-particle":"","family":"Ohlendorf","given":"Nils","non-dropping-particle":"","parse-names":false,"suffix":""},{"dropping-particle":"","family":"Jakob","given":"Michael","non-dropping-particle":"","parse-names":false,"suffix":""},{"dropping-particle":"","family":"Minx","given":"Jan Christoph","non-dropping-particle":"","parse-names":false,"suffix":""},{"dropping-particle":"","family":"Schröder","given":"Carsten","non-dropping-particle":"","parse-names":false,"suffix":""},{"dropping-particle":"","family":"Steckel","given":"Jan Christoph","non-dropping-particle":"","parse-names":false,"suffix":""}],"container-title":"DIW Berlin Discussion Papers","id":"ITEM-2","issued":{"date-parts":[["2018"]]},"number":"1776","publisher-place":"Berlin","title":"Distributional Impacts of Climate Mitigation Policies - A Meta-Analysis","type":"report"},"uris":["http://www.mendeley.com/documents/?uuid=b0fba53c-7750-45a7-8f11-afb86ea8715f"]}],"mendeley":{"formattedCitation":"(Dorband, Jakob, Kalkuhl, &amp; Steckel, 2019; Ohlendorf, Jakob, Minx, Schröder, &amp; Steckel, 2018)","plainTextFormattedCitation":"(Dorband, Jakob, Kalkuhl, &amp; Steckel, 2019; Ohlendorf, Jakob, Minx, Schröder, &amp; Steckel, 2018)","previouslyFormattedCitation":"(Dorband, Jakob, Kalkuhl, &amp; Steckel, 2019; Ohlendorf, Jakob, Minx, Schröder, &amp; Steckel, 2018)"},"properties":{"noteIndex":0},"schema":"https://github.com/citation-style-language/schema/raw/master/csl-citation.json"}</w:instrText>
      </w:r>
      <w:r w:rsidR="00817B52">
        <w:fldChar w:fldCharType="separate"/>
      </w:r>
      <w:r w:rsidR="00B53BF6" w:rsidRPr="00B53BF6">
        <w:rPr>
          <w:noProof/>
          <w:lang w:val="de-DE"/>
        </w:rPr>
        <w:t>(Dorband, Jakob, Kalkuhl, &amp; Steckel, 2019; Ohlendorf, Jakob, Minx, Schröder, &amp; Steckel, 2018)</w:t>
      </w:r>
      <w:r w:rsidR="00817B52">
        <w:fldChar w:fldCharType="end"/>
      </w:r>
      <w:r w:rsidR="00817B52" w:rsidRPr="00B53BF6">
        <w:rPr>
          <w:lang w:val="de-DE"/>
        </w:rPr>
        <w:t xml:space="preserve">. </w:t>
      </w:r>
      <w:r w:rsidRPr="00AE1CAD">
        <w:rPr>
          <w:lang w:val="de-DE"/>
        </w:rPr>
        <w:t xml:space="preserve">Van Beers and Strand </w:t>
      </w:r>
      <w:r>
        <w:fldChar w:fldCharType="begin" w:fldLock="1"/>
      </w:r>
      <w:r w:rsidR="00AE1CAD" w:rsidRPr="00AE1CAD">
        <w:rPr>
          <w:lang w:val="de-DE"/>
        </w:rPr>
        <w:instrText>ADDIN CSL_CITATION {"citationItems":[{"id":"ITEM-1","itemData":{"DOI":"doi:10.1596/1813-9450-6470","abstract":"This paper provides an empirical analysis of economic and political determinants of gasoline and diesel prices for about 200 countries over the period 1991-2010. A range of both political and economic variables are found to systematically influence fuel prices, and in ways that differ systematically with countries’ per-capita income levels. Fo</w:instrText>
      </w:r>
      <w:r w:rsidR="00AE1CAD" w:rsidRPr="007E1110">
        <w:instrText>r democracies, the analysis finds that fuel prices correlate positively with both duration of democracy and tenure of democratic leaders. In non-democratic societies there is more often no such relationship or it is the opposite of that for democracies. Regime switches -- transitions from non-democratic to democratic government, or vice versa -- reduce fuel prices. Fuel prices are also lower for more corrupt, or more centralized, governments. Higher levels of gross domestic product per capita lead to higher fuel prices, while export income from selling fossil fuels reduces these prices dramatically. Higher motor fuel consumption also appears to reduce fuel prices, most for gasoline. Absolute","author":[{"dropping-particle":"","family":"Beers","given":"Cees","non-dropping-particle":"van","parse-names":false,"suffix":""},{"dropping-particle":"","family":"Strand","given":"Jon","non-dropping-particle":"","parse-names":false,"suffix":""}],"collection-title":"Policy Research Working Paper","id":"ITEM-1","issue":"</w:instrText>
      </w:r>
      <w:r w:rsidR="00AE1CAD">
        <w:instrText>May","issued":{"date-parts":[["2013"]]},"number":"6470","title":"Political determinants of fossil fuel pricing","type":"report"},"suppress-author":1,"uris":["http://www.mendeley.com/documents/?uuid=ca06098b-c993-459d-9e61-04ce3d8808ff"]}],"mendeley":{"formattedCitation":"(2013)","plainTextFormattedCitation":"(2013)","previouslyFormattedCitation":"(2013)"},"properties":{"noteIndex":0},"schema":"https://github.com/citation-style-language/schema/raw/master/csl-citation.json"}</w:instrText>
      </w:r>
      <w:r>
        <w:fldChar w:fldCharType="separate"/>
      </w:r>
      <w:r w:rsidR="00B53BF6" w:rsidRPr="00B53BF6">
        <w:rPr>
          <w:noProof/>
        </w:rPr>
        <w:t>(2013)</w:t>
      </w:r>
      <w:r>
        <w:fldChar w:fldCharType="end"/>
      </w:r>
      <w:r>
        <w:t xml:space="preserve"> show that oil exporting countries in particular fail to limit </w:t>
      </w:r>
      <w:r w:rsidR="00AE1CAD">
        <w:t xml:space="preserve">fossil </w:t>
      </w:r>
      <w:r>
        <w:t>fuel subsidies, perhaps due to widespread perceptions that domestic oil resources “belong to the people”</w:t>
      </w:r>
      <w:r w:rsidR="008B0B8E">
        <w:t xml:space="preserve"> </w:t>
      </w:r>
      <w:r w:rsidR="008B0B8E">
        <w:fldChar w:fldCharType="begin" w:fldLock="1"/>
      </w:r>
      <w:r w:rsidR="00AE1CAD">
        <w:instrText>ADDIN CSL_CITATION {"citationItems":[{"id":"ITEM-1","itemData":{"DOI":"10.1016/j.enpol.2012.08.029","ISSN":"03014215","abstract":"Natural resource revenues differ from other government revenues both in their time profile, and in their political and legal status: they are volatile and exhaustible, and belong to all citizens of the country in which they are located. This paper discusses the theory of natural resource revenues and examines expenditure practices in a range of resource-rich countries. It considers both the distributional impact and the efficiency of expenditure policies, focusing on the extent to which they succeed in providing all citizens with their share of the benefits due to natural resources. © 2012 Elsevier Ltd.","author":[{"dropping-particle":"","family":"Segal","given":"Paul","non-dropping-particle":"","parse-names":false,"suffix":""}],"container-title":"Energy Policy","id":"ITEM-1","issued":{"date-parts":[["2012"]]},"page":"340-348","publisher":"Elsevier","title":"How to spend it: Resource wealth and the distribution of resource rents","type":"article-journal","volume":"51"},"uris":["http://www.mendeley.com/documents/?uuid=90999f7c-4f5c-4dff-a51a-1a1cd12f7ee8"]}],"mendeley":{"formattedCitation":"(Segal, 2012)","plainTextFormattedCitation":"(Segal, 2012)","previouslyFormattedCitation":"(Segal, 2012)"},"properties":{"noteIndex":0},"schema":"https://github.com/citation-style-language/schema/raw/master/csl-citation.json"}</w:instrText>
      </w:r>
      <w:r w:rsidR="008B0B8E">
        <w:fldChar w:fldCharType="separate"/>
      </w:r>
      <w:r w:rsidR="00B53BF6" w:rsidRPr="00B53BF6">
        <w:rPr>
          <w:noProof/>
        </w:rPr>
        <w:t>(Segal, 2012)</w:t>
      </w:r>
      <w:r w:rsidR="008B0B8E">
        <w:fldChar w:fldCharType="end"/>
      </w:r>
      <w:r>
        <w:t xml:space="preserve">. These complexities and the direct and visible nature of subsidy </w:t>
      </w:r>
      <w:r w:rsidRPr="001D1AE9">
        <w:t>benefits</w:t>
      </w:r>
      <w:r>
        <w:t xml:space="preserve"> to consumers have rendered reform very difficult, particularly in countries with weak institutions (which limits the delivery of more targeted welfare policies) and autocratic forms of governance (which often rests on visible payments to powerful constituencies) </w:t>
      </w:r>
      <w:r>
        <w:fldChar w:fldCharType="begin" w:fldLock="1"/>
      </w:r>
      <w:r w:rsidR="00AE1CAD">
        <w:instrText>ADDIN CSL_CITATION {"citationItems":[{"id":"ITEM-1","itemData":{"DOI":"doi:10.1596/1813-9450-6470","abstract":"This paper provides an empirical analysis of economic and political determinants of gasoline and diesel prices for about 200 countries over the period 1991-2010. A range of both political and economic variables are found to systematically influence fuel prices, and in ways that differ systematically with countries’ per-capita income levels. For democracies, the analysis finds that fuel prices correlate positively with both duration of democracy and tenure of democratic leaders. In non-democratic societies there is more often no such relationship or it is the opposite of that for democracies. Regime switches -- transitions from non-democratic to democratic government, or vice versa -- reduce fuel prices. Fuel prices are also lower for more corrupt, or more centralized, governments. Higher levels of gross domestic product per capita lead to higher fuel prices, while export income from selling fossil fuels reduces these prices dramatically. Higher motor fuel consumption also appears to reduce fuel prices, most for gasoline. Absolute","author":[{"dropping-particle":"","family":"Beers","given":"Cees","non-dropping-particle":"van","parse-names":false,"suffix":""},{"dropping-particle":"","family":"Strand","given":"Jon","non-dropping-particle":"","parse-names":false,"suffix":""}],"collection-title":"Policy Research Working Paper","id":"ITEM-1","issue":"May","issued":{"date-parts":[["2013"]]},"number":"6470","title":"Political determinants of fossil fuel pricing","type":"report"},"uris":["http://www.mendeley.com/documents/?uuid=ca06098b-c993-459d-9e61-04ce3d8808ff"]},{"id":"ITEM-2","itemData":{"DOI":"10.2139/ssrn.1520984","ISBN":"9781894784320","ISSN":"1556-5068","abstract":"Summary: governments spend staggering sums of money subsidizing fossil fuels, with many harmful consequences for public budgets, energy markets, and pollution. While there is widespread agreement among analysts that most of these subsidies serve no legitimate purpose, cutting subsidies has proved extremely difficult. This paper explores the politics of subsidy creation and reform and suggests some strategies for improving the odds that reformers will be politically successful. Subsidies exist often because they are the only reliable mechanism available to governments that are under pressure to provide benefits to politically well-organized groups. Not understanding the political economy of subsidy policies can prevent successful reform, and the report argues that successful subsidy reforms often require broader reforms and improvement in public administration to create mechanisms that can compensate political losers. It is available at: http://www.globalsubsidies.org/en/research/political-economy","author":[{"dropping-particle":"","family":"Victor","given":"David G.","non-dropping-particle":"","parse-names":false,"suffix":""}],"id":"ITEM-2","issued":{"date-parts":[["2009"]]},"publisher-place":"Geneva, Switzerland","title":"The Politics of Fossil-Fuel Subsidies","type":"report"},"uris":["http://www.mendeley.com/documents/?uuid=f144b571-ba41-4258-8e32-8448a4d81717"]},{"id":"ITEM-3","itemData":{"DOI":"10.1080/13563467.2014.923826","author":[{"dropping-particle":"","family":"Lockwood","given":"Matthew","non-dropping-particle":"","parse-names":false,"suffix":""}],"container-title":"New Political Economy","id":"ITEM-3","issue":"4","issued":{"date-parts":[["2015"]]},"page":"475-494","title":"Fossil Fuel Subsidy Reform , Rent Management and Political Fragmentation in Developing Countries","type":"article-journal","volume":"20"},"uris":["http://www.mendeley.com/documents/?uuid=11336dd9-ea30-46f5-bd1d-eddc393cbae4"]}],"mendeley":{"formattedCitation":"(Lockwood, 2015; van Beers &amp; Strand, 2013; Victor, 2009)","plainTextFormattedCitation":"(Lockwood, 2015; van Beers &amp; Strand, 2013; Victor, 2009)","previouslyFormattedCitation":"(Lockwood, 2015; van Beers &amp; Strand, 2013; Victor, 2009)"},"properties":{"noteIndex":0},"schema":"https://github.com/citation-style-language/schema/raw/master/csl-citation.json"}</w:instrText>
      </w:r>
      <w:r>
        <w:fldChar w:fldCharType="separate"/>
      </w:r>
      <w:r w:rsidR="00B53BF6" w:rsidRPr="00B53BF6">
        <w:rPr>
          <w:noProof/>
        </w:rPr>
        <w:t>(Lockwood, 2015; van Beers &amp; Strand, 2013; Victor, 2009)</w:t>
      </w:r>
      <w:r>
        <w:fldChar w:fldCharType="end"/>
      </w:r>
      <w:r>
        <w:t xml:space="preserve">. </w:t>
      </w:r>
    </w:p>
    <w:p w14:paraId="5F27E244" w14:textId="77777777" w:rsidR="00866B91" w:rsidRDefault="00866B91" w:rsidP="00936D99">
      <w:pPr>
        <w:pStyle w:val="Heading3"/>
        <w:numPr>
          <w:ilvl w:val="1"/>
          <w:numId w:val="1"/>
        </w:numPr>
        <w:spacing w:after="120" w:line="360" w:lineRule="auto"/>
        <w:ind w:left="788" w:hanging="431"/>
      </w:pPr>
      <w:r>
        <w:t>Institutions</w:t>
      </w:r>
    </w:p>
    <w:p w14:paraId="18202286" w14:textId="5F744A64" w:rsidR="00866B91" w:rsidRDefault="00866B91" w:rsidP="00866B91">
      <w:pPr>
        <w:spacing w:line="360" w:lineRule="auto"/>
      </w:pPr>
      <w:r>
        <w:t>Institutions and governance arrangements have important procedural roles in the adoption and implementation of climate policies. Institutions include formal democratic systems such as elected parliaments and the distribution of powers between different ministries, as well as less formal methods of exchange and governance between public and private actors</w:t>
      </w:r>
      <w:r w:rsidR="005677FB">
        <w:t>, e.g.</w:t>
      </w:r>
      <w:r>
        <w:t xml:space="preserve"> through consultations, lobbying and so forth. Public institutions are also the primary vehicles for monitoring private sector activities and enforcing regulations, and hence have a central role in public policy implementation. </w:t>
      </w:r>
      <w:r>
        <w:lastRenderedPageBreak/>
        <w:t>Institutional analysis recognises that political struggles are mediated by these diverse arrangements, with significant consequences for the political economy of climate</w:t>
      </w:r>
      <w:r w:rsidR="00AE1CAD">
        <w:t xml:space="preserve"> and environment</w:t>
      </w:r>
      <w:r>
        <w:t xml:space="preserve"> policy </w:t>
      </w:r>
      <w:r>
        <w:fldChar w:fldCharType="begin" w:fldLock="1"/>
      </w:r>
      <w:r w:rsidR="00AE1CAD">
        <w:instrText>ADDIN CSL_CITATION {"citationItems":[{"id":"ITEM-1","itemData":{"DOI":"10.1177/0263774X16660561","author":[{"dropping-particle":"","family":"Lockwood","given":"Matthew","non-dropping-particle":"","parse-names":false,"suffix":""},{"dropping-particle":"","family":"Kuzemko","given":"Caroline","non-dropping-particle":"","parse-names":false,"suffix":""},{"dropping-particle":"","family":"Mitchell","given":"Catherine","non-dropping-particle":"","parse-names":false,"suffix":""},{"dropping-particle":"","family":"Hoggett","given":"Richard","non-dropping-particle":"","parse-names":false,"suffix":""}],"container-title":"Environment and Planning C: Government and Policy","id":"ITEM-1","issue":"0","issued":{"date-parts":[["2016"]]},"page":"1-22","title":"Historical institutionalism and the politics of sustainable energy transitions : A research agenda","type":"article-journal","volume":"0"},"uris":["http://www.mendeley.com/documents/?uuid=30e13820-471a-4c4f-8ac1-41fb6922c6ad"]},{"id":"ITEM-2","itemData":{"ISBN":"978-94-017-0709-1","author":[{"dropping-particle":"","family":"Fuchs","given":"Doris","non-dropping-particle":"","parse-names":false,"suffix":""}],"id":"ITEM-2","issued":{"date-parts":[["2003"]]},"publisher":"Kluwer Academic Publishers","publisher-place":"Dordrecht","title":"An Institutional Basis for Environmental Stewardship: The Structure and Quality of Property Rights","type":"book"},"uris":["http://www.mendeley.com/documents/?uuid=0353d69e-1f07-4fdf-852a-6142a3464442"]}],"mendeley":{"formattedCitation":"(Fuchs, 2003; Lockwood et al., 2016)","plainTextFormattedCitation":"(Fuchs, 2003; Lockwood et al., 2016)","previouslyFormattedCitation":"(Lockwood et al., 2016)"},"properties":{"noteIndex":0},"schema":"https://github.com/citation-style-language/schema/raw/master/csl-citation.json"}</w:instrText>
      </w:r>
      <w:r>
        <w:fldChar w:fldCharType="separate"/>
      </w:r>
      <w:r w:rsidR="00AE1CAD" w:rsidRPr="00AE1CAD">
        <w:rPr>
          <w:noProof/>
        </w:rPr>
        <w:t>(Fuchs, 2003; Lockwood et al., 2016)</w:t>
      </w:r>
      <w:r>
        <w:fldChar w:fldCharType="end"/>
      </w:r>
      <w:r>
        <w:t xml:space="preserve">. </w:t>
      </w:r>
    </w:p>
    <w:p w14:paraId="7641A88C" w14:textId="109D6785" w:rsidR="00897148" w:rsidRDefault="00866B91" w:rsidP="005F151D">
      <w:pPr>
        <w:spacing w:line="360" w:lineRule="auto"/>
      </w:pPr>
      <w:r>
        <w:t>To date there has been much attention on the role of democr</w:t>
      </w:r>
      <w:r w:rsidR="005677FB">
        <w:t>atic forms of governance</w:t>
      </w:r>
      <w:r>
        <w:t>,</w:t>
      </w:r>
      <w:r w:rsidR="008368F8">
        <w:t xml:space="preserve"> which (contra autocratic regimes</w:t>
      </w:r>
      <w:r>
        <w:t xml:space="preserve">) </w:t>
      </w:r>
      <w:r w:rsidR="008368F8">
        <w:t>are</w:t>
      </w:r>
      <w:r>
        <w:t xml:space="preserve"> argued to have particular features that favour the adoption of climate policy. Notably, democracies are inclusive, </w:t>
      </w:r>
      <w:r w:rsidR="008368F8">
        <w:t xml:space="preserve">allowing </w:t>
      </w:r>
      <w:r>
        <w:t xml:space="preserve">citizens to formulate environmental </w:t>
      </w:r>
      <w:r w:rsidR="008368F8">
        <w:t xml:space="preserve">values </w:t>
      </w:r>
      <w:r>
        <w:t>and</w:t>
      </w:r>
      <w:r w:rsidR="008368F8">
        <w:t xml:space="preserve"> attempt to</w:t>
      </w:r>
      <w:r>
        <w:t xml:space="preserve"> manifest these in policies and governance </w:t>
      </w:r>
      <w:r>
        <w:fldChar w:fldCharType="begin" w:fldLock="1"/>
      </w:r>
      <w:r w:rsidR="00AE1CAD">
        <w:instrText>ADDIN CSL_CITATION {"citationItems":[{"id":"ITEM-1","itemData":{"DOI":"10.1080/13510347.2015.1094059","ISSN":"1743890X","abstract":"In an ideal inclusive political system, all citizens are equally able to influence and challenge policies. We focus on how inclusiveness affects climate policies and outcomes. We argue that more inclusive systems should produce more policies in response to environmental threats and should have better outcomes. We test these hypotheses using panel and cross-sectional data relating to climate policy outputs and outcomes. The results suggest that inclusiveness is positively associated with policy outputs, but probably not with lower emissions of greenhouse gases. This pattern may relate to a lack of deliberation in systems, which are relatively inclusive in the narrower sense of pluralist democratic theory.","author":[{"dropping-particle":"","family":"Böhmelt","given":"Tobias","non-dropping-particle":"","parse-names":false,"suffix":""},{"dropping-particle":"","family":"Böker","given":"Marit","non-dropping-particle":"","parse-names":false,"suffix":""},{"dropping-particle":"","family":"Ward","given":"Hugh","non-dropping-particle":"","parse-names":false,"suffix":""}],"container-title":"Democratization","id":"ITEM-1","issue":"7","issued":{"date-parts":[["2016"]]},"page":"1272-1291","title":"Democratic inclusiveness, climate policy outputs, and climate policy outcomes","type":"article-journal","volume":"23"},"uris":["http://www.mendeley.com/documents/?uuid=f21b2858-7d84-40bd-80f1-8db4052dc264"]}],"mendeley":{"formattedCitation":"(Böhmelt et al., 2016)","plainTextFormattedCitation":"(Böhmelt et al., 2016)","previouslyFormattedCitation":"(Böhmelt et al., 2016)"},"properties":{"noteIndex":0},"schema":"https://github.com/citation-style-language/schema/raw/master/csl-citation.json"}</w:instrText>
      </w:r>
      <w:r>
        <w:fldChar w:fldCharType="separate"/>
      </w:r>
      <w:r w:rsidR="00B53BF6" w:rsidRPr="00B53BF6">
        <w:rPr>
          <w:noProof/>
        </w:rPr>
        <w:t>(Böhmelt et al., 2016)</w:t>
      </w:r>
      <w:r>
        <w:fldChar w:fldCharType="end"/>
      </w:r>
      <w:r>
        <w:t xml:space="preserve">. </w:t>
      </w:r>
      <w:r w:rsidR="00AE1CAD">
        <w:t>These</w:t>
      </w:r>
      <w:r>
        <w:t xml:space="preserve"> entitlements are reflected in the greater number of NGOs dedicated to environmental causes in democratic countries (and the absence of these in autocratic states), as well as their tolerance for a diverse and free press, which has an instrumental role in articulating policy demands and providing oversight of political activities. </w:t>
      </w:r>
      <w:r w:rsidR="005F151D">
        <w:t xml:space="preserve">Such </w:t>
      </w:r>
      <w:r w:rsidR="00AE1CAD">
        <w:t xml:space="preserve">bottom-up </w:t>
      </w:r>
      <w:r w:rsidR="005F151D">
        <w:t xml:space="preserve">oversight and democratic pathways of accountability are likely to be crucial to the success of the Paris Agreement, which </w:t>
      </w:r>
      <w:r w:rsidR="00897148">
        <w:t xml:space="preserve">offers no </w:t>
      </w:r>
      <w:r w:rsidR="005F151D">
        <w:t xml:space="preserve">top-down </w:t>
      </w:r>
      <w:r w:rsidR="00897148">
        <w:t>international enforcement mechanism</w:t>
      </w:r>
      <w:r w:rsidR="00AE1CAD">
        <w:t xml:space="preserve">, where </w:t>
      </w:r>
      <w:r w:rsidR="00897148">
        <w:t>even the stigmatization of countries for failing to meet targets is discouraged</w:t>
      </w:r>
      <w:r w:rsidR="00DC77B4">
        <w:t xml:space="preserve"> </w:t>
      </w:r>
      <w:r w:rsidR="00897148">
        <w:fldChar w:fldCharType="begin" w:fldLock="1"/>
      </w:r>
      <w:r w:rsidR="00AE1CAD">
        <w:instrText>ADDIN CSL_CITATION {"citationItems":[{"id":"ITEM-1","itemData":{"DOI":"10.1080/14693062.2017.1331904","ISSN":"17527457","abstract":"The entry into force of the Paris Agreement on climate change brings expectations that states will be held to account for their commitments. The article elaborates on\r\nwhy this is not a realistic assumption unless a broader multilevel perspective is\r\ntaken on the nature of accountability regimes for international (legal) agreements.\r\nThe formal accountability mechanisms of such agreements tend to be weak, and there are no indications that they will be stronger for the recent global goals adopted in the Paris Agreement. Looking beyond only peer review among states, national institutions, direct civil society engagement and internal government\r\nprocesses – while each coming with their own strengths and weaknesses – provide additional accountability pathways that together may do a better job. Scientific enquiry is, however, required to better understand, support and find improved mixtures of, and perhaps to move beyond, these accountability pathways. ","author":[{"dropping-particle":"","family":"Karlsson-Vinkhuyzen","given":"Sylvia I.","non-dropping-particle":"","parse-names":false,"suffix":""},{"dropping-particle":"","family":"Groff","given":"Maja","non-dropping-particle":"","parse-names":false,"suffix":""},{"dropping-particle":"","family":"Tamás","given":"Peter A.","non-dropping-particle":"","parse-names":false,"suffix":""},{"dropping-particle":"","family":"Dahl","given":"Arthur L.","non-dropping-particle":"","parse-names":false,"suffix":""},{"dropping-particle":"","family":"Harder","given":"Marie","non-dropping-particle":"","parse-names":false,"suffix":""},{"dropping-particle":"","family":"Hassall","given":"Graham","non-dropping-particle":"","parse-names":false,"suffix":""}],"container-title":"Climate Policy","id":"ITEM-1","issue":"5","issued":{"date-parts":[["2018"]]},"page":"593-599","title":"Entry into force and then? The Paris agreement and state accountability","type":"article-journal","volume":"18"},"uris":["http://www.mendeley.com/documents/?uuid=79614e9a-2c94-4531-a33b-52453ae20d8b"]}],"mendeley":{"formattedCitation":"(Karlsson-Vinkhuyzen et al., 2018)","plainTextFormattedCitation":"(Karlsson-Vinkhuyzen et al., 2018)","previouslyFormattedCitation":"(Karlsson-Vinkhuyzen et al., 2018)"},"properties":{"noteIndex":0},"schema":"https://github.com/citation-style-language/schema/raw/master/csl-citation.json"}</w:instrText>
      </w:r>
      <w:r w:rsidR="00897148">
        <w:fldChar w:fldCharType="separate"/>
      </w:r>
      <w:r w:rsidR="00B53BF6" w:rsidRPr="00B53BF6">
        <w:rPr>
          <w:noProof/>
        </w:rPr>
        <w:t>(Karlsson-Vinkhuyzen et al., 2018)</w:t>
      </w:r>
      <w:r w:rsidR="00897148">
        <w:fldChar w:fldCharType="end"/>
      </w:r>
      <w:r w:rsidR="00897148">
        <w:t>.</w:t>
      </w:r>
    </w:p>
    <w:p w14:paraId="23D91DA9" w14:textId="1497E40F" w:rsidR="00866B91" w:rsidRDefault="008368F8" w:rsidP="00866B91">
      <w:pPr>
        <w:spacing w:line="360" w:lineRule="auto"/>
      </w:pPr>
      <w:r>
        <w:t>D</w:t>
      </w:r>
      <w:r w:rsidR="00866B91">
        <w:t xml:space="preserve">emocratic governments </w:t>
      </w:r>
      <w:r>
        <w:t xml:space="preserve">also </w:t>
      </w:r>
      <w:r w:rsidR="00866B91">
        <w:t xml:space="preserve">have stronger built-in incentives to provision public goods such as climate protection and basic infrastructures – e.g. health, water and sanitation – since these provide social benefits to a wide electorate on which they depend for legitimacy and support. In regimes with restricted electoral competition, political power tends to be arbitrated by a small elite (e.g. </w:t>
      </w:r>
      <w:r w:rsidR="0083577A">
        <w:t>industrial oligarchs</w:t>
      </w:r>
      <w:r w:rsidR="00866B91">
        <w:t xml:space="preserve">, the military, or religious </w:t>
      </w:r>
      <w:r>
        <w:t>figures</w:t>
      </w:r>
      <w:r w:rsidR="00866B91">
        <w:t>)</w:t>
      </w:r>
      <w:r w:rsidR="005677FB">
        <w:t>, and i</w:t>
      </w:r>
      <w:r w:rsidR="00866B91">
        <w:t xml:space="preserve">ncumbents know that political survival depends on </w:t>
      </w:r>
      <w:r w:rsidR="005677FB">
        <w:t xml:space="preserve">funnelling </w:t>
      </w:r>
      <w:r w:rsidR="00866B91">
        <w:t xml:space="preserve">government expenditures </w:t>
      </w:r>
      <w:r w:rsidR="005677FB">
        <w:t xml:space="preserve">towards this </w:t>
      </w:r>
      <w:r w:rsidR="00866B91">
        <w:t xml:space="preserve">elite, not </w:t>
      </w:r>
      <w:r w:rsidR="005677FB">
        <w:t xml:space="preserve">towards </w:t>
      </w:r>
      <w:r w:rsidR="00247132">
        <w:t>a</w:t>
      </w:r>
      <w:r w:rsidR="005677FB">
        <w:t xml:space="preserve"> larger majority</w:t>
      </w:r>
      <w:r w:rsidR="00866B91">
        <w:t xml:space="preserve"> </w:t>
      </w:r>
      <w:r w:rsidR="00866B91">
        <w:fldChar w:fldCharType="begin" w:fldLock="1"/>
      </w:r>
      <w:r w:rsidR="00AE1CAD">
        <w:instrText>ADDIN CSL_CITATION {"citationItems":[{"id":"ITEM-1","itemData":{"DOI":"10.1080/13510347.2015.1094059","ISSN":"1743890X","abstract":"In an ideal inclusive political system, all citizens are equally able to influence and challenge policies. We focus on how inclusiveness affects climate policies and outcomes. We argue that more inclusive systems should produce more policies in response to environmental threats and should have better outcomes. We test these hypotheses using panel and cross-sectional data relating to climate policy outputs and outcomes. The results suggest that inclusiveness is positively associated with policy outputs, but probably not with lower emissions of greenhouse gases. This pattern may relate to a lack of deliberation in systems, which are relatively inclusive in the narrower sense of pluralist democratic theory.","author":[{"dropping-particle":"","family":"Böhmelt","given":"Tobias","non-dropping-particle":"","parse-names":false,"suffix":""},{"dropping-particle":"","family":"Böker","given":"Marit","non-dropping-particle":"","parse-names":false,"suffix":""},{"dropping-particle":"","family":"Ward","given":"Hugh","non-dropping-particle":"","parse-names":false,"suffix":""}],"container-title":"Democratization","id":"ITEM-1","issue":"7","issued":{"date-parts":[["2016"]]},"page":"1272-1291","title":"Democratic inclusiveness, climate policy outputs, and climate policy outcomes","type":"article-journal","volume":"23"},"uris":["http://www.mendeley.com/documents/?uuid=f21b2858-7d84-40bd-80f1-8db4052dc264"]},{"id":"ITEM-2","itemData":{"DOI":"10.1007/s11127-008-9391-x","ISSN":"00485829","abstract":"The allocation of a government budget between a public good and transfers is modeled under different systems of government. The relatively even distribution of political power among groups in a democracy favors spending on nonexclusive public goods. The more concentrated pattern of political power in a dictatorship favors spending on transfers targeted to powerful groups. The hypothesis on public good provision is examined using cross-country data on public good provision and empirical indicators of political regime. Dictatorial governments are found to provide public schooling, roads, safe water, public sanitation, and pollution control at levels far below democracies.","author":[{"dropping-particle":"","family":"Deacon","given":"Robert T.","non-dropping-particle":"","parse-names":false,"suffix":""}],"container-title":"Public Choice","id":"ITEM-2","issue":"1-2","issued":{"date-parts":[["2009"]]},"page":"241-262","title":"Public good provision under dictatorship and democracy","type":"article-journal","volume":"139"},"uris":["http://www.mendeley.com/documents/?uuid=a1571d32-ed98-46ee-9b14-6e67aa320928"]}],"mendeley":{"formattedCitation":"(Böhmelt et al., 2016; Deacon, 2009)","plainTextFormattedCitation":"(Böhmelt et al., 2016; Deacon, 2009)","previouslyFormattedCitation":"(Böhmelt et al., 2016; Deacon, 2009)"},"properties":{"noteIndex":0},"schema":"https://github.com/citation-style-language/schema/raw/master/csl-citation.json"}</w:instrText>
      </w:r>
      <w:r w:rsidR="00866B91">
        <w:fldChar w:fldCharType="separate"/>
      </w:r>
      <w:r w:rsidR="00B53BF6" w:rsidRPr="00B53BF6">
        <w:rPr>
          <w:noProof/>
        </w:rPr>
        <w:t>(Böhmelt et al., 2016; Deacon, 2009)</w:t>
      </w:r>
      <w:r w:rsidR="00866B91">
        <w:fldChar w:fldCharType="end"/>
      </w:r>
      <w:r w:rsidR="00866B91">
        <w:t xml:space="preserve">. In this manner, discussions of institutions and environmental policy often draw from an extensive literature tradition on the role of democracy in facilitating (and being mutually strengthened by) the provision of public goods </w:t>
      </w:r>
      <w:r w:rsidR="00866B91">
        <w:fldChar w:fldCharType="begin" w:fldLock="1"/>
      </w:r>
      <w:r w:rsidR="00AE1CAD">
        <w:instrText>ADDIN CSL_CITATION {"citationItems":[{"id":"ITEM-1","itemData":{"DOI":"10.1257/jel.20151239","ISBN":"9780415802239","ISSN":"0022-0515","PMID":"17746758","abstract":"This essay tries to bring out some of the complexities that are overlooked in the usual treatment of the state in the institutional economics literature and supplement the latter with a discussion of some alternative approaches to looking at the possible developmental role of the state. It refers to a broader range of development goals (including the structural transformation of the economy) and focuses on problems like the resolution of coordination failures and collective-action problems, the conflicting issues of commitment and accountability and the need for balancing the trade-offs they generate, some ingredients of state capacity and political coalition building usually missed in the literature, the possible importance of rent sharing in a political equilibrium, the advantages and problems of political centralization and decentralization, and the multidimensionality of state functions that may not be addressed by markets or private firms.","author":[{"dropping-particle":"","family":"Bardhan","given":"Pranab","non-dropping-particle":"","parse-names":false,"suffix":""}],"container-title":"Journal of Economic Literature","id":"ITEM-1","issue":"3","issued":{"date-parts":[["2016"]]},"page":"862-892","title":"State and Development: The Need for a Reappraisal of the Current Literature","type":"article-journal","volume":"54"},"uris":["http://www.mendeley.com/documents/?uuid=f9778f5e-3905-4956-9665-4849f07792b2"]},{"id":"ITEM-2","itemData":{"DOI":"10.1007/s11127-008-9391-x","ISSN":"00485829","abstract":"The allocation of a government budget between a public good and transfers is modeled under different systems of government. The relatively even distribution of political power among groups in a democracy favors spending on nonexclusive public goods. The more concentrated pattern of political power in a dictatorship favors spending on transfers targeted to powerful groups. The hypothesis on public good provision is examined using cross-country data on public good provision and empirical indicators of political regime. Dictatorial governments are found to provide public schooling, roads, safe water, public sanitation, and pollution control at levels far below democracies.","author":[{"dropping-particle":"","family":"Deacon","given":"Robert T.","non-dropping-particle":"","parse-names":false,"suffix":""}],"container-title":"Public Choice","id":"ITEM-2","issue":"1-2","issued":{"date-parts":[["2009"]]},"page":"241-262","title":"Public good provision under dictatorship and democracy","type":"article-journal","volume":"139"},"uris":["http://www.mendeley.com/documents/?uuid=a1571d32-ed98-46ee-9b14-6e67aa320928"]},{"id":"ITEM-3","itemData":{"DOI":"10.1016/j.ecolecon.2007.06.019","ISBN":"0921-8009","ISSN":"09218009","abstract":"In meeting the threat posed by climate change nations have responded quite differently. Using an extensive data set this study explores factors that affect individuals' attitudes towards climate change and how those attitudes ultimately affect national climate change policy. The results show that attitudes do indeed matter in implementing policy and that attitudes are shaped not only by how individuals react to the specific attributes of climate change, but also by information, by the openness of society and by attitudes toward the trustworthiness of government. © 2007 Elsevier B.V. All rights reserved.","author":[{"dropping-particle":"","family":"Tjernström","given":"E.","non-dropping-particle":"","parse-names":false,"suffix":""},{"dropping-particle":"","family":"Tietenberg","given":"T.","non-dropping-particle":"","parse-names":false,"suffix":""}],"container-title":"Ecological Economics","id":"ITEM-3","issue":"2","issued":{"date-parts":[["2008"]]},"page":"315-324","title":"Do differences in attitudes explain differences in national climate change policies?","type":"article-journal","volume":"65"},"uris":["http://www.mendeley.com/documents/?uuid=9b8324cc-d326-4643-8c0d-b09c6a7477f6"]}],"mendeley":{"formattedCitation":"(Bardhan, 2016; Deacon, 2009; Tjernström &amp; Tietenberg, 2008)","plainTextFormattedCitation":"(Bardhan, 2016; Deacon, 2009; Tjernström &amp; Tietenberg, 2008)","previouslyFormattedCitation":"(Bardhan, 2016; Deacon, 2009; Tjernström &amp; Tietenberg, 2008)"},"properties":{"noteIndex":0},"schema":"https://github.com/citation-style-language/schema/raw/master/csl-citation.json"}</w:instrText>
      </w:r>
      <w:r w:rsidR="00866B91">
        <w:fldChar w:fldCharType="separate"/>
      </w:r>
      <w:r w:rsidR="00B53BF6" w:rsidRPr="00B53BF6">
        <w:rPr>
          <w:noProof/>
        </w:rPr>
        <w:t>(Bardhan, 2016; Deacon, 2009; Tjernström &amp; Tietenberg, 2008)</w:t>
      </w:r>
      <w:r w:rsidR="00866B91">
        <w:fldChar w:fldCharType="end"/>
      </w:r>
      <w:r w:rsidR="00866B91">
        <w:t>.</w:t>
      </w:r>
    </w:p>
    <w:p w14:paraId="69292FDC" w14:textId="24F992FD" w:rsidR="00866B91" w:rsidRDefault="00866B91" w:rsidP="00866B91">
      <w:pPr>
        <w:spacing w:line="360" w:lineRule="auto"/>
      </w:pPr>
      <w:r>
        <w:t xml:space="preserve">These hypotheses are </w:t>
      </w:r>
      <w:r w:rsidR="008368F8">
        <w:t xml:space="preserve">strongly </w:t>
      </w:r>
      <w:r>
        <w:t xml:space="preserve">supported by cross-national evidence. Higher indexes of democracy and democratic inclusiveness (e.g. strength of civil society, participation and political freedom) correlate with the adoption of climate legislation </w:t>
      </w:r>
      <w:r>
        <w:fldChar w:fldCharType="begin" w:fldLock="1"/>
      </w:r>
      <w:r w:rsidR="00AE1CAD">
        <w:instrText>ADDIN CSL_CITATION {"citationItems":[{"id":"ITEM-1","itemData":{"DOI":"10.1080/13510347.2015.1094059","ISSN":"1743890X","abstract":"In an ideal inclusive political system, all citizens are equally able to influence and challenge policies. We focus on how inclusiveness affects climate policies and outcomes. We argue that more inclusive systems should produce more policies in response to environmental threats and should have better outcomes. We test these hypotheses using panel and cross-sectional data relating to climate policy outputs and outcomes. The results suggest that inclusiveness is positively associated with policy outputs, but probably not with lower emissions of greenhouse gases. This pattern may relate to a lack of deliberation in systems, which are relatively inclusive in the narrower sense of pluralist democratic theory.","author":[{"dropping-particle":"","family":"Böhmelt","given":"Tobias","non-dropping-particle":"","parse-names":false,"suffix":""},{"dropping-particle":"","family":"Böker","given":"Marit","non-dropping-particle":"","parse-names":false,"suffix":""},{"dropping-particle":"","family":"Ward","given":"Hugh","non-dropping-particle":"","parse-names":false,"suffix":""}],"container-title":"Democratization","id":"ITEM-1","issue":"7","issued":{"date-parts":[["2016"]]},"page":"1272-1291","title":"Democratic inclusiveness, climate policy outputs, and climate policy outcomes","type":"article-journal","volume":"23"},"uris":["http://www.mendeley.com/documents/?uuid=f21b2858-7d84-40bd-80f1-8db4052dc264"]},{"id":"ITEM-2","itemData":{"DOI":"10.1080/14693062.2013.811333","ISSN":"17527457","abstract":"Patterns of national climate policy performance and their implications for the geopolitics of climate change are examined. An overview of levels of emissions performance across countries is first provided. Substantial changes in emissions trends over time are documented, notably with GHG emissions trajectories, which are shaped less and less by the developed/developing country divide. Various patterns of policy convergence and divergence in the types of policies states implement are then surveyed. Four broad types of explanation that may account for these trends are then explored: (1) variation in the institutional form of country-level governance regimes, (2) patterns of dependence on fossil fuel energy, (3) broad systemic differences among states (specifically in their population densities, carbon intensity, and per capita incomes, and (4) variations in the traditions of economic intervention by states. The article contributes to the growing body of work on comparative climate policy, and provides a first attempt at exploring the comparative politics of instrument choice. The analysis challenges the continued importance of a North–South divide for the future of climate policy, thus reinforcing a sense of the ‘new geopolitics’ of climate change. Some of the implications of the analysis for debates about the form of future international agreement on mitigation policy are also explored.","author":[{"dropping-particle":"","family":"Lachapelle","given":"Erick","non-dropping-particle":"","parse-names":false,"suffix":""},{"dropping-particle":"","family":"Paterson","given":"Matthew","non-dropping-particle":"","parse-names":false,"suffix":""}],"container-title":"Climate Policy","id":"ITEM-2","issue":"5","issued":{"date-parts":[["2013"]]},"page":"547-571","title":"Drivers of national climate policy","type":"article-journal","volume":"13"},"uris":["http://www.mendeley.com/documents/?uuid=b86eaeea-7a35-48c2-8487-71c86abf8931"]},{"id":"ITEM-3","itemData":{"DOI":"10.1016/j.envres.2017.05.009","ISSN":"10960953","PMID":"28570962","abstract":"The impact of democracy on governments’ choice of environmental policies has attracted significant academic attention in recent years. However, less attention has been devoted to the role of the social cognitive capital of the national population. Does society's cognitive capital matter in governmental choice regarding environmental policies, if at all? This study addresses this question through a large-N analysis of 94 countries accounting for the role of both political regimes and social capital in governmental choice of climate change policies. We find that higher social cognitive capital within a democratic state radically increases that state's commitment to adopt environmental policies. More specifically, a 1-point increase in the democracy index is associated with nearly 5 points increase in the adoption of the Climate Laws, Institutions and Measures Index (CLIMI). In a similar vein, a 10 points increase in social cognitive capital is associated with a nearly 16 points increase in CLIMI. The findings presented in this study aim to contribute to the ongoing debate on the impact of democracy and the cognitive capital of society on international environmentalism. The findings will also be interesting for scholars working on the impact of political institutional factors and the role of society in environmental policy choices made at the international level.","author":[{"dropping-particle":"V.","family":"Obydenkova","given":"Anastassia","non-dropping-particle":"","parse-names":false,"suffix":""},{"dropping-particle":"","family":"Salahodjaev","given":"Raufhon","non-dropping-particle":"","parse-names":false,"suffix":""}],"container-title":"Environmental Research","id":"ITEM-3","issue":"April","issued":{"date-parts":[["2017"]]},"page":"182-189","publisher":"Elsevier Inc.","title":"Climate change policies: The role of democracy and social cognitive capital","type":"article-journal","volume":"157"},"uris":["http://www.mendeley.com/documents/?uuid=5f97acc2-08fa-4ccb-84cb-3d19180d1717"]}],"mendeley":{"formattedCitation":"(Böhmelt et al., 2016; Lachapelle &amp; Paterson, 2013; Obydenkova &amp; Salahodjaev, 2017)","plainTextFormattedCitation":"(Böhmelt et al., 2016; Lachapelle &amp; Paterson, 2013; Obydenkova &amp; Salahodjaev, 2017)","previouslyFormattedCitation":"(Böhmelt et al., 2016; Lachapelle &amp; Paterson, 2013; Obydenkova &amp; Salahodjaev, 2017)"},"properties":{"noteIndex":0},"schema":"https://github.com/citation-style-language/schema/raw/master/csl-citation.json"}</w:instrText>
      </w:r>
      <w:r>
        <w:fldChar w:fldCharType="separate"/>
      </w:r>
      <w:r w:rsidR="00B53BF6" w:rsidRPr="00B53BF6">
        <w:rPr>
          <w:noProof/>
        </w:rPr>
        <w:t>(Böhmelt et al., 2016; Lachapelle &amp; Paterson, 2013; Obydenkova &amp; Salahodjaev, 2017)</w:t>
      </w:r>
      <w:r>
        <w:fldChar w:fldCharType="end"/>
      </w:r>
      <w:r>
        <w:t xml:space="preserve">, the adoption of carbon prices </w:t>
      </w:r>
      <w:r>
        <w:fldChar w:fldCharType="begin" w:fldLock="1"/>
      </w:r>
      <w:r w:rsidR="00AE1CAD">
        <w:instrText>ADDIN CSL_CITATION {"citationItems":[{"id":"ITEM-1","itemData":{"author":[{"dropping-particle":"","family":"Levi","given":"Sebastian","non-dropping-particle":"","parse-names":false,"suffix":""},{"dropping-particle":"","family":"Flachsland","given":"Christian","non-dropping-particle":"","parse-names":false,"suffix":""},{"dropping-particle":"","family":"Jakob","given":"Michael","non-dropping-particle":"","parse-names":false,"suffix":""}],"id":"ITEM-1","issued":{"date-parts":[["2019"]]},"title":"Political Economy Determinants of Carbon Pricing","type":"report"},"uris":["http://www.mendeley.com/documents/?uuid=e735e56c-ae2c-4e9e-8dcb-dbdd5ff69b92"]},{"id":"ITEM-2","itemData":{"DOI":"10.17863/CAM.7825","abstract":"In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 Abstract 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schemes.","author":[{"dropping-particle":"","family":"Dolphin","given":"G. G.","non-dropping-particle":"","parse-names":false,"suffix":""},{"dropping-particle":"","family":"Pollitt","given":"M. G.","non-dropping-particle":"","parse-names":false,"suffix":""},{"dropping-particle":"","family":"Newbery","given":"D. G.","non-dropping-particle":"","parse-names":false,"suffix":""}],"collection-title":"Cambridge Working Paper Economics","id":"ITEM-2","issued":{"date-parts":[["2016"]]},"number":"1663","number-of-pages":"1-45","publisher-place":"Cambrdige, UK","title":"The Political Economy of Carbon Pricing: a Panel Analysis","type":"report"},"uris":["http://www.mendeley.com/documents/?uuid=6e269377-11ab-4240-a1eb-07b94f1ee52b"]}],"mendeley":{"formattedCitation":"(Dolphin et al., 2016; Levi et al., 2019)","plainTextFormattedCitation":"(Dolphin et al., 2016; Levi et al., 2019)","previouslyFormattedCitation":"(Dolphin et al., 2016; Levi et al., 2019)"},"properties":{"noteIndex":0},"schema":"https://github.com/citation-style-language/schema/raw/master/csl-citation.json"}</w:instrText>
      </w:r>
      <w:r>
        <w:fldChar w:fldCharType="separate"/>
      </w:r>
      <w:r w:rsidR="00B53BF6" w:rsidRPr="00B53BF6">
        <w:rPr>
          <w:noProof/>
        </w:rPr>
        <w:t>(Dolphin et al., 2016; Levi et al., 2019)</w:t>
      </w:r>
      <w:r>
        <w:fldChar w:fldCharType="end"/>
      </w:r>
      <w:r>
        <w:t xml:space="preserve">, and the absence of fossil fuel subsidies </w:t>
      </w:r>
      <w:r>
        <w:fldChar w:fldCharType="begin" w:fldLock="1"/>
      </w:r>
      <w:r w:rsidR="00AE1CAD">
        <w:instrText>ADDIN CSL_CITATION {"citationItems":[{"id":"ITEM-1","itemData":{"DOI":"doi:10.1596/1813-9450-6470","abstract":"This paper provides an empirical analysis of economic and political determinants of gasoline and diesel prices for about 200 countries over the period 1991-2010. A range of both political and economic variables are found to systematically influence fuel prices, and in ways that differ systematically with countries’ per-capita income levels. For democracies, the analysis finds that fuel prices correlate positively with both duration of democracy and tenure of democratic leaders. In non-democratic societies there is more often no such relationship or it is the opposite of that for democracies. Regime switches -- transitions from non-democratic to democratic government, or vice versa -- reduce fuel prices. Fuel prices are also lower for more corrupt, or more centralized, governments. Higher levels of gross domestic product per capita lead to higher fuel prices, while export income from selling fossil fuels reduces these prices dramatically. Higher motor fuel consumption also appears to reduce fuel prices, most for gasoline. Absolute","author":[{"dropping-particle":"","family":"Beers","given":"Cees","non-dropping-particle":"van","parse-names":false,"suffix":""},{"dropping-particle":"","family":"Strand","given":"Jon","non-dropping-particle":"","parse-names":false,"suffix":""}],"collection-title":"Policy Research Working Paper","id":"ITEM-1","issue":"May","issued":{"date-parts":[["2013"]]},"number":"6470","title":"Political determinants of fossil fuel pricing","type":"report"},"uris":["http://www.mendeley.com/documents/?uuid=ca06098b-c993-459d-9e61-04ce3d8808ff"]}],"mendeley":{"formattedCitation":"(van Beers &amp; Strand, 2013)","plainTextFormattedCitation":"(van Beers &amp; Strand, 2013)","previouslyFormattedCitation":"(van Beers &amp; Strand, 2013)"},"properties":{"noteIndex":0},"schema":"https://github.com/citation-style-language/schema/raw/master/csl-citation.json"}</w:instrText>
      </w:r>
      <w:r>
        <w:fldChar w:fldCharType="separate"/>
      </w:r>
      <w:r w:rsidR="00B53BF6" w:rsidRPr="00B53BF6">
        <w:rPr>
          <w:noProof/>
        </w:rPr>
        <w:t>(van Beers &amp; Strand, 2013)</w:t>
      </w:r>
      <w:r>
        <w:fldChar w:fldCharType="end"/>
      </w:r>
      <w:r>
        <w:t xml:space="preserve">. Time-averaged analysis also confirms that the long-term accumulation of democratic norms and institutional apparatus is needed to support climate legislation adoption </w:t>
      </w:r>
      <w:r>
        <w:fldChar w:fldCharType="begin" w:fldLock="1"/>
      </w:r>
      <w:r w:rsidR="00AE1CAD">
        <w:instrText>ADDIN CSL_CITATION {"citationItems":[{"id":"ITEM-1","itemData":{"DOI":"10.1016/j.ecolecon.2013.08.002","ISBN":"09218009","ISSN":"09218009","abstract":"This paper argues that it is countries' historical experience with democracy, the democratic capital stock, rather than current levels of democracy that determines current climate change policies. Empirical evidence using data starting as far back as year 1800 for 87 countries, which together are responsible for 93.7% of global carbon emissions, suggests that the democratic capital stock has an important and robust effect on climate change policies. A history of executive constraints is particularly important. The current level of democracy does not play a role once democratic capital has been accounted for. © 2013 Elsevier B.V.","author":[{"dropping-particle":"","family":"Fredriksson","given":"Per G.","non-dropping-particle":"","parse-names":false,"suffix":""},{"dropping-particle":"","family":"Neumayer","given":"Eric","non-dropping-particle":"","parse-names":false,"suffix":""}],"container-title":"Ecological Economics","id":"ITEM-1","issued":{"date-parts":[["2013"]]},"page":"11-19","publisher":"Elsevier B.V.","title":"Democracy and climate change policies: Is history important?","type":"article-journal","volume":"95"},"uris":["http://www.mendeley.com/documents/?uuid=2890f790-de48-4005-8c25-704f9a4329f7"]},{"id":"ITEM-2","itemData":{"DOI":"doi:10.1596/1813-9450-6470","abstract":"This paper provides an empirical analysis of economic and political determinants of gasoline and diesel prices for about 200 countries over the period 1991-2010. A range of both political and economic variables are found to systematically influence fuel prices, and in ways that differ systematically with countries’ per-capita income levels. For democracies, the analysis finds that fuel prices correlate positively with both duration of democracy and tenure of democratic leaders. In non-democratic societies there is more often no such relationship or it is the opposite of that for democracies. Regime switches -- transitions from non-democratic to democratic government, or vice versa -- reduce fuel prices. Fuel prices are also lower for more corrupt, or more centralized, governments. Higher levels of gross domestic product per capita lead to higher fuel prices, while export income from selling fossil fuels reduces these prices dramatically. Higher motor fuel consumption also appears to reduce fuel prices, most for gasoline. Absolute","author":[{"dropping-particle":"","family":"Beers","given":"Cees","non-dropping-particle":"van","parse-names":false,"suffix":""},{"dropping-particle":"","family":"Strand","given":"Jon","non-dropping-particle":"","parse-names":false,"suffix":""}],"collection-title":"Policy Research Working Paper","id":"ITEM-2","issue":"May","issued":{"date-parts":[["2013"]]},"number":"6470","title":"Political determinants of fossil fuel pricing","type":"report"},"uris":["http://www.mendeley.com/documents/?uuid=ca06098b-c993-459d-9e61-04ce3d8808ff"]}],"mendeley":{"formattedCitation":"(Fredriksson &amp; Neumayer, 2013; van Beers &amp; Strand, 2013)","plainTextFormattedCitation":"(Fredriksson &amp; Neumayer, 2013; van Beers &amp; Strand, 2013)","previouslyFormattedCitation":"(Fredriksson &amp; Neumayer, 2013; van Beers &amp; Strand, 2013)"},"properties":{"noteIndex":0},"schema":"https://github.com/citation-style-language/schema/raw/master/csl-citation.json"}</w:instrText>
      </w:r>
      <w:r>
        <w:fldChar w:fldCharType="separate"/>
      </w:r>
      <w:r w:rsidR="00B53BF6" w:rsidRPr="00B53BF6">
        <w:rPr>
          <w:noProof/>
        </w:rPr>
        <w:t>(Fredriksson &amp; Neumayer, 2013; van Beers &amp; Strand, 2013)</w:t>
      </w:r>
      <w:r>
        <w:fldChar w:fldCharType="end"/>
      </w:r>
      <w:r>
        <w:t xml:space="preserve">. </w:t>
      </w:r>
      <w:r w:rsidR="00247132">
        <w:t>In other words, even short p</w:t>
      </w:r>
      <w:r>
        <w:t xml:space="preserve">eriods of autocratic rule </w:t>
      </w:r>
      <w:r w:rsidR="0061171F">
        <w:t xml:space="preserve">can </w:t>
      </w:r>
      <w:r>
        <w:t xml:space="preserve">leave a social and political legacy that is difficult to shake: newly democratising countries are often focused on consolidating institutions and </w:t>
      </w:r>
      <w:r w:rsidR="00247132">
        <w:t>addressing more urgent</w:t>
      </w:r>
      <w:r w:rsidR="008B0B8E">
        <w:t xml:space="preserve"> political priorities</w:t>
      </w:r>
      <w:r>
        <w:t xml:space="preserve">, rather than </w:t>
      </w:r>
      <w:r w:rsidR="00247132">
        <w:t>long-term</w:t>
      </w:r>
      <w:r w:rsidR="008B0B8E">
        <w:t xml:space="preserve"> climate mitigation</w:t>
      </w:r>
      <w:r w:rsidR="00247132">
        <w:t xml:space="preserve"> projects</w:t>
      </w:r>
      <w:r>
        <w:t>.</w:t>
      </w:r>
    </w:p>
    <w:p w14:paraId="3D44E973" w14:textId="769B232B" w:rsidR="00BA5D69" w:rsidRDefault="00256ED8" w:rsidP="00BA5D69">
      <w:pPr>
        <w:keepNext/>
        <w:spacing w:line="360" w:lineRule="auto"/>
      </w:pPr>
      <w:r>
        <w:rPr>
          <w:noProof/>
          <w:lang w:eastAsia="en-GB"/>
        </w:rPr>
        <w:lastRenderedPageBreak/>
        <w:drawing>
          <wp:inline distT="0" distB="0" distL="0" distR="0" wp14:anchorId="38A12BEF" wp14:editId="0846D288">
            <wp:extent cx="5100824" cy="61817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_institu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06583" cy="6188704"/>
                    </a:xfrm>
                    <a:prstGeom prst="rect">
                      <a:avLst/>
                    </a:prstGeom>
                  </pic:spPr>
                </pic:pic>
              </a:graphicData>
            </a:graphic>
          </wp:inline>
        </w:drawing>
      </w:r>
    </w:p>
    <w:p w14:paraId="72205F58" w14:textId="0B3DDE6B" w:rsidR="00BA5D69" w:rsidRPr="00093C59" w:rsidRDefault="00BA5D69" w:rsidP="00256ED8">
      <w:pPr>
        <w:pStyle w:val="Caption"/>
        <w:rPr>
          <w:b/>
          <w:sz w:val="22"/>
        </w:rPr>
      </w:pPr>
      <w:r w:rsidRPr="00093C59">
        <w:rPr>
          <w:b/>
          <w:sz w:val="22"/>
        </w:rPr>
        <w:t xml:space="preserve">Figure </w:t>
      </w:r>
      <w:r w:rsidRPr="00093C59">
        <w:rPr>
          <w:b/>
          <w:sz w:val="22"/>
        </w:rPr>
        <w:fldChar w:fldCharType="begin"/>
      </w:r>
      <w:r w:rsidRPr="00093C59">
        <w:rPr>
          <w:b/>
          <w:sz w:val="22"/>
        </w:rPr>
        <w:instrText xml:space="preserve"> SEQ Figure \* ARABIC </w:instrText>
      </w:r>
      <w:r w:rsidRPr="00093C59">
        <w:rPr>
          <w:b/>
          <w:sz w:val="22"/>
        </w:rPr>
        <w:fldChar w:fldCharType="separate"/>
      </w:r>
      <w:r w:rsidRPr="00093C59">
        <w:rPr>
          <w:b/>
          <w:noProof/>
          <w:sz w:val="22"/>
        </w:rPr>
        <w:t>2</w:t>
      </w:r>
      <w:r w:rsidRPr="00093C59">
        <w:rPr>
          <w:b/>
          <w:sz w:val="22"/>
        </w:rPr>
        <w:fldChar w:fldCharType="end"/>
      </w:r>
      <w:r w:rsidRPr="00093C59">
        <w:rPr>
          <w:b/>
          <w:sz w:val="22"/>
        </w:rPr>
        <w:t>: 2</w:t>
      </w:r>
      <w:r w:rsidR="00256ED8" w:rsidRPr="00093C59">
        <w:rPr>
          <w:b/>
          <w:sz w:val="22"/>
        </w:rPr>
        <w:t>0</w:t>
      </w:r>
      <w:r w:rsidRPr="00093C59">
        <w:rPr>
          <w:b/>
          <w:sz w:val="22"/>
        </w:rPr>
        <w:t xml:space="preserve"> countries with the poorest electoral democracy and control of corruption scores</w:t>
      </w:r>
      <w:r w:rsidR="00256ED8" w:rsidRPr="00093C59">
        <w:rPr>
          <w:b/>
          <w:sz w:val="22"/>
        </w:rPr>
        <w:t xml:space="preserve">. </w:t>
      </w:r>
      <w:r w:rsidR="00256ED8" w:rsidRPr="00093C59">
        <w:rPr>
          <w:sz w:val="22"/>
        </w:rPr>
        <w:t>See section 4 for data sources. The indexes are normalised between 0-1 (electoral democracy) and -2 and 2 (control of corruption).</w:t>
      </w:r>
    </w:p>
    <w:p w14:paraId="1F89734F" w14:textId="77777777" w:rsidR="00AE1CAD" w:rsidRDefault="00AE1CAD" w:rsidP="00AE1CAD">
      <w:pPr>
        <w:spacing w:line="360" w:lineRule="auto"/>
      </w:pPr>
      <w:r>
        <w:t xml:space="preserve">Of course there are large differences between democracies and their institutions. A prominent claim is that the concentration of political power in centralised and parliamentary systems offers fewer frictions to climate policy adoption relative to federalist and presidential systems, which allocate power among a wider range of actors </w:t>
      </w:r>
      <w:r>
        <w:fldChar w:fldCharType="begin" w:fldLock="1"/>
      </w:r>
      <w:r>
        <w:instrText>ADDIN CSL_CITATION {"citationItems":[{"id":"ITEM-1","itemData":{"DOI":"10.1177/0263774X16660561","author":[{"dropping-particle":"","family":"Lockwood","given":"Matthew","non-dropping-particle":"","parse-names":false,"suffix":""},{"dropping-particle":"","family":"Kuzemko","given":"Caroline","non-dropping-particle":"","parse-names":false,"suffix":""},{"dropping-particle":"","family":"Mitchell","given":"Catherine","non-dropping-particle":"","parse-names":false,"suffix":""},{"dropping-particle":"","family":"Hoggett","given":"Richard","non-dropping-particle":"","parse-names":false,"suffix":""}],"container-title":"Environment and Planning C: Government and Policy","id":"ITEM-1","issue":"0","issued":{"date-parts":[["2016"]]},"page":"1-22","title":"Historical institutionalism and the politics of sustainable energy transitions : A research agenda","type":"article-journal","volume":"0"},"uris":["http://www.mendeley.com/documents/?uuid=30e13820-471a-4c4f-8ac1-41fb6922c6ad"]}],"mendeley":{"formattedCitation":"(Lockwood et al., 2016)","plainTextFormattedCitation":"(Lockwood et al., 2016)","previouslyFormattedCitation":"(Lockwood et al., 2016)"},"properties":{"noteIndex":0},"schema":"https://github.com/citation-style-language/schema/raw/master/csl-citation.json"}</w:instrText>
      </w:r>
      <w:r>
        <w:fldChar w:fldCharType="separate"/>
      </w:r>
      <w:r w:rsidRPr="00B53BF6">
        <w:rPr>
          <w:noProof/>
        </w:rPr>
        <w:t>(Lockwood et al., 2016)</w:t>
      </w:r>
      <w:r>
        <w:fldChar w:fldCharType="end"/>
      </w:r>
      <w:r>
        <w:t xml:space="preserve">. In the latter case, a profusion of ‘veto-points’ could limit the passage of strong climate policy – for instance when regional legislatures dependent on coal mining unilaterally block national measures. There is indeed cross-national evidence that parliamentary systems are more likely to adopt climate policies </w:t>
      </w:r>
      <w:r>
        <w:fldChar w:fldCharType="begin" w:fldLock="1"/>
      </w:r>
      <w:r>
        <w:instrText>ADDIN CSL_CITATION {"citationItems":[{"id":"ITEM-1","itemData":{"DOI":"10.1080/14693062.2013.811333","ISSN":"17527457","abstract":"Patterns of national climate policy performance and their implications for the geopolitics of climate change are examined. An overview of levels of emissions performance across countries is first provided. Substantial changes in emissions trends over time are documented, notably with GHG emissions trajectories, which are shaped less and less by the developed/developing country divide. Various patterns of policy convergence and divergence in the types of policies states implement are then surveyed. Four broad types of explanation that may account for these trends are then explored: (1) variation in the institutional form of country-level governance regimes, (2) patterns of dependence on fossil fuel energy, (3) broad systemic differences among states (specifically in their population densities, carbon intensity, and per capita incomes, and (4) variations in the traditions of economic intervention by states. The article contributes to the growing body of work on comparative climate policy, and provides a first attempt at exploring the comparative politics of instrument choice. The analysis challenges the continued importance of a North–South divide for the future of climate policy, thus reinforcing a sense of the ‘new geopolitics’ of climate change. Some of the implications of the analysis for debates about the form of future international agreement on mitigation policy are also explored.","author":[{"dropping-particle":"","family":"Lachapelle","given":"Erick","non-dropping-particle":"","parse-names":false,"suffix":""},{"dropping-particle":"","family":"Paterson","given":"Matthew","non-dropping-particle":"","parse-names":false,"suffix":""}],"container-title":"Climate Policy","id":"ITEM-1","issue":"5","issued":{"date-parts":[["2013"]]},"page":"547-571","title":"Drivers of national climate policy","type":"article-journal","volume":"13"},"uris":["http://www.mendeley.com/documents/?uuid=b86eaeea-7a35-48c2-8487-71c86abf8931"]}],"mendeley":{"formattedCitation":"(Lachapelle &amp; Paterson, 2013)","plainTextFormattedCitation":"(Lachapelle &amp; Paterson, 2013)","previouslyFormattedCitation":"(Lachapelle &amp; Paterson, 2013)"},"properties":{"noteIndex":0},"schema":"https://github.com/citation-style-language/schema/raw/master/csl-citation.json"}</w:instrText>
      </w:r>
      <w:r>
        <w:fldChar w:fldCharType="separate"/>
      </w:r>
      <w:r w:rsidRPr="00B53BF6">
        <w:rPr>
          <w:noProof/>
        </w:rPr>
        <w:t>(Lachapelle &amp; Paterson, 2013)</w:t>
      </w:r>
      <w:r>
        <w:fldChar w:fldCharType="end"/>
      </w:r>
      <w:r>
        <w:t xml:space="preserve">, however they do not reduce emissions faster </w:t>
      </w:r>
      <w:r>
        <w:fldChar w:fldCharType="begin" w:fldLock="1"/>
      </w:r>
      <w:r>
        <w:instrText>ADDIN CSL_CITATION {"citationItems":[{"id":"ITEM-1","itemData":{"DOI":"10.1080/14693062.2013.811333","ISSN":"17527457","abstract":"Patterns of national climate policy performance and their implications for the geopolitics of climate change are examined. An overview of levels of emissions performance across countries is first provided. Substantial changes in emissions trends over time are documented, notably with GHG emissions trajectories, which are shaped less and less by the developed/developing country divide. Various patterns of policy convergence and divergence in the types of policies states implement are then surveyed. Four broad types of explanation that may account for these trends are then explored: (1) variation in the institutional form of country-level governance regimes, (2) patterns of dependence on fossil fuel energy, (3) broad systemic differences among states (specifically in their population densities, carbon intensity, and per capita incomes, and (4) variations in the traditions of economic intervention by states. The article contributes to the growing body of work on comparative climate policy, and provides a first attempt at exploring the comparative politics of instrument choice. The analysis challenges the continued importance of a North–South divide for the future of climate policy, thus reinforcing a sense of the ‘new geopolitics’ of climate change. Some of the implications of the analysis for debates about the form of future international agreement on mitigation policy are also explored.","author":[{"dropping-particle":"","family":"Lachapelle","given":"Erick","non-dropping-particle":"","parse-names":false,"suffix":""},{"dropping-particle":"","family":"Paterson","given":"Matthew","non-dropping-particle":"","parse-names":false,"suffix":""}],"container-title":"Climate Policy","id":"ITEM-1","issue":"5","issued":{"date-parts":[["2013"]]},"page":"547-571","title":"Drivers of national climate policy","type":"article-journal","volume":"13"},"uris":["http://www.mendeley.com/documents/?uuid=b86eaeea-7a35-48c2-8487-71c86abf8931"]}],"mendeley":{"formattedCitation":"(Lachapelle &amp; Paterson, 2013)","plainTextFormattedCitation":"(Lachapelle &amp; Paterson, 2013)","previouslyFormattedCitation":"(Lachapelle &amp; Paterson, 2013)"},"properties":{"noteIndex":0},"schema":"https://github.com/citation-style-language/schema/raw/master/csl-citation.json"}</w:instrText>
      </w:r>
      <w:r>
        <w:fldChar w:fldCharType="separate"/>
      </w:r>
      <w:r w:rsidRPr="00B53BF6">
        <w:rPr>
          <w:noProof/>
        </w:rPr>
        <w:t>(Lachapelle &amp; Paterson, 2013)</w:t>
      </w:r>
      <w:r>
        <w:fldChar w:fldCharType="end"/>
      </w:r>
      <w:r>
        <w:t xml:space="preserve">. Nor do </w:t>
      </w:r>
      <w:r>
        <w:lastRenderedPageBreak/>
        <w:t xml:space="preserve">more concentrated political systems with parliamentary majorities implement more stringent carbon prices </w:t>
      </w:r>
      <w:r>
        <w:fldChar w:fldCharType="begin" w:fldLock="1"/>
      </w:r>
      <w:r>
        <w:instrText>ADDIN CSL_CITATION {"citationItems":[{"id":"ITEM-1","itemData":{"author":[{"dropping-particle":"","family":"Levi","given":"Sebastian","non-dropping-particle":"","parse-names":false,"suffix":""},{"dropping-particle":"","family":"Flachsland","given":"Christian","non-dropping-particle":"","parse-names":false,"suffix":""},{"dropping-particle":"","family":"Jakob","given":"Michael","non-dropping-particle":"","parse-names":false,"suffix":""}],"id":"ITEM-1","issued":{"date-parts":[["2019"]]},"title":"Political Economy Determinants of Carbon Pricing","type":"report"},"uris":["http://www.mendeley.com/documents/?uuid=e735e56c-ae2c-4e9e-8dcb-dbdd5ff69b92"]}],"mendeley":{"formattedCitation":"(Levi et al., 2019)","plainTextFormattedCitation":"(Levi et al., 2019)","previouslyFormattedCitation":"(Levi et al., 2019)"},"properties":{"noteIndex":0},"schema":"https://github.com/citation-style-language/schema/raw/master/csl-citation.json"}</w:instrText>
      </w:r>
      <w:r>
        <w:fldChar w:fldCharType="separate"/>
      </w:r>
      <w:r w:rsidRPr="00B53BF6">
        <w:rPr>
          <w:noProof/>
        </w:rPr>
        <w:t>(Levi et al., 2019)</w:t>
      </w:r>
      <w:r>
        <w:fldChar w:fldCharType="end"/>
      </w:r>
      <w:r>
        <w:t>. Hence there is no clear perspective on which types of democratic system are more promising.</w:t>
      </w:r>
    </w:p>
    <w:p w14:paraId="635DC7C9" w14:textId="347869F3" w:rsidR="00471563" w:rsidRDefault="00471563" w:rsidP="002F365B">
      <w:pPr>
        <w:spacing w:line="360" w:lineRule="auto"/>
      </w:pPr>
      <w:r>
        <w:t xml:space="preserve">State institutions also vary in terms of quality and exposure to corruption. In wealthier countries, bureaucracies can mobilise greater financial and human resources to formulate and implement policies. In poorer countries, states can often fail to carry out even basic functions, such as effective taxation. These conditions are often referred to as ‘state capacities’ in the institutional literature, a broad definition that encapsulates issues and indicators of “government effectiveness”, “rule of law”, and “control of corruption” </w:t>
      </w:r>
      <w:r>
        <w:fldChar w:fldCharType="begin" w:fldLock="1"/>
      </w:r>
      <w:r w:rsidR="00AE1CAD">
        <w:instrText>ADDIN CSL_CITATION {"citationItems":[{"id":"ITEM-1","itemData":{"DOI":"10.1146/annurev-polisci-100608-104510","ISBN":"1094-2939\\n1545-1577","ISSN":"1094-2939","abstract":"In development policy, international organizations have shifted their focus to the importance of good governance and sound institutions. The theory behind this is that only with a high quality of government (QoG) can a country reap the benefits of economic growth and social development. We review the research behind this policy shift and offer a first benchmark statistical analysis. The first section contains a review of the conceptual discussion of what QoG means. Second, we present four salient approaches pertaining to the outcomes of QoG: the debates concerning QoG and democracy, economic growth, corruption, and the rule of law. The third section uses insights gained from these debates to focus on the policy outcomes of QoG—its effects on social well-being, public health, and environmental sustainability. We conclude by discussing possible pitfalls in future research on QoG and development.","author":[{"dropping-particle":"","family":"Holmberg","given":"Sören","non-dropping-particle":"","parse-names":false,"suffix":""},{"dropping-particle":"","family":"Rothstein","given":"Bo","non-dropping-particle":"","parse-names":false,"suffix":""},{"dropping-particle":"","family":"Nasiritousi","given":"Naghmeh","non-dropping-particle":"","parse-names":false,"suffix":""}],"container-title":"Annual Review of Political Science","id":"ITEM-1","issue":"1","issued":{"date-parts":[["2009"]]},"page":"135-161","title":"Quality of Government: What You Get","type":"article-journal","volume":"12"},"uris":["http://www.mendeley.com/documents/?uuid=d9b408fb-c879-4801-ba10-aa66a3df3991"]},{"id":"ITEM-2","itemData":{"URL":"http://info.worldbank.org/governance/wgi/index.aspx","author":[{"dropping-particle":"","family":"Kaufmann","given":"Daniel","non-dropping-particle":"","parse-names":false,"suffix":""},{"dropping-particle":"","family":"Kraay","given":"Aart","non-dropping-particle":"","parse-names":false,"suffix":""}],"id":"ITEM-2","issued":{"date-parts":[["2015"]]},"title":"World Governance Indicators","type":"webpage"},"uris":["http://www.mendeley.com/documents/?uuid=5bec128a-865d-4f2c-8ad6-c91af5f5012b"]}],"mendeley":{"formattedCitation":"(Holmberg, Rothstein, &amp; Nasiritousi, 2009; Kaufmann &amp; Kraay, 2015)","plainTextFormattedCitation":"(Holmberg, Rothstein, &amp; Nasiritousi, 2009; Kaufmann &amp; Kraay, 2015)","previouslyFormattedCitation":"(Holmberg, Rothstein, &amp; Nasiritousi, 2009; Kaufmann &amp; Kraay, 2015)"},"properties":{"noteIndex":0},"schema":"https://github.com/citation-style-language/schema/raw/master/csl-citation.json"}</w:instrText>
      </w:r>
      <w:r>
        <w:fldChar w:fldCharType="separate"/>
      </w:r>
      <w:r w:rsidR="00B53BF6" w:rsidRPr="00B53BF6">
        <w:rPr>
          <w:noProof/>
        </w:rPr>
        <w:t>(Holmberg, Rothstein, &amp; Nasiritousi, 2009; Kaufmann &amp; Kraay, 2015)</w:t>
      </w:r>
      <w:r>
        <w:fldChar w:fldCharType="end"/>
      </w:r>
      <w:r>
        <w:t xml:space="preserve">. In this context, it has been suggested that the implementation of more sophisticated climate policies (such as feed-in-tariffs) are a foregone conclusion where poor state capacities are prevalent </w:t>
      </w:r>
      <w:r>
        <w:fldChar w:fldCharType="begin" w:fldLock="1"/>
      </w:r>
      <w:r w:rsidR="00AE1CAD">
        <w:instrText>ADDIN CSL_CITATION {"citationItems":[{"id":"ITEM-1","itemData":{"DOI":"10.1038/nclimate2370","ISSN":"1758-678X","author":[{"dropping-particle":"","family":"Jakob","given":"Michael","non-dropping-particle":"","parse-names":false,"suffix":""},{"dropping-particle":"","family":"Steckel","given":"Jan Christoph","non-dropping-particle":"","parse-names":false,"suffix":""},{"dropping-particle":"","family":"Klasen","given":"Stephan","non-dropping-particle":"","parse-names":false,"suffix":""},{"dropping-particle":"","family":"Lay","given":"Jann","non-dropping-particle":"","parse-names":false,"suffix":""},{"dropping-particle":"","family":"Grunewald","given":"Nicole","non-dropping-particle":"","parse-names":false,"suffix":""},{"dropping-particle":"","family":"Martínez-Zarzoso","given":"Inmaculada","non-dropping-particle":"","parse-names":false,"suffix":""},{"dropping-particle":"","family":"Renner","given":"Sebastian","non-dropping-particle":"","parse-names":false,"suffix":""},{"dropping-particle":"","family":"Edenhofer","given":"Ottmar","non-dropping-particle":"","parse-names":false,"suffix":""}],"container-title":"Nature Climate Change","id":"ITEM-1","issue":"11","issued":{"date-parts":[["2014","10","29"]]},"page":"961-968","publisher":"Nature Publishing Group","title":"Feasible mitigation actions in developing countries","type":"article-journal","volume":"4"},"uris":["http://www.mendeley.com/documents/?uuid=98e1a560-7601-47fb-a215-571a93f1bccc"]}],"mendeley":{"formattedCitation":"(Jakob et al., 2014)","plainTextFormattedCitation":"(Jakob et al., 2014)","previouslyFormattedCitation":"(Jakob et al., 2014)"},"properties":{"noteIndex":0},"schema":"https://github.com/citation-style-language/schema/raw/master/csl-citation.json"}</w:instrText>
      </w:r>
      <w:r>
        <w:fldChar w:fldCharType="separate"/>
      </w:r>
      <w:r w:rsidR="00B53BF6" w:rsidRPr="00B53BF6">
        <w:rPr>
          <w:noProof/>
        </w:rPr>
        <w:t>(Jakob et al., 2014)</w:t>
      </w:r>
      <w:r>
        <w:fldChar w:fldCharType="end"/>
      </w:r>
      <w:r>
        <w:t xml:space="preserve">. Indeed, there are strong positive correlations between weighted carbon prices levels and subjective scores of “government effectiveness” and “regulatory quality” </w:t>
      </w:r>
      <w:r>
        <w:fldChar w:fldCharType="begin" w:fldLock="1"/>
      </w:r>
      <w:r w:rsidR="00AE1CAD">
        <w:instrText>ADDIN CSL_CITATION {"citationItems":[{"id":"ITEM-1","itemData":{"URL":"http://info.worldbank.org/governance/wgi/index.aspx","author":[{"dropping-particle":"","family":"Kaufmann","given":"Daniel","non-dropping-particle":"","parse-names":false,"suffix":""},{"dropping-particle":"","family":"Kraay","given":"Aart","non-dropping-particle":"","parse-names":false,"suffix":""}],"id":"ITEM-1","issued":{"date-parts":[["2015"]]},"title":"World Governance Indicators","type":"webpage"},"prefix":"see ","uris":["http://www.mendeley.com/documents/?uuid=5bec128a-865d-4f2c-8ad6-c91af5f5012b"]}],"mendeley":{"formattedCitation":"(see Kaufmann &amp; Kraay, 2015)","plainTextFormattedCitation":"(see Kaufmann &amp; Kraay, 2015)","previouslyFormattedCitation":"(see Kaufmann &amp; Kraay, 2015)"},"properties":{"noteIndex":0},"schema":"https://github.com/citation-style-language/schema/raw/master/csl-citation.json"}</w:instrText>
      </w:r>
      <w:r>
        <w:fldChar w:fldCharType="separate"/>
      </w:r>
      <w:r w:rsidR="00B53BF6" w:rsidRPr="00B53BF6">
        <w:rPr>
          <w:noProof/>
        </w:rPr>
        <w:t>(see Kaufmann &amp; Kraay, 2015)</w:t>
      </w:r>
      <w:r>
        <w:fldChar w:fldCharType="end"/>
      </w:r>
      <w:r>
        <w:t xml:space="preserve">, even after controlling for GDP </w:t>
      </w:r>
      <w:r>
        <w:fldChar w:fldCharType="begin" w:fldLock="1"/>
      </w:r>
      <w:r w:rsidR="00AE1CAD">
        <w:instrText>ADDIN CSL_CITATION {"citationItems":[{"id":"ITEM-1","itemData":{"author":[{"dropping-particle":"","family":"Levi","given":"Sebastian","non-dropping-particle":"","parse-names":false,"suffix":""},{"dropping-particle":"","family":"Flachsland","given":"Christian","non-dropping-particle":"","parse-names":false,"suffix":""},{"dropping-particle":"","family":"Jakob","given":"Michael","non-dropping-particle":"","parse-names":false,"suffix":""}],"id":"ITEM-1","issued":{"date-parts":[["2019"]]},"title":"Political Economy Determinants of Carbon Pricing","type":"report"},"uris":["http://www.mendeley.com/documents/?uuid=e735e56c-ae2c-4e9e-8dcb-dbdd5ff69b92"]}],"mendeley":{"formattedCitation":"(Levi et al., 2019)","plainTextFormattedCitation":"(Levi et al., 2019)","previouslyFormattedCitation":"(Levi et al., 2019)"},"properties":{"noteIndex":0},"schema":"https://github.com/citation-style-language/schema/raw/master/csl-citation.json"}</w:instrText>
      </w:r>
      <w:r>
        <w:fldChar w:fldCharType="separate"/>
      </w:r>
      <w:r w:rsidR="00B53BF6" w:rsidRPr="00B53BF6">
        <w:rPr>
          <w:noProof/>
        </w:rPr>
        <w:t>(Levi et al., 2019)</w:t>
      </w:r>
      <w:r>
        <w:fldChar w:fldCharType="end"/>
      </w:r>
      <w:r>
        <w:rPr>
          <w:rStyle w:val="FootnoteReference"/>
        </w:rPr>
        <w:footnoteReference w:id="4"/>
      </w:r>
      <w:r>
        <w:t xml:space="preserve">. Poor control of corruption is associated with a failure to reform fossil subsidies </w:t>
      </w:r>
      <w:r>
        <w:fldChar w:fldCharType="begin" w:fldLock="1"/>
      </w:r>
      <w:r w:rsidR="00AE1CAD">
        <w:instrText>ADDIN CSL_CITATION {"citationItems":[{"id":"ITEM-1","itemData":{"DOI":"doi:10.1596/1813-9450-6470","abstract":"This paper provides an empirical analysis of economic and political determinants of gasoline and diesel prices for about 200 countries over the period 1991-2010. A range of both political and economic variables are found to systematically influence fuel prices, and in ways that differ systematically with countries’ per-capita income levels. For democracies, the analysis finds that fuel prices correlate positively with both duration of democracy and tenure of democratic leaders. In non-democratic societies there is more often no such relationship or it is the opposite of that for democracies. Regime switches -- transitions from non-democratic to democratic government, or vice versa -- reduce fuel prices. Fuel prices are also lower for more corrupt, or more centralized, governments. Higher levels of gross domestic product per capita lead to higher fuel prices, while export income from selling fossil fuels reduces these prices dramatically. Higher motor fuel consumption also appears to reduce fuel prices, most for gasoline. Absolute","author":[{"dropping-particle":"","family":"Beers","given":"Cees","non-dropping-particle":"van","parse-names":false,"suffix":""},{"dropping-particle":"","family":"Strand","given":"Jon","non-dropping-particle":"","parse-names":false,"suffix":""}],"collection-title":"Policy Research Working Paper","id":"ITEM-1","issue":"May","issued":{"date-parts":[["2013"]]},"number":"6470","title":"Political determinants of fossil fuel pricing","type":"report"},"uris":["http://www.mendeley.com/documents/?uuid=ca06098b-c993-459d-9e61-04ce3d8808ff"]}],"mendeley":{"formattedCitation":"(van Beers &amp; Strand, 2013)","plainTextFormattedCitation":"(van Beers &amp; Strand, 2013)","previouslyFormattedCitation":"(van Beers &amp; Strand, 2013)"},"properties":{"noteIndex":0},"schema":"https://github.com/citation-style-language/schema/raw/master/csl-citation.json"}</w:instrText>
      </w:r>
      <w:r>
        <w:fldChar w:fldCharType="separate"/>
      </w:r>
      <w:r w:rsidR="00B53BF6" w:rsidRPr="00B53BF6">
        <w:rPr>
          <w:noProof/>
        </w:rPr>
        <w:t>(van Beers &amp; Strand, 2013)</w:t>
      </w:r>
      <w:r>
        <w:fldChar w:fldCharType="end"/>
      </w:r>
      <w:r>
        <w:t xml:space="preserve"> and carbon tax stringency </w:t>
      </w:r>
      <w:r>
        <w:fldChar w:fldCharType="begin" w:fldLock="1"/>
      </w:r>
      <w:r w:rsidR="00AE1CAD">
        <w:instrText>ADDIN CSL_CITATION {"citationItems":[{"id":"ITEM-1","itemData":{"author":[{"dropping-particle":"","family":"Levi","given":"Sebastian","non-dropping-particle":"","parse-names":false,"suffix":""},{"dropping-particle":"","family":"Flachsland","given":"Christian","non-dropping-particle":"","parse-names":false,"suffix":""},{"dropping-particle":"","family":"Jakob","given":"Michael","non-dropping-particle":"","parse-names":false,"suffix":""}],"id":"ITEM-1","issued":{"date-parts":[["2019"]]},"title":"Political Economy Determinants of Carbon Pricing","type":"report"},"uris":["http://www.mendeley.com/documents/?uuid=e735e56c-ae2c-4e9e-8dcb-dbdd5ff69b92"]}],"mendeley":{"formattedCitation":"(Levi et al., 2019)","plainTextFormattedCitation":"(Levi et al., 2019)","previouslyFormattedCitation":"(Levi et al., 2019)"},"properties":{"noteIndex":0},"schema":"https://github.com/citation-style-language/schema/raw/master/csl-citation.json"}</w:instrText>
      </w:r>
      <w:r>
        <w:fldChar w:fldCharType="separate"/>
      </w:r>
      <w:r w:rsidR="00B53BF6" w:rsidRPr="00B53BF6">
        <w:rPr>
          <w:noProof/>
        </w:rPr>
        <w:t>(Levi et al., 2019)</w:t>
      </w:r>
      <w:r>
        <w:fldChar w:fldCharType="end"/>
      </w:r>
      <w:r>
        <w:t xml:space="preserve">. In the extensive development literature, poor state capacity is </w:t>
      </w:r>
      <w:r w:rsidR="00E25ED8">
        <w:t>linked to</w:t>
      </w:r>
      <w:r>
        <w:t xml:space="preserve"> a wide range of public provisioning failures, such as underinvestment in health services, poor economic performance (</w:t>
      </w:r>
      <w:r w:rsidR="00E25ED8">
        <w:t>i.e.</w:t>
      </w:r>
      <w:r>
        <w:t xml:space="preserve"> GDP), low environmental quality (air pollution, carbon emissions), and poor human well-being outcomes </w:t>
      </w:r>
      <w:r>
        <w:fldChar w:fldCharType="begin" w:fldLock="1"/>
      </w:r>
      <w:r w:rsidR="00AE1CAD">
        <w:instrText>ADDIN CSL_CITATION {"citationItems":[{"id":"ITEM-1","itemData":{"DOI":"10.1146/annurev-polisci-100608-104510","ISBN":"1094-2939\\n1545-1577","ISSN":"1094-2939","abstract":"In development policy, international organizations have shifted their focus to the importance of good governance and sound institutions. The theory behind this is that only with a high quality of government (QoG) can a country reap the benefits of economic growth and social development. We review the research behind this policy shift and offer a first benchmark statistical analysis. The first section contains a review of the conceptual discussion of what QoG means. Second, we present four salient approaches pertaining to the outcomes of QoG: the debates concerning QoG and democracy, economic growth, corruption, and the rule of law. The third section uses insights gained from these debates to focus on the policy outcomes of QoG—its effects on social well-being, public health, and environmental sustainability. We conclude by discussing possible pitfalls in future research on QoG and development.","author":[{"dropping-particle":"","family":"Holmberg","given":"Sören","non-dropping-particle":"","parse-names":false,"suffix":""},{"dropping-particle":"","family":"Rothstein","given":"Bo","non-dropping-particle":"","parse-names":false,"suffix":""},{"dropping-particle":"","family":"Nasiritousi","given":"Naghmeh","non-dropping-particle":"","parse-names":false,"suffix":""}],"container-title":"Annual Review of Political Science","id":"ITEM-1","issue":"1","issued":{"date-parts":[["2009"]]},"page":"135-161","title":"Quality of Government: What You Get","type":"article-journal","volume":"12"},"uris":["http://www.mendeley.com/documents/?uuid=d9b408fb-c879-4801-ba10-aa66a3df3991"]},{"id":"ITEM-2","itemData":{"DOI":"10.1111/joes.12065","ISBN":"09500804","ISSN":"14676419","abstract":"There is increasing realization that state capacity is a fundamental ingredient for effective governance, and is a crucial element of long‐run economic development. This paper offers an overview of the strengths and limitations in current empirical research on the measurement of state capacity. The paper also surveys the fast emerging literature on the determinants and effects of state capacity. We argue that existing measures on governance quality used in cross‐national research can be usefully exploited to capture different aspects of state capacity, and show that post the end of the Cold War, developing economies have experienced improvements in legal, administrative and bureaucratic capacity, but the gap with advanced economies is still wide. Future research should address the short temporal coverage of available measures of state capacity, as well as providing a systematic quantitative assessment of the determinants of capacity and of its effects on development outcomes, such as health and education, which have not received sufficient scrutiny.","author":[{"dropping-particle":"","family":"Savoia","given":"Antonio","non-dropping-particle":"","parse-names":false,"suffix":""},{"dropping-particle":"","family":"Sen","given":"Kunal","non-dropping-particle":"","parse-names":false,"suffix":""}],"container-title":"Journal of Economic Surveys","id":"ITEM-2","issue":"3","issued":{"date-parts":[["2015"]]},"page":"441-458","title":"Measurement, evolution, determinants, and consequences of state capacity: A review of recent research","type":"article-journal","volume":"29"},"uris":["http://www.mendeley.com/documents/?uuid=03ba9534-b560-4c12-9361-363658d58b93"]},{"id":"ITEM-3","itemData":{"author":[{"dropping-particle":"","family":"Easterly","given":"William","non-dropping-particle":"","parse-names":false,"suffix":""},{"dropping-particle":"","family":"Ritzan","given":"Jozef","non-dropping-particle":"","parse-names":false,"suffix":""},{"dropping-particle":"","family":"Woolcock","given":"Michael","non-dropping-particle":"","parse-names":false,"suffix":""}],"id":"ITEM-3","issue":"94","issued":{"date-parts":[["2006"]]},"number":"94","title":"Social Cohesion, Institutions, and Growth","type":"report"},"uris":["http://www.mendeley.com/documents/?uuid=88e577b7-456f-4891-83e0-c66d00cc1c1f"]},{"id":"ITEM-4","itemData":{"DOI":"10.1017/S0007123409990287","ISSN":"0007-1234","author":[{"dropping-particle":"","family":"Dellepiane-Avellaneda","given":"Sebastian","non-dropping-particle":"","parse-names":false,"suffix":""}],"container-title":"British Journal of Political Science","id":"ITEM-4","issue":"01","issued":{"date-parts":[["2009","11","17"]]},"page":"195","title":"Review Article: Good Governance, Institutions and Economic Development: Beyond the Conventional Wisdom","type":"article-journal","volume":"40"},"uris":["http://www.mendeley.com/documents/?uuid=a7332e8b-22b9-4c61-af21-e78be8a607d5"]}],"mendeley":{"formattedCitation":"(Dellepiane-Avellaneda, 2009; Easterly, Ritzan, &amp; Woolcock, 2006; Holmberg et al., 2009; Savoia &amp; Sen, 2015)","plainTextFormattedCitation":"(Dellepiane-Avellaneda, 2009; Easterly, Ritzan, &amp; Woolcock, 2006; Holmberg et al., 2009; Savoia &amp; Sen, 2015)","previouslyFormattedCitation":"(Dellepiane-Avellaneda, 2009; Easterly, Ritzan, &amp; Woolcock, 2006; Holmberg et al., 2009; Savoia &amp; Sen, 2015)"},"properties":{"noteIndex":0},"schema":"https://github.com/citation-style-language/schema/raw/master/csl-citation.json"}</w:instrText>
      </w:r>
      <w:r>
        <w:fldChar w:fldCharType="separate"/>
      </w:r>
      <w:r w:rsidR="00B53BF6" w:rsidRPr="00B53BF6">
        <w:rPr>
          <w:noProof/>
        </w:rPr>
        <w:t>(Dellepiane-Avellaneda, 2009; Easterly, Ritzan, &amp; Woolcock, 2006; Holmberg et al., 2009; Savoia &amp; Sen, 2015)</w:t>
      </w:r>
      <w:r>
        <w:fldChar w:fldCharType="end"/>
      </w:r>
      <w:r>
        <w:t xml:space="preserve">. </w:t>
      </w:r>
    </w:p>
    <w:p w14:paraId="488B67DF" w14:textId="77777777" w:rsidR="00471563" w:rsidRDefault="00471563" w:rsidP="00866B91">
      <w:pPr>
        <w:spacing w:line="360" w:lineRule="auto"/>
      </w:pPr>
    </w:p>
    <w:p w14:paraId="75D9C46B" w14:textId="3E87E38D" w:rsidR="008F3B76" w:rsidRDefault="008F3B76" w:rsidP="0021445B">
      <w:pPr>
        <w:spacing w:line="360" w:lineRule="auto"/>
        <w:sectPr w:rsidR="008F3B76" w:rsidSect="00713B11">
          <w:headerReference w:type="default" r:id="rId10"/>
          <w:footerReference w:type="default" r:id="rId11"/>
          <w:pgSz w:w="11906" w:h="16838"/>
          <w:pgMar w:top="1418" w:right="1418" w:bottom="1134" w:left="1418" w:header="709" w:footer="709" w:gutter="0"/>
          <w:lnNumType w:countBy="1" w:restart="continuous"/>
          <w:cols w:space="708"/>
          <w:docGrid w:linePitch="360"/>
        </w:sectPr>
      </w:pPr>
    </w:p>
    <w:tbl>
      <w:tblPr>
        <w:tblStyle w:val="TableGrid"/>
        <w:tblW w:w="14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126"/>
        <w:gridCol w:w="3636"/>
        <w:gridCol w:w="3637"/>
        <w:gridCol w:w="3637"/>
      </w:tblGrid>
      <w:tr w:rsidR="007D03A6" w14:paraId="27CE492A" w14:textId="08E89376" w:rsidTr="00B53BF6">
        <w:trPr>
          <w:trHeight w:val="699"/>
        </w:trPr>
        <w:tc>
          <w:tcPr>
            <w:tcW w:w="1418" w:type="dxa"/>
            <w:vMerge w:val="restart"/>
            <w:tcBorders>
              <w:top w:val="single" w:sz="4" w:space="0" w:color="auto"/>
              <w:bottom w:val="single" w:sz="4" w:space="0" w:color="auto"/>
            </w:tcBorders>
          </w:tcPr>
          <w:p w14:paraId="3FDA2515" w14:textId="77777777" w:rsidR="007D03A6" w:rsidRPr="00C61ACB" w:rsidRDefault="007D03A6" w:rsidP="00CB232A">
            <w:pPr>
              <w:rPr>
                <w:b/>
              </w:rPr>
            </w:pPr>
            <w:r w:rsidRPr="00C61ACB">
              <w:rPr>
                <w:b/>
              </w:rPr>
              <w:lastRenderedPageBreak/>
              <w:t>Study</w:t>
            </w:r>
          </w:p>
        </w:tc>
        <w:tc>
          <w:tcPr>
            <w:tcW w:w="2126" w:type="dxa"/>
            <w:vMerge w:val="restart"/>
            <w:tcBorders>
              <w:top w:val="single" w:sz="4" w:space="0" w:color="auto"/>
              <w:bottom w:val="single" w:sz="4" w:space="0" w:color="auto"/>
            </w:tcBorders>
          </w:tcPr>
          <w:p w14:paraId="2ECD7CC2" w14:textId="77777777" w:rsidR="007D03A6" w:rsidRPr="00C61ACB" w:rsidRDefault="007D03A6" w:rsidP="00CB232A">
            <w:pPr>
              <w:rPr>
                <w:b/>
              </w:rPr>
            </w:pPr>
            <w:r w:rsidRPr="00C61ACB">
              <w:rPr>
                <w:b/>
              </w:rPr>
              <w:t>Dependent</w:t>
            </w:r>
          </w:p>
        </w:tc>
        <w:tc>
          <w:tcPr>
            <w:tcW w:w="10910" w:type="dxa"/>
            <w:gridSpan w:val="3"/>
            <w:tcBorders>
              <w:top w:val="single" w:sz="4" w:space="0" w:color="auto"/>
              <w:bottom w:val="single" w:sz="4" w:space="0" w:color="auto"/>
            </w:tcBorders>
          </w:tcPr>
          <w:p w14:paraId="77A1488E" w14:textId="327F1BFE" w:rsidR="007D03A6" w:rsidRDefault="006E1150" w:rsidP="00CB232A">
            <w:pPr>
              <w:rPr>
                <w:b/>
              </w:rPr>
            </w:pPr>
            <w:r>
              <w:rPr>
                <w:b/>
              </w:rPr>
              <w:t>Identified c</w:t>
            </w:r>
            <w:r w:rsidR="007D03A6" w:rsidRPr="00C61ACB">
              <w:rPr>
                <w:b/>
              </w:rPr>
              <w:t xml:space="preserve">onstraints and their reported effects on the adoption and stringency of climate legislation and policy </w:t>
            </w:r>
          </w:p>
          <w:p w14:paraId="5D6DDD1F" w14:textId="60EF5835" w:rsidR="007D03A6" w:rsidRPr="00C61ACB" w:rsidRDefault="007D03A6" w:rsidP="00EE7FAE">
            <w:pPr>
              <w:rPr>
                <w:b/>
              </w:rPr>
            </w:pPr>
            <w:r w:rsidRPr="00C61ACB">
              <w:rPr>
                <w:b/>
              </w:rPr>
              <w:t>(</w:t>
            </w:r>
            <w:r w:rsidRPr="00EE7FAE">
              <w:rPr>
                <w:b/>
                <w:color w:val="00B050"/>
              </w:rPr>
              <w:t xml:space="preserve">+ higher value increases </w:t>
            </w:r>
            <w:r w:rsidR="00EE7FAE">
              <w:rPr>
                <w:b/>
                <w:color w:val="00B050"/>
              </w:rPr>
              <w:t>adoption/stringency</w:t>
            </w:r>
            <w:r w:rsidRPr="00EE7FAE">
              <w:rPr>
                <w:b/>
                <w:color w:val="00B050"/>
              </w:rPr>
              <w:t xml:space="preserve"> </w:t>
            </w:r>
            <w:r>
              <w:rPr>
                <w:b/>
              </w:rPr>
              <w:t xml:space="preserve">| </w:t>
            </w:r>
            <w:r w:rsidRPr="00EE7FAE">
              <w:rPr>
                <w:b/>
                <w:color w:val="FF0000"/>
              </w:rPr>
              <w:t xml:space="preserve">- decreases </w:t>
            </w:r>
            <w:r w:rsidR="00EE7FAE" w:rsidRPr="00EE7FAE">
              <w:rPr>
                <w:b/>
                <w:color w:val="FF0000"/>
              </w:rPr>
              <w:t xml:space="preserve">adoption/stringency </w:t>
            </w:r>
            <w:r>
              <w:rPr>
                <w:b/>
              </w:rPr>
              <w:t xml:space="preserve">| </w:t>
            </w:r>
            <w:r w:rsidR="00B53B65">
              <w:rPr>
                <w:color w:val="FFC000"/>
              </w:rPr>
              <w:t>0</w:t>
            </w:r>
            <w:r w:rsidRPr="00EE7FAE">
              <w:rPr>
                <w:b/>
                <w:color w:val="FFC000"/>
              </w:rPr>
              <w:t xml:space="preserve"> no effect</w:t>
            </w:r>
            <w:r w:rsidRPr="00C61ACB">
              <w:rPr>
                <w:b/>
              </w:rPr>
              <w:t>)</w:t>
            </w:r>
          </w:p>
        </w:tc>
      </w:tr>
      <w:tr w:rsidR="007D03A6" w14:paraId="0D0E08FF" w14:textId="5AC8E47F" w:rsidTr="00B53BF6">
        <w:tc>
          <w:tcPr>
            <w:tcW w:w="1418" w:type="dxa"/>
            <w:vMerge/>
            <w:tcBorders>
              <w:top w:val="single" w:sz="4" w:space="0" w:color="auto"/>
              <w:bottom w:val="single" w:sz="4" w:space="0" w:color="auto"/>
            </w:tcBorders>
          </w:tcPr>
          <w:p w14:paraId="7D5F3E67" w14:textId="77777777" w:rsidR="007D03A6" w:rsidRPr="00C61ACB" w:rsidRDefault="007D03A6" w:rsidP="00CB232A">
            <w:pPr>
              <w:rPr>
                <w:b/>
              </w:rPr>
            </w:pPr>
          </w:p>
        </w:tc>
        <w:tc>
          <w:tcPr>
            <w:tcW w:w="2126" w:type="dxa"/>
            <w:vMerge/>
            <w:tcBorders>
              <w:top w:val="single" w:sz="4" w:space="0" w:color="auto"/>
              <w:bottom w:val="single" w:sz="4" w:space="0" w:color="auto"/>
            </w:tcBorders>
          </w:tcPr>
          <w:p w14:paraId="49E9F8C4" w14:textId="77777777" w:rsidR="007D03A6" w:rsidRPr="00C61ACB" w:rsidRDefault="007D03A6" w:rsidP="00CB232A">
            <w:pPr>
              <w:rPr>
                <w:b/>
              </w:rPr>
            </w:pPr>
          </w:p>
        </w:tc>
        <w:tc>
          <w:tcPr>
            <w:tcW w:w="3636" w:type="dxa"/>
            <w:tcBorders>
              <w:top w:val="single" w:sz="4" w:space="0" w:color="auto"/>
              <w:bottom w:val="single" w:sz="4" w:space="0" w:color="auto"/>
            </w:tcBorders>
          </w:tcPr>
          <w:p w14:paraId="2FF96114" w14:textId="4DBBB36D" w:rsidR="007D03A6" w:rsidRPr="00C61ACB" w:rsidRDefault="007D03A6" w:rsidP="00CB232A">
            <w:pPr>
              <w:rPr>
                <w:b/>
              </w:rPr>
            </w:pPr>
            <w:r w:rsidRPr="00C61ACB">
              <w:rPr>
                <w:b/>
              </w:rPr>
              <w:t>Interests</w:t>
            </w:r>
          </w:p>
        </w:tc>
        <w:tc>
          <w:tcPr>
            <w:tcW w:w="3637" w:type="dxa"/>
            <w:tcBorders>
              <w:top w:val="single" w:sz="4" w:space="0" w:color="auto"/>
              <w:bottom w:val="single" w:sz="4" w:space="0" w:color="auto"/>
            </w:tcBorders>
          </w:tcPr>
          <w:p w14:paraId="4842430C" w14:textId="34DF3158" w:rsidR="007D03A6" w:rsidRPr="00C61ACB" w:rsidRDefault="007D03A6" w:rsidP="00CB232A">
            <w:pPr>
              <w:rPr>
                <w:b/>
              </w:rPr>
            </w:pPr>
            <w:r w:rsidRPr="00C61ACB">
              <w:rPr>
                <w:b/>
              </w:rPr>
              <w:t>Institutions</w:t>
            </w:r>
          </w:p>
        </w:tc>
        <w:tc>
          <w:tcPr>
            <w:tcW w:w="3637" w:type="dxa"/>
            <w:tcBorders>
              <w:top w:val="single" w:sz="4" w:space="0" w:color="auto"/>
              <w:bottom w:val="single" w:sz="4" w:space="0" w:color="auto"/>
            </w:tcBorders>
          </w:tcPr>
          <w:p w14:paraId="67F2CE1A" w14:textId="7174C127" w:rsidR="007D03A6" w:rsidRPr="00C61ACB" w:rsidRDefault="007D03A6" w:rsidP="00CB232A">
            <w:pPr>
              <w:rPr>
                <w:b/>
              </w:rPr>
            </w:pPr>
            <w:r w:rsidRPr="00C61ACB">
              <w:rPr>
                <w:b/>
              </w:rPr>
              <w:t>Ideas</w:t>
            </w:r>
          </w:p>
        </w:tc>
      </w:tr>
      <w:tr w:rsidR="00C61ACB" w14:paraId="465E407F" w14:textId="68D99FD9" w:rsidTr="00B53BF6">
        <w:trPr>
          <w:trHeight w:val="2537"/>
        </w:trPr>
        <w:tc>
          <w:tcPr>
            <w:tcW w:w="1418" w:type="dxa"/>
            <w:tcBorders>
              <w:top w:val="single" w:sz="4" w:space="0" w:color="auto"/>
            </w:tcBorders>
          </w:tcPr>
          <w:p w14:paraId="2FD98F33" w14:textId="58096DEB" w:rsidR="00C61ACB" w:rsidRDefault="00C61ACB" w:rsidP="00CB232A">
            <w:r>
              <w:rPr>
                <w:lang w:val="de-DE"/>
              </w:rPr>
              <w:fldChar w:fldCharType="begin" w:fldLock="1"/>
            </w:r>
            <w:r w:rsidR="00AE1CAD">
              <w:instrText>ADDIN CSL_CITATION {"citationItems":[{"id":"ITEM-1","itemData":{"author":[{"dropping-particle":"","family":"Levi","given":"Sebastian","non-dropping-particle":"","parse-names":false,"suffix":""},{"dropping-particle":"","family":"Flachsland","given":"Christian","non-dropping-particle":"","parse-names":false,"suffix":""},{"dropping-particle":"","family":"Jakob","given":"Michael","non-dropping-particle":"","parse-names":false,"suffix":""}],"id":"ITEM-1","issued":{"date-parts":[["2019"]]},"title":"Political Economy Determinants of Carbon Pricing","type":"report"},"uris":["http://www.mendeley.com/documents/?uuid=e735e56c-ae2c-4e9e-8dcb-dbdd5ff69b92"]}],"mendeley":{"formattedCitation":"(Levi et al., 2019)","plainTextFormattedCitation":"(Levi et al., 2019)","previouslyFormattedCitation":"(Levi et al., 2019)"},"properties":{"noteIndex":0},"schema":"https://github.com/citation-style-language/schema/raw/master/csl-citation.json"}</w:instrText>
            </w:r>
            <w:r>
              <w:rPr>
                <w:lang w:val="de-DE"/>
              </w:rPr>
              <w:fldChar w:fldCharType="separate"/>
            </w:r>
            <w:r w:rsidR="00B53BF6" w:rsidRPr="00B53BF6">
              <w:rPr>
                <w:noProof/>
              </w:rPr>
              <w:t>(Levi et al., 2019)</w:t>
            </w:r>
            <w:r>
              <w:rPr>
                <w:lang w:val="de-DE"/>
              </w:rPr>
              <w:fldChar w:fldCharType="end"/>
            </w:r>
          </w:p>
        </w:tc>
        <w:tc>
          <w:tcPr>
            <w:tcW w:w="2126" w:type="dxa"/>
            <w:tcBorders>
              <w:top w:val="single" w:sz="4" w:space="0" w:color="auto"/>
            </w:tcBorders>
          </w:tcPr>
          <w:p w14:paraId="52D889A8" w14:textId="21E2EBFA" w:rsidR="00C61ACB" w:rsidRPr="00C61ACB" w:rsidRDefault="0021679D" w:rsidP="00CB232A">
            <w:pPr>
              <w:rPr>
                <w:b/>
              </w:rPr>
            </w:pPr>
            <w:r>
              <w:rPr>
                <w:b/>
              </w:rPr>
              <w:t>Climate p</w:t>
            </w:r>
            <w:r w:rsidR="00C61ACB" w:rsidRPr="00C61ACB">
              <w:rPr>
                <w:b/>
              </w:rPr>
              <w:t>olicy stringency</w:t>
            </w:r>
          </w:p>
          <w:p w14:paraId="4857612F" w14:textId="75396BFC" w:rsidR="00C61ACB" w:rsidRDefault="00C61ACB" w:rsidP="00235AFC">
            <w:r>
              <w:t>[</w:t>
            </w:r>
            <w:r w:rsidR="00235AFC">
              <w:t>We</w:t>
            </w:r>
            <w:r>
              <w:t xml:space="preserve">ighted carbon price level across 191 </w:t>
            </w:r>
            <w:r w:rsidR="00235AFC">
              <w:t>jurisdictions</w:t>
            </w:r>
            <w:r>
              <w:t>]</w:t>
            </w:r>
          </w:p>
        </w:tc>
        <w:tc>
          <w:tcPr>
            <w:tcW w:w="3636" w:type="dxa"/>
            <w:tcBorders>
              <w:top w:val="single" w:sz="4" w:space="0" w:color="auto"/>
            </w:tcBorders>
          </w:tcPr>
          <w:p w14:paraId="690F3E09" w14:textId="5D2CB361" w:rsidR="00474BDC" w:rsidRPr="000C5910" w:rsidRDefault="00474BDC" w:rsidP="00474BDC">
            <w:pPr>
              <w:rPr>
                <w:color w:val="00B050"/>
              </w:rPr>
            </w:pPr>
            <w:r w:rsidRPr="000C5910">
              <w:rPr>
                <w:color w:val="00B050"/>
              </w:rPr>
              <w:t xml:space="preserve">- </w:t>
            </w:r>
            <w:r w:rsidR="00007CAA" w:rsidRPr="000C5910">
              <w:rPr>
                <w:color w:val="00B050"/>
              </w:rPr>
              <w:t>S</w:t>
            </w:r>
            <w:r w:rsidRPr="000C5910">
              <w:rPr>
                <w:color w:val="00B050"/>
              </w:rPr>
              <w:t>hare of industry in GDP (+)</w:t>
            </w:r>
          </w:p>
          <w:p w14:paraId="10E79D4C" w14:textId="64FFE0D6" w:rsidR="00C61ACB" w:rsidRPr="000C5910" w:rsidRDefault="00C61ACB" w:rsidP="00CB232A">
            <w:pPr>
              <w:rPr>
                <w:color w:val="FF0000"/>
              </w:rPr>
            </w:pPr>
            <w:r w:rsidRPr="000C5910">
              <w:rPr>
                <w:color w:val="FF0000"/>
              </w:rPr>
              <w:t xml:space="preserve">- </w:t>
            </w:r>
            <w:r w:rsidR="00007CAA" w:rsidRPr="000C5910">
              <w:rPr>
                <w:color w:val="FF0000"/>
              </w:rPr>
              <w:t xml:space="preserve">Share of </w:t>
            </w:r>
            <w:r w:rsidRPr="000C5910">
              <w:rPr>
                <w:color w:val="FF0000"/>
              </w:rPr>
              <w:t>coal in ene</w:t>
            </w:r>
            <w:r w:rsidR="007D03A6">
              <w:rPr>
                <w:color w:val="FF0000"/>
              </w:rPr>
              <w:t>.</w:t>
            </w:r>
            <w:r w:rsidRPr="000C5910">
              <w:rPr>
                <w:color w:val="FF0000"/>
              </w:rPr>
              <w:t xml:space="preserve"> generation (-)</w:t>
            </w:r>
          </w:p>
          <w:p w14:paraId="464E56A1" w14:textId="01FBFABC" w:rsidR="00C61ACB" w:rsidRDefault="00C61ACB" w:rsidP="007D03A6">
            <w:r w:rsidRPr="000C5910">
              <w:rPr>
                <w:color w:val="FFC000"/>
              </w:rPr>
              <w:t xml:space="preserve">- </w:t>
            </w:r>
            <w:r w:rsidR="00007CAA" w:rsidRPr="000C5910">
              <w:rPr>
                <w:color w:val="FFC000"/>
              </w:rPr>
              <w:t xml:space="preserve">Share of </w:t>
            </w:r>
            <w:r w:rsidR="00474BDC" w:rsidRPr="000C5910">
              <w:rPr>
                <w:color w:val="FFC000"/>
              </w:rPr>
              <w:t>oil in</w:t>
            </w:r>
            <w:r w:rsidRPr="000C5910">
              <w:rPr>
                <w:color w:val="FFC000"/>
              </w:rPr>
              <w:t xml:space="preserve"> ene</w:t>
            </w:r>
            <w:r w:rsidR="007D03A6">
              <w:rPr>
                <w:color w:val="FFC000"/>
              </w:rPr>
              <w:t>.</w:t>
            </w:r>
            <w:r w:rsidRPr="000C5910">
              <w:rPr>
                <w:color w:val="FFC000"/>
              </w:rPr>
              <w:t xml:space="preserve"> generation </w:t>
            </w:r>
            <w:r w:rsidR="00474BDC" w:rsidRPr="000C5910">
              <w:rPr>
                <w:color w:val="FFC000"/>
              </w:rPr>
              <w:t>(</w:t>
            </w:r>
            <w:r w:rsidR="00B53B65">
              <w:rPr>
                <w:color w:val="FFC000"/>
              </w:rPr>
              <w:t>0</w:t>
            </w:r>
            <w:r w:rsidR="00474BDC" w:rsidRPr="000C5910">
              <w:rPr>
                <w:color w:val="FFC000"/>
              </w:rPr>
              <w:t>)</w:t>
            </w:r>
          </w:p>
        </w:tc>
        <w:tc>
          <w:tcPr>
            <w:tcW w:w="3637" w:type="dxa"/>
            <w:tcBorders>
              <w:top w:val="single" w:sz="4" w:space="0" w:color="auto"/>
            </w:tcBorders>
          </w:tcPr>
          <w:p w14:paraId="0DD23FF3" w14:textId="00E593E6" w:rsidR="00C61ACB" w:rsidRPr="000C5910" w:rsidRDefault="00C61ACB" w:rsidP="00C61ACB">
            <w:pPr>
              <w:rPr>
                <w:color w:val="00B050"/>
              </w:rPr>
            </w:pPr>
            <w:r w:rsidRPr="000C5910">
              <w:rPr>
                <w:color w:val="00B050"/>
              </w:rPr>
              <w:t xml:space="preserve">- </w:t>
            </w:r>
            <w:r w:rsidR="000C5910" w:rsidRPr="000C5910">
              <w:rPr>
                <w:color w:val="00B050"/>
              </w:rPr>
              <w:t>D</w:t>
            </w:r>
            <w:r w:rsidRPr="000C5910">
              <w:rPr>
                <w:color w:val="00B050"/>
              </w:rPr>
              <w:t>emocracy index score (+)</w:t>
            </w:r>
          </w:p>
          <w:p w14:paraId="55EBF703" w14:textId="797F5AB9" w:rsidR="00C61ACB" w:rsidRPr="000C5910" w:rsidRDefault="00C61ACB" w:rsidP="00C61ACB">
            <w:pPr>
              <w:rPr>
                <w:color w:val="00B050"/>
              </w:rPr>
            </w:pPr>
            <w:r w:rsidRPr="000C5910">
              <w:rPr>
                <w:color w:val="00B050"/>
              </w:rPr>
              <w:t xml:space="preserve">- </w:t>
            </w:r>
            <w:r w:rsidR="000C5910" w:rsidRPr="000C5910">
              <w:rPr>
                <w:color w:val="00B050"/>
              </w:rPr>
              <w:t>G</w:t>
            </w:r>
            <w:r w:rsidRPr="000C5910">
              <w:rPr>
                <w:color w:val="00B050"/>
              </w:rPr>
              <w:t>overnment effectiveness (+)</w:t>
            </w:r>
          </w:p>
          <w:p w14:paraId="58700E99" w14:textId="102DAA8C" w:rsidR="00C61ACB" w:rsidRPr="000C5910" w:rsidRDefault="00C61ACB" w:rsidP="00C61ACB">
            <w:pPr>
              <w:rPr>
                <w:color w:val="00B050"/>
              </w:rPr>
            </w:pPr>
            <w:r w:rsidRPr="000C5910">
              <w:rPr>
                <w:color w:val="00B050"/>
              </w:rPr>
              <w:t xml:space="preserve">- </w:t>
            </w:r>
            <w:r w:rsidR="000C5910" w:rsidRPr="000C5910">
              <w:rPr>
                <w:color w:val="00B050"/>
              </w:rPr>
              <w:t>C</w:t>
            </w:r>
            <w:r w:rsidRPr="000C5910">
              <w:rPr>
                <w:color w:val="00B050"/>
              </w:rPr>
              <w:t>ontrol of corruption (+)</w:t>
            </w:r>
          </w:p>
          <w:p w14:paraId="5DECDB9F" w14:textId="023EEB80" w:rsidR="00C61ACB" w:rsidRPr="000C5910" w:rsidRDefault="00C61ACB" w:rsidP="00C61ACB">
            <w:pPr>
              <w:rPr>
                <w:color w:val="00B050"/>
              </w:rPr>
            </w:pPr>
            <w:r w:rsidRPr="000C5910">
              <w:rPr>
                <w:color w:val="00B050"/>
              </w:rPr>
              <w:t>- Multilevel governance (e.g. EU) (+)</w:t>
            </w:r>
          </w:p>
          <w:p w14:paraId="6D41354B" w14:textId="0C510EF6" w:rsidR="00C61ACB" w:rsidRPr="000C5910" w:rsidRDefault="00C61ACB" w:rsidP="00C61ACB">
            <w:pPr>
              <w:rPr>
                <w:color w:val="00B050"/>
              </w:rPr>
            </w:pPr>
            <w:r w:rsidRPr="000C5910">
              <w:rPr>
                <w:color w:val="00B050"/>
              </w:rPr>
              <w:t xml:space="preserve">- </w:t>
            </w:r>
            <w:r w:rsidR="000C5910" w:rsidRPr="000C5910">
              <w:rPr>
                <w:color w:val="00B050"/>
              </w:rPr>
              <w:t>D</w:t>
            </w:r>
            <w:r w:rsidRPr="000C5910">
              <w:rPr>
                <w:color w:val="00B050"/>
              </w:rPr>
              <w:t>evelopme</w:t>
            </w:r>
            <w:r w:rsidR="00F51D59">
              <w:rPr>
                <w:color w:val="00B050"/>
              </w:rPr>
              <w:t>n</w:t>
            </w:r>
            <w:r w:rsidRPr="000C5910">
              <w:rPr>
                <w:color w:val="00B050"/>
              </w:rPr>
              <w:t>t level (GDP) (+)</w:t>
            </w:r>
          </w:p>
          <w:p w14:paraId="026FA2DE" w14:textId="0062ABF5" w:rsidR="00474BDC" w:rsidRPr="000C5910" w:rsidRDefault="00474BDC" w:rsidP="00474BDC">
            <w:pPr>
              <w:rPr>
                <w:color w:val="FFC000"/>
              </w:rPr>
            </w:pPr>
            <w:r w:rsidRPr="000C5910">
              <w:rPr>
                <w:color w:val="FFC000"/>
              </w:rPr>
              <w:t>- Political concentration (veto points) (</w:t>
            </w:r>
            <w:r w:rsidR="00B53B65">
              <w:rPr>
                <w:color w:val="FFC000"/>
              </w:rPr>
              <w:t>0</w:t>
            </w:r>
            <w:r w:rsidRPr="000C5910">
              <w:rPr>
                <w:color w:val="FFC000"/>
              </w:rPr>
              <w:t>)</w:t>
            </w:r>
          </w:p>
          <w:p w14:paraId="43627E5A" w14:textId="39933163" w:rsidR="00C61ACB" w:rsidRDefault="00474BDC" w:rsidP="00474BDC">
            <w:r w:rsidRPr="000C5910">
              <w:rPr>
                <w:color w:val="FFC000"/>
              </w:rPr>
              <w:t>- Majoritarian voting system (</w:t>
            </w:r>
            <w:r w:rsidR="00B53B65">
              <w:rPr>
                <w:color w:val="FFC000"/>
              </w:rPr>
              <w:t>0</w:t>
            </w:r>
            <w:r w:rsidRPr="000C5910">
              <w:rPr>
                <w:color w:val="FFC000"/>
              </w:rPr>
              <w:t>)</w:t>
            </w:r>
          </w:p>
        </w:tc>
        <w:tc>
          <w:tcPr>
            <w:tcW w:w="3637" w:type="dxa"/>
            <w:tcBorders>
              <w:top w:val="single" w:sz="4" w:space="0" w:color="auto"/>
            </w:tcBorders>
          </w:tcPr>
          <w:p w14:paraId="5103B984" w14:textId="77777777" w:rsidR="00C61ACB" w:rsidRPr="000C5910" w:rsidRDefault="00C61ACB" w:rsidP="00C61ACB">
            <w:pPr>
              <w:rPr>
                <w:color w:val="00B050"/>
              </w:rPr>
            </w:pPr>
            <w:r w:rsidRPr="000C5910">
              <w:rPr>
                <w:color w:val="00B050"/>
              </w:rPr>
              <w:t>- High public belief in human-made climate change (+)</w:t>
            </w:r>
          </w:p>
          <w:p w14:paraId="7FD630F4" w14:textId="77777777" w:rsidR="00C61ACB" w:rsidRDefault="00C61ACB" w:rsidP="00CB232A"/>
        </w:tc>
      </w:tr>
      <w:tr w:rsidR="00C61ACB" w14:paraId="333B8AF3" w14:textId="5720FAC6" w:rsidTr="00B53BF6">
        <w:trPr>
          <w:trHeight w:val="2566"/>
        </w:trPr>
        <w:tc>
          <w:tcPr>
            <w:tcW w:w="1418" w:type="dxa"/>
            <w:vMerge w:val="restart"/>
          </w:tcPr>
          <w:p w14:paraId="28DD1218" w14:textId="48F5F42B" w:rsidR="00C61ACB" w:rsidRDefault="00C61ACB" w:rsidP="00CB232A">
            <w:r>
              <w:fldChar w:fldCharType="begin" w:fldLock="1"/>
            </w:r>
            <w:r w:rsidR="00AE1CAD">
              <w:instrText>ADDIN CSL_CITATION {"citationItems":[{"id":"ITEM-1","itemData":{"DOI":"10.17863/CAM.7825","abstract":"In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 Abstract 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schemes.","author":[{"dropping-particle":"","family":"Dolphin","given":"G. G.","non-dropping-particle":"","parse-names":false,"suffix":""},{"dropping-particle":"","family":"Pollitt","given":"M. G.","non-dropping-particle":"","parse-names":false,"suffix":""},{"dropping-particle":"","family":"Newbery","given":"D. G.","non-dropping-particle":"","parse-names":false,"suffix":""}],"collection-title":"Cambridge Working Paper Economics","id":"ITEM-1","issued":{"date-parts":[["2016"]]},"number":"1663","number-of-pages":"1-45","publisher-place":"Cambrdige, UK","title":"The Political Economy of Carbon Pricing: a Panel Analysis","type":"report"},"uris":["http://www.mendeley.com/documents/?uuid=6e269377-11ab-4240-a1eb-07b94f1ee52b"]}],"mendeley":{"formattedCitation":"(Dolphin et al., 2016)","plainTextFormattedCitation":"(Dolphin et al., 2016)","previouslyFormattedCitation":"(Dolphin et al., 2016)"},"properties":{"noteIndex":0},"schema":"https://github.com/citation-style-language/schema/raw/master/csl-citation.json"}</w:instrText>
            </w:r>
            <w:r>
              <w:fldChar w:fldCharType="separate"/>
            </w:r>
            <w:r w:rsidR="00B53BF6" w:rsidRPr="00B53BF6">
              <w:rPr>
                <w:noProof/>
              </w:rPr>
              <w:t>(Dolphin et al., 2016)</w:t>
            </w:r>
            <w:r>
              <w:fldChar w:fldCharType="end"/>
            </w:r>
          </w:p>
        </w:tc>
        <w:tc>
          <w:tcPr>
            <w:tcW w:w="2126" w:type="dxa"/>
          </w:tcPr>
          <w:p w14:paraId="4055C1B7" w14:textId="439B7658" w:rsidR="00C61ACB" w:rsidRPr="00355664" w:rsidRDefault="00C61ACB" w:rsidP="00CB232A">
            <w:pPr>
              <w:rPr>
                <w:b/>
              </w:rPr>
            </w:pPr>
            <w:r w:rsidRPr="00355664">
              <w:rPr>
                <w:b/>
              </w:rPr>
              <w:t>Climate policy adoption</w:t>
            </w:r>
          </w:p>
          <w:p w14:paraId="440BE0E9" w14:textId="3D4E84F8" w:rsidR="00C61ACB" w:rsidRDefault="00C61ACB" w:rsidP="00235AFC">
            <w:r>
              <w:t>[</w:t>
            </w:r>
            <w:r w:rsidR="007D03A6">
              <w:t>C</w:t>
            </w:r>
            <w:r>
              <w:t xml:space="preserve">arbon price adoption in 136 </w:t>
            </w:r>
            <w:r w:rsidR="00235AFC">
              <w:t>countries</w:t>
            </w:r>
            <w:r>
              <w:t xml:space="preserve"> + 63 subnational jurisdictions]</w:t>
            </w:r>
          </w:p>
        </w:tc>
        <w:tc>
          <w:tcPr>
            <w:tcW w:w="3636" w:type="dxa"/>
          </w:tcPr>
          <w:p w14:paraId="39FCB6B3" w14:textId="77777777" w:rsidR="00F51D59" w:rsidRDefault="00F51D59" w:rsidP="00F51D59">
            <w:pPr>
              <w:rPr>
                <w:color w:val="FF0000"/>
              </w:rPr>
            </w:pPr>
            <w:r>
              <w:rPr>
                <w:color w:val="FF0000"/>
              </w:rPr>
              <w:t>- Share of industry in GDP (-)</w:t>
            </w:r>
          </w:p>
          <w:p w14:paraId="2EF9D309" w14:textId="4B7F11E7" w:rsidR="00F51D59" w:rsidRPr="00F51D59" w:rsidRDefault="00F51D59" w:rsidP="00F51D59">
            <w:pPr>
              <w:rPr>
                <w:color w:val="FF0000"/>
              </w:rPr>
            </w:pPr>
            <w:r w:rsidRPr="00F51D59">
              <w:rPr>
                <w:color w:val="FF0000"/>
              </w:rPr>
              <w:t>- Share of coal in elec</w:t>
            </w:r>
            <w:r w:rsidR="007D03A6">
              <w:rPr>
                <w:color w:val="FF0000"/>
              </w:rPr>
              <w:t xml:space="preserve">. </w:t>
            </w:r>
            <w:r w:rsidRPr="00F51D59">
              <w:rPr>
                <w:color w:val="FF0000"/>
              </w:rPr>
              <w:t>generation (-)</w:t>
            </w:r>
          </w:p>
          <w:p w14:paraId="4121CA39" w14:textId="2378CB93" w:rsidR="00F51D59" w:rsidRPr="00F51D59" w:rsidRDefault="00F51D59" w:rsidP="00F51D59">
            <w:pPr>
              <w:rPr>
                <w:color w:val="FF0000"/>
              </w:rPr>
            </w:pPr>
            <w:r w:rsidRPr="00F51D59">
              <w:rPr>
                <w:color w:val="FF0000"/>
              </w:rPr>
              <w:t>- Share of oil in elec</w:t>
            </w:r>
            <w:r w:rsidR="007D03A6">
              <w:rPr>
                <w:color w:val="FF0000"/>
              </w:rPr>
              <w:t>.</w:t>
            </w:r>
            <w:r w:rsidRPr="00F51D59">
              <w:rPr>
                <w:color w:val="FF0000"/>
              </w:rPr>
              <w:t xml:space="preserve"> generation (</w:t>
            </w:r>
            <w:r>
              <w:rPr>
                <w:color w:val="FF0000"/>
              </w:rPr>
              <w:t>-</w:t>
            </w:r>
            <w:r w:rsidRPr="00F51D59">
              <w:rPr>
                <w:color w:val="FF0000"/>
              </w:rPr>
              <w:t>)</w:t>
            </w:r>
          </w:p>
          <w:p w14:paraId="4857D143" w14:textId="28F96E6A" w:rsidR="00F51D59" w:rsidRDefault="00F51D59" w:rsidP="00F51D59">
            <w:pPr>
              <w:rPr>
                <w:color w:val="FFC000"/>
              </w:rPr>
            </w:pPr>
            <w:r w:rsidRPr="00F51D59">
              <w:rPr>
                <w:color w:val="FFC000"/>
              </w:rPr>
              <w:t>- Share of gas in elec</w:t>
            </w:r>
            <w:r w:rsidR="007D03A6">
              <w:rPr>
                <w:color w:val="FFC000"/>
              </w:rPr>
              <w:t>.</w:t>
            </w:r>
            <w:r w:rsidRPr="00F51D59">
              <w:rPr>
                <w:color w:val="FFC000"/>
              </w:rPr>
              <w:t xml:space="preserve"> generation (</w:t>
            </w:r>
            <w:r w:rsidR="00B53B65">
              <w:rPr>
                <w:color w:val="FFC000"/>
              </w:rPr>
              <w:t>0</w:t>
            </w:r>
            <w:r w:rsidRPr="00F51D59">
              <w:rPr>
                <w:color w:val="FFC000"/>
              </w:rPr>
              <w:t>)</w:t>
            </w:r>
          </w:p>
          <w:p w14:paraId="532E5339" w14:textId="1EE7FBA4" w:rsidR="00C61ACB" w:rsidRPr="007D03A6" w:rsidRDefault="00F51D59" w:rsidP="00CB232A">
            <w:pPr>
              <w:rPr>
                <w:color w:val="00B050"/>
              </w:rPr>
            </w:pPr>
            <w:r w:rsidRPr="00F51D59">
              <w:rPr>
                <w:color w:val="00B050"/>
              </w:rPr>
              <w:t>- Share of t</w:t>
            </w:r>
            <w:r w:rsidR="007D03A6">
              <w:rPr>
                <w:color w:val="00B050"/>
              </w:rPr>
              <w:t>rade in GDP (+)</w:t>
            </w:r>
          </w:p>
        </w:tc>
        <w:tc>
          <w:tcPr>
            <w:tcW w:w="3637" w:type="dxa"/>
          </w:tcPr>
          <w:p w14:paraId="62D9FEAB" w14:textId="050A8215" w:rsidR="00D261E5" w:rsidRDefault="00D261E5" w:rsidP="00D261E5">
            <w:pPr>
              <w:rPr>
                <w:color w:val="00B050"/>
              </w:rPr>
            </w:pPr>
            <w:r w:rsidRPr="00F51D59">
              <w:rPr>
                <w:color w:val="00B050"/>
              </w:rPr>
              <w:t xml:space="preserve">- </w:t>
            </w:r>
            <w:r w:rsidR="00F51D59" w:rsidRPr="00F51D59">
              <w:rPr>
                <w:color w:val="00B050"/>
              </w:rPr>
              <w:t>D</w:t>
            </w:r>
            <w:r w:rsidRPr="00F51D59">
              <w:rPr>
                <w:color w:val="00B050"/>
              </w:rPr>
              <w:t>evelopment level (GDP)</w:t>
            </w:r>
            <w:r w:rsidR="00F51D59" w:rsidRPr="00F51D59">
              <w:rPr>
                <w:color w:val="00B050"/>
              </w:rPr>
              <w:t xml:space="preserve"> (+)</w:t>
            </w:r>
          </w:p>
          <w:p w14:paraId="2FF2A3C3" w14:textId="77777777" w:rsidR="00F51D59" w:rsidRDefault="00F51D59" w:rsidP="00D261E5">
            <w:pPr>
              <w:rPr>
                <w:color w:val="00B050"/>
              </w:rPr>
            </w:pPr>
            <w:r>
              <w:rPr>
                <w:color w:val="00B050"/>
              </w:rPr>
              <w:t>- EU membership (+)</w:t>
            </w:r>
          </w:p>
          <w:p w14:paraId="7BC2F866" w14:textId="75463C67" w:rsidR="00D261E5" w:rsidRDefault="00F51D59" w:rsidP="00F51D59">
            <w:r>
              <w:rPr>
                <w:color w:val="00B050"/>
              </w:rPr>
              <w:t>- Democracy index score (+)</w:t>
            </w:r>
          </w:p>
          <w:p w14:paraId="7C1C9918" w14:textId="0DE4B595" w:rsidR="00D261E5" w:rsidRDefault="00D261E5" w:rsidP="00CB232A">
            <w:r w:rsidRPr="004E61B4">
              <w:rPr>
                <w:color w:val="FFC000"/>
              </w:rPr>
              <w:t>- Institutional capacity</w:t>
            </w:r>
            <w:r w:rsidR="004E61B4">
              <w:rPr>
                <w:color w:val="FFC000"/>
              </w:rPr>
              <w:t xml:space="preserve"> (Government effectiveness, </w:t>
            </w:r>
            <w:r w:rsidRPr="004E61B4">
              <w:rPr>
                <w:color w:val="FFC000"/>
              </w:rPr>
              <w:t>Regulatory Quality) (</w:t>
            </w:r>
            <w:r w:rsidR="00B53B65">
              <w:rPr>
                <w:color w:val="FFC000"/>
              </w:rPr>
              <w:t>0</w:t>
            </w:r>
            <w:r w:rsidRPr="004E61B4">
              <w:rPr>
                <w:color w:val="FFC000"/>
              </w:rPr>
              <w:t>)</w:t>
            </w:r>
          </w:p>
        </w:tc>
        <w:tc>
          <w:tcPr>
            <w:tcW w:w="3637" w:type="dxa"/>
          </w:tcPr>
          <w:p w14:paraId="27415AC5" w14:textId="37206A0B" w:rsidR="00C61ACB" w:rsidRPr="004E61B4" w:rsidRDefault="00D261E5" w:rsidP="00007CAA">
            <w:pPr>
              <w:rPr>
                <w:color w:val="FFC000"/>
              </w:rPr>
            </w:pPr>
            <w:r w:rsidRPr="004E61B4">
              <w:rPr>
                <w:color w:val="FFC000"/>
              </w:rPr>
              <w:t>-</w:t>
            </w:r>
            <w:r w:rsidR="00007CAA" w:rsidRPr="004E61B4">
              <w:rPr>
                <w:color w:val="FFC000"/>
              </w:rPr>
              <w:t xml:space="preserve"> Left/r</w:t>
            </w:r>
            <w:r w:rsidRPr="004E61B4">
              <w:rPr>
                <w:color w:val="FFC000"/>
              </w:rPr>
              <w:t>ight</w:t>
            </w:r>
            <w:r w:rsidR="00007CAA" w:rsidRPr="004E61B4">
              <w:rPr>
                <w:color w:val="FFC000"/>
              </w:rPr>
              <w:t xml:space="preserve"> political ideology</w:t>
            </w:r>
            <w:r w:rsidRPr="004E61B4">
              <w:rPr>
                <w:color w:val="FFC000"/>
              </w:rPr>
              <w:t xml:space="preserve"> (</w:t>
            </w:r>
            <w:r w:rsidR="00B53B65">
              <w:rPr>
                <w:color w:val="FFC000"/>
              </w:rPr>
              <w:t>0</w:t>
            </w:r>
            <w:r w:rsidRPr="004E61B4">
              <w:rPr>
                <w:color w:val="FFC000"/>
              </w:rPr>
              <w:t>)</w:t>
            </w:r>
          </w:p>
        </w:tc>
      </w:tr>
      <w:tr w:rsidR="00C61ACB" w14:paraId="3DBB5E80" w14:textId="1143ED12" w:rsidTr="00B53BF6">
        <w:trPr>
          <w:trHeight w:val="2954"/>
        </w:trPr>
        <w:tc>
          <w:tcPr>
            <w:tcW w:w="1418" w:type="dxa"/>
            <w:vMerge/>
          </w:tcPr>
          <w:p w14:paraId="0E4E4C92" w14:textId="1CFA29A0" w:rsidR="00C61ACB" w:rsidRDefault="00C61ACB" w:rsidP="00CB232A">
            <w:pPr>
              <w:pStyle w:val="NormalWeb"/>
              <w:ind w:left="480" w:hanging="480"/>
            </w:pPr>
          </w:p>
        </w:tc>
        <w:tc>
          <w:tcPr>
            <w:tcW w:w="2126" w:type="dxa"/>
          </w:tcPr>
          <w:p w14:paraId="03839D11" w14:textId="41B76B83" w:rsidR="00C61ACB" w:rsidRPr="001A558D" w:rsidRDefault="0021679D" w:rsidP="00CB232A">
            <w:pPr>
              <w:rPr>
                <w:b/>
              </w:rPr>
            </w:pPr>
            <w:r>
              <w:rPr>
                <w:b/>
              </w:rPr>
              <w:t>Climate p</w:t>
            </w:r>
            <w:r w:rsidR="00C61ACB" w:rsidRPr="001A558D">
              <w:rPr>
                <w:b/>
              </w:rPr>
              <w:t>olicy stringency</w:t>
            </w:r>
          </w:p>
          <w:p w14:paraId="6CDC2AAB" w14:textId="718065E2" w:rsidR="00C61ACB" w:rsidRDefault="00C61ACB" w:rsidP="00235AFC">
            <w:r>
              <w:t>[</w:t>
            </w:r>
            <w:r w:rsidR="007D03A6">
              <w:t>C</w:t>
            </w:r>
            <w:r>
              <w:t>arbo</w:t>
            </w:r>
            <w:r w:rsidR="007D03A6">
              <w:t>n</w:t>
            </w:r>
            <w:r>
              <w:t xml:space="preserve"> price level  across 37 </w:t>
            </w:r>
            <w:r w:rsidR="00235AFC">
              <w:t>countries</w:t>
            </w:r>
            <w:r>
              <w:t xml:space="preserve"> + 24 subnational jurisdictions]</w:t>
            </w:r>
          </w:p>
        </w:tc>
        <w:tc>
          <w:tcPr>
            <w:tcW w:w="3636" w:type="dxa"/>
          </w:tcPr>
          <w:p w14:paraId="05154B54" w14:textId="77777777" w:rsidR="00F51D59" w:rsidRDefault="00F51D59" w:rsidP="00F51D59">
            <w:pPr>
              <w:rPr>
                <w:color w:val="FF0000"/>
              </w:rPr>
            </w:pPr>
            <w:r>
              <w:rPr>
                <w:color w:val="FF0000"/>
              </w:rPr>
              <w:t>- Share of industry in GDP (-)</w:t>
            </w:r>
          </w:p>
          <w:p w14:paraId="1CF77FC7" w14:textId="048F6DF6" w:rsidR="00F51D59" w:rsidRPr="00F51D59" w:rsidRDefault="00F51D59" w:rsidP="00F51D59">
            <w:pPr>
              <w:rPr>
                <w:color w:val="FF0000"/>
              </w:rPr>
            </w:pPr>
            <w:r w:rsidRPr="00F51D59">
              <w:rPr>
                <w:color w:val="FF0000"/>
              </w:rPr>
              <w:t>- Share of coal in elec</w:t>
            </w:r>
            <w:r w:rsidR="007D03A6">
              <w:rPr>
                <w:color w:val="FF0000"/>
              </w:rPr>
              <w:t>.</w:t>
            </w:r>
            <w:r w:rsidRPr="00F51D59">
              <w:rPr>
                <w:color w:val="FF0000"/>
              </w:rPr>
              <w:t xml:space="preserve"> generation (-)</w:t>
            </w:r>
          </w:p>
          <w:p w14:paraId="5DEDB9DA" w14:textId="17BA28F8" w:rsidR="00F51D59" w:rsidRPr="00F51D59" w:rsidRDefault="00F51D59" w:rsidP="00F51D59">
            <w:pPr>
              <w:rPr>
                <w:color w:val="FFC000"/>
              </w:rPr>
            </w:pPr>
            <w:r w:rsidRPr="00F51D59">
              <w:rPr>
                <w:color w:val="FFC000"/>
              </w:rPr>
              <w:t>- Share of oil in elec</w:t>
            </w:r>
            <w:r w:rsidR="007D03A6">
              <w:rPr>
                <w:color w:val="FFC000"/>
              </w:rPr>
              <w:t>.</w:t>
            </w:r>
            <w:r w:rsidRPr="00F51D59">
              <w:rPr>
                <w:color w:val="FFC000"/>
              </w:rPr>
              <w:t xml:space="preserve"> generation (</w:t>
            </w:r>
            <w:r w:rsidR="00B53B65">
              <w:rPr>
                <w:color w:val="FFC000"/>
              </w:rPr>
              <w:t>0</w:t>
            </w:r>
            <w:r w:rsidRPr="00F51D59">
              <w:rPr>
                <w:color w:val="FFC000"/>
              </w:rPr>
              <w:t>)</w:t>
            </w:r>
          </w:p>
          <w:p w14:paraId="03FFC1C2" w14:textId="4F711929" w:rsidR="00F51D59" w:rsidRPr="00F51D59" w:rsidRDefault="00F51D59" w:rsidP="00F51D59">
            <w:pPr>
              <w:rPr>
                <w:color w:val="FFC000"/>
              </w:rPr>
            </w:pPr>
            <w:r w:rsidRPr="00F51D59">
              <w:rPr>
                <w:color w:val="FFC000"/>
              </w:rPr>
              <w:t>- Share of gas in ele</w:t>
            </w:r>
            <w:r w:rsidR="007D03A6">
              <w:rPr>
                <w:color w:val="FFC000"/>
              </w:rPr>
              <w:t>c.</w:t>
            </w:r>
            <w:r w:rsidRPr="00F51D59">
              <w:rPr>
                <w:color w:val="FFC000"/>
              </w:rPr>
              <w:t xml:space="preserve"> generation (</w:t>
            </w:r>
            <w:r w:rsidR="00B53B65">
              <w:rPr>
                <w:color w:val="FFC000"/>
              </w:rPr>
              <w:t>0</w:t>
            </w:r>
            <w:r w:rsidRPr="00F51D59">
              <w:rPr>
                <w:color w:val="FFC000"/>
              </w:rPr>
              <w:t>)</w:t>
            </w:r>
          </w:p>
          <w:p w14:paraId="34AD1260" w14:textId="4CBC5A29" w:rsidR="00007CAA" w:rsidRPr="00F51D59" w:rsidRDefault="00007CAA" w:rsidP="00007CAA">
            <w:pPr>
              <w:rPr>
                <w:color w:val="FFC000"/>
              </w:rPr>
            </w:pPr>
            <w:r w:rsidRPr="00F51D59">
              <w:rPr>
                <w:color w:val="FFC000"/>
              </w:rPr>
              <w:t xml:space="preserve">- </w:t>
            </w:r>
            <w:r w:rsidR="00F51D59">
              <w:rPr>
                <w:color w:val="FFC000"/>
              </w:rPr>
              <w:t>Share of trade in GDP</w:t>
            </w:r>
            <w:r w:rsidRPr="00F51D59">
              <w:rPr>
                <w:color w:val="FFC000"/>
              </w:rPr>
              <w:t xml:space="preserve"> (</w:t>
            </w:r>
            <w:r w:rsidR="00B53B65">
              <w:rPr>
                <w:color w:val="FFC000"/>
              </w:rPr>
              <w:t>0</w:t>
            </w:r>
            <w:r w:rsidRPr="00F51D59">
              <w:rPr>
                <w:color w:val="FFC000"/>
              </w:rPr>
              <w:t>)</w:t>
            </w:r>
          </w:p>
          <w:p w14:paraId="0224180D" w14:textId="0F9806DA" w:rsidR="00C61ACB" w:rsidRDefault="00C61ACB" w:rsidP="00007CAA"/>
        </w:tc>
        <w:tc>
          <w:tcPr>
            <w:tcW w:w="3637" w:type="dxa"/>
          </w:tcPr>
          <w:p w14:paraId="7E31F057" w14:textId="77777777" w:rsidR="00F51D59" w:rsidRDefault="00F51D59" w:rsidP="00F51D59">
            <w:pPr>
              <w:rPr>
                <w:color w:val="00B050"/>
              </w:rPr>
            </w:pPr>
            <w:r w:rsidRPr="00F51D59">
              <w:rPr>
                <w:color w:val="00B050"/>
              </w:rPr>
              <w:t>- Development level (GDP) (+)</w:t>
            </w:r>
          </w:p>
          <w:p w14:paraId="2EBECD5C" w14:textId="014CFFA5" w:rsidR="00007CAA" w:rsidRDefault="00F51D59" w:rsidP="00CB232A">
            <w:r w:rsidRPr="00F51D59">
              <w:rPr>
                <w:color w:val="00B050"/>
              </w:rPr>
              <w:t>- EU membership (+)</w:t>
            </w:r>
          </w:p>
          <w:p w14:paraId="1F023388" w14:textId="789622E8" w:rsidR="00007CAA" w:rsidRDefault="00007CAA" w:rsidP="00CB232A">
            <w:r w:rsidRPr="004E61B4">
              <w:rPr>
                <w:color w:val="FFC000"/>
              </w:rPr>
              <w:t>- Institutional capacity (Gove</w:t>
            </w:r>
            <w:r w:rsidR="004E61B4">
              <w:rPr>
                <w:color w:val="FFC000"/>
              </w:rPr>
              <w:t xml:space="preserve">rnment effectiveness, </w:t>
            </w:r>
            <w:r w:rsidRPr="004E61B4">
              <w:rPr>
                <w:color w:val="FFC000"/>
              </w:rPr>
              <w:t>Regulatory Quality) (</w:t>
            </w:r>
            <w:r w:rsidR="00B53B65">
              <w:rPr>
                <w:color w:val="FFC000"/>
              </w:rPr>
              <w:t>0</w:t>
            </w:r>
            <w:r w:rsidRPr="004E61B4">
              <w:rPr>
                <w:color w:val="FFC000"/>
              </w:rPr>
              <w:t>)</w:t>
            </w:r>
          </w:p>
        </w:tc>
        <w:tc>
          <w:tcPr>
            <w:tcW w:w="3637" w:type="dxa"/>
          </w:tcPr>
          <w:p w14:paraId="3C60A7F4" w14:textId="74729977" w:rsidR="00007CAA" w:rsidRPr="004E61B4" w:rsidRDefault="00007CAA" w:rsidP="00007CAA">
            <w:pPr>
              <w:rPr>
                <w:color w:val="FFC000"/>
              </w:rPr>
            </w:pPr>
            <w:r w:rsidRPr="004E61B4">
              <w:rPr>
                <w:color w:val="FFC000"/>
              </w:rPr>
              <w:t>- Left/right political ideology (</w:t>
            </w:r>
            <w:r w:rsidR="00B53B65">
              <w:rPr>
                <w:color w:val="FFC000"/>
              </w:rPr>
              <w:t>0</w:t>
            </w:r>
            <w:r w:rsidRPr="004E61B4">
              <w:rPr>
                <w:color w:val="FFC000"/>
              </w:rPr>
              <w:t>)</w:t>
            </w:r>
          </w:p>
          <w:p w14:paraId="75EA732C" w14:textId="77777777" w:rsidR="00C61ACB" w:rsidRPr="004E61B4" w:rsidRDefault="00C61ACB" w:rsidP="00CB232A">
            <w:pPr>
              <w:rPr>
                <w:color w:val="FFC000"/>
              </w:rPr>
            </w:pPr>
          </w:p>
        </w:tc>
      </w:tr>
      <w:tr w:rsidR="00C61ACB" w14:paraId="58732713" w14:textId="2E2F56A5" w:rsidTr="00B53BF6">
        <w:trPr>
          <w:trHeight w:val="3119"/>
        </w:trPr>
        <w:tc>
          <w:tcPr>
            <w:tcW w:w="1418" w:type="dxa"/>
          </w:tcPr>
          <w:p w14:paraId="2CC6D819" w14:textId="0AE3F8CA" w:rsidR="00C61ACB" w:rsidRDefault="00C61ACB" w:rsidP="00CB232A">
            <w:r>
              <w:lastRenderedPageBreak/>
              <w:fldChar w:fldCharType="begin" w:fldLock="1"/>
            </w:r>
            <w:r w:rsidR="00AE1CAD">
              <w:instrText>ADDIN CSL_CITATION {"citationItems":[{"id":"ITEM-1","itemData":{"DOI":"10.1016/j.gloenvcha.2015.08.008","author":[{"dropping-particle":"","family":"Fankhauser","given":"Sam","non-dropping-particle":"","parse-names":false,"suffix":""},{"dropping-particle":"","family":"Gennaioli","given":"Caterina","non-dropping-particle":"","parse-names":false,"suffix":""},{"dropping-particle":"","family":"Collins","given":"Murray","non-dropping-particle":"","parse-names":false,"suffix":""}],"container-title":"Global Environmental Change","id":"ITEM-1","issued":{"date-parts":[["2015"]]},"page":"52-61","publisher":"Elsevier Ltd","title":"The political economy of passing climate change legislation: evidence from a survey","type":"article-journal","volume":"35"},"uris":["http://www.mendeley.com/documents/?uuid=860f5671-59a0-4f8d-a7d7-b495238f5d28"]}],"mendeley":{"formattedCitation":"(Fankhauser et al., 2015)","plainTextFormattedCitation":"(Fankhauser et al., 2015)","previouslyFormattedCitation":"(Fankhauser et al., 2015)"},"properties":{"noteIndex":0},"schema":"https://github.com/citation-style-language/schema/raw/master/csl-citation.json"}</w:instrText>
            </w:r>
            <w:r>
              <w:fldChar w:fldCharType="separate"/>
            </w:r>
            <w:r w:rsidR="00B53BF6" w:rsidRPr="00B53BF6">
              <w:rPr>
                <w:noProof/>
              </w:rPr>
              <w:t>(Fankhauser et al., 2015)</w:t>
            </w:r>
            <w:r>
              <w:fldChar w:fldCharType="end"/>
            </w:r>
          </w:p>
        </w:tc>
        <w:tc>
          <w:tcPr>
            <w:tcW w:w="2126" w:type="dxa"/>
          </w:tcPr>
          <w:p w14:paraId="25CF8E86" w14:textId="77777777" w:rsidR="004545C8" w:rsidRPr="00417A4F" w:rsidRDefault="004545C8" w:rsidP="00CB232A">
            <w:pPr>
              <w:rPr>
                <w:b/>
              </w:rPr>
            </w:pPr>
            <w:r w:rsidRPr="00417A4F">
              <w:rPr>
                <w:b/>
              </w:rPr>
              <w:t>Climate legislation adoption</w:t>
            </w:r>
          </w:p>
          <w:p w14:paraId="635CF220" w14:textId="39A41EBF" w:rsidR="00C61ACB" w:rsidRDefault="004545C8" w:rsidP="007D03A6">
            <w:r>
              <w:t>[</w:t>
            </w:r>
            <w:r w:rsidR="007D03A6">
              <w:t>T</w:t>
            </w:r>
            <w:r w:rsidR="00C61ACB">
              <w:t xml:space="preserve">argets </w:t>
            </w:r>
            <w:r>
              <w:t xml:space="preserve">and </w:t>
            </w:r>
            <w:r w:rsidR="00C61ACB">
              <w:t xml:space="preserve">policies </w:t>
            </w:r>
            <w:r>
              <w:t xml:space="preserve">within a given year across </w:t>
            </w:r>
            <w:r w:rsidR="00C61ACB">
              <w:t>63 national jurisdictions</w:t>
            </w:r>
            <w:r>
              <w:t>]</w:t>
            </w:r>
          </w:p>
        </w:tc>
        <w:tc>
          <w:tcPr>
            <w:tcW w:w="3636" w:type="dxa"/>
          </w:tcPr>
          <w:p w14:paraId="62BB612A" w14:textId="04A67A98" w:rsidR="004545C8" w:rsidRPr="004545C8" w:rsidRDefault="004545C8" w:rsidP="00CB232A">
            <w:pPr>
              <w:rPr>
                <w:color w:val="00B050"/>
              </w:rPr>
            </w:pPr>
            <w:r w:rsidRPr="004545C8">
              <w:rPr>
                <w:color w:val="00B050"/>
              </w:rPr>
              <w:t>- Pro-green lobby (IUCN members) (+)</w:t>
            </w:r>
          </w:p>
          <w:p w14:paraId="583A87A8" w14:textId="79ED787B" w:rsidR="00C61ACB" w:rsidRPr="004545C8" w:rsidRDefault="004545C8" w:rsidP="004545C8">
            <w:pPr>
              <w:rPr>
                <w:color w:val="FFC000"/>
              </w:rPr>
            </w:pPr>
            <w:r w:rsidRPr="004545C8">
              <w:rPr>
                <w:color w:val="FFC000"/>
              </w:rPr>
              <w:t>- Share of</w:t>
            </w:r>
            <w:r w:rsidR="00B53B65">
              <w:rPr>
                <w:color w:val="FFC000"/>
              </w:rPr>
              <w:t xml:space="preserve"> fossil/mining exports in GDP (0</w:t>
            </w:r>
            <w:r w:rsidRPr="004545C8">
              <w:rPr>
                <w:color w:val="FFC000"/>
              </w:rPr>
              <w:t>)</w:t>
            </w:r>
          </w:p>
        </w:tc>
        <w:tc>
          <w:tcPr>
            <w:tcW w:w="3637" w:type="dxa"/>
          </w:tcPr>
          <w:p w14:paraId="395161E2" w14:textId="77777777" w:rsidR="004545C8" w:rsidRPr="004545C8" w:rsidRDefault="004545C8" w:rsidP="00CB232A">
            <w:pPr>
              <w:rPr>
                <w:color w:val="00B050"/>
              </w:rPr>
            </w:pPr>
            <w:r w:rsidRPr="004545C8">
              <w:rPr>
                <w:color w:val="00B050"/>
              </w:rPr>
              <w:t>- Existing legislation and path dependency (e.g. presence of flagship laws) (+)</w:t>
            </w:r>
          </w:p>
          <w:p w14:paraId="0224F3E5" w14:textId="1F1FA069" w:rsidR="004545C8" w:rsidRDefault="004545C8" w:rsidP="004545C8">
            <w:pPr>
              <w:rPr>
                <w:color w:val="FF0000"/>
              </w:rPr>
            </w:pPr>
            <w:r w:rsidRPr="004545C8">
              <w:rPr>
                <w:color w:val="FF0000"/>
              </w:rPr>
              <w:t>- Electoral cycles (</w:t>
            </w:r>
            <w:r>
              <w:rPr>
                <w:color w:val="FF0000"/>
              </w:rPr>
              <w:t>strong democracies</w:t>
            </w:r>
            <w:r w:rsidRPr="004545C8">
              <w:rPr>
                <w:color w:val="FF0000"/>
              </w:rPr>
              <w:t>) (-)</w:t>
            </w:r>
          </w:p>
          <w:p w14:paraId="771B5931" w14:textId="51AA7ECD" w:rsidR="004545C8" w:rsidRPr="004545C8" w:rsidRDefault="004545C8" w:rsidP="004545C8">
            <w:pPr>
              <w:rPr>
                <w:color w:val="FFC000"/>
              </w:rPr>
            </w:pPr>
            <w:r w:rsidRPr="004545C8">
              <w:rPr>
                <w:color w:val="FFC000"/>
              </w:rPr>
              <w:t>- Electoral cycles (weak democracies) (</w:t>
            </w:r>
            <w:r w:rsidR="00B53B65">
              <w:rPr>
                <w:color w:val="FFC000"/>
              </w:rPr>
              <w:t>0</w:t>
            </w:r>
            <w:r w:rsidRPr="004545C8">
              <w:rPr>
                <w:color w:val="FFC000"/>
              </w:rPr>
              <w:t>)</w:t>
            </w:r>
          </w:p>
          <w:p w14:paraId="221F8DB7" w14:textId="3ABE2CD1" w:rsidR="004545C8" w:rsidRPr="004545C8" w:rsidRDefault="004545C8" w:rsidP="004545C8">
            <w:pPr>
              <w:rPr>
                <w:color w:val="00B050"/>
              </w:rPr>
            </w:pPr>
            <w:r w:rsidRPr="004545C8">
              <w:rPr>
                <w:color w:val="00B050"/>
              </w:rPr>
              <w:t>- Concentration of political power (seat shares of ruling party in all legislatures) (+)</w:t>
            </w:r>
          </w:p>
          <w:p w14:paraId="2B2D46E8" w14:textId="50431A36" w:rsidR="004545C8" w:rsidRDefault="004545C8" w:rsidP="00CB232A"/>
        </w:tc>
        <w:tc>
          <w:tcPr>
            <w:tcW w:w="3637" w:type="dxa"/>
          </w:tcPr>
          <w:p w14:paraId="7338819A" w14:textId="684B2D64" w:rsidR="004545C8" w:rsidRPr="004545C8" w:rsidRDefault="004545C8" w:rsidP="004545C8">
            <w:pPr>
              <w:rPr>
                <w:color w:val="FF0000"/>
              </w:rPr>
            </w:pPr>
            <w:r w:rsidRPr="004545C8">
              <w:rPr>
                <w:color w:val="FF0000"/>
              </w:rPr>
              <w:t>- Right-political ideology (Anglo-Saxon countries (-)</w:t>
            </w:r>
          </w:p>
          <w:p w14:paraId="40E02D59" w14:textId="71A9C4AA" w:rsidR="004545C8" w:rsidRPr="004545C8" w:rsidRDefault="004545C8" w:rsidP="004545C8">
            <w:pPr>
              <w:rPr>
                <w:color w:val="FFC000"/>
              </w:rPr>
            </w:pPr>
            <w:r w:rsidRPr="004545C8">
              <w:rPr>
                <w:color w:val="FFC000"/>
              </w:rPr>
              <w:t>- Left/right polit</w:t>
            </w:r>
            <w:r w:rsidR="00B53B65">
              <w:rPr>
                <w:color w:val="FFC000"/>
              </w:rPr>
              <w:t>ical ideology (all countries) (0</w:t>
            </w:r>
            <w:r w:rsidRPr="004545C8">
              <w:rPr>
                <w:color w:val="FFC000"/>
              </w:rPr>
              <w:t>)</w:t>
            </w:r>
          </w:p>
          <w:p w14:paraId="691BB0A9" w14:textId="77777777" w:rsidR="00C61ACB" w:rsidRDefault="00C61ACB" w:rsidP="00CB232A"/>
        </w:tc>
      </w:tr>
      <w:tr w:rsidR="00C61ACB" w14:paraId="3EB89EF0" w14:textId="6655307D" w:rsidTr="00B53BF6">
        <w:trPr>
          <w:trHeight w:val="2007"/>
        </w:trPr>
        <w:tc>
          <w:tcPr>
            <w:tcW w:w="1418" w:type="dxa"/>
          </w:tcPr>
          <w:p w14:paraId="54AEE515" w14:textId="4FE7592A" w:rsidR="00C61ACB" w:rsidRDefault="00C61ACB" w:rsidP="00CB232A">
            <w:r>
              <w:fldChar w:fldCharType="begin" w:fldLock="1"/>
            </w:r>
            <w:r w:rsidR="00AE1CAD">
              <w:instrText>ADDIN CSL_CITATION {"citationItems":[{"id":"ITEM-1","itemData":{"DOI":"10.1080/13510347.2015.1094059","ISSN":"1743890X","abstract":"In an ideal inclusive political system, all citizens are equally able to influence and challenge policies. We focus on how inclusiveness affects climate policies and outcomes. We argue that more inclusive systems should produce more policies in response to environmental threats and should have better outcomes. We test these hypotheses using panel and cross-sectional data relating to climate policy outputs and outcomes. The results suggest that inclusiveness is positively associated with policy outputs, but probably not with lower emissions of greenhouse gases. This pattern may relate to a lack of deliberation in systems, which are relatively inclusive in the narrower sense of pluralist democratic theory.","author":[{"dropping-particle":"","family":"Böhmelt","given":"Tobias","non-dropping-particle":"","parse-names":false,"suffix":""},{"dropping-particle":"","family":"Böker","given":"Marit","non-dropping-particle":"","parse-names":false,"suffix":""},{"dropping-particle":"","family":"Ward","given":"Hugh","non-dropping-particle":"","parse-names":false,"suffix":""}],"container-title":"Democratization","id":"ITEM-1","issue":"7","issued":{"date-parts":[["2016"]]},"page":"1272-1291","title":"Democratic inclusiveness, climate policy outputs, and climate policy outcomes","type":"article-journal","volume":"23"},"uris":["http://www.mendeley.com/documents/?uuid=f21b2858-7d84-40bd-80f1-8db4052dc264"]}],"mendeley":{"formattedCitation":"(Böhmelt et al., 2016)","plainTextFormattedCitation":"(Böhmelt et al., 2016)","previouslyFormattedCitation":"(Böhmelt et al., 2016)"},"properties":{"noteIndex":0},"schema":"https://github.com/citation-style-language/schema/raw/master/csl-citation.json"}</w:instrText>
            </w:r>
            <w:r>
              <w:fldChar w:fldCharType="separate"/>
            </w:r>
            <w:r w:rsidR="00B53BF6" w:rsidRPr="00B53BF6">
              <w:rPr>
                <w:noProof/>
              </w:rPr>
              <w:t>(Böhmelt et al., 2016)</w:t>
            </w:r>
            <w:r>
              <w:fldChar w:fldCharType="end"/>
            </w:r>
          </w:p>
        </w:tc>
        <w:tc>
          <w:tcPr>
            <w:tcW w:w="2126" w:type="dxa"/>
          </w:tcPr>
          <w:p w14:paraId="2B71FEE6" w14:textId="77777777" w:rsidR="00F91256" w:rsidRPr="00F91256" w:rsidRDefault="00C61ACB" w:rsidP="00CB232A">
            <w:pPr>
              <w:rPr>
                <w:b/>
              </w:rPr>
            </w:pPr>
            <w:r w:rsidRPr="00F91256">
              <w:rPr>
                <w:b/>
              </w:rPr>
              <w:t xml:space="preserve">Climate legislation adoption </w:t>
            </w:r>
          </w:p>
          <w:p w14:paraId="2D792ED3" w14:textId="0F71FDA0" w:rsidR="00F91256" w:rsidRDefault="00F91256" w:rsidP="00F91256">
            <w:r>
              <w:t>[</w:t>
            </w:r>
            <w:r w:rsidR="00C61ACB">
              <w:t xml:space="preserve">UNFCCC </w:t>
            </w:r>
            <w:r>
              <w:t xml:space="preserve">protocols + emissions across </w:t>
            </w:r>
            <w:r w:rsidR="00C61ACB">
              <w:t>149 national jurisdictions</w:t>
            </w:r>
            <w:r>
              <w:t>]</w:t>
            </w:r>
          </w:p>
          <w:p w14:paraId="4A8C7657" w14:textId="1D0622CE" w:rsidR="00C61ACB" w:rsidRDefault="00F91256" w:rsidP="00F91256">
            <w:r>
              <w:t xml:space="preserve"> </w:t>
            </w:r>
          </w:p>
        </w:tc>
        <w:tc>
          <w:tcPr>
            <w:tcW w:w="3636" w:type="dxa"/>
          </w:tcPr>
          <w:p w14:paraId="5A6062BC" w14:textId="0D42FB20" w:rsidR="00C61ACB" w:rsidRDefault="00C61ACB" w:rsidP="00CB232A">
            <w:r w:rsidRPr="00F91256">
              <w:rPr>
                <w:color w:val="00B050"/>
              </w:rPr>
              <w:t xml:space="preserve"> </w:t>
            </w:r>
            <w:r w:rsidR="00F91256" w:rsidRPr="00F91256">
              <w:rPr>
                <w:color w:val="00B050"/>
              </w:rPr>
              <w:t>- Pro-green lobby (IUCN members) (+)</w:t>
            </w:r>
          </w:p>
        </w:tc>
        <w:tc>
          <w:tcPr>
            <w:tcW w:w="3637" w:type="dxa"/>
          </w:tcPr>
          <w:p w14:paraId="1607BA54" w14:textId="2E5F2843" w:rsidR="00F91256" w:rsidRPr="00F91256" w:rsidRDefault="00F91256" w:rsidP="00F91256">
            <w:pPr>
              <w:rPr>
                <w:color w:val="00B050"/>
              </w:rPr>
            </w:pPr>
            <w:r w:rsidRPr="00F91256">
              <w:rPr>
                <w:color w:val="00B050"/>
              </w:rPr>
              <w:t>- Political participation (freedom of speech, assembly, association) (+)</w:t>
            </w:r>
          </w:p>
          <w:p w14:paraId="16F8365F" w14:textId="5DF3FEC5" w:rsidR="00C61ACB" w:rsidRDefault="00F91256" w:rsidP="00F91256">
            <w:r w:rsidRPr="00F91256">
              <w:rPr>
                <w:color w:val="00B050"/>
              </w:rPr>
              <w:t xml:space="preserve">- Political freedoms (suffrage, elections, women’s political rights) (+) </w:t>
            </w:r>
          </w:p>
        </w:tc>
        <w:tc>
          <w:tcPr>
            <w:tcW w:w="3637" w:type="dxa"/>
          </w:tcPr>
          <w:p w14:paraId="6D32173B" w14:textId="77777777" w:rsidR="00C61ACB" w:rsidRDefault="00C61ACB" w:rsidP="00CB232A"/>
        </w:tc>
      </w:tr>
      <w:tr w:rsidR="00C61ACB" w14:paraId="7CF381F6" w14:textId="35B21AE2" w:rsidTr="00B53BF6">
        <w:trPr>
          <w:trHeight w:val="2954"/>
        </w:trPr>
        <w:tc>
          <w:tcPr>
            <w:tcW w:w="1418" w:type="dxa"/>
          </w:tcPr>
          <w:p w14:paraId="4BB63275" w14:textId="34DCB107" w:rsidR="00C61ACB" w:rsidRDefault="00C61ACB" w:rsidP="00CB232A">
            <w:r>
              <w:fldChar w:fldCharType="begin" w:fldLock="1"/>
            </w:r>
            <w:r w:rsidR="00AE1CAD">
              <w:instrText>ADDIN CSL_CITATION {"citationItems":[{"id":"ITEM-1","itemData":{"DOI":"10.1080/14693062.2013.811333","ISSN":"17527457","abstract":"Patterns of national climate policy performance and their implications for the geopolitics of climate change are examined. An overview of levels of emissions performance across countries is first provided. Substantial changes in emissions trends over time are documented, notably with GHG emissions trajectories, which are shaped less and less by the developed/developing country divide. Various patterns of policy convergence and divergence in the types of policies states implement are then surveyed. Four broad types of explanation that may account for these trends are then explored: (1) variation in the institutional form of country-level governance regimes, (2) patterns of dependence on fossil fuel energy, (3) broad systemic differences among states (specifically in their population densities, carbon intensity, and per capita incomes, and (4) variations in the traditions of economic intervention by states. The article contributes to the growing body of work on comparative climate policy, and provides a first attempt at exploring the comparative politics of instrument choice. The analysis challenges the continued importance of a North–South divide for the future of climate policy, thus reinforcing a sense of the ‘new geopolitics’ of climate change. Some of the implications of the analysis for debates about the form of future international agreement on mitigation policy are also explored.","author":[{"dropping-particle":"","family":"Lachapelle","given":"Erick","non-dropping-particle":"","parse-names":false,"suffix":""},{"dropping-particle":"","family":"Paterson","given":"Matthew","non-dropping-particle":"","parse-names":false,"suffix":""}],"container-title":"Climate Policy","id":"ITEM-1","issue":"5","issued":{"date-parts":[["2013"]]},"page":"547-571","title":"Drivers of national climate policy","type":"article-journal","volume":"13"},"uris":["http://www.mendeley.com/documents/?uuid=b86eaeea-7a35-48c2-8487-71c86abf8931"]}],"mendeley":{"formattedCitation":"(Lachapelle &amp; Paterson, 2013)","plainTextFormattedCitation":"(Lachapelle &amp; Paterson, 2013)","previouslyFormattedCitation":"(Lachapelle &amp; Paterson, 2013)"},"properties":{"noteIndex":0},"schema":"https://github.com/citation-style-language/schema/raw/master/csl-citation.json"}</w:instrText>
            </w:r>
            <w:r>
              <w:fldChar w:fldCharType="separate"/>
            </w:r>
            <w:r w:rsidR="00B53BF6" w:rsidRPr="00B53BF6">
              <w:rPr>
                <w:noProof/>
              </w:rPr>
              <w:t>(Lachapelle &amp; Paterson, 2013)</w:t>
            </w:r>
            <w:r>
              <w:fldChar w:fldCharType="end"/>
            </w:r>
          </w:p>
        </w:tc>
        <w:tc>
          <w:tcPr>
            <w:tcW w:w="2126" w:type="dxa"/>
          </w:tcPr>
          <w:p w14:paraId="22D826D5" w14:textId="77777777" w:rsidR="00A1607B" w:rsidRDefault="00C61ACB" w:rsidP="00CB232A">
            <w:r w:rsidRPr="00A1607B">
              <w:rPr>
                <w:b/>
              </w:rPr>
              <w:t>Climate policy adoption</w:t>
            </w:r>
            <w:r>
              <w:t xml:space="preserve"> </w:t>
            </w:r>
          </w:p>
          <w:p w14:paraId="27BA811B" w14:textId="45657CDD" w:rsidR="00C61ACB" w:rsidRDefault="007D03A6" w:rsidP="00CB232A">
            <w:r>
              <w:t>[</w:t>
            </w:r>
            <w:r w:rsidR="00A1607B">
              <w:t xml:space="preserve">Adoption of </w:t>
            </w:r>
            <w:r w:rsidR="00C61ACB">
              <w:t>regulations, incentives, carbon price, voluntary agreements, R&amp;D</w:t>
            </w:r>
            <w:r w:rsidR="00A1607B">
              <w:t xml:space="preserve"> across 19 countries</w:t>
            </w:r>
            <w:r>
              <w:t>]</w:t>
            </w:r>
          </w:p>
        </w:tc>
        <w:tc>
          <w:tcPr>
            <w:tcW w:w="3636" w:type="dxa"/>
          </w:tcPr>
          <w:p w14:paraId="765D863B" w14:textId="5243529F" w:rsidR="00C61ACB" w:rsidRDefault="007D03A6" w:rsidP="00CB232A">
            <w:r w:rsidRPr="007D03A6">
              <w:rPr>
                <w:color w:val="FF0000"/>
              </w:rPr>
              <w:t>- Fossil fuel exports (-)</w:t>
            </w:r>
          </w:p>
        </w:tc>
        <w:tc>
          <w:tcPr>
            <w:tcW w:w="3637" w:type="dxa"/>
          </w:tcPr>
          <w:p w14:paraId="6674780F" w14:textId="7384F312" w:rsidR="00C61ACB" w:rsidRPr="007D03A6" w:rsidRDefault="00A1607B" w:rsidP="00CB232A">
            <w:pPr>
              <w:rPr>
                <w:color w:val="00B050"/>
              </w:rPr>
            </w:pPr>
            <w:r w:rsidRPr="007D03A6">
              <w:rPr>
                <w:color w:val="00B050"/>
              </w:rPr>
              <w:t xml:space="preserve">- Democratic </w:t>
            </w:r>
            <w:r w:rsidR="00560936">
              <w:rPr>
                <w:color w:val="00B050"/>
              </w:rPr>
              <w:t xml:space="preserve">Polity </w:t>
            </w:r>
            <w:r w:rsidRPr="007D03A6">
              <w:rPr>
                <w:color w:val="00B050"/>
              </w:rPr>
              <w:t>score (+)</w:t>
            </w:r>
          </w:p>
          <w:p w14:paraId="2805BF80" w14:textId="77777777" w:rsidR="00A1607B" w:rsidRPr="007D03A6" w:rsidRDefault="00A1607B" w:rsidP="00CB232A">
            <w:pPr>
              <w:rPr>
                <w:color w:val="00B050"/>
              </w:rPr>
            </w:pPr>
            <w:r w:rsidRPr="007D03A6">
              <w:rPr>
                <w:color w:val="00B050"/>
              </w:rPr>
              <w:t>- Parliamentary system (+)</w:t>
            </w:r>
          </w:p>
          <w:p w14:paraId="6D004509" w14:textId="29F03813" w:rsidR="00A1607B" w:rsidRPr="007D03A6" w:rsidRDefault="00A1607B" w:rsidP="00CB232A">
            <w:pPr>
              <w:rPr>
                <w:color w:val="FFC000"/>
              </w:rPr>
            </w:pPr>
            <w:r w:rsidRPr="007D03A6">
              <w:rPr>
                <w:color w:val="FFC000"/>
              </w:rPr>
              <w:t xml:space="preserve">- Variety of capitalism affects </w:t>
            </w:r>
            <w:r w:rsidR="00B53B65">
              <w:rPr>
                <w:color w:val="FFC000"/>
              </w:rPr>
              <w:t>instrument choice (0</w:t>
            </w:r>
            <w:r w:rsidR="007D03A6" w:rsidRPr="007D03A6">
              <w:rPr>
                <w:color w:val="FFC000"/>
              </w:rPr>
              <w:t>)</w:t>
            </w:r>
          </w:p>
          <w:p w14:paraId="08A2EFA7" w14:textId="38EA3909" w:rsidR="007D03A6" w:rsidRDefault="00B53B65" w:rsidP="007D03A6">
            <w:r>
              <w:rPr>
                <w:color w:val="FFC000"/>
              </w:rPr>
              <w:t>- Proportional representation (0</w:t>
            </w:r>
            <w:r w:rsidR="007D03A6" w:rsidRPr="007D03A6">
              <w:rPr>
                <w:color w:val="FFC000"/>
              </w:rPr>
              <w:t>)</w:t>
            </w:r>
          </w:p>
        </w:tc>
        <w:tc>
          <w:tcPr>
            <w:tcW w:w="3637" w:type="dxa"/>
          </w:tcPr>
          <w:p w14:paraId="0CBE3209" w14:textId="77777777" w:rsidR="00C61ACB" w:rsidRDefault="00C61ACB" w:rsidP="00CB232A"/>
        </w:tc>
      </w:tr>
      <w:tr w:rsidR="00C61ACB" w14:paraId="47EF573D" w14:textId="77924641" w:rsidTr="00B53BF6">
        <w:trPr>
          <w:trHeight w:val="1843"/>
        </w:trPr>
        <w:tc>
          <w:tcPr>
            <w:tcW w:w="1418" w:type="dxa"/>
          </w:tcPr>
          <w:p w14:paraId="24CDB660" w14:textId="3FEAB131" w:rsidR="00C61ACB" w:rsidRDefault="00C61ACB" w:rsidP="00CB232A">
            <w:r>
              <w:lastRenderedPageBreak/>
              <w:fldChar w:fldCharType="begin" w:fldLock="1"/>
            </w:r>
            <w:r w:rsidR="00AE1CAD">
              <w:instrText>ADDIN CSL_CITATION {"citationItems":[{"id":"ITEM-1","itemData":{"DOI":"10.1016/j.ecolecon.2013.08.002","ISBN":"09218009","ISSN":"09218009","abstract":"This paper argues that it is countries' historical experience with democracy, the democratic capital stock, rather than current levels of democracy that determines current climate change policies. Empirical evidence using data starting as far back as year 1800 for 87 countries, which together are responsible for 93.7% of global carbon emissions, suggests that the democratic capital stock has an important and robust effect on climate change policies. A history of executive constraints is particularly important. The current level of democracy does not play a role once democratic capital has been accounted for. © 2013 Elsevier B.V.","author":[{"dropping-particle":"","family":"Fredriksson","given":"Per G.","non-dropping-particle":"","parse-names":false,"suffix":""},{"dropping-particle":"","family":"Neumayer","given":"Eric","non-dropping-particle":"","parse-names":false,"suffix":""}],"container-title":"Ecological Economics","id":"ITEM-1","issued":{"date-parts":[["2013"]]},"page":"11-19","publisher":"Elsevier B.V.","title":"Democracy and climate change policies: Is history important?","type":"article-journal","volume":"95"},"uris":["http://www.mendeley.com/documents/?uuid=2890f790-de48-4005-8c25-704f9a4329f7"]}],"mendeley":{"formattedCitation":"(Fredriksson &amp; Neumayer, 2013)","plainTextFormattedCitation":"(Fredriksson &amp; Neumayer, 2013)","previouslyFormattedCitation":"(Fredriksson &amp; Neumayer, 2013)"},"properties":{"noteIndex":0},"schema":"https://github.com/citation-style-language/schema/raw/master/csl-citation.json"}</w:instrText>
            </w:r>
            <w:r>
              <w:fldChar w:fldCharType="separate"/>
            </w:r>
            <w:r w:rsidR="00B53BF6" w:rsidRPr="00B53BF6">
              <w:rPr>
                <w:noProof/>
              </w:rPr>
              <w:t>(Fredriksson &amp; Neumayer, 2013)</w:t>
            </w:r>
            <w:r>
              <w:fldChar w:fldCharType="end"/>
            </w:r>
          </w:p>
        </w:tc>
        <w:tc>
          <w:tcPr>
            <w:tcW w:w="2126" w:type="dxa"/>
          </w:tcPr>
          <w:p w14:paraId="64DEAA00" w14:textId="77777777" w:rsidR="007D03A6" w:rsidRPr="007D03A6" w:rsidRDefault="00C61ACB" w:rsidP="00CB232A">
            <w:pPr>
              <w:rPr>
                <w:b/>
              </w:rPr>
            </w:pPr>
            <w:r w:rsidRPr="007D03A6">
              <w:rPr>
                <w:b/>
              </w:rPr>
              <w:t xml:space="preserve">Climate legislation adoption </w:t>
            </w:r>
          </w:p>
          <w:p w14:paraId="0BA38981" w14:textId="4697E0AE" w:rsidR="00C61ACB" w:rsidRDefault="007D03A6" w:rsidP="007D03A6">
            <w:r>
              <w:t>[</w:t>
            </w:r>
            <w:r w:rsidR="00C61ACB">
              <w:t>CLIMI Index</w:t>
            </w:r>
            <w:r>
              <w:t xml:space="preserve"> for 87 countries]</w:t>
            </w:r>
          </w:p>
        </w:tc>
        <w:tc>
          <w:tcPr>
            <w:tcW w:w="3636" w:type="dxa"/>
          </w:tcPr>
          <w:p w14:paraId="3DDFA5FB" w14:textId="04B4D94B" w:rsidR="00C61ACB" w:rsidRDefault="00C61ACB" w:rsidP="00CB232A"/>
        </w:tc>
        <w:tc>
          <w:tcPr>
            <w:tcW w:w="3637" w:type="dxa"/>
          </w:tcPr>
          <w:p w14:paraId="2BF5A261" w14:textId="77777777" w:rsidR="00C61ACB" w:rsidRDefault="007D03A6" w:rsidP="00CB232A">
            <w:pPr>
              <w:rPr>
                <w:color w:val="00B050"/>
              </w:rPr>
            </w:pPr>
            <w:r w:rsidRPr="007D03A6">
              <w:rPr>
                <w:color w:val="00B050"/>
              </w:rPr>
              <w:t>- Years of democracy, with depreciation during autocracy (+)</w:t>
            </w:r>
          </w:p>
          <w:p w14:paraId="09632255" w14:textId="3F98480F" w:rsidR="007D03A6" w:rsidRDefault="007D03A6" w:rsidP="00CB232A">
            <w:pPr>
              <w:rPr>
                <w:color w:val="00B050"/>
              </w:rPr>
            </w:pPr>
            <w:r>
              <w:rPr>
                <w:color w:val="00B050"/>
              </w:rPr>
              <w:t>- Constraints on the executive (e.g. independent judiciary) (+)</w:t>
            </w:r>
          </w:p>
          <w:p w14:paraId="77EB51C5" w14:textId="108CA1F7" w:rsidR="007D03A6" w:rsidRDefault="007D03A6" w:rsidP="00CB232A">
            <w:r w:rsidRPr="007D03A6">
              <w:rPr>
                <w:color w:val="FFC000"/>
              </w:rPr>
              <w:t>- Political competition (free and fair elections) (</w:t>
            </w:r>
            <w:r w:rsidR="00B53B65">
              <w:rPr>
                <w:color w:val="FFC000"/>
              </w:rPr>
              <w:t>0</w:t>
            </w:r>
            <w:r w:rsidRPr="007D03A6">
              <w:rPr>
                <w:color w:val="FFC000"/>
              </w:rPr>
              <w:t>)</w:t>
            </w:r>
          </w:p>
        </w:tc>
        <w:tc>
          <w:tcPr>
            <w:tcW w:w="3637" w:type="dxa"/>
          </w:tcPr>
          <w:p w14:paraId="419E144A" w14:textId="77777777" w:rsidR="00C61ACB" w:rsidRDefault="00C61ACB" w:rsidP="00CB232A"/>
        </w:tc>
      </w:tr>
      <w:tr w:rsidR="00C61ACB" w14:paraId="26FD1F85" w14:textId="687D2B47" w:rsidTr="00B53BF6">
        <w:trPr>
          <w:trHeight w:val="1268"/>
        </w:trPr>
        <w:tc>
          <w:tcPr>
            <w:tcW w:w="1418" w:type="dxa"/>
          </w:tcPr>
          <w:p w14:paraId="43F29CD2" w14:textId="5B851AFB" w:rsidR="00C61ACB" w:rsidRDefault="00C61ACB" w:rsidP="00CB232A">
            <w:r>
              <w:fldChar w:fldCharType="begin" w:fldLock="1"/>
            </w:r>
            <w:r w:rsidR="00AE1CAD">
              <w:instrText>ADDIN CSL_CITATION {"citationItems":[{"id":"ITEM-1","itemData":{"DOI":"10.1016/j.envres.2017.05.009","ISSN":"10960953","PMID":"28570962","abstract":"The impact of democracy on governments’ choice of environmental policies has attracted significant academic attention in recent years. However, less attention has been devoted to the role of the social cognitive capital of the national population. Does society's cognitive capital matter in governmental choice regarding environmental policies, if at all? This study addresses this question through a large-N analysis of 94 countries accounting for the role of both political regimes and social capital in governmental choice of climate change policies. We find that higher social cognitive capital within a democratic state radically increases that state's commitment to adopt environmental policies. More specifically, a 1-point increase in the democracy index is associated with nearly 5 points increase in the adoption of the Climate Laws, Institutions and Measures Index (CLIMI). In a similar vein, a 10 points increase in social cognitive capital is associated with a nearly 16 points increase in CLIMI. The findings presented in this study aim to contribute to the ongoing debate on the impact of democracy and the cognitive capital of society on international environmentalism. The findings will also be interesting for scholars working on the impact of political institutional factors and the role of society in environmental policy choices made at the international level.","author":[{"dropping-particle":"V.","family":"Obydenkova","given":"Anastassia","non-dropping-particle":"","parse-names":false,"suffix":""},{"dropping-particle":"","family":"Salahodjaev","given":"Raufhon","non-dropping-particle":"","parse-names":false,"suffix":""}],"container-title":"Environmental Research","id":"ITEM-1","issue":"April","issued":{"date-parts":[["2017"]]},"page":"182-189","publisher":"Elsevier Inc.","title":"Climate change policies: The role of democracy and social cognitive capital","type":"article-journal","volume":"157"},"uris":["http://www.mendeley.com/documents/?uuid=5f97acc2-08fa-4ccb-84cb-3d19180d1717"]}],"mendeley":{"formattedCitation":"(Obydenkova &amp; Salahodjaev, 2017)","plainTextFormattedCitation":"(Obydenkova &amp; Salahodjaev, 2017)","previouslyFormattedCitation":"(Obydenkova &amp; Salahodjaev, 2017)"},"properties":{"noteIndex":0},"schema":"https://github.com/citation-style-language/schema/raw/master/csl-citation.json"}</w:instrText>
            </w:r>
            <w:r>
              <w:fldChar w:fldCharType="separate"/>
            </w:r>
            <w:r w:rsidR="00B53BF6" w:rsidRPr="00B53BF6">
              <w:rPr>
                <w:noProof/>
              </w:rPr>
              <w:t>(Obydenkova &amp; Salahodjaev, 2017)</w:t>
            </w:r>
            <w:r>
              <w:fldChar w:fldCharType="end"/>
            </w:r>
          </w:p>
        </w:tc>
        <w:tc>
          <w:tcPr>
            <w:tcW w:w="2126" w:type="dxa"/>
          </w:tcPr>
          <w:p w14:paraId="61B5A873" w14:textId="77777777" w:rsidR="007D03A6" w:rsidRDefault="00C61ACB" w:rsidP="007D03A6">
            <w:r w:rsidRPr="007D03A6">
              <w:rPr>
                <w:b/>
              </w:rPr>
              <w:t>Climate legislation adoption</w:t>
            </w:r>
            <w:r>
              <w:t xml:space="preserve"> </w:t>
            </w:r>
          </w:p>
          <w:p w14:paraId="4D770013" w14:textId="110C2663" w:rsidR="00C61ACB" w:rsidRDefault="007D03A6" w:rsidP="007D03A6">
            <w:r>
              <w:t>[</w:t>
            </w:r>
            <w:r w:rsidR="00C61ACB">
              <w:t>CLIMI Index</w:t>
            </w:r>
            <w:r>
              <w:t xml:space="preserve"> for 94 countries]</w:t>
            </w:r>
          </w:p>
        </w:tc>
        <w:tc>
          <w:tcPr>
            <w:tcW w:w="3636" w:type="dxa"/>
          </w:tcPr>
          <w:p w14:paraId="74A632F0" w14:textId="14C5049A" w:rsidR="00C61ACB" w:rsidRPr="00084252" w:rsidRDefault="00416C2C" w:rsidP="00CB232A">
            <w:pPr>
              <w:rPr>
                <w:color w:val="FF0000"/>
              </w:rPr>
            </w:pPr>
            <w:r w:rsidRPr="00084252">
              <w:rPr>
                <w:color w:val="FF0000"/>
              </w:rPr>
              <w:t>- CO</w:t>
            </w:r>
            <w:r w:rsidRPr="00EE7FAE">
              <w:rPr>
                <w:color w:val="FF0000"/>
                <w:vertAlign w:val="subscript"/>
              </w:rPr>
              <w:t>2</w:t>
            </w:r>
            <w:r w:rsidRPr="00084252">
              <w:rPr>
                <w:color w:val="FF0000"/>
              </w:rPr>
              <w:t xml:space="preserve"> per capita (-)</w:t>
            </w:r>
          </w:p>
        </w:tc>
        <w:tc>
          <w:tcPr>
            <w:tcW w:w="3637" w:type="dxa"/>
          </w:tcPr>
          <w:p w14:paraId="19CACE40" w14:textId="5425F3DA" w:rsidR="00C61ACB" w:rsidRDefault="00560936" w:rsidP="00CB232A">
            <w:r w:rsidRPr="00560936">
              <w:rPr>
                <w:color w:val="00B050"/>
              </w:rPr>
              <w:t>- Democracy index score (+)</w:t>
            </w:r>
          </w:p>
        </w:tc>
        <w:tc>
          <w:tcPr>
            <w:tcW w:w="3637" w:type="dxa"/>
          </w:tcPr>
          <w:p w14:paraId="24F23F2D" w14:textId="10586D7A" w:rsidR="00C61ACB" w:rsidRDefault="00FF5C16" w:rsidP="00CB232A">
            <w:r w:rsidRPr="00560936">
              <w:rPr>
                <w:color w:val="00B050"/>
              </w:rPr>
              <w:t xml:space="preserve">- Social cognitive capital </w:t>
            </w:r>
            <w:r w:rsidR="00560936" w:rsidRPr="00560936">
              <w:rPr>
                <w:color w:val="00B050"/>
              </w:rPr>
              <w:t>(IQ) (+)</w:t>
            </w:r>
          </w:p>
        </w:tc>
      </w:tr>
      <w:tr w:rsidR="00C61ACB" w14:paraId="6CCF6597" w14:textId="7C6E68E7" w:rsidTr="00B53BF6">
        <w:trPr>
          <w:trHeight w:val="2561"/>
        </w:trPr>
        <w:tc>
          <w:tcPr>
            <w:tcW w:w="1418" w:type="dxa"/>
          </w:tcPr>
          <w:p w14:paraId="57AEEE62" w14:textId="2531F7CA" w:rsidR="00C61ACB" w:rsidRDefault="00C61ACB" w:rsidP="00CB232A">
            <w:r>
              <w:fldChar w:fldCharType="begin" w:fldLock="1"/>
            </w:r>
            <w:r w:rsidR="00AE1CAD">
              <w:instrText>ADDIN CSL_CITATION {"citationItems":[{"id":"ITEM-1","itemData":{"DOI":"10.2139/ssrn.2456538","ISSN":"1556-5068","PMID":"16716253","abstract":"Anthropogenic climate change poses a threat to all people and governments, but the response to that threat varies enormously across countries. Some adopt politically costly and economically challenging climate change mitigation policies, while others deny that climate change is occurring. Why do some countries adopt effective climate change policies while others do not? To answer this fundamental question, this paper analyses the political economy determinants of climate change policy around the world. In order to measure climate change policy, we introduce a new index, the ‘Climate Laws, Institutions and Measures Index’ (CLIMI), the first systematic attempt to measure countries’ policy responses to the risk of climate change. CLIMI covers all the relevant institutions and sector-specific policies in 95 countries, representing 90% of the world’s GHG emissions. We then use CLIMI to examine the political and economic factors that determine countries’ choices to implement policies to tackle climate change. We find that the level of democracy alone is not a major driver of climate change policy adoption, but that public knowledge of climate change is. Not surprisingly, a high concentration of carbon-intensive industry in the economy hinders the adoption of climate change policy. Countries in which the citizenry has a better public awareness of climate change have more effective climate policies regardless of the presence of democratic institutions.","author":[{"dropping-particle":"","family":"Steves","given":"Franklin","non-dropping-particle":"","parse-names":false,"suffix":""},{"dropping-particle":"","family":"Teytelboym","given":"Alexander","non-dropping-particle":"","parse-names":false,"suffix":""}],"container-title":"Smith School of Enterprise and the Environment","id":"ITEM-1","issue":"October","issued":{"date-parts":[["2013"]]},"publisher-place":"Oxford","title":"Political Economy of Climate Change Policy","type":"report","volume":"13-06"},"uris":["http://www.mendeley.com/documents/?uuid=dd462bb8-22d5-4711-9e68-cf7fbb4d515e"]}],"mendeley":{"formattedCitation":"(Steves &amp; Teytelboym, 2013)","plainTextFormattedCitation":"(Steves &amp; Teytelboym, 2013)","previouslyFormattedCitation":"(Steves &amp; Teytelboym, 2013)"},"properties":{"noteIndex":0},"schema":"https://github.com/citation-style-language/schema/raw/master/csl-citation.json"}</w:instrText>
            </w:r>
            <w:r>
              <w:fldChar w:fldCharType="separate"/>
            </w:r>
            <w:r w:rsidR="00B53BF6" w:rsidRPr="00B53BF6">
              <w:rPr>
                <w:noProof/>
              </w:rPr>
              <w:t>(Steves &amp; Teytelboym, 2013)</w:t>
            </w:r>
            <w:r>
              <w:fldChar w:fldCharType="end"/>
            </w:r>
          </w:p>
        </w:tc>
        <w:tc>
          <w:tcPr>
            <w:tcW w:w="2126" w:type="dxa"/>
          </w:tcPr>
          <w:p w14:paraId="2B26BAB9" w14:textId="77777777" w:rsidR="00560936" w:rsidRDefault="00C61ACB" w:rsidP="00560936">
            <w:r w:rsidRPr="00560936">
              <w:rPr>
                <w:b/>
              </w:rPr>
              <w:t>Climate legislation adoption</w:t>
            </w:r>
            <w:r>
              <w:t xml:space="preserve"> </w:t>
            </w:r>
          </w:p>
          <w:p w14:paraId="6CFC00DD" w14:textId="128D7EA6" w:rsidR="00C61ACB" w:rsidRDefault="00560936" w:rsidP="00560936">
            <w:r>
              <w:t>[</w:t>
            </w:r>
            <w:r w:rsidR="00C61ACB">
              <w:t>CLIMI Index</w:t>
            </w:r>
            <w:r>
              <w:t xml:space="preserve"> for </w:t>
            </w:r>
            <w:r w:rsidR="00084252">
              <w:t>73 countries</w:t>
            </w:r>
            <w:r w:rsidR="00C61ACB">
              <w:t>)</w:t>
            </w:r>
          </w:p>
        </w:tc>
        <w:tc>
          <w:tcPr>
            <w:tcW w:w="3636" w:type="dxa"/>
          </w:tcPr>
          <w:p w14:paraId="05C68104" w14:textId="357697FF" w:rsidR="00084252" w:rsidRPr="00084252" w:rsidRDefault="005A218C" w:rsidP="00CB232A">
            <w:pPr>
              <w:rPr>
                <w:color w:val="FF0000"/>
              </w:rPr>
            </w:pPr>
            <w:r w:rsidRPr="00084252">
              <w:rPr>
                <w:color w:val="FF0000"/>
              </w:rPr>
              <w:t xml:space="preserve">- </w:t>
            </w:r>
            <w:r w:rsidR="00084252" w:rsidRPr="00084252">
              <w:rPr>
                <w:color w:val="FF0000"/>
              </w:rPr>
              <w:t>CO</w:t>
            </w:r>
            <w:r w:rsidR="00084252" w:rsidRPr="00EE7FAE">
              <w:rPr>
                <w:color w:val="FF0000"/>
                <w:vertAlign w:val="subscript"/>
              </w:rPr>
              <w:t>2</w:t>
            </w:r>
            <w:r w:rsidR="00084252" w:rsidRPr="00084252">
              <w:rPr>
                <w:color w:val="FF0000"/>
              </w:rPr>
              <w:t xml:space="preserve"> per GDP (-)</w:t>
            </w:r>
          </w:p>
          <w:p w14:paraId="524E58EC" w14:textId="77777777" w:rsidR="00084252" w:rsidRDefault="00084252" w:rsidP="00CB232A">
            <w:pPr>
              <w:rPr>
                <w:color w:val="FF0000"/>
              </w:rPr>
            </w:pPr>
            <w:r w:rsidRPr="00084252">
              <w:rPr>
                <w:color w:val="FF0000"/>
              </w:rPr>
              <w:t>- C</w:t>
            </w:r>
            <w:r w:rsidR="005A218C" w:rsidRPr="00084252">
              <w:rPr>
                <w:color w:val="FF0000"/>
              </w:rPr>
              <w:t>O</w:t>
            </w:r>
            <w:r w:rsidR="005A218C" w:rsidRPr="00EE7FAE">
              <w:rPr>
                <w:color w:val="FF0000"/>
                <w:vertAlign w:val="subscript"/>
              </w:rPr>
              <w:t>2</w:t>
            </w:r>
            <w:r w:rsidR="005A218C" w:rsidRPr="00084252">
              <w:rPr>
                <w:color w:val="FF0000"/>
              </w:rPr>
              <w:t xml:space="preserve"> per capita (-)</w:t>
            </w:r>
          </w:p>
          <w:p w14:paraId="1ABA0145" w14:textId="32B2FB17" w:rsidR="00716880" w:rsidRPr="00084252" w:rsidRDefault="00716880" w:rsidP="00716880">
            <w:pPr>
              <w:rPr>
                <w:color w:val="FF0000"/>
              </w:rPr>
            </w:pPr>
            <w:r>
              <w:rPr>
                <w:color w:val="FF0000"/>
              </w:rPr>
              <w:t>- Share of industry, mining, utilities in GDP (-)</w:t>
            </w:r>
          </w:p>
        </w:tc>
        <w:tc>
          <w:tcPr>
            <w:tcW w:w="3637" w:type="dxa"/>
          </w:tcPr>
          <w:p w14:paraId="4E6DFB04" w14:textId="4F8F902A" w:rsidR="00C61ACB" w:rsidRDefault="00084252" w:rsidP="00CB232A">
            <w:pPr>
              <w:rPr>
                <w:color w:val="FFC000"/>
              </w:rPr>
            </w:pPr>
            <w:r>
              <w:rPr>
                <w:color w:val="FFC000"/>
              </w:rPr>
              <w:t xml:space="preserve">- </w:t>
            </w:r>
            <w:r w:rsidR="00B66435">
              <w:rPr>
                <w:color w:val="FFC000"/>
              </w:rPr>
              <w:t>Democracy Polity</w:t>
            </w:r>
            <w:r w:rsidRPr="00084252">
              <w:rPr>
                <w:color w:val="FFC000"/>
              </w:rPr>
              <w:t xml:space="preserve"> score (</w:t>
            </w:r>
            <w:r>
              <w:rPr>
                <w:color w:val="FFC000"/>
              </w:rPr>
              <w:t xml:space="preserve"> </w:t>
            </w:r>
            <w:r w:rsidR="00B53B65">
              <w:rPr>
                <w:color w:val="FFC000"/>
              </w:rPr>
              <w:t>0</w:t>
            </w:r>
            <w:r w:rsidRPr="00084252">
              <w:rPr>
                <w:color w:val="FFC000"/>
              </w:rPr>
              <w:t xml:space="preserve"> controlling for public knowledge, CO2 per capita and Kyoto commitments)</w:t>
            </w:r>
          </w:p>
          <w:p w14:paraId="323B16DF" w14:textId="2E098C11" w:rsidR="00084252" w:rsidRDefault="00084252" w:rsidP="00CB232A">
            <w:pPr>
              <w:rPr>
                <w:color w:val="FFC000"/>
              </w:rPr>
            </w:pPr>
            <w:r w:rsidRPr="00084252">
              <w:rPr>
                <w:color w:val="FFC000"/>
              </w:rPr>
              <w:t xml:space="preserve">- Government effectiveness &amp; regulatory quality ( </w:t>
            </w:r>
            <w:r w:rsidR="00B53B65">
              <w:rPr>
                <w:color w:val="FFC000"/>
              </w:rPr>
              <w:t>0</w:t>
            </w:r>
            <w:r w:rsidRPr="00084252">
              <w:rPr>
                <w:color w:val="FFC000"/>
              </w:rPr>
              <w:t xml:space="preserve"> controlling for public knowledge, CO2 per capita and Kyoto commitments)</w:t>
            </w:r>
          </w:p>
          <w:p w14:paraId="659EA0E6" w14:textId="77777777" w:rsidR="00084252" w:rsidRPr="00084252" w:rsidRDefault="00084252" w:rsidP="00CB232A">
            <w:pPr>
              <w:rPr>
                <w:color w:val="00B050"/>
              </w:rPr>
            </w:pPr>
            <w:r w:rsidRPr="00084252">
              <w:rPr>
                <w:color w:val="00B050"/>
              </w:rPr>
              <w:t>- EU membership (+)</w:t>
            </w:r>
          </w:p>
          <w:p w14:paraId="6D0DF70F" w14:textId="5A65D602" w:rsidR="00084252" w:rsidRDefault="00B53B65" w:rsidP="00CB232A">
            <w:r>
              <w:rPr>
                <w:color w:val="FFC000"/>
              </w:rPr>
              <w:t>- Post communist (0</w:t>
            </w:r>
            <w:r w:rsidR="00084252">
              <w:rPr>
                <w:color w:val="FFC000"/>
              </w:rPr>
              <w:t>)</w:t>
            </w:r>
          </w:p>
        </w:tc>
        <w:tc>
          <w:tcPr>
            <w:tcW w:w="3637" w:type="dxa"/>
          </w:tcPr>
          <w:p w14:paraId="32BB51AA" w14:textId="106EFC1F" w:rsidR="00C61ACB" w:rsidRDefault="005A218C" w:rsidP="00F91256">
            <w:pPr>
              <w:keepNext/>
            </w:pPr>
            <w:r w:rsidRPr="00084252">
              <w:rPr>
                <w:color w:val="00B050"/>
              </w:rPr>
              <w:t>- Public knowledge of climate change (+)</w:t>
            </w:r>
          </w:p>
        </w:tc>
      </w:tr>
      <w:tr w:rsidR="006E1150" w14:paraId="2B4189ED" w14:textId="77777777" w:rsidTr="00B53BF6">
        <w:trPr>
          <w:trHeight w:val="2561"/>
        </w:trPr>
        <w:tc>
          <w:tcPr>
            <w:tcW w:w="1418" w:type="dxa"/>
            <w:tcBorders>
              <w:bottom w:val="single" w:sz="4" w:space="0" w:color="auto"/>
            </w:tcBorders>
          </w:tcPr>
          <w:p w14:paraId="0BDCE228" w14:textId="07BF69C2" w:rsidR="006E1150" w:rsidRDefault="006E1150" w:rsidP="006E1150">
            <w:r>
              <w:fldChar w:fldCharType="begin" w:fldLock="1"/>
            </w:r>
            <w:r w:rsidR="00AE1CAD">
              <w:instrText>ADDIN CSL_CITATION {"citationItems":[{"id":"ITEM-1","itemData":{"DOI":"doi:10.1596/1813-9450-6470","abstract":"This paper provides an empirical analysis of economic and political determinants of gasoline and diesel prices for about 200 countries over the period 1991-2010. A range of both political and economic variables are found to systematically influence fuel prices, and in ways that differ systematically with countries’ per-capita income levels. For democracies, the analysis finds that fuel prices correlate positively with both duration of democracy and tenure of democratic leaders. In non-democratic societies there is more often no such relationship or it is the opposite of that for democracies. Regime switches -- transitions from non-democratic to democratic government, or vice versa -- reduce fuel prices. Fuel prices are also lower for more corrupt, or more centralized, governments. Higher levels of gross domestic product per capita lead to higher fuel prices, while export income from selling fossil fuels reduces these prices dramatically. Higher motor fuel consumption also appears to reduce fuel prices, most for gasoline. Absolute","author":[{"dropping-particle":"","family":"Beers","given":"Cees","non-dropping-particle":"van","parse-names":false,"suffix":""},{"dropping-particle":"","family":"Strand","given":"Jon","non-dropping-particle":"","parse-names":false,"suffix":""}],"collection-title":"Policy Research Working Paper","id":"ITEM-1","issue":"May","issued":{"date-parts":[["2013"]]},"number":"6470","title":"Political determinants of fossil fuel pricing","type":"report"},"uris":["http://www.mendeley.com/documents/?uuid=ca06098b-c993-459d-9e61-04ce3d8808ff"]}],"mendeley":{"formattedCitation":"(van Beers &amp; Strand, 2013)","plainTextFormattedCitation":"(van Beers &amp; Strand, 2013)","previouslyFormattedCitation":"(van Beers &amp; Strand, 2013)"},"properties":{"noteIndex":0},"schema":"https://github.com/citation-style-language/schema/raw/master/csl-citation.json"}</w:instrText>
            </w:r>
            <w:r>
              <w:fldChar w:fldCharType="separate"/>
            </w:r>
            <w:r w:rsidR="00B53BF6" w:rsidRPr="00B53BF6">
              <w:rPr>
                <w:noProof/>
              </w:rPr>
              <w:t>(van Beers &amp; Strand, 2013)</w:t>
            </w:r>
            <w:r>
              <w:fldChar w:fldCharType="end"/>
            </w:r>
          </w:p>
        </w:tc>
        <w:tc>
          <w:tcPr>
            <w:tcW w:w="2126" w:type="dxa"/>
            <w:tcBorders>
              <w:bottom w:val="single" w:sz="4" w:space="0" w:color="auto"/>
            </w:tcBorders>
          </w:tcPr>
          <w:p w14:paraId="3B0344EA" w14:textId="77777777" w:rsidR="006E1150" w:rsidRDefault="006E1150" w:rsidP="006E1150">
            <w:pPr>
              <w:rPr>
                <w:b/>
              </w:rPr>
            </w:pPr>
            <w:r>
              <w:rPr>
                <w:b/>
              </w:rPr>
              <w:t>Climate policy adoption (fossil fuel subsidy reform)</w:t>
            </w:r>
          </w:p>
          <w:p w14:paraId="0777A272" w14:textId="77777777" w:rsidR="006E1150" w:rsidRDefault="006E1150" w:rsidP="006E1150">
            <w:pPr>
              <w:rPr>
                <w:b/>
              </w:rPr>
            </w:pPr>
          </w:p>
          <w:p w14:paraId="33DCCDF5" w14:textId="1E32E2DA" w:rsidR="006E1150" w:rsidRPr="00560936" w:rsidRDefault="006E1150" w:rsidP="006E1150">
            <w:pPr>
              <w:rPr>
                <w:b/>
              </w:rPr>
            </w:pPr>
            <w:r w:rsidRPr="006E1150">
              <w:t>[Petrol and diesel prices for 201 countries</w:t>
            </w:r>
            <w:r>
              <w:t>]</w:t>
            </w:r>
          </w:p>
        </w:tc>
        <w:tc>
          <w:tcPr>
            <w:tcW w:w="3636" w:type="dxa"/>
            <w:tcBorders>
              <w:bottom w:val="single" w:sz="4" w:space="0" w:color="auto"/>
            </w:tcBorders>
          </w:tcPr>
          <w:p w14:paraId="38D5F709" w14:textId="1C91D4F0" w:rsidR="006E1150" w:rsidRPr="00084252" w:rsidRDefault="006E1150" w:rsidP="0068619D">
            <w:pPr>
              <w:rPr>
                <w:color w:val="FF0000"/>
              </w:rPr>
            </w:pPr>
            <w:r w:rsidRPr="003F017E">
              <w:rPr>
                <w:color w:val="FF0000"/>
              </w:rPr>
              <w:t>- Oil export surplus (-)</w:t>
            </w:r>
          </w:p>
        </w:tc>
        <w:tc>
          <w:tcPr>
            <w:tcW w:w="3637" w:type="dxa"/>
            <w:tcBorders>
              <w:bottom w:val="single" w:sz="4" w:space="0" w:color="auto"/>
            </w:tcBorders>
          </w:tcPr>
          <w:p w14:paraId="45890CC4" w14:textId="77777777" w:rsidR="006E1150" w:rsidRPr="000C5910" w:rsidRDefault="006E1150" w:rsidP="006E1150">
            <w:pPr>
              <w:rPr>
                <w:color w:val="00B050"/>
              </w:rPr>
            </w:pPr>
            <w:r w:rsidRPr="000C5910">
              <w:rPr>
                <w:color w:val="00B050"/>
              </w:rPr>
              <w:t>- Developme</w:t>
            </w:r>
            <w:r>
              <w:rPr>
                <w:color w:val="00B050"/>
              </w:rPr>
              <w:t>n</w:t>
            </w:r>
            <w:r w:rsidRPr="000C5910">
              <w:rPr>
                <w:color w:val="00B050"/>
              </w:rPr>
              <w:t>t level (GDP) (+)</w:t>
            </w:r>
          </w:p>
          <w:p w14:paraId="35BB8C80" w14:textId="77777777" w:rsidR="006E1150" w:rsidRPr="000C5910" w:rsidRDefault="006E1150" w:rsidP="006E1150">
            <w:pPr>
              <w:rPr>
                <w:color w:val="00B050"/>
              </w:rPr>
            </w:pPr>
            <w:r w:rsidRPr="000C5910">
              <w:rPr>
                <w:color w:val="00B050"/>
              </w:rPr>
              <w:t>- Control of corruption (+)</w:t>
            </w:r>
          </w:p>
          <w:p w14:paraId="7709E768" w14:textId="77777777" w:rsidR="006E1150" w:rsidRPr="003F017E" w:rsidRDefault="006E1150" w:rsidP="006E1150">
            <w:pPr>
              <w:rPr>
                <w:color w:val="00B050"/>
              </w:rPr>
            </w:pPr>
            <w:r w:rsidRPr="003F017E">
              <w:rPr>
                <w:color w:val="00B050"/>
              </w:rPr>
              <w:t>- Years of democracy (+)</w:t>
            </w:r>
          </w:p>
          <w:p w14:paraId="51FF89F9" w14:textId="77777777" w:rsidR="006E1150" w:rsidRPr="003F017E" w:rsidRDefault="006E1150" w:rsidP="006E1150">
            <w:pPr>
              <w:rPr>
                <w:color w:val="FF0000"/>
              </w:rPr>
            </w:pPr>
            <w:r w:rsidRPr="003F017E">
              <w:rPr>
                <w:color w:val="FF0000"/>
              </w:rPr>
              <w:t>- Shift to democracy (- then +)</w:t>
            </w:r>
          </w:p>
          <w:p w14:paraId="535D05C6" w14:textId="77777777" w:rsidR="006E1150" w:rsidRPr="003F017E" w:rsidRDefault="006E1150" w:rsidP="006E1150">
            <w:pPr>
              <w:rPr>
                <w:color w:val="FF0000"/>
              </w:rPr>
            </w:pPr>
            <w:r w:rsidRPr="003F017E">
              <w:rPr>
                <w:color w:val="FF0000"/>
              </w:rPr>
              <w:t>- Presidential system (-)</w:t>
            </w:r>
          </w:p>
          <w:p w14:paraId="32B3617C" w14:textId="77777777" w:rsidR="006E1150" w:rsidRPr="003F017E" w:rsidRDefault="006E1150" w:rsidP="006E1150">
            <w:pPr>
              <w:rPr>
                <w:color w:val="00B050"/>
              </w:rPr>
            </w:pPr>
            <w:r w:rsidRPr="003F017E">
              <w:rPr>
                <w:color w:val="00B050"/>
              </w:rPr>
              <w:t>- Proportional representation (+)</w:t>
            </w:r>
          </w:p>
          <w:p w14:paraId="26AFA2BF" w14:textId="77777777" w:rsidR="006E1150" w:rsidRPr="003F017E" w:rsidRDefault="006E1150" w:rsidP="006E1150">
            <w:pPr>
              <w:rPr>
                <w:color w:val="FF0000"/>
              </w:rPr>
            </w:pPr>
            <w:r w:rsidRPr="003F017E">
              <w:rPr>
                <w:color w:val="FF0000"/>
              </w:rPr>
              <w:t>- Concentration of political power (seat shares of ruling party) (-)</w:t>
            </w:r>
          </w:p>
          <w:p w14:paraId="0372F59B" w14:textId="77777777" w:rsidR="006E1150" w:rsidRDefault="006E1150" w:rsidP="006E1150">
            <w:pPr>
              <w:rPr>
                <w:color w:val="FFC000"/>
              </w:rPr>
            </w:pPr>
          </w:p>
        </w:tc>
        <w:tc>
          <w:tcPr>
            <w:tcW w:w="3637" w:type="dxa"/>
            <w:tcBorders>
              <w:bottom w:val="single" w:sz="4" w:space="0" w:color="auto"/>
            </w:tcBorders>
          </w:tcPr>
          <w:p w14:paraId="6C44ECE9" w14:textId="77777777" w:rsidR="006E1150" w:rsidRPr="00084252" w:rsidRDefault="006E1150" w:rsidP="006E1150">
            <w:pPr>
              <w:keepNext/>
              <w:rPr>
                <w:color w:val="00B050"/>
              </w:rPr>
            </w:pPr>
          </w:p>
        </w:tc>
      </w:tr>
    </w:tbl>
    <w:p w14:paraId="2E2FB1A2" w14:textId="42D4370E" w:rsidR="00C61ACB" w:rsidRDefault="00F91256" w:rsidP="007F464F">
      <w:pPr>
        <w:pStyle w:val="Caption"/>
      </w:pPr>
      <w:r w:rsidRPr="00F91256">
        <w:rPr>
          <w:b/>
          <w:sz w:val="22"/>
        </w:rPr>
        <w:t xml:space="preserve">Table </w:t>
      </w:r>
      <w:r w:rsidRPr="00F91256">
        <w:rPr>
          <w:b/>
          <w:sz w:val="22"/>
        </w:rPr>
        <w:fldChar w:fldCharType="begin"/>
      </w:r>
      <w:r w:rsidRPr="00F91256">
        <w:rPr>
          <w:b/>
          <w:sz w:val="22"/>
        </w:rPr>
        <w:instrText xml:space="preserve"> SEQ Table \* ARABIC </w:instrText>
      </w:r>
      <w:r w:rsidRPr="00F91256">
        <w:rPr>
          <w:b/>
          <w:sz w:val="22"/>
        </w:rPr>
        <w:fldChar w:fldCharType="separate"/>
      </w:r>
      <w:r w:rsidR="00403128">
        <w:rPr>
          <w:b/>
          <w:noProof/>
          <w:sz w:val="22"/>
        </w:rPr>
        <w:t>3</w:t>
      </w:r>
      <w:r w:rsidRPr="00F91256">
        <w:rPr>
          <w:b/>
          <w:sz w:val="22"/>
        </w:rPr>
        <w:fldChar w:fldCharType="end"/>
      </w:r>
      <w:r w:rsidRPr="00F91256">
        <w:rPr>
          <w:b/>
          <w:sz w:val="22"/>
        </w:rPr>
        <w:t xml:space="preserve">: </w:t>
      </w:r>
      <w:r w:rsidR="00BD4C91">
        <w:rPr>
          <w:b/>
          <w:sz w:val="22"/>
        </w:rPr>
        <w:t>C</w:t>
      </w:r>
      <w:r w:rsidRPr="00F91256">
        <w:rPr>
          <w:b/>
          <w:sz w:val="22"/>
        </w:rPr>
        <w:t>ross-national studies of political economic constraints to climate policy</w:t>
      </w:r>
      <w:r>
        <w:rPr>
          <w:sz w:val="22"/>
        </w:rPr>
        <w:t xml:space="preserve">. Note: in some cases we do not report variables outside the interest/institution/ideas typology. </w:t>
      </w:r>
      <w:r w:rsidR="00A1607B">
        <w:rPr>
          <w:sz w:val="22"/>
        </w:rPr>
        <w:t xml:space="preserve">Often these are control variables such as </w:t>
      </w:r>
      <w:r>
        <w:rPr>
          <w:sz w:val="22"/>
        </w:rPr>
        <w:t xml:space="preserve">the share of trade in GDP </w:t>
      </w:r>
      <w:r>
        <w:rPr>
          <w:sz w:val="22"/>
        </w:rPr>
        <w:fldChar w:fldCharType="begin" w:fldLock="1"/>
      </w:r>
      <w:r w:rsidR="00AE1CAD">
        <w:rPr>
          <w:sz w:val="22"/>
        </w:rPr>
        <w:instrText>ADDIN CSL_CITATION {"citationItems":[{"id":"ITEM-1","itemData":{"DOI":"10.1080/13510347.2015.1094059","ISSN":"1743890X","abstract":"In an ideal inclusive political system, all citizens are equally able to influence and challenge policies. We focus on how inclusiveness affects climate policies and outcomes. We argue that more inclusive systems should produce more policies in response to environmental threats and should have better outcomes. We test these hypotheses using panel and cross-sectional data relating to climate policy outputs and outcomes. The results suggest that inclusiveness is positively associated with policy outputs, but probably not with lower emissions of greenhouse gases. This pattern may relate to a lack of deliberation in systems, which are relatively inclusive in the narrower sense of pluralist democratic theory.","author":[{"dropping-particle":"","family":"Böhmelt","given":"Tobias","non-dropping-particle":"","parse-names":false,"suffix":""},{"dropping-particle":"","family":"Böker","given":"Marit","non-dropping-particle":"","parse-names":false,"suffix":""},{"dropping-particle":"","family":"Ward","given":"Hugh","non-dropping-particle":"","parse-names":false,"suffix":""}],"container-title":"Democratization","id":"ITEM-1","issue":"7","issued":{"date-parts":[["2016"]]},"page":"1272-1291","title":"Democratic inclusiveness, climate policy outputs, and climate policy outcomes","type":"article-journal","volume":"23"},"uris":["http://www.mendeley.com/documents/?uuid=f21b2858-7d84-40bd-80f1-8db4052dc264"]}],"mendeley":{"formattedCitation":"(Böhmelt et al., 2016)","plainTextFormattedCitation":"(Böhmelt et al., 2016)","previouslyFormattedCitation":"(Böhmelt et al., 2016)"},"properties":{"noteIndex":0},"schema":"https://github.com/citation-style-language/schema/raw/master/csl-citation.json"}</w:instrText>
      </w:r>
      <w:r>
        <w:rPr>
          <w:sz w:val="22"/>
        </w:rPr>
        <w:fldChar w:fldCharType="separate"/>
      </w:r>
      <w:r w:rsidR="00B53BF6" w:rsidRPr="00B53BF6">
        <w:rPr>
          <w:i w:val="0"/>
          <w:noProof/>
          <w:sz w:val="22"/>
        </w:rPr>
        <w:t>(Böhmelt et al., 2016)</w:t>
      </w:r>
      <w:r>
        <w:rPr>
          <w:sz w:val="22"/>
        </w:rPr>
        <w:fldChar w:fldCharType="end"/>
      </w:r>
      <w:r>
        <w:rPr>
          <w:sz w:val="22"/>
        </w:rPr>
        <w:t>.</w:t>
      </w:r>
    </w:p>
    <w:p w14:paraId="3B41D9F5" w14:textId="77777777" w:rsidR="00BC15CD" w:rsidRDefault="00BC15CD" w:rsidP="0021445B">
      <w:pPr>
        <w:spacing w:line="360" w:lineRule="auto"/>
        <w:sectPr w:rsidR="00BC15CD" w:rsidSect="00C61ACB">
          <w:pgSz w:w="16838" w:h="11906" w:orient="landscape"/>
          <w:pgMar w:top="1417" w:right="1417" w:bottom="1417" w:left="1134" w:header="708" w:footer="708" w:gutter="0"/>
          <w:cols w:space="708"/>
          <w:docGrid w:linePitch="360"/>
        </w:sectPr>
      </w:pPr>
    </w:p>
    <w:p w14:paraId="33954B08" w14:textId="33CDA29C" w:rsidR="00FB482A" w:rsidRDefault="00FB482A" w:rsidP="00936D99">
      <w:pPr>
        <w:pStyle w:val="Heading3"/>
        <w:numPr>
          <w:ilvl w:val="1"/>
          <w:numId w:val="1"/>
        </w:numPr>
        <w:spacing w:after="120" w:line="360" w:lineRule="auto"/>
        <w:ind w:left="788" w:hanging="431"/>
      </w:pPr>
      <w:r>
        <w:lastRenderedPageBreak/>
        <w:t>Ideas</w:t>
      </w:r>
    </w:p>
    <w:p w14:paraId="609005D6" w14:textId="61BF8D96" w:rsidR="004E27D2" w:rsidRDefault="0093697F" w:rsidP="00E77203">
      <w:pPr>
        <w:spacing w:line="360" w:lineRule="auto"/>
      </w:pPr>
      <w:r>
        <w:t>Climate policy h</w:t>
      </w:r>
      <w:r w:rsidR="000E7F39">
        <w:t xml:space="preserve">as long been a battle of ideas, with much </w:t>
      </w:r>
      <w:r>
        <w:t xml:space="preserve">contestation </w:t>
      </w:r>
      <w:r w:rsidR="000E7F39">
        <w:t>centred on the</w:t>
      </w:r>
      <w:r>
        <w:t xml:space="preserve"> </w:t>
      </w:r>
      <w:r w:rsidR="00705432">
        <w:t xml:space="preserve">perceived </w:t>
      </w:r>
      <w:r>
        <w:t xml:space="preserve">existence, severity and human-driven nature of climate change. </w:t>
      </w:r>
      <w:r w:rsidR="00705432">
        <w:t xml:space="preserve">Many have </w:t>
      </w:r>
      <w:r>
        <w:t xml:space="preserve">reasoned that if the public </w:t>
      </w:r>
      <w:r w:rsidR="0081672C">
        <w:t xml:space="preserve">remains </w:t>
      </w:r>
      <w:r w:rsidR="00705432">
        <w:t xml:space="preserve">in doubt regarding the causes and impacts of climate change, </w:t>
      </w:r>
      <w:r w:rsidR="003E4DAF">
        <w:t>then</w:t>
      </w:r>
      <w:r w:rsidR="0042363F">
        <w:t xml:space="preserve"> legislators will </w:t>
      </w:r>
      <w:r w:rsidR="0081672C">
        <w:t>be</w:t>
      </w:r>
      <w:r w:rsidR="0042363F">
        <w:t xml:space="preserve"> unwilling to </w:t>
      </w:r>
      <w:r w:rsidR="00705432">
        <w:t>push for climate policy adoption</w:t>
      </w:r>
      <w:r w:rsidR="000E7F39">
        <w:t xml:space="preserve"> </w:t>
      </w:r>
      <w:r w:rsidR="000E7F39">
        <w:fldChar w:fldCharType="begin" w:fldLock="1"/>
      </w:r>
      <w:r w:rsidR="00AE1CAD">
        <w:instrText>ADDIN CSL_CITATION {"citationItems":[{"id":"ITEM-1","itemData":{"DOI":"10.1038/nclimate2728","ISBN":"1758-678X","ISSN":"17586798","PMID":"15244664","abstract":"Climate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Change","id":"ITEM-1","issue":"11","issued":{"date-parts":[["2015"]]},"page":"1014-1020","title":"Predictors of public climate change awareness and risk perception around the world","type":"article-journal","volume":"5"},"uris":["http://www.mendeley.com/documents/?uuid=6827d493-0056-4c64-a396-f933490098f2"]},{"id":"ITEM-2","itemData":{"DOI":"10.1080/14693062.2015.1058240","ISSN":"17527457","abstract":"The lack of broad public support prevents the implementation of effective climate policies. This article aims to examine why citi- zens support or reject climate policies. For this purpose, we provide a cross-disciplinary overview of empirical and experimental research on public attitudes and preferences that has emerged in the last few years. The various factors influencing policy support are divided into three general categories: (1) social-psychological factors and climate change perception, such as the positive influences of left-wing political orientation, egalitarian worldviews, environmental and self-transcendent values, climate change knowledge, risk perception, or emotions like interest and hope; (2) the perception of climate policy and its design, which includes, among others, the preference of pull over push measures, the positive role of perceived policy effectiveness, the level of policy costs, as well as the positive effect of perceived policy fairness and the recycling of potential policy revenues; (3) contextual factors, such as the positive influence of social trust, norms and participation, wider economic, political and geographical aspects, or the different effects of specific media events and communications. Finally, we discuss the findings and provide suggestions for future research. Policy","author":[{"dropping-particle":"","family":"Drews","given":"Stefan","non-dropping-particle":"","parse-names":false,"suffix":""},{"dropping-particle":"","family":"Bergh","given":"Jeroen C.J.M.","non-dropping-particle":"van den","parse-names":false,"suffix":""}],"container-title":"Climate Policy","id":"ITEM-2","issue":"7","issued":{"date-parts":[["2016"]]},"page":"855-876","title":"What explains public support for climate policies? A review of empirical and experimental studies","type":"article-journal","volume":"16"},"uris":["http://www.mendeley.com/documents/?uuid=37f9e0b4-ba89-4d64-a58c-149a3e4e6091"]}],"mendeley":{"formattedCitation":"(Drews &amp; van den Bergh, 2016; Lee, Markowitz, Howe, Ko, &amp; Leiserowitz, 2015)","plainTextFormattedCitation":"(Drews &amp; van den Bergh, 2016; Lee, Markowitz, Howe, Ko, &amp; Leiserowitz, 2015)","previouslyFormattedCitation":"(Drews &amp; van den Bergh, 2016; Lee, Markowitz, Howe, Ko, &amp; Leiserowitz, 2015)"},"properties":{"noteIndex":0},"schema":"https://github.com/citation-style-language/schema/raw/master/csl-citation.json"}</w:instrText>
      </w:r>
      <w:r w:rsidR="000E7F39">
        <w:fldChar w:fldCharType="separate"/>
      </w:r>
      <w:r w:rsidR="00B53BF6" w:rsidRPr="00B53BF6">
        <w:rPr>
          <w:noProof/>
        </w:rPr>
        <w:t>(Drews &amp; van den Bergh, 2016; Lee, Markowitz, Howe, Ko, &amp; Leiserowitz, 2015)</w:t>
      </w:r>
      <w:r w:rsidR="000E7F39">
        <w:fldChar w:fldCharType="end"/>
      </w:r>
      <w:r w:rsidR="0042363F" w:rsidRPr="008F3B76">
        <w:t>.</w:t>
      </w:r>
      <w:r w:rsidR="00EA67E1" w:rsidRPr="008F3B76">
        <w:t xml:space="preserve"> </w:t>
      </w:r>
      <w:r w:rsidR="00EA67E1" w:rsidRPr="00EA67E1">
        <w:t xml:space="preserve">Indeed, </w:t>
      </w:r>
      <w:r w:rsidR="001271A5">
        <w:t xml:space="preserve">public </w:t>
      </w:r>
      <w:r w:rsidR="00F55526">
        <w:t>belief in climate change to a large extent explain</w:t>
      </w:r>
      <w:r w:rsidR="003A16B2">
        <w:t>s</w:t>
      </w:r>
      <w:r w:rsidR="00F55526">
        <w:t xml:space="preserve"> willingness-to-pay for climate policies in a US survey </w:t>
      </w:r>
      <w:r w:rsidR="00F55526">
        <w:fldChar w:fldCharType="begin" w:fldLock="1"/>
      </w:r>
      <w:r w:rsidR="00AE1CAD">
        <w:instrText>ADDIN CSL_CITATION {"citationItems":[{"id":"ITEM-1","itemData":{"DOI":"10.1016/j.enpol.2012.12.058","ISBN":"0301-4215","ISSN":"03014215","PMID":"11446916","abstract":"This paper provides the first willingness-to-pay (WTP) estimates in support of a national climate-change policy that are comparable with the costs of actual legislative efforts in the U.S. Congress. Based on a survey of 2034 American adults, we find that households are, on average, willing to pay between $79 and $89 per year in support of reducing domestic greenhouse-gas (GHG) emissions 17% by 2020. Even very conservative estimates yield an average WTP at or above $60 per year. Taking advantage of randomized treatments within the survey valuation question, we find that mean WTP does not vary substantially among the policy instruments of a cap-and-trade program, a carbon tax, or a GHG regulation. But there are differences in the sociodemographic characteristics of those willing to pay across policy instruments. Greater education always increases WTP. Older individuals have a lower WTP for a carbon tax and a GHG regulation, while greater household income increases WTP for these same two policy instruments. Republicans, along with those indicating no political party affiliation, have a significantly lower WTP regardless of the policy instrument. But many of these differences are no longer evident after controlling for respondent opinions about whether global warming is actually happening. © 2012 Elsevier Ltd.","author":[{"dropping-particle":"","family":"Kotchen","given":"Matthew J.","non-dropping-particle":"","parse-names":false,"suffix":""},{"dropping-particle":"","family":"Boyle","given":"Kevin J.","non-dropping-particle":"","parse-names":false,"suffix":""},{"dropping-particle":"","family":"Leiserowitz","given":"Anthony A.","non-dropping-particle":"","parse-names":false,"suffix":""}],"container-title":"Energy Policy","id":"ITEM-1","issued":{"date-parts":[["2013"]]},"page":"617-625","publisher":"Elsevier","title":"Willingness-to-pay and policy-instrument choice for climate-change policy in the United States","type":"article-journal","volume":"55"},"uris":["http://www.mendeley.com/documents/?uuid=80f80605-bb25-4413-a94a-47c39b56b9b3"]}],"mendeley":{"formattedCitation":"(Kotchen, Boyle, &amp; Leiserowitz, 2013)","plainTextFormattedCitation":"(Kotchen, Boyle, &amp; Leiserowitz, 2013)","previouslyFormattedCitation":"(Kotchen, Boyle, &amp; Leiserowitz, 2013)"},"properties":{"noteIndex":0},"schema":"https://github.com/citation-style-language/schema/raw/master/csl-citation.json"}</w:instrText>
      </w:r>
      <w:r w:rsidR="00F55526">
        <w:fldChar w:fldCharType="separate"/>
      </w:r>
      <w:r w:rsidR="00B53BF6" w:rsidRPr="00B53BF6">
        <w:rPr>
          <w:noProof/>
        </w:rPr>
        <w:t>(Kotchen, Boyle, &amp; Leiserowitz, 2013)</w:t>
      </w:r>
      <w:r w:rsidR="00F55526">
        <w:fldChar w:fldCharType="end"/>
      </w:r>
      <w:r w:rsidR="0032147A">
        <w:t>.</w:t>
      </w:r>
    </w:p>
    <w:p w14:paraId="7736DC14" w14:textId="710F7466" w:rsidR="008A788C" w:rsidRDefault="000E7F39" w:rsidP="00EA67E1">
      <w:pPr>
        <w:spacing w:line="360" w:lineRule="auto"/>
      </w:pPr>
      <w:r>
        <w:t xml:space="preserve">There is an </w:t>
      </w:r>
      <w:r w:rsidR="0015622A">
        <w:t>extensive literature examining the underlying d</w:t>
      </w:r>
      <w:r w:rsidR="00C44294">
        <w:t xml:space="preserve">rivers of climate change </w:t>
      </w:r>
      <w:r w:rsidR="007847EA">
        <w:t>perceptions</w:t>
      </w:r>
      <w:r>
        <w:t xml:space="preserve">. </w:t>
      </w:r>
      <w:r w:rsidR="005C7CA4">
        <w:t>Much attention is paid to left</w:t>
      </w:r>
      <w:r w:rsidR="00FB64D7">
        <w:t>-</w:t>
      </w:r>
      <w:r w:rsidR="005C7CA4">
        <w:t xml:space="preserve"> versus right-leaning political orientations, which appear to correlate with positive and negative attitudes, respectively, on climate change belief, concern</w:t>
      </w:r>
      <w:r w:rsidR="00E25ED8">
        <w:t>,</w:t>
      </w:r>
      <w:r w:rsidR="005C7CA4">
        <w:t xml:space="preserve"> and </w:t>
      </w:r>
      <w:r w:rsidR="00EA67E1">
        <w:t xml:space="preserve">preference for policies </w:t>
      </w:r>
      <w:r w:rsidR="005C7CA4">
        <w:fldChar w:fldCharType="begin" w:fldLock="1"/>
      </w:r>
      <w:r w:rsidR="00AE1CAD">
        <w:instrText>ADDIN CSL_CITATION {"citationItems":[{"id":"ITEM-1","itemData":{"DOI":"10.1080/14693062.2015.1058240","ISSN":"17527457","abstract":"The lack of broad public support prevents the implementation of effective climate policies. This article aims to examine why citi- zens support or reject climate policies. For this purpose, we provide a cross-disciplinary overview of empirical and experimental research on public attitudes and preferences that has emerged in the last few years. The various factors influencing policy support are divided into three general categories: (1) social-psychological factors and climate change perception, such as the positive influences of left-wing political orientation, egalitarian worldviews, environmental and self-transcendent values, climate change knowledge, risk perception, or emotions like interest and hope; (2) the perception of climate policy and its design, which includes, among others, the preference of pull over push measures, the positive role of perceived policy effectiveness, the level of policy costs, as well as the positive effect of perceived policy fairness and the recycling of potential policy revenues; (3) contextual factors, such as the positive influence of social trust, norms and participation, wider economic, political and geographical aspects, or the different effects of specific media events and communications. Finally, we discuss the findings and provide suggestions for future research. Policy","author":[{"dropping-particle":"","family":"Drews","given":"Stefan","non-dropping-particle":"","parse-names":false,"suffix":""},{"dropping-particle":"","family":"Bergh","given":"Jeroen C.J.M.","non-dropping-particle":"van den","parse-names":false,"suffix":""}],"container-title":"Climate Policy","id":"ITEM-1","issue":"7","issued":{"date-parts":[["2016"]]},"page":"855-876","title":"What explains public support for climate policies? A review of empirical and experimental studies","type":"article-journal","volume":"16"},"uris":["http://www.mendeley.com/documents/?uuid=37f9e0b4-ba89-4d64-a58c-149a3e4e6091"]},{"id":"ITEM-2","itemData":{"DOI":"10.1016/j.eneco.2017.01.022","ISBN":"4964212823","ISSN":"01409883","abstract":"Based on unique data from representative computer-based surveys among more than 3400 citizens, this paper empirically examines the determinants of several climate change beliefs and attitudes in three countries which are key players in international climate policy, namely the USA, Germany (as the largest country in the European Union), and China. Our econometric analysis implies that political orientation in the USA is by far more relevant for general climate change beliefs and beliefs in anthropogenic climate change than in Germany and China. Furthermore, US and German citizens with a conservative, but not green identification significantly less often support publicly financed climate policy, while US and German respondents with a social–green identification and Chinese respondents belonging to the Communist Party have a significantly higher willingness to pay a price premium for climate-friendly products. However, our econometric analysis overall reveals that environmental values, which are measured by a New Ecological Paradigm (NEP) scale, are the major factors for climate change beliefs and attitudes in all three countries and thus play an even more dominant role than political orientation. In addition, environmental values weaken the differences in several climate change beliefs and attitudes between a right-wing and a left-wing identification. These interaction effects between political orientation and the NEP scale are especially strong in the USA, only relevant for the support of publicly financed climate policy in Germany, and negligible in China. Our estimation results suggest alternative strategies such as specific communication campaigns in order to reduce the climate change skepticism in conservative and right-wing circles in the USA and to increase the support of climate policies among such population groups.","author":[{"dropping-particle":"","family":"Ziegler","given":"Andreas","non-dropping-particle":"","parse-names":false,"suffix":""}],"container-title":"Energy Economics","id":"ITEM-2","issued":{"date-parts":[["2017"]]},"page":"144-153","publisher":"Elsevier B.V.","title":"Political orientation, environmental values, and climate change beliefs and attitudes: An empirical cross country analysis","type":"article-journal","volume":"63"},"uris":["http://www.mendeley.com/documents/?uuid=177eaac4-21d3-4002-b46b-fe5770339a0c"]}],"mendeley":{"formattedCitation":"(Drews &amp; van den Bergh, 2016; Ziegler, 2017)","plainTextFormattedCitation":"(Drews &amp; van den Bergh, 2016; Ziegler, 2017)","previouslyFormattedCitation":"(Drews &amp; van den Bergh, 2016; Ziegler, 2017)"},"properties":{"noteIndex":0},"schema":"https://github.com/citation-style-language/schema/raw/master/csl-citation.json"}</w:instrText>
      </w:r>
      <w:r w:rsidR="005C7CA4">
        <w:fldChar w:fldCharType="separate"/>
      </w:r>
      <w:r w:rsidR="00B53BF6" w:rsidRPr="00B53BF6">
        <w:rPr>
          <w:noProof/>
        </w:rPr>
        <w:t>(Drews &amp; van den Bergh, 2016; Ziegler, 2017)</w:t>
      </w:r>
      <w:r w:rsidR="005C7CA4">
        <w:fldChar w:fldCharType="end"/>
      </w:r>
      <w:r w:rsidR="005C7CA4">
        <w:t xml:space="preserve">. </w:t>
      </w:r>
      <w:r w:rsidR="00CA4259">
        <w:t xml:space="preserve">However, </w:t>
      </w:r>
      <w:r w:rsidR="00471563">
        <w:t xml:space="preserve">it could be that </w:t>
      </w:r>
      <w:r w:rsidR="00CA4259">
        <w:t xml:space="preserve">the phenomenon of conservative climate scepticism </w:t>
      </w:r>
      <w:r w:rsidR="00471563">
        <w:t xml:space="preserve">is </w:t>
      </w:r>
      <w:r w:rsidR="00FB64D7">
        <w:t>unique to Anglo-</w:t>
      </w:r>
      <w:r w:rsidR="00CA4259">
        <w:t xml:space="preserve">Saxon countries </w:t>
      </w:r>
      <w:r w:rsidR="00EA7B0B">
        <w:t>(US, UK, Canada and Australia)</w:t>
      </w:r>
      <w:r w:rsidR="00CA4259">
        <w:t xml:space="preserve">, </w:t>
      </w:r>
      <w:r w:rsidR="00471563">
        <w:t xml:space="preserve">all of </w:t>
      </w:r>
      <w:r w:rsidR="00CA4259">
        <w:t xml:space="preserve">which are </w:t>
      </w:r>
      <w:r w:rsidR="00250B1C">
        <w:t xml:space="preserve">highly </w:t>
      </w:r>
      <w:r w:rsidR="00EA67E1">
        <w:t xml:space="preserve">exposed to organised </w:t>
      </w:r>
      <w:r w:rsidR="00FB64D7">
        <w:t xml:space="preserve">networks of climate scepticism and misinformation </w:t>
      </w:r>
      <w:r w:rsidR="00FB64D7">
        <w:fldChar w:fldCharType="begin" w:fldLock="1"/>
      </w:r>
      <w:r w:rsidR="00AE1CAD">
        <w:instrText>ADDIN CSL_CITATION {"citationItems":[{"id":"ITEM-1","itemData":{"author":[{"dropping-particle":"","family":"Painter","given":"James","non-dropping-particle":"","parse-names":false,"suffix":""}],"id":"ITEM-1","issued":{"date-parts":[["2011"]]},"publisher":"Reuters Institute for the Study of Journalism","publisher-place":"Oxford","title":"Poles Apart: the international reporting of climate scepticism","type":"book"},"uris":["http://www.mendeley.com/documents/?uuid=83593022-da54-4e5e-88c3-85980d2d1ce5"]},{"id":"ITEM-2","itemData":{"DOI":"10.1080/09644016.2018.1512261","ISSN":"17438934","abstract":"Our understanding of the determinants of public concern about climate change relies heavily on survey research in the United States. But can those findings be generalized to the rest of the world? Analysis of the Pew Research Center’s 2015 Global Attitudes Survey shows fairly similar patterns in the English-speaking Western democracies and, to a lesser extent, western Europe, but party identification and political ideology matter much less in most of the globe, and demographic factors have very different impacts. Female, younger, and less religious people tend to worry more about climate change in English-speaking Western democracies. In most of the world, however, concern is only weakly correlated with gender, rises with age and religiosity, and is more strongly correlated with education. A new measure of commitment to democratic values proved to be the most consistent predictor of concern globally.","author":[{"dropping-particle":"","family":"Lewis","given":"Gregory B.","non-dropping-particle":"","parse-names":false,"suffix":""},{"dropping-particle":"","family":"Palm","given":"Risa","non-dropping-particle":"","parse-names":false,"suffix":""},{"dropping-particle":"","family":"Feng","given":"Bo","non-dropping-particle":"","parse-names":false,"suffix":""}],"container-title":"Environmental Politics","id":"ITEM-2","issued":{"date-parts":[["2018"]]},"publisher":"Routledge","title":"Cross-national variation in determinants of climate change concern","type":"article-journal"},"uris":["http://www.mendeley.com/documents/?uuid=8e5cd944-f0ea-4636-b45d-c8b10111b18e"]},{"id":"ITEM-3","itemData":{"DOI":"10.1038/nclimate2875","ISBN":"1758-6798","ISSN":"17586798","abstract":"An application of network science reveals the institutional and corporate structure of the climate change counter-movement in the United States, while computational text analysis shows its influence in the news media and within political circles.","author":[{"dropping-particle":"","family":"Farrell","given":"Justin","non-dropping-particle":"","parse-names":false,"suffix":""}],"container-title":"Nature Climate Change","id":"ITEM-3","issue":"4","issued":{"date-parts":[["2016"]]},"page":"370-374","title":"Network structure and influence of the climate change counter-movement","type":"article-journal","volume":"6"},"uris":["http://www.mendeley.com/documents/?uuid=a8d9da26-8cb8-45b4-a6f8-0f36a8f9c423"]},{"id":"ITEM-4","itemData":{"DOI":"10.1038/s41558-018-0368-6","ISSN":"17586798","abstract":"Nowhere has the impact of scientific misinformation been more profound than on the issue of climate change in the United States. Effective responses to this multifaceted problem have been slow to develop, in large part because many experts have not only underestimated its impact, but have also overlooked the underlying institutional structure, organizational power and financial roots of misinformation. Fortunately, a growing body of sophisticated research has emerged that can help us to better understand these dynamics and provide the basis for developing a coordinated set of strategies across four related areas (public inoculation, legal strategies, political mechanisms and financial transparency) to thwart large-scale misinformation campaigns before they begin, or after they have taken root.","author":[{"dropping-particle":"","family":"Farrell","given":"Justin","non-dropping-particle":"","parse-names":false,"suffix":""},{"dropping-particle":"","family":"McConnell","given":"Kathryn","non-dropping-particle":"","parse-names":false,"suffix":""},{"dropping-particle":"","family":"Brulle","given":"Robert","non-dropping-particle":"","parse-names":false,"suffix":""}],"container-title":"Nature Climate Change","id":"ITEM-4","issue":"March","issued":{"date-parts":[["2019"]]},"page":"191-195","publisher":"Springer US","title":"Evidence-based strategies to combat scientific misinformation","type":"article-journal","volume":"9"},"uris":["http://www.mendeley.com/documents/?uuid=66be44a3-b53b-4084-bad4-ee36b15e2a6c"]}],"mendeley":{"formattedCitation":"(Farrell, 2016; Farrell, McConnell, &amp; Brulle, 2019; Lewis, Palm, &amp; Feng, 2018; Painter, 2011)","plainTextFormattedCitation":"(Farrell, 2016; Farrell, McConnell, &amp; Brulle, 2019; Lewis, Palm, &amp; Feng, 2018; Painter, 2011)","previouslyFormattedCitation":"(Farrell, 2016; Farrell, McConnell, &amp; Brulle, 2019; Lewis, Palm, &amp; Feng, 2018; Painter, 2011)"},"properties":{"noteIndex":0},"schema":"https://github.com/citation-style-language/schema/raw/master/csl-citation.json"}</w:instrText>
      </w:r>
      <w:r w:rsidR="00FB64D7">
        <w:fldChar w:fldCharType="separate"/>
      </w:r>
      <w:r w:rsidR="00B53BF6" w:rsidRPr="00B53BF6">
        <w:rPr>
          <w:noProof/>
        </w:rPr>
        <w:t>(Farrell, 2016; Farrell, McConnell, &amp; Brulle, 2019; Lewis, Palm, &amp; Feng, 2018; Painter, 2011)</w:t>
      </w:r>
      <w:r w:rsidR="00FB64D7">
        <w:fldChar w:fldCharType="end"/>
      </w:r>
      <w:r w:rsidR="00CA4259">
        <w:t>. Again, this underlines</w:t>
      </w:r>
      <w:r w:rsidR="00EA67E1">
        <w:t xml:space="preserve"> </w:t>
      </w:r>
      <w:r w:rsidR="003B4E8D">
        <w:t xml:space="preserve">the </w:t>
      </w:r>
      <w:r w:rsidR="00FF32DF">
        <w:t xml:space="preserve">manifold channels by which interests </w:t>
      </w:r>
      <w:r w:rsidR="00EA67E1">
        <w:t xml:space="preserve">can </w:t>
      </w:r>
      <w:r w:rsidR="00FD49B5">
        <w:t xml:space="preserve">intentionally </w:t>
      </w:r>
      <w:r w:rsidR="00FF32DF">
        <w:t xml:space="preserve">hinder climate policy </w:t>
      </w:r>
      <w:r w:rsidR="00FD49B5">
        <w:fldChar w:fldCharType="begin" w:fldLock="1"/>
      </w:r>
      <w:r w:rsidR="00AE1CAD">
        <w:instrText>ADDIN CSL_CITATION {"citationItems":[{"id":"ITEM-1","itemData":{"DOI":"10.1038/465686a","ISBN":"0028-0836","ISSN":"00280836","PMID":"20535183","abstract":"As climate scientists battle climate sceptics, they should note that we have been here before, say Naomi Oreskes and Erik M. Conway. History holds lessons for how researchers can get their message across.","author":[{"dropping-particle":"","family":"Oreskes","given":"Naomi","non-dropping-particle":"","parse-names":false,"suffix":""},{"dropping-particle":"","family":"Conway","given":"Erik M.","non-dropping-particle":"","parse-names":false,"suffix":""}],"container-title":"Nature","id":"ITEM-1","issue":"7299","issued":{"date-parts":[["2010"]]},"page":"686-687","title":"Defeating the merchants of doubt","type":"article-journal","volume":"465"},"uris":["http://www.mendeley.com/documents/?uuid=f075c883-f579-492f-9505-201e4a6f6593"]}],"mendeley":{"formattedCitation":"(Oreskes &amp; Conway, 2010)","plainTextFormattedCitation":"(Oreskes &amp; Conway, 2010)","previouslyFormattedCitation":"(Oreskes &amp; Conway, 2010)"},"properties":{"noteIndex":0},"schema":"https://github.com/citation-style-language/schema/raw/master/csl-citation.json"}</w:instrText>
      </w:r>
      <w:r w:rsidR="00FD49B5">
        <w:fldChar w:fldCharType="separate"/>
      </w:r>
      <w:r w:rsidR="00B53BF6" w:rsidRPr="00B53BF6">
        <w:rPr>
          <w:noProof/>
        </w:rPr>
        <w:t>(Oreskes &amp; Conway, 2010)</w:t>
      </w:r>
      <w:r w:rsidR="00FD49B5">
        <w:fldChar w:fldCharType="end"/>
      </w:r>
      <w:r w:rsidR="00FF32DF">
        <w:t>.</w:t>
      </w:r>
    </w:p>
    <w:p w14:paraId="391AB4D9" w14:textId="048C4ED0" w:rsidR="000551A8" w:rsidRDefault="007847EA" w:rsidP="00E77203">
      <w:pPr>
        <w:spacing w:line="360" w:lineRule="auto"/>
      </w:pPr>
      <w:r>
        <w:t xml:space="preserve">In </w:t>
      </w:r>
      <w:r w:rsidR="00471563">
        <w:t xml:space="preserve">broader </w:t>
      </w:r>
      <w:r>
        <w:t>cross-national studies, education emerges as the most significant predictor of climate change awareness and risk perception</w:t>
      </w:r>
      <w:r w:rsidR="00EA67E1">
        <w:t xml:space="preserve"> </w:t>
      </w:r>
      <w:r>
        <w:fldChar w:fldCharType="begin" w:fldLock="1"/>
      </w:r>
      <w:r w:rsidR="00AE1CAD">
        <w:instrText>ADDIN CSL_CITATION {"citationItems":[{"id":"ITEM-1","itemData":{"DOI":"10.1038/nclimate2728","ISBN":"1758-678X","ISSN":"17586798","PMID":"15244664","abstract":"Climate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Change","id":"ITEM-1","issue":"11","issued":{"date-parts":[["2015"]]},"page":"1014-1020","title":"Predictors of public climate change awareness and risk perception around the world","type":"article-journal","volume":"5"},"uris":["http://www.mendeley.com/documents/?uuid=6827d493-0056-4c64-a396-f933490098f2"]},{"id":"ITEM-2","itemData":{"DOI":"10.1080/09644016.2018.1512261","ISSN":"17438934","abstract":"Our understanding of the determinants of public concern about climate change relies heavily on survey research in the United States. But can those findings be generalized to the rest of the world? Analysis of the Pew Research Center’s 2015 Global Attitudes Survey shows fairly similar patterns in the English-speaking Western democracies and, to a lesser extent, western Europe, but party identification and political ideology matter much less in most of the globe, and demographic factors have very different impacts. Female, younger, and less religious people tend to worry more about climate change in English-speaking Western democracies. In most of the world, however, concern is only weakly correlated with gender, rises with age and religiosity, and is more strongly correlated with education. A new measure of commitment to democratic values proved to be the most consistent predictor of concern globally.","author":[{"dropping-particle":"","family":"Lewis","given":"Gregory B.","non-dropping-particle":"","parse-names":false,"suffix":""},{"dropping-particle":"","family":"Palm","given":"Risa","non-dropping-particle":"","parse-names":false,"suffix":""},{"dropping-particle":"","family":"Feng","given":"Bo","non-dropping-particle":"","parse-names":false,"suffix":""}],"container-title":"Environmental Politics","id":"ITEM-2","issued":{"date-parts":[["2018"]]},"publisher":"Routledge","title":"Cross-national variation in determinants of climate change concern","type":"article-journal"},"uris":["http://www.mendeley.com/documents/?uuid=8e5cd944-f0ea-4636-b45d-c8b10111b18e"]}],"mendeley":{"formattedCitation":"(Lee et al., 2015; Lewis et al., 2018)","plainTextFormattedCitation":"(Lee et al., 2015; Lewis et al., 2018)","previouslyFormattedCitation":"(Lee et al., 2015; Lewis et al., 2018)"},"properties":{"noteIndex":0},"schema":"https://github.com/citation-style-language/schema/raw/master/csl-citation.json"}</w:instrText>
      </w:r>
      <w:r>
        <w:fldChar w:fldCharType="separate"/>
      </w:r>
      <w:r w:rsidR="00B53BF6" w:rsidRPr="00B53BF6">
        <w:rPr>
          <w:noProof/>
        </w:rPr>
        <w:t>(Lee et al., 2015; Lewis et al., 2018)</w:t>
      </w:r>
      <w:r>
        <w:fldChar w:fldCharType="end"/>
      </w:r>
      <w:r w:rsidR="00F040B4">
        <w:t xml:space="preserve">, followed by media freedom </w:t>
      </w:r>
      <w:r w:rsidR="00F040B4">
        <w:fldChar w:fldCharType="begin" w:fldLock="1"/>
      </w:r>
      <w:r w:rsidR="00AE1CAD">
        <w:instrText>ADDIN CSL_CITATION {"citationItems":[{"id":"ITEM-1","itemData":{"DOI":"10.2139/ssrn.2456538","ISSN":"1556-5068","PMID":"16716253","abstract":"Anthropogenic climate change poses a threat to all people and governments, but the response to that threat varies enormously across countries. Some adopt politically costly and economically challenging climate change mitigation policies, while others deny that climate change is occurring. Why do some countries adopt effective climate change policies while others do not? To answer this fundamental question, this paper analyses the political economy determinants of climate change policy around the world. In order to measure climate change policy, we introduce a new index, the ‘Climate Laws, Institutions and Measures Index’ (CLIMI), the first systematic attempt to measure countries’ policy responses to the risk of climate change. CLIMI covers all the relevant institutions and sector-specific policies in 95 countries, representing 90% of the world’s GHG emissions. We then use CLIMI to examine the political and economic factors that determine countries’ choices to implement policies to tackle climate change. We find that the level of democracy alone is not a major driver of climate change policy adoption, but that public knowledge of climate change is. Not surprisingly, a high concentration of carbon-intensive industry in the economy hinders the adoption of climate change policy. Countries in which the citizenry has a better public awareness of climate change have more effective climate policies regardless of the presence of democratic institutions.","author":[{"dropping-particle":"","family":"Steves","given":"Franklin","non-dropping-particle":"","parse-names":false,"suffix":""},{"dropping-particle":"","family":"Teytelboym","given":"Alexander","non-dropping-particle":"","parse-names":false,"suffix":""}],"container-title":"Smith School of Enterprise and the Environment","id":"ITEM-1","issue":"October","issued":{"date-parts":[["2013"]]},"publisher-place":"Oxford","title":"Political Economy of Climate Change Policy","type":"report","volume":"13-06"},"uris":["http://www.mendeley.com/documents/?uuid=dd462bb8-22d5-4711-9e68-cf7fbb4d515e"]}],"mendeley":{"formattedCitation":"(Steves &amp; Teytelboym, 2013)","plainTextFormattedCitation":"(Steves &amp; Teytelboym, 2013)","previouslyFormattedCitation":"(Steves &amp; Teytelboym, 2013)"},"properties":{"noteIndex":0},"schema":"https://github.com/citation-style-language/schema/raw/master/csl-citation.json"}</w:instrText>
      </w:r>
      <w:r w:rsidR="00F040B4">
        <w:fldChar w:fldCharType="separate"/>
      </w:r>
      <w:r w:rsidR="00B53BF6" w:rsidRPr="00B53BF6">
        <w:rPr>
          <w:noProof/>
        </w:rPr>
        <w:t>(Steves &amp; Teytelboym, 2013)</w:t>
      </w:r>
      <w:r w:rsidR="00F040B4">
        <w:fldChar w:fldCharType="end"/>
      </w:r>
      <w:r w:rsidR="00F040B4">
        <w:t>.</w:t>
      </w:r>
      <w:r>
        <w:t xml:space="preserve"> </w:t>
      </w:r>
      <w:r w:rsidR="00235CEA">
        <w:t>Accordingly</w:t>
      </w:r>
      <w:r>
        <w:t xml:space="preserve">, countries with </w:t>
      </w:r>
      <w:r w:rsidR="005C055F">
        <w:t xml:space="preserve">poor education provisioning </w:t>
      </w:r>
      <w:r w:rsidR="00F040B4">
        <w:t xml:space="preserve">and media landscapes that fail to prioritise climate reporting </w:t>
      </w:r>
      <w:r>
        <w:t xml:space="preserve">can have majority populations that are simply unaware of climate change, as is the case in India, Bangladesh, Egypt and Nigeria </w:t>
      </w:r>
      <w:r>
        <w:fldChar w:fldCharType="begin" w:fldLock="1"/>
      </w:r>
      <w:r w:rsidR="00AE1CAD">
        <w:instrText>ADDIN CSL_CITATION {"citationItems":[{"id":"ITEM-1","itemData":{"DOI":"10.1038/nclimate2728","ISBN":"1758-678X","ISSN":"17586798","PMID":"15244664","abstract":"Climate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Change","id":"ITEM-1","issue":"11","issued":{"date-parts":[["2015"]]},"page":"1014-1020","title":"Predictors of public climate change awareness and risk perception around the world","type":"article-journal","volume":"5"},"uris":["http://www.mendeley.com/documents/?uuid=6827d493-0056-4c64-a396-f933490098f2"]}],"mendeley":{"formattedCitation":"(Lee et al., 2015)","plainTextFormattedCitation":"(Lee et al., 2015)","previouslyFormattedCitation":"(Lee et al., 2015)"},"properties":{"noteIndex":0},"schema":"https://github.com/citation-style-language/schema/raw/master/csl-citation.json"}</w:instrText>
      </w:r>
      <w:r>
        <w:fldChar w:fldCharType="separate"/>
      </w:r>
      <w:r w:rsidR="00B53BF6" w:rsidRPr="00B53BF6">
        <w:rPr>
          <w:noProof/>
        </w:rPr>
        <w:t>(Lee et al., 2015)</w:t>
      </w:r>
      <w:r>
        <w:fldChar w:fldCharType="end"/>
      </w:r>
      <w:r w:rsidR="00E25ED8">
        <w:t xml:space="preserve"> (see </w:t>
      </w:r>
      <w:r w:rsidR="00E25ED8" w:rsidRPr="00E25ED8">
        <w:fldChar w:fldCharType="begin"/>
      </w:r>
      <w:r w:rsidR="00E25ED8" w:rsidRPr="00E25ED8">
        <w:instrText xml:space="preserve"> REF _Ref13826786 \h  \* MERGEFORMAT </w:instrText>
      </w:r>
      <w:r w:rsidR="00E25ED8" w:rsidRPr="00E25ED8">
        <w:fldChar w:fldCharType="separate"/>
      </w:r>
      <w:r w:rsidR="00E25ED8" w:rsidRPr="00E25ED8">
        <w:t xml:space="preserve">Figure </w:t>
      </w:r>
      <w:r w:rsidR="00E25ED8" w:rsidRPr="00E25ED8">
        <w:rPr>
          <w:noProof/>
        </w:rPr>
        <w:t>3</w:t>
      </w:r>
      <w:r w:rsidR="00E25ED8" w:rsidRPr="00E25ED8">
        <w:fldChar w:fldCharType="end"/>
      </w:r>
      <w:r w:rsidR="00E25ED8">
        <w:t>)</w:t>
      </w:r>
      <w:r>
        <w:t>.</w:t>
      </w:r>
      <w:r w:rsidR="000551A8">
        <w:t xml:space="preserve"> </w:t>
      </w:r>
      <w:r w:rsidR="006372D2">
        <w:t xml:space="preserve">Climate change awareness is in turn a </w:t>
      </w:r>
      <w:r w:rsidR="000551A8">
        <w:t xml:space="preserve">significant determinant in cross-national regressions of weighted carbon prices </w:t>
      </w:r>
      <w:r w:rsidR="000551A8">
        <w:fldChar w:fldCharType="begin" w:fldLock="1"/>
      </w:r>
      <w:r w:rsidR="00AE1CAD">
        <w:instrText>ADDIN CSL_CITATION {"citationItems":[{"id":"ITEM-1","itemData":{"author":[{"dropping-particle":"","family":"Levi","given":"Sebastian","non-dropping-particle":"","parse-names":false,"suffix":""},{"dropping-particle":"","family":"Flachsland","given":"Christian","non-dropping-particle":"","parse-names":false,"suffix":""},{"dropping-particle":"","family":"Jakob","given":"Michael","non-dropping-particle":"","parse-names":false,"suffix":""}],"id":"ITEM-1","issued":{"date-parts":[["2019"]]},"title":"Political Economy Determinants of Carbon Pricing","type":"report"},"uris":["http://www.mendeley.com/documents/?uuid=e735e56c-ae2c-4e9e-8dcb-dbdd5ff69b92"]}],"mendeley":{"formattedCitation":"(Levi et al., 2019)","plainTextFormattedCitation":"(Levi et al., 2019)","previouslyFormattedCitation":"(Levi et al., 2019)"},"properties":{"noteIndex":0},"schema":"https://github.com/citation-style-language/schema/raw/master/csl-citation.json"}</w:instrText>
      </w:r>
      <w:r w:rsidR="000551A8">
        <w:fldChar w:fldCharType="separate"/>
      </w:r>
      <w:r w:rsidR="00B53BF6" w:rsidRPr="00B53BF6">
        <w:rPr>
          <w:noProof/>
        </w:rPr>
        <w:t>(Levi et al., 2019)</w:t>
      </w:r>
      <w:r w:rsidR="000551A8">
        <w:fldChar w:fldCharType="end"/>
      </w:r>
      <w:r w:rsidR="000551A8">
        <w:t xml:space="preserve"> and climate legislation adoption </w:t>
      </w:r>
      <w:r w:rsidR="000551A8">
        <w:fldChar w:fldCharType="begin" w:fldLock="1"/>
      </w:r>
      <w:r w:rsidR="00AE1CAD">
        <w:instrText>ADDIN CSL_CITATION {"citationItems":[{"id":"ITEM-1","itemData":{"DOI":"10.2139/ssrn.2456538","ISSN":"1556-5068","PMID":"16716253","abstract":"Anthropogenic climate change poses a threat to all people and governments, but the response to that threat varies enormously across countries. Some adopt politically costly and economically challenging climate change mitigation policies, while others deny that climate change is occurring. Why do some countries adopt effective climate change policies while others do not? To answer this fundamental question, this paper analyses the political economy determinants of climate change policy around the world. In order to measure climate change policy, we introduce a new index, the ‘Climate Laws, Institutions and Measures Index’ (CLIMI), the first systematic attempt to measure countries’ policy responses to the risk of climate change. CLIMI covers all the relevant institutions and sector-specific policies in 95 countries, representing 90% of the world’s GHG emissions. We then use CLIMI to examine the political and economic factors that determine countries’ choices to implement policies to tackle climate change. We find that the level of democracy alone is not a major driver of climate change policy adoption, but that public knowledge of climate change is. Not surprisingly, a high concentration of carbon-intensive industry in the economy hinders the adoption of climate change policy. Countries in which the citizenry has a better public awareness of climate change have more effective climate policies regardless of the presence of democratic institutions.","author":[{"dropping-particle":"","family":"Steves","given":"Franklin","non-dropping-particle":"","parse-names":false,"suffix":""},{"dropping-particle":"","family":"Teytelboym","given":"Alexander","non-dropping-particle":"","parse-names":false,"suffix":""}],"container-title":"Smith School of Enterprise and the Environment","id":"ITEM-1","issue":"October","issued":{"date-parts":[["2013"]]},"publisher-place":"Oxford","title":"Political Economy of Climate Change Policy","type":"report","volume":"13-06"},"uris":["http://www.mendeley.com/documents/?uuid=dd462bb8-22d5-4711-9e68-cf7fbb4d515e"]}],"mendeley":{"formattedCitation":"(Steves &amp; Teytelboym, 2013)","plainTextFormattedCitation":"(Steves &amp; Teytelboym, 2013)","previouslyFormattedCitation":"(Steves &amp; Teytelboym, 2013)"},"properties":{"noteIndex":0},"schema":"https://github.com/citation-style-language/schema/raw/master/csl-citation.json"}</w:instrText>
      </w:r>
      <w:r w:rsidR="000551A8">
        <w:fldChar w:fldCharType="separate"/>
      </w:r>
      <w:r w:rsidR="00B53BF6" w:rsidRPr="00B53BF6">
        <w:rPr>
          <w:noProof/>
        </w:rPr>
        <w:t>(Steves &amp; Teytelboym, 2013)</w:t>
      </w:r>
      <w:r w:rsidR="000551A8">
        <w:fldChar w:fldCharType="end"/>
      </w:r>
      <w:r w:rsidR="00F040B4">
        <w:t xml:space="preserve">. </w:t>
      </w:r>
      <w:r w:rsidR="00CD6957">
        <w:t xml:space="preserve">Of course, here there is a particularly strong case for reverse causality, insofar as </w:t>
      </w:r>
      <w:r w:rsidR="00EA13A7">
        <w:t xml:space="preserve">climate </w:t>
      </w:r>
      <w:r w:rsidR="00CD6957">
        <w:t>policy formulation is likely to increase public awareness of the problem.</w:t>
      </w:r>
      <w:r w:rsidR="00EA7B0B">
        <w:t xml:space="preserve"> </w:t>
      </w:r>
      <w:r w:rsidR="005C055F" w:rsidRPr="005C055F">
        <w:t>In short, public opinion on climate change (awareness, belief, risk perception) matters for policy making, and it can be bolstered by education and media, or weakened by propaganda</w:t>
      </w:r>
      <w:r w:rsidR="00471563">
        <w:t xml:space="preserve"> </w:t>
      </w:r>
      <w:r w:rsidR="00471563">
        <w:fldChar w:fldCharType="begin" w:fldLock="1"/>
      </w:r>
      <w:r w:rsidR="00AE1CAD">
        <w:instrText>ADDIN CSL_CITATION {"citationItems":[{"id":"ITEM-1","itemData":{"DOI":"10.1177/106591290305600103","author":[{"dropping-particle":"","family":"Burstein","given":"Paul","non-dropping-particle":"","parse-names":false,"suffix":""}],"container-title":"Political Research Quarterly","id":"ITEM-1","issue":"1","issued":{"date-parts":[["2011"]]},"page":"29-40","title":"The Impact of Public Opinion on Public Policy: A Review and an Agenda","type":"article-journal","volume":"56"},"prefix":"see ","suffix":"for a general review","uris":["http://www.mendeley.com/documents/?uuid=7d6f6a84-a89e-46ee-b400-a99011817551"]}],"mendeley":{"formattedCitation":"(see Burstein, 2011 for a general review)","plainTextFormattedCitation":"(see Burstein, 2011 for a general review)","previouslyFormattedCitation":"(see Burstein, 2011 for a general review)"},"properties":{"noteIndex":0},"schema":"https://github.com/citation-style-language/schema/raw/master/csl-citation.json"}</w:instrText>
      </w:r>
      <w:r w:rsidR="00471563">
        <w:fldChar w:fldCharType="separate"/>
      </w:r>
      <w:r w:rsidR="00B53BF6" w:rsidRPr="00B53BF6">
        <w:rPr>
          <w:noProof/>
        </w:rPr>
        <w:t>(see Burstein, 2011 for a general review)</w:t>
      </w:r>
      <w:r w:rsidR="00471563">
        <w:fldChar w:fldCharType="end"/>
      </w:r>
      <w:r w:rsidR="00BA5D69">
        <w:t>.</w:t>
      </w:r>
    </w:p>
    <w:p w14:paraId="4689D706" w14:textId="7429BA6B" w:rsidR="00BA5D69" w:rsidRDefault="001716D7" w:rsidP="00BA5D69">
      <w:pPr>
        <w:keepNext/>
        <w:spacing w:line="360" w:lineRule="auto"/>
      </w:pPr>
      <w:r>
        <w:rPr>
          <w:noProof/>
          <w:lang w:eastAsia="en-GB"/>
        </w:rPr>
        <w:lastRenderedPageBreak/>
        <w:drawing>
          <wp:inline distT="0" distB="0" distL="0" distR="0" wp14:anchorId="7FE19D9E" wp14:editId="53B7E2D9">
            <wp:extent cx="5759450" cy="6490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_ide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6490970"/>
                    </a:xfrm>
                    <a:prstGeom prst="rect">
                      <a:avLst/>
                    </a:prstGeom>
                  </pic:spPr>
                </pic:pic>
              </a:graphicData>
            </a:graphic>
          </wp:inline>
        </w:drawing>
      </w:r>
    </w:p>
    <w:p w14:paraId="65145C12" w14:textId="0ABB825D" w:rsidR="00BA5D69" w:rsidRDefault="00BA5D69" w:rsidP="00BA5D69">
      <w:pPr>
        <w:pStyle w:val="Caption"/>
        <w:jc w:val="center"/>
        <w:rPr>
          <w:sz w:val="22"/>
        </w:rPr>
      </w:pPr>
      <w:bookmarkStart w:id="2" w:name="_Ref13826786"/>
      <w:r w:rsidRPr="00093C59">
        <w:rPr>
          <w:b/>
          <w:sz w:val="22"/>
        </w:rPr>
        <w:t xml:space="preserve">Figure </w:t>
      </w:r>
      <w:r w:rsidRPr="00093C59">
        <w:rPr>
          <w:b/>
          <w:sz w:val="22"/>
        </w:rPr>
        <w:fldChar w:fldCharType="begin"/>
      </w:r>
      <w:r w:rsidRPr="00093C59">
        <w:rPr>
          <w:b/>
          <w:sz w:val="22"/>
        </w:rPr>
        <w:instrText xml:space="preserve"> SEQ Figure \* ARABIC </w:instrText>
      </w:r>
      <w:r w:rsidRPr="00093C59">
        <w:rPr>
          <w:b/>
          <w:sz w:val="22"/>
        </w:rPr>
        <w:fldChar w:fldCharType="separate"/>
      </w:r>
      <w:r w:rsidRPr="00093C59">
        <w:rPr>
          <w:b/>
          <w:noProof/>
          <w:sz w:val="22"/>
        </w:rPr>
        <w:t>3</w:t>
      </w:r>
      <w:r w:rsidRPr="00093C59">
        <w:rPr>
          <w:b/>
          <w:sz w:val="22"/>
        </w:rPr>
        <w:fldChar w:fldCharType="end"/>
      </w:r>
      <w:bookmarkEnd w:id="2"/>
      <w:r w:rsidR="001716D7" w:rsidRPr="00093C59">
        <w:rPr>
          <w:b/>
          <w:sz w:val="22"/>
        </w:rPr>
        <w:t>: 20</w:t>
      </w:r>
      <w:r w:rsidRPr="00093C59">
        <w:rPr>
          <w:b/>
          <w:sz w:val="22"/>
        </w:rPr>
        <w:t xml:space="preserve"> countries with the lowest levels of climate awareness and social trust</w:t>
      </w:r>
      <w:r w:rsidR="001716D7" w:rsidRPr="00093C59">
        <w:rPr>
          <w:b/>
          <w:sz w:val="22"/>
        </w:rPr>
        <w:t>.</w:t>
      </w:r>
      <w:r w:rsidR="001716D7" w:rsidRPr="00403128">
        <w:rPr>
          <w:b/>
          <w:sz w:val="22"/>
        </w:rPr>
        <w:t xml:space="preserve"> </w:t>
      </w:r>
      <w:r w:rsidR="001716D7" w:rsidRPr="00403128">
        <w:rPr>
          <w:sz w:val="22"/>
        </w:rPr>
        <w:t xml:space="preserve">Data are based on representative surveys, </w:t>
      </w:r>
      <w:r w:rsidR="00403128">
        <w:rPr>
          <w:sz w:val="22"/>
        </w:rPr>
        <w:t>s</w:t>
      </w:r>
      <w:r w:rsidR="001716D7" w:rsidRPr="00403128">
        <w:rPr>
          <w:sz w:val="22"/>
        </w:rPr>
        <w:t>ee section 4 for sources.</w:t>
      </w:r>
    </w:p>
    <w:p w14:paraId="26CAA1CD" w14:textId="269EEAEF" w:rsidR="00EF0E60" w:rsidRDefault="00EF0E60" w:rsidP="00EF0E60">
      <w:pPr>
        <w:spacing w:line="360" w:lineRule="auto"/>
      </w:pPr>
      <w:r>
        <w:t xml:space="preserve">Trust is another key element of national ideational context that shapes climate policy support. It is the notion that other individuals, institutions, scientists, or politicians share common social norms and act in a mutually beneficial way </w:t>
      </w:r>
      <w:r>
        <w:fldChar w:fldCharType="begin" w:fldLock="1"/>
      </w:r>
      <w:r>
        <w:instrText>ADDIN CSL_CITATION {"citationItems":[{"id":"ITEM-1","itemData":{"DOI":"10.1016/j.gloenvcha.2018.02.014","ISSN":"09593780","abstract":"Climate change presents a global problem that requires a collective, coordinated response to reduce the rate of greenhouse gases currently emitted. But, even in the face of these serious growing dangers, behavioral and policy responses have been rather muted. A growing literature has documented cross-national differences in climate change attitudes and related scholarship has analyzed general environmental concern across nations. Yet there are several holes in our knowledge. In this manuscript, we consider the role of trust, risk perceptions and investigate the possibility of a “social trap” (Rothstein, 2005) whereby a lack of trust blunts the effect of risk perceptions on public willingness to engage in behaviors or support policies to address climate change. Using between- and within- random effects models coupled with survey data from 35 countries, we find that, at the individual level, trust and risk perceptions are generally positively associated with ameliorative behavior and policy support. Results for a contextual effect of trust and risk perceptions are more mixed, and we find only slim support for an interactive relationship between trust and risk perceptions.","author":[{"dropping-particle":"","family":"Smith","given":"E. Keith","non-dropping-particle":"","parse-names":false,"suffix":""},{"dropping-particle":"","family":"Mayer","given":"Adam","non-dropping-particle":"","parse-names":false,"suffix":""}],"container-title":"Global Environmental Change","id":"ITEM-1","issue":"February","issued":{"date-parts":[["2018"]]},"page":"140-153","publisher":"Elsevier Ltd","title":"A social trap for the climate? Collective action, trust and climate change risk perception in 35 countries","type":"article-journal","volume":"49"},"uris":["http://www.mendeley.com/documents/?uuid=39584215-7e25-45e5-92fb-750c467f4d64"]},{"id":"ITEM-2","itemData":{"DOI":"10.1080/14693062.2015.1058240","ISSN":"17527457","abstract":"The lack of broad public support prevents the implementation of effective climate policies. This article aims to examine why citi- zens support or reject climate policies. For this purpose, we provide a cross-disciplinary overview of empirical and experimental research on public attitudes and preferences that has emerged in the last few years. The various factors influencing policy support are divided into three general categories: (1) social-psychological factors and climate change perception, such as the positive influences of left-wing political orientation, egalitarian worldviews, environmental and self-transcendent values, climate change knowledge, risk perception, or emotions like interest and hope; (2) the perception of climate policy and its design, which includes, among others, the preference of pull over push measures, the positive role of perceived policy effectiveness, the level of policy costs, as well as the positive effect of perceived policy fairness and the recycling of potential policy revenues; (3) contextual factors, such as the positive influence of social trust, norms and participation, wider economic, political and geographical aspects, or the different effects of specific media events and communications. Finally, we discuss the findings and provide suggestions for future research. Policy","author":[{"dropping-particle":"","family":"Drews","given":"Stefan","non-dropping-particle":"","parse-names":false,"suffix":""},{"dropping-particle":"","family":"Bergh","given":"Jeroen C.J.M.","non-dropping-particle":"van den","parse-names":false,"suffix":""}],"container-title":"Climate Policy","id":"ITEM-2","issue":"7","issued":{"date-parts":[["2016"]]},"page":"855-876","title":"What explains public support for climate policies? A review of empirical and experimental studies","type":"article-journal","volume":"16"},"uris":["http://www.mendeley.com/documents/?uuid=37f9e0b4-ba89-4d64-a58c-149a3e4e6091"]}],"mendeley":{"formattedCitation":"(Drews &amp; van den Bergh, 2016; Smith &amp; Mayer, 2018)","plainTextFormattedCitation":"(Drews &amp; van den Bergh, 2016; Smith &amp; Mayer, 2018)","previouslyFormattedCitation":"(Drews &amp; van den Bergh, 2016; Smith &amp; Mayer, 2018)"},"properties":{"noteIndex":0},"schema":"https://github.com/citation-style-language/schema/raw/master/csl-citation.json"}</w:instrText>
      </w:r>
      <w:r>
        <w:fldChar w:fldCharType="separate"/>
      </w:r>
      <w:r w:rsidRPr="00B53BF6">
        <w:rPr>
          <w:noProof/>
        </w:rPr>
        <w:t>(Drews &amp; van den Bergh, 2016; Smith &amp; Mayer, 2018)</w:t>
      </w:r>
      <w:r>
        <w:fldChar w:fldCharType="end"/>
      </w:r>
      <w:r>
        <w:t xml:space="preserve">. A lack of trust in institutions implies limited confidence that public policies and environmental measures will be effective </w:t>
      </w:r>
      <w:r>
        <w:fldChar w:fldCharType="begin" w:fldLock="1"/>
      </w:r>
      <w:r>
        <w:instrText>ADDIN CSL_CITATION {"citationItems":[{"id":"ITEM-1","itemData":{"DOI":"10.1016/j.envsci.2013.08.011","ISSN":"18736416","abstract":"The aim of this article is to explain cross-national differences in perceptions regarding the effectiveness of economic pro-environmental policy instruments (EIs). Using data for the European Union, it is found that people in the Nordic and the Benelux countries are more likely to perceive EIs as effective instruments while people in southern and eastern Europe are less inclined to do so. Two hypotheses are put forth to explain these differences. First, it is hypothesized that people are less likely to perceive EIs to be effective pro-environmental policy instruments in relatively corrupt countries. Corrupt public institutions waste economic resources and are less efficient. Furthermore, corrupt societies tend to have lower levels of trust, in general, and low compliance with public policy, which also affects the perceived effectiveness of EIs. The second hypothesis is that people are less likely to perceive EIs as an effective policy option in relatively unequal societies because some income groups will not be as affected by such instruments. Furthermore, EIs have been argued to have unfair distributional effects, and unfairness is argued to trigger free-riding tendencies, thus, making instruments ineffective. From a logistic multilevel regression analysis, the results show support for both hypotheses. In relatively more corrupt and economically unequal countries, EIs are considered less effective, possibly affecting the potential for EIs in certain contexts. © 2013 Elsevier Ltd.","author":[{"dropping-particle":"","family":"Harring","given":"Niklas","non-dropping-particle":"","parse-names":false,"suffix":""}],"container-title":"Environmental Science and Policy","id":"ITEM-1","issued":{"date-parts":[["2014"]]},"page":"119-128","publisher":"Elsevier Ltd","title":"Corruption, inequalities and the perceived effectiveness of economic pro-environmental policy instruments: A European cross-national study","type":"article-journal","volume":"39"},"uris":["http://www.mendeley.com/documents/?uuid=9a24fc7d-db33-4b41-8eb0-97ceed12121a"]}],"mendeley":{"formattedCitation":"(Harring, 2014)","plainTextFormattedCitation":"(Harring, 2014)","previouslyFormattedCitation":"(Harring, 2014)"},"properties":{"noteIndex":0},"schema":"https://github.com/citation-style-language/schema/raw/master/csl-citation.json"}</w:instrText>
      </w:r>
      <w:r>
        <w:fldChar w:fldCharType="separate"/>
      </w:r>
      <w:r w:rsidRPr="00B53BF6">
        <w:rPr>
          <w:noProof/>
        </w:rPr>
        <w:t>(Harring, 2014)</w:t>
      </w:r>
      <w:r>
        <w:fldChar w:fldCharType="end"/>
      </w:r>
      <w:r>
        <w:t xml:space="preserve">. A lack of social trust (e.g. in others generally) undermines collective action, since few will have the confidence that others are ‘doing their part’. In a small-n comparative study, Smith and Mayer </w:t>
      </w:r>
      <w:r>
        <w:fldChar w:fldCharType="begin" w:fldLock="1"/>
      </w:r>
      <w:r>
        <w:instrText>ADDIN CSL_CITATION {"citationItems":[{"id":"ITEM-1","itemData":{"DOI":"10.1016/j.gloenvcha.2018.02.014","ISSN":"09593780","abstract":"Climate change presents a global problem that requires a collective, coordinated response to reduce the rate of greenhouse gases currently emitted. But, even in the face of these serious growing dangers, behavioral and policy responses have been rather muted. A growing literature has documented cross-national differences in climate change attitudes and related scholarship has analyzed general environmental concern across nations. Yet there are several holes in our knowledge. In this manuscript, we consider the role of trust, risk perceptions and investigate the possibility of a “social trap” (Rothstein, 2005) whereby a lack of trust blunts the effect of risk perceptions on public willingness to engage in behaviors or support policies to address climate change. Using between- and within- random effects models coupled with survey data from 35 countries, we find that, at the individual level, trust and risk perceptions are generally positively associated with ameliorative behavior and policy support. Results for a contextual effect of trust and risk perceptions are more mixed, and we find only slim support for an interactive relationship between trust and risk perceptions.","author":[{"dropping-particle":"","family":"Smith","given":"E. Keith","non-dropping-particle":"","parse-names":false,"suffix":""},{"dropping-particle":"","family":"Mayer","given":"Adam","non-dropping-particle":"","parse-names":false,"suffix":""}],"container-title":"Global Environmental Change","id":"ITEM-1","issue":"February","issued":{"date-parts":[["2018"]]},"page":"140-153","publisher":"Elsevier Ltd","title":"A social trap for the climate? Collective action, trust and climate change risk perception in 35 countries","type":"article-journal","volume":"49"},"suppress-author":1,"uris":["http://www.mendeley.com/documents/?uuid=39584215-7e25-45e5-92fb-750c467f4d64"]}],"mendeley":{"formattedCitation":"(2018)","plainTextFormattedCitation":"(2018)","previouslyFormattedCitation":"(2018)"},"properties":{"noteIndex":0},"schema":"https://github.com/citation-style-language/schema/raw/master/csl-citation.json"}</w:instrText>
      </w:r>
      <w:r>
        <w:fldChar w:fldCharType="separate"/>
      </w:r>
      <w:r w:rsidRPr="00B53BF6">
        <w:rPr>
          <w:noProof/>
        </w:rPr>
        <w:t>(2018)</w:t>
      </w:r>
      <w:r>
        <w:fldChar w:fldCharType="end"/>
      </w:r>
      <w:r>
        <w:t xml:space="preserve"> find that individuals with high levels of social and institutional trust </w:t>
      </w:r>
      <w:r>
        <w:lastRenderedPageBreak/>
        <w:t xml:space="preserve">are far more willing to support costly climate policies. </w:t>
      </w:r>
      <w:proofErr w:type="spellStart"/>
      <w:r>
        <w:t>Hammar</w:t>
      </w:r>
      <w:proofErr w:type="spellEnd"/>
      <w:r>
        <w:t xml:space="preserve"> and </w:t>
      </w:r>
      <w:proofErr w:type="spellStart"/>
      <w:r>
        <w:t>Jagers</w:t>
      </w:r>
      <w:proofErr w:type="spellEnd"/>
      <w:r>
        <w:t xml:space="preserve"> </w:t>
      </w:r>
      <w:r>
        <w:fldChar w:fldCharType="begin" w:fldLock="1"/>
      </w:r>
      <w:r>
        <w:instrText>ADDIN CSL_CITATION {"citationItems":[{"id":"ITEM-1","itemData":{"DOI":"10.1080/14693062.2006.9685582","ISSN":"17527457","abstract":"This article provides an analysis of the support for public policies from a trust perspective. The empirical focus is on the use of a tax on carbon dioxide (CO2), a policy tool aimed at coordinating national emissions targets in Sweden. Among economists and experts in the field of climate policy, a CO2 tax is viewed as a cost-effective policy. The policy problem is that public support for CO2 taxes is very low, leaving policy makers with high-cost options. Apart from traditional explanatory variables such as demographic factors, level of education, ideology and self-interest, what can explain this public opposition? Using individual level data, we analyse whether support for increases in the CO2 tax on gasoline can be explained by citizens' generalized trust in other individuals (who they do not necessarily know) or by their trust in politicians. We find that only the latter measure gains support in a regression analysis. Moreover, when splitting the sample into high-trusting and low-trusting individuals, we find that high-trusting individuals who have access to a car (compared with those without access) are statistically no more likely to resist increases in CO2 taxes than people without access to a car. Rather, it is individuals with access to a car and who do not trust their politicians who are likely to resist CO2 taxes.","author":[{"dropping-particle":"","family":"Hammar","given":"Henrik","non-dropping-particle":"","parse-names":false,"suffix":""},{"dropping-particle":"","family":"Jagers","given":"Sverker C.","non-dropping-particle":"","parse-names":false,"suffix":""}],"container-title":"Climate Policy","id":"ITEM-1","issue":"6","issued":{"date-parts":[["2006"]]},"page":"613-625","title":"Can trust in politicians explain individuals’ support for climate policy? The case of CO2 tax","type":"article-journal","volume":"5"},"suppress-author":1,"uris":["http://www.mendeley.com/documents/?uuid=345237f8-c367-48c8-9450-4d27444a2b3a"]}],"mendeley":{"formattedCitation":"(2006)","plainTextFormattedCitation":"(2006)","previouslyFormattedCitation":"(2006)"},"properties":{"noteIndex":0},"schema":"https://github.com/citation-style-language/schema/raw/master/csl-citation.json"}</w:instrText>
      </w:r>
      <w:r>
        <w:fldChar w:fldCharType="separate"/>
      </w:r>
      <w:r w:rsidRPr="00B53BF6">
        <w:rPr>
          <w:noProof/>
        </w:rPr>
        <w:t>(2006)</w:t>
      </w:r>
      <w:r>
        <w:fldChar w:fldCharType="end"/>
      </w:r>
      <w:r>
        <w:t xml:space="preserve"> find a similar result for trust in politicians in Norway, while </w:t>
      </w:r>
      <w:proofErr w:type="spellStart"/>
      <w:r>
        <w:t>Fairbrother</w:t>
      </w:r>
      <w:proofErr w:type="spellEnd"/>
      <w:r>
        <w:t xml:space="preserve"> </w:t>
      </w:r>
      <w:r>
        <w:fldChar w:fldCharType="begin" w:fldLock="1"/>
      </w:r>
      <w:r>
        <w:instrText>ADDIN CSL_CITATION {"citationItems":[{"id":"ITEM-1","itemData":{"DOI":"10.15195/v3.a17","ISSN":"23306696","abstract":"Worldwide, most people share scientists' concerns about environmental problems, but reject the solution that policy experts most strongly recommend: putting a price on pollution. Why? I show that this puzzling gap between the public's positive concerns and normative preferences is due substantially to a lack of trust, particularly political trust. In multilevel models fitted to two international survey datasets, trust strongly predicts support for environmental protection within countries and, by some measures, among countries also. An influential competing theory holds that environmental attitudes correlate mostly with left versus right political ideology; the results here, however, show that this correlation is weaker and varies substantially from country to country—unlike that with trust. Theoretically, these results reflect that environmental degradation is a collective action problem and environmental protection a public good. Methodologically, they derive from the more flexible application of multilevel modeling techniques than in previous studies using such models.","author":[{"dropping-particle":"","family":"Fairbrother","given":"Malcolm","non-dropping-particle":"","parse-names":false,"suffix":""}],"container-title":"Sociological Science","id":"ITEM-1","issued":{"date-parts":[["2016"]]},"page":"359-382","title":"Trust and public support for environmental protection in diverse national contexts","type":"article-journal","volume":"3"},"suppress-author":1,"uris":["http://www.mendeley.com/documents/?uuid=9aca749b-fa5b-40f6-a056-9d73321b281d"]}],"mendeley":{"formattedCitation":"(2016)","plainTextFormattedCitation":"(2016)","previouslyFormattedCitation":"(2016)"},"properties":{"noteIndex":0},"schema":"https://github.com/citation-style-language/schema/raw/master/csl-citation.json"}</w:instrText>
      </w:r>
      <w:r>
        <w:fldChar w:fldCharType="separate"/>
      </w:r>
      <w:r w:rsidRPr="00B53BF6">
        <w:rPr>
          <w:noProof/>
        </w:rPr>
        <w:t>(2016)</w:t>
      </w:r>
      <w:r>
        <w:fldChar w:fldCharType="end"/>
      </w:r>
      <w:r>
        <w:t xml:space="preserve"> extends the analysis to an international survey, showing a consistent and positive pattern of trust in explaining environmental policy support. Against a backdrop of </w:t>
      </w:r>
      <w:r w:rsidR="001407F2">
        <w:t xml:space="preserve">low or </w:t>
      </w:r>
      <w:r>
        <w:t>progressively eroding trust in social and political institutions</w:t>
      </w:r>
      <w:r w:rsidR="001407F2">
        <w:t xml:space="preserve"> (see </w:t>
      </w:r>
      <w:r w:rsidR="001407F2" w:rsidRPr="001407F2">
        <w:fldChar w:fldCharType="begin"/>
      </w:r>
      <w:r w:rsidR="001407F2" w:rsidRPr="001407F2">
        <w:instrText xml:space="preserve"> REF _Ref13826786 \h  \* MERGEFORMAT </w:instrText>
      </w:r>
      <w:r w:rsidR="001407F2" w:rsidRPr="001407F2">
        <w:fldChar w:fldCharType="separate"/>
      </w:r>
      <w:r w:rsidR="001407F2" w:rsidRPr="001407F2">
        <w:t xml:space="preserve">Figure </w:t>
      </w:r>
      <w:r w:rsidR="001407F2" w:rsidRPr="001407F2">
        <w:rPr>
          <w:noProof/>
        </w:rPr>
        <w:t>3</w:t>
      </w:r>
      <w:r w:rsidR="001407F2" w:rsidRPr="001407F2">
        <w:fldChar w:fldCharType="end"/>
      </w:r>
      <w:r w:rsidR="001407F2">
        <w:t>)</w:t>
      </w:r>
      <w:r>
        <w:t xml:space="preserve">, and the emergence populist parties and agendas that dismiss climate concerns </w:t>
      </w:r>
      <w:r>
        <w:fldChar w:fldCharType="begin" w:fldLock="1"/>
      </w:r>
      <w:r>
        <w:instrText>ADDIN CSL_CITATION {"citationItems":[{"id":"ITEM-1","itemData":{"DOI":"10.1080/09644016.2018.1458411","ISSN":"17438934","abstract":"The rise of right-wing populism (RWP) poses a challenge for the climate agenda, as leaders and supporters tend to be climate sceptics and hostile to policy prescribing action on climate change. However, there is a surprising dearth of research that investigates the nature and causes of this association. Two kinds of explanation are considered, drawing on the literature on populism. One is termed ‘structuralist’, drawing on accounts of the roots of populism in economic and political marginalisation amongst those ‘left behind’ by globalisation and technological change. A second focuses on the ideological content of RWP, especially its antagonism between ‘the people’ and a cosmopolitan elite, with climate change and policy occupying a symbolic place in this contrast. It is argued that there are limits to the structuralist approach, and that an ideologically based explanation is more compelling. An agenda for future research on RWP and climate science and policy is proposed.","author":[{"dropping-particle":"","family":"Lockwood","given":"Matthew","non-dropping-particle":"","parse-names":false,"suffix":""}],"container-title":"Environmental Politics","id":"ITEM-1","issue":"4","issued":{"date-parts":[["2018"]]},"page":"1-21","publisher":"Routledge","title":"Right-wing populism and the climate change agenda: exploring the linkages","type":"article-journal","volume":"27"},"uris":["http://www.mendeley.com/documents/?uuid=bfe6cbb8-f11f-4e75-bb56-d856c8556f06"]}],"mendeley":{"formattedCitation":"(Lockwood, 2018)","plainTextFormattedCitation":"(Lockwood, 2018)","previouslyFormattedCitation":"(Lockwood, 2018)"},"properties":{"noteIndex":0},"schema":"https://github.com/citation-style-language/schema/raw/master/csl-citation.json"}</w:instrText>
      </w:r>
      <w:r>
        <w:fldChar w:fldCharType="separate"/>
      </w:r>
      <w:r w:rsidRPr="00B53BF6">
        <w:rPr>
          <w:noProof/>
        </w:rPr>
        <w:t>(Lockwood, 2018)</w:t>
      </w:r>
      <w:r>
        <w:fldChar w:fldCharType="end"/>
      </w:r>
      <w:r>
        <w:t xml:space="preserve">, this is a problem that has likely not received the attention it deserves </w:t>
      </w:r>
      <w:r>
        <w:fldChar w:fldCharType="begin" w:fldLock="1"/>
      </w:r>
      <w:r>
        <w:instrText>ADDIN CSL_CITATION {"citationItems":[{"id":"ITEM-1","itemData":{"DOI":"10.1111/soc4.12482","ISSN":"17519020","author":[{"dropping-particle":"","family":"Fairbrother","given":"Malcolm","non-dropping-particle":"","parse-names":false,"suffix":""}],"container-title":"Sociology Compass","id":"ITEM-1","issue":"5","issued":{"date-parts":[["2017"]]},"page":"1-10","title":"Environmental attitudes and the politics of distrust","type":"article-journal","volume":"11"},"uris":["http://www.mendeley.com/documents/?uuid=2bc5cda2-63ec-4671-929c-ede9e274820c"]}],"mendeley":{"formattedCitation":"(Fairbrother, 2017)","plainTextFormattedCitation":"(Fairbrother, 2017)","previouslyFormattedCitation":"(Fairbrother, 2017)"},"properties":{"noteIndex":0},"schema":"https://github.com/citation-style-language/schema/raw/master/csl-citation.json"}</w:instrText>
      </w:r>
      <w:r>
        <w:fldChar w:fldCharType="separate"/>
      </w:r>
      <w:r w:rsidRPr="00B53BF6">
        <w:rPr>
          <w:noProof/>
        </w:rPr>
        <w:t>(Fairbrother, 2017)</w:t>
      </w:r>
      <w:r>
        <w:fldChar w:fldCharType="end"/>
      </w:r>
      <w:r>
        <w:t>.</w:t>
      </w:r>
    </w:p>
    <w:p w14:paraId="0C6C7863" w14:textId="68FBED41" w:rsidR="00FA0F2D" w:rsidRDefault="001A1B6B" w:rsidP="00936D99">
      <w:pPr>
        <w:pStyle w:val="Heading3"/>
        <w:numPr>
          <w:ilvl w:val="1"/>
          <w:numId w:val="1"/>
        </w:numPr>
        <w:spacing w:after="120" w:line="360" w:lineRule="auto"/>
        <w:ind w:left="788" w:hanging="431"/>
      </w:pPr>
      <w:r>
        <w:t>Towards architectures of constraints</w:t>
      </w:r>
    </w:p>
    <w:p w14:paraId="160A033D" w14:textId="016738F8" w:rsidR="00E93F16" w:rsidRDefault="00B60D6C" w:rsidP="005B302C">
      <w:pPr>
        <w:spacing w:line="360" w:lineRule="auto"/>
      </w:pPr>
      <w:r>
        <w:t>Most studies agree that strong</w:t>
      </w:r>
      <w:r w:rsidR="007E24F9">
        <w:t xml:space="preserve"> institutions, democratic governance and </w:t>
      </w:r>
      <w:r>
        <w:t xml:space="preserve">public support </w:t>
      </w:r>
      <w:r w:rsidR="007E24F9">
        <w:t xml:space="preserve">are needed to </w:t>
      </w:r>
      <w:r w:rsidR="009C611A">
        <w:t xml:space="preserve">put in place effective climate </w:t>
      </w:r>
      <w:r w:rsidR="00786159">
        <w:t>policies</w:t>
      </w:r>
      <w:r w:rsidR="007E24F9">
        <w:t>. But</w:t>
      </w:r>
      <w:r w:rsidR="008B17E2">
        <w:t xml:space="preserve"> by</w:t>
      </w:r>
      <w:r w:rsidR="007E24F9">
        <w:t xml:space="preserve"> the same token, </w:t>
      </w:r>
      <w:r w:rsidR="004F04B2">
        <w:t xml:space="preserve">vested </w:t>
      </w:r>
      <w:r w:rsidR="007E24F9">
        <w:t xml:space="preserve">interests </w:t>
      </w:r>
      <w:r w:rsidR="008341E6">
        <w:t xml:space="preserve">can </w:t>
      </w:r>
      <w:r w:rsidR="007E24F9">
        <w:t xml:space="preserve">actively undermine these </w:t>
      </w:r>
      <w:r w:rsidR="001E1DCD">
        <w:t>conditions</w:t>
      </w:r>
      <w:r w:rsidR="008341E6">
        <w:t xml:space="preserve">, underlining the interrelated nature of constraints. </w:t>
      </w:r>
      <w:r w:rsidR="008C1644">
        <w:t>And yet c</w:t>
      </w:r>
      <w:r w:rsidR="007E24F9">
        <w:t xml:space="preserve">ross-national studies tend </w:t>
      </w:r>
      <w:r w:rsidR="008341E6">
        <w:t xml:space="preserve">not </w:t>
      </w:r>
      <w:r w:rsidR="007E24F9">
        <w:t xml:space="preserve">to focus on </w:t>
      </w:r>
      <w:r w:rsidR="008341E6">
        <w:t>inter</w:t>
      </w:r>
      <w:r w:rsidR="007E24F9">
        <w:t>-dependencies</w:t>
      </w:r>
      <w:r w:rsidR="008341E6">
        <w:t xml:space="preserve">, </w:t>
      </w:r>
      <w:r w:rsidR="008B17E2">
        <w:t xml:space="preserve">but </w:t>
      </w:r>
      <w:r w:rsidR="008341E6">
        <w:t>rather focus on individual effects</w:t>
      </w:r>
      <w:r w:rsidR="008C1644">
        <w:t xml:space="preserve">. The result is generic </w:t>
      </w:r>
      <w:r w:rsidR="007E24F9">
        <w:t xml:space="preserve">policy advice </w:t>
      </w:r>
      <w:r w:rsidR="008C1644">
        <w:t>calling for</w:t>
      </w:r>
      <w:r w:rsidR="007E24F9">
        <w:t xml:space="preserve"> </w:t>
      </w:r>
      <w:r w:rsidR="008341E6">
        <w:t xml:space="preserve">calling for </w:t>
      </w:r>
      <w:r w:rsidR="007E24F9">
        <w:t>“establishing an enabling environment” or “building technical and institutional capacity”</w:t>
      </w:r>
      <w:r w:rsidR="00E93F16">
        <w:t xml:space="preserve"> </w:t>
      </w:r>
      <w:r w:rsidR="007E24F9">
        <w:fldChar w:fldCharType="begin" w:fldLock="1"/>
      </w:r>
      <w:r w:rsidR="00AE1CAD">
        <w:instrText>ADDIN CSL_CITATION {"citationItems":[{"id":"ITEM-1","itemData":{"author":[{"dropping-particle":"","family":"Carbon Pricing Leadership Coalition","given":"","non-dropping-particle":"","parse-names":false,"suffix":""}],"id":"ITEM-1","issued":{"date-parts":[["2017"]]},"title":"Report of the High-Level Commission on Carbon Prices","type":"report"},"uris":["http://www.mendeley.com/documents/?uuid=a6a55c58-a507-49d7-81b5-e81d6097859a"]}],"mendeley":{"formattedCitation":"(Carbon Pricing Leadership Coalition, 2017)","plainTextFormattedCitation":"(Carbon Pricing Leadership Coalition, 2017)","previouslyFormattedCitation":"(Carbon Pricing Leadership Coalition, 2017)"},"properties":{"noteIndex":0},"schema":"https://github.com/citation-style-language/schema/raw/master/csl-citation.json"}</w:instrText>
      </w:r>
      <w:r w:rsidR="007E24F9">
        <w:fldChar w:fldCharType="separate"/>
      </w:r>
      <w:r w:rsidR="00B53BF6" w:rsidRPr="00B53BF6">
        <w:rPr>
          <w:noProof/>
        </w:rPr>
        <w:t>(Carbon Pricing Leadership Coalition, 2017)</w:t>
      </w:r>
      <w:r w:rsidR="007E24F9">
        <w:fldChar w:fldCharType="end"/>
      </w:r>
      <w:r w:rsidR="007E24F9">
        <w:t xml:space="preserve">. </w:t>
      </w:r>
      <w:r w:rsidR="00002C8E">
        <w:t>But i</w:t>
      </w:r>
      <w:r w:rsidR="009C728A">
        <w:t>f</w:t>
      </w:r>
      <w:r w:rsidR="00E93F16">
        <w:t xml:space="preserve"> </w:t>
      </w:r>
      <w:r w:rsidR="009C728A">
        <w:t>constraints</w:t>
      </w:r>
      <w:r>
        <w:t xml:space="preserve"> occur simultaneously within countries, and have strong interlinking</w:t>
      </w:r>
      <w:r w:rsidR="007E24F9">
        <w:t xml:space="preserve"> causal mechanisms</w:t>
      </w:r>
      <w:r>
        <w:t>, then the task of overcoming them</w:t>
      </w:r>
      <w:r w:rsidR="007E24F9">
        <w:t xml:space="preserve"> becomes </w:t>
      </w:r>
      <w:r w:rsidR="00E93F16">
        <w:t xml:space="preserve">rather </w:t>
      </w:r>
      <w:r w:rsidR="007E24F9">
        <w:t>more</w:t>
      </w:r>
      <w:r w:rsidR="00E93F16">
        <w:t xml:space="preserve"> difficult</w:t>
      </w:r>
      <w:r w:rsidR="004F04B2">
        <w:t>. How can institutions be reformed</w:t>
      </w:r>
      <w:r w:rsidR="00326F9C">
        <w:t>,</w:t>
      </w:r>
      <w:r w:rsidR="004F04B2">
        <w:t xml:space="preserve"> when the necessary conditions for doing so –</w:t>
      </w:r>
      <w:r w:rsidR="00326F9C">
        <w:t xml:space="preserve"> </w:t>
      </w:r>
      <w:r w:rsidR="004F04B2">
        <w:t>technocratic skill, or sheer political will</w:t>
      </w:r>
      <w:r w:rsidR="00326F9C">
        <w:t xml:space="preserve"> – are absent and </w:t>
      </w:r>
      <w:r w:rsidR="008C1644">
        <w:t>or even</w:t>
      </w:r>
      <w:r w:rsidR="00326F9C">
        <w:t xml:space="preserve"> endogenous to their failure</w:t>
      </w:r>
      <w:r w:rsidR="00094DA6">
        <w:t xml:space="preserve"> </w:t>
      </w:r>
      <w:r w:rsidR="00094DA6">
        <w:fldChar w:fldCharType="begin" w:fldLock="1"/>
      </w:r>
      <w:r w:rsidR="00AE1CAD">
        <w:instrText>ADDIN CSL_CITATION {"citationItems":[{"id":"ITEM-1","itemData":{"author":[{"dropping-particle":"","family":"Easterly","given":"William","non-dropping-particle":"","parse-names":false,"suffix":""},{"dropping-particle":"","family":"Ritzan","given":"Jozef","non-dropping-particle":"","parse-names":false,"suffix":""},{"dropping-particle":"","family":"Woolcock","given":"Michael","non-dropping-particle":"","parse-names":false,"suffix":""}],"id":"ITEM-1","issue":"94","issued":{"date-parts":[["2006"]]},"number":"94","title":"Social Cohesion, Institutions, and Growth","type":"report"},"uris":["http://www.mendeley.com/documents/?uuid=88e577b7-456f-4891-83e0-c66d00cc1c1f"]}],"mendeley":{"formattedCitation":"(Easterly et al., 2006)","plainTextFormattedCitation":"(Easterly et al., 2006)","previouslyFormattedCitation":"(Easterly et al., 2006)"},"properties":{"noteIndex":0},"schema":"https://github.com/citation-style-language/schema/raw/master/csl-citation.json"}</w:instrText>
      </w:r>
      <w:r w:rsidR="00094DA6">
        <w:fldChar w:fldCharType="separate"/>
      </w:r>
      <w:r w:rsidR="00B53BF6" w:rsidRPr="00B53BF6">
        <w:rPr>
          <w:noProof/>
        </w:rPr>
        <w:t>(Easterly et al., 2006)</w:t>
      </w:r>
      <w:r w:rsidR="00094DA6">
        <w:fldChar w:fldCharType="end"/>
      </w:r>
      <w:r w:rsidR="00326F9C">
        <w:t xml:space="preserve">? </w:t>
      </w:r>
      <w:r w:rsidR="001E1DCD">
        <w:t>Arguably, one would then need</w:t>
      </w:r>
      <w:r w:rsidR="007E24F9">
        <w:t xml:space="preserve"> to deal </w:t>
      </w:r>
      <w:r w:rsidR="00002C8E">
        <w:t>with</w:t>
      </w:r>
      <w:r w:rsidR="00E93F16">
        <w:t xml:space="preserve"> </w:t>
      </w:r>
      <w:r w:rsidR="007E24F9" w:rsidRPr="00326F9C">
        <w:rPr>
          <w:i/>
        </w:rPr>
        <w:t>architecture</w:t>
      </w:r>
      <w:r w:rsidR="001A1B6B" w:rsidRPr="00326F9C">
        <w:rPr>
          <w:i/>
        </w:rPr>
        <w:t>s</w:t>
      </w:r>
      <w:r w:rsidR="007E24F9" w:rsidRPr="00326F9C">
        <w:rPr>
          <w:i/>
        </w:rPr>
        <w:t xml:space="preserve"> of constraints</w:t>
      </w:r>
      <w:r w:rsidR="00E93F16">
        <w:t xml:space="preserve"> that </w:t>
      </w:r>
      <w:r w:rsidR="001A1B6B">
        <w:t>are</w:t>
      </w:r>
      <w:r w:rsidR="00E93F16">
        <w:t xml:space="preserve"> deliberate in nature, enduring over time, and</w:t>
      </w:r>
      <w:r w:rsidR="008341E6">
        <w:t xml:space="preserve"> </w:t>
      </w:r>
      <w:r w:rsidR="00E93F16">
        <w:t>actively defended</w:t>
      </w:r>
      <w:r w:rsidR="00002C8E">
        <w:t xml:space="preserve"> </w:t>
      </w:r>
      <w:r w:rsidR="001E1DCD">
        <w:t xml:space="preserve">by interest groups </w:t>
      </w:r>
      <w:r w:rsidR="00002C8E">
        <w:fldChar w:fldCharType="begin" w:fldLock="1"/>
      </w:r>
      <w:r w:rsidR="00AE1CAD">
        <w:instrText>ADDIN CSL_CITATION {"citationItems":[{"id":"ITEM-1","itemData":{"ISBN":"9780821394755","author":[{"dropping-particle":"","family":"Chayes","given":"Sarah","non-dropping-particle":"","parse-names":false,"suffix":""}],"id":"ITEM-1","issued":{"date-parts":[["2017"]]},"publisher-place":"Washington, DC","title":"When corruption is the operating system: the case of Honduras","type":"report"},"uris":["http://www.mendeley.com/documents/?uuid=6eb21149-96bf-4f31-879a-71a659863422"]}],"mendeley":{"formattedCitation":"(Chayes, 2017)","plainTextFormattedCitation":"(Chayes, 2017)","previouslyFormattedCitation":"(Chayes, 2017)"},"properties":{"noteIndex":0},"schema":"https://github.com/citation-style-language/schema/raw/master/csl-citation.json"}</w:instrText>
      </w:r>
      <w:r w:rsidR="00002C8E">
        <w:fldChar w:fldCharType="separate"/>
      </w:r>
      <w:r w:rsidR="00B53BF6" w:rsidRPr="00B53BF6">
        <w:rPr>
          <w:noProof/>
        </w:rPr>
        <w:t>(Chayes, 2017)</w:t>
      </w:r>
      <w:r w:rsidR="00002C8E">
        <w:fldChar w:fldCharType="end"/>
      </w:r>
      <w:r w:rsidR="00E93F16">
        <w:t>.</w:t>
      </w:r>
    </w:p>
    <w:p w14:paraId="5F87E6C8" w14:textId="72FA6F19" w:rsidR="00350509" w:rsidRDefault="001A1B6B" w:rsidP="00EF345F">
      <w:pPr>
        <w:spacing w:line="360" w:lineRule="auto"/>
      </w:pPr>
      <w:r>
        <w:t xml:space="preserve">The literature on the ‘resource curse’ is enlightening in this regard. It follows the empirical phenomenon </w:t>
      </w:r>
      <w:r w:rsidR="001E1DCD">
        <w:t>that</w:t>
      </w:r>
      <w:r>
        <w:t xml:space="preserve"> states with considerable natural resource endowments tend to experience wide-ranging detrimental effects on their societies and institutions </w:t>
      </w:r>
      <w:r>
        <w:fldChar w:fldCharType="begin" w:fldLock="1"/>
      </w:r>
      <w:r w:rsidR="00AE1CAD">
        <w:instrText>ADDIN CSL_CITATION {"citationItems":[{"id":"ITEM-1","itemData":{"DOI":"10.1257/jel.49.2.366","ISBN":"0022-0515 U6 - ctx_ver=Z39.88-2004&amp;ctx_enc=info%3Aofi%2Fenc%3AUTF-8&amp;rfr_id=info:sid/summon.serialssolutions.com&amp;rft_val_fmt=info:ofi/fmt:kev:mtx:journal&amp;rft.genre=article&amp;rft.atitle=Natural+Resources%3A+Curse+or+Blessing%3F&amp;rft.jtitle=Journal+of+Economic+Literature&amp;rft.au=Ploeg%2C+Frederick+van+der&amp;rft.date=2011-06-01&amp;rft.issn=0022-0515&amp;rft.volume=49&amp;rft.issue=2&amp;rft.spage=366&amp;rft.epage=420&amp;rft_id=info:doi/10.1257%2Fjel.49.2.366&amp;rft.externalDBID=JEL&amp;rft.externalDocID=10_1257_jel_49_2_366 U7 - Jou","ISSN":"0022-0515","abstract":"Are natural resources a \"curse\" or a \"blessing\"? The empirical evidence suggests that either outcome is possible. This paper surveys a variety of hypotheses and supporting evidence for why some countries benefit and others lose from the presence of natural resources. These include that a resource bonanza induces appreciation of the real exchange rate, deindustrialization, and bad growth prospects, and that these adverse effects are more severe in volatile countries with bad institutions and lack of rule of law, corruption, presidential democracies, and underdeveloped financial systems. Another hypothesis is that a resource boom reinforces rent grabbing and civil conflict especially if institutions are bad, induces corruption especially in nondemocratic countries, and keeps in place bad policies. Finally, resource rich developing economies seem unable to successfully convert their depleting exhaustible resources into other productive assets. The survey also offers some welfare-based fiscal rules for harnessing resource windfalls in developed and developing economies.","author":[{"dropping-particle":"","family":"Ploeg","given":"Frederick","non-dropping-particle":"van der","parse-names":false,"suffix":""}],"container-title":"Journal of Economic Literature","id":"ITEM-1","issue":"2","issued":{"date-parts":[["2011"]]},"page":"366-420","title":"Natural Resources: Curse or Blessing?","type":"article-journal","volume":"49"},"uris":["http://www.mendeley.com/documents/?uuid=9deb3d22-df61-4d9d-b6f7-77da139942f5"]},{"id":"ITEM-2","itemData":{"DOI":"10.1146/annurev-polisci-052213-040359","abstract":"Since 2001, hundreds of academic studies have examined the “political resource curse,” meaning the claim that natural resource wealth tends to adversely affect a country's governance. There is now robust evidence that one type of mineral wealth, petroleum, has at least three harmful effects: It tends to make authoritarian regimes more durable, to increase certain types of corruption, and to help trigger violent conflict in low- and middle-income countries. Scholars have also made progress toward understanding the mechanisms that lead to these outcomes and the conditions that make them more likely. This essay reviews the evidence behind these claims, the debates over their validity, and some of the unresolved puzzles for future research.","author":[{"dropping-particle":"","family":"Ross","given":"Michael L.","non-dropping-particle":"","parse-names":false,"suffix":""}],"container-title":"Annual Review of Political Science","id":"ITEM-2","issued":{"date-parts":[["2015"]]},"page":"239-261","title":"What Have We Learned About the Resource Curse?","type":"article-journal","volume":"18"},"uris":["http://www.mendeley.com/documents/?uuid=84e44904-c5f6-4174-9fa2-8cf93b74d551"]}],"mendeley":{"formattedCitation":"(Ross, 2015; van der Ploeg, 2011)","plainTextFormattedCitation":"(Ross, 2015; van der Ploeg, 2011)","previouslyFormattedCitation":"(Ross, 2015; van der Ploeg, 2011)"},"properties":{"noteIndex":0},"schema":"https://github.com/citation-style-language/schema/raw/master/csl-citation.json"}</w:instrText>
      </w:r>
      <w:r>
        <w:fldChar w:fldCharType="separate"/>
      </w:r>
      <w:r w:rsidR="00B53BF6" w:rsidRPr="00B53BF6">
        <w:rPr>
          <w:noProof/>
        </w:rPr>
        <w:t>(Ross, 2015; van der Ploeg, 2011)</w:t>
      </w:r>
      <w:r>
        <w:fldChar w:fldCharType="end"/>
      </w:r>
      <w:r>
        <w:t xml:space="preserve">. There is strong evidence in particular that </w:t>
      </w:r>
      <w:r w:rsidR="001402D9">
        <w:t>an</w:t>
      </w:r>
      <w:r>
        <w:t xml:space="preserve"> abundance </w:t>
      </w:r>
      <w:r w:rsidR="009E38EC">
        <w:t xml:space="preserve">of oil </w:t>
      </w:r>
      <w:r w:rsidRPr="001A1B6B">
        <w:t xml:space="preserve">increases the durability of authoritarian </w:t>
      </w:r>
      <w:r w:rsidR="003603BC">
        <w:t>rule</w:t>
      </w:r>
      <w:r w:rsidR="00350509">
        <w:t xml:space="preserve"> and</w:t>
      </w:r>
      <w:r w:rsidR="00350509" w:rsidRPr="001A1B6B">
        <w:t xml:space="preserve"> heightens</w:t>
      </w:r>
      <w:r w:rsidR="00350509">
        <w:t xml:space="preserve"> levels of corruption</w:t>
      </w:r>
      <w:r w:rsidR="00596745">
        <w:t xml:space="preserve">. </w:t>
      </w:r>
      <w:r w:rsidR="003603BC">
        <w:t xml:space="preserve">That is, a </w:t>
      </w:r>
      <w:r w:rsidR="000C69FF">
        <w:t xml:space="preserve">distinct </w:t>
      </w:r>
      <w:r w:rsidR="003603BC">
        <w:t xml:space="preserve">architecture </w:t>
      </w:r>
      <w:r w:rsidR="000C69FF">
        <w:t xml:space="preserve">can be seen in countries at the upper end of the spectrum of oil production </w:t>
      </w:r>
      <w:r w:rsidR="001402D9">
        <w:t xml:space="preserve">(e.g. </w:t>
      </w:r>
      <w:r w:rsidR="003603BC">
        <w:t xml:space="preserve">Algeria, </w:t>
      </w:r>
      <w:r w:rsidR="008341E6">
        <w:t>Iran, Saudi Arabia, Qatar</w:t>
      </w:r>
      <w:r w:rsidR="003603BC">
        <w:t xml:space="preserve"> and others</w:t>
      </w:r>
      <w:r w:rsidR="001402D9">
        <w:t xml:space="preserve">), </w:t>
      </w:r>
      <w:r w:rsidR="003603BC">
        <w:t xml:space="preserve">of </w:t>
      </w:r>
      <w:r w:rsidR="000C69FF">
        <w:t xml:space="preserve">which not a single </w:t>
      </w:r>
      <w:r w:rsidR="001402D9">
        <w:t xml:space="preserve">has successfully become democratic since 1960 </w:t>
      </w:r>
      <w:r w:rsidR="001402D9" w:rsidRPr="001A1B6B">
        <w:t>(Ross, 2015</w:t>
      </w:r>
      <w:r w:rsidR="00596745">
        <w:t>).</w:t>
      </w:r>
      <w:r w:rsidR="003603BC">
        <w:t xml:space="preserve"> Often these are referred to as ‘rentier states’, where oil </w:t>
      </w:r>
      <w:r w:rsidR="000C69FF">
        <w:t xml:space="preserve">revenues </w:t>
      </w:r>
      <w:r w:rsidR="003603BC">
        <w:t xml:space="preserve">are used </w:t>
      </w:r>
      <w:r w:rsidR="0091398F">
        <w:t xml:space="preserve">to </w:t>
      </w:r>
      <w:r w:rsidR="00F9422D">
        <w:t xml:space="preserve">reduce taxes, </w:t>
      </w:r>
      <w:r w:rsidR="00350509">
        <w:t>increase patronage,</w:t>
      </w:r>
      <w:r w:rsidR="00F9422D">
        <w:t xml:space="preserve"> and fund </w:t>
      </w:r>
      <w:r w:rsidR="0091398F">
        <w:t xml:space="preserve">a </w:t>
      </w:r>
      <w:r w:rsidR="00F9422D">
        <w:t>military</w:t>
      </w:r>
      <w:r w:rsidR="0091398F">
        <w:t>/security</w:t>
      </w:r>
      <w:r w:rsidR="00F9422D">
        <w:t xml:space="preserve"> apparatus</w:t>
      </w:r>
      <w:r w:rsidR="000C69FF">
        <w:t xml:space="preserve"> – all effective means for incumbent ruler</w:t>
      </w:r>
      <w:r w:rsidR="003603BC">
        <w:t>s</w:t>
      </w:r>
      <w:r w:rsidR="000C69FF">
        <w:t xml:space="preserve"> to buy off challengers and suppress dissent.</w:t>
      </w:r>
      <w:r w:rsidR="00C06A91">
        <w:t xml:space="preserve"> </w:t>
      </w:r>
      <w:r w:rsidR="0091398F">
        <w:t>O</w:t>
      </w:r>
      <w:r w:rsidR="00F9422D">
        <w:t xml:space="preserve">il rents </w:t>
      </w:r>
      <w:r w:rsidR="0091398F">
        <w:t xml:space="preserve">also </w:t>
      </w:r>
      <w:r w:rsidR="00F9422D">
        <w:t xml:space="preserve">provide multiple avenues for local enrichment and corruption, </w:t>
      </w:r>
      <w:r w:rsidR="00C51BFF">
        <w:t xml:space="preserve">providing that prior institutions are weak enough to </w:t>
      </w:r>
      <w:r w:rsidR="004D0E24">
        <w:t>facilitate</w:t>
      </w:r>
      <w:r w:rsidR="00C51BFF">
        <w:t xml:space="preserve"> such activities </w:t>
      </w:r>
      <w:r w:rsidR="00011C4A">
        <w:fldChar w:fldCharType="begin" w:fldLock="1"/>
      </w:r>
      <w:r w:rsidR="00AE1CAD">
        <w:instrText>ADDIN CSL_CITATION {"citationItems":[{"id":"ITEM-1","itemData":{"DOI":"10.1257/jel.49.2.366","ISBN":"0022-0515 U6 - ctx_ver=Z39.88-2004&amp;ctx_enc=info%3Aofi%2Fenc%3AUTF-8&amp;rfr_id=info:sid/summon.serialssolutions.com&amp;rft_val_fmt=info:ofi/fmt:kev:mtx:journal&amp;rft.genre=article&amp;rft.atitle=Natural+Resources%3A+Curse+or+Blessing%3F&amp;rft.jtitle=Journal+of+Economic+Literature&amp;rft.au=Ploeg%2C+Frederick+van+der&amp;rft.date=2011-06-01&amp;rft.issn=0022-0515&amp;rft.volume=49&amp;rft.issue=2&amp;rft.spage=366&amp;rft.epage=420&amp;rft_id=info:doi/10.1257%2Fjel.49.2.366&amp;rft.externalDBID=JEL&amp;rft.externalDocID=10_1257_jel_49_2_366 U7 - Jou","ISSN":"0022-0515","abstract":"Are natural resources a \"curse\" or a \"blessing\"? The empirical evidence suggests that either outcome is possible. This paper surveys a variety of hypotheses and supporting evidence for why some countries benefit and others lose from the presence of natural resources. These include that a resource bonanza induces appreciation of the real exchange rate, deindustrialization, and bad growth prospects, and that these adverse effects are more severe in volatile countries with bad institutions and lack of rule of law, corruption, presidential democracies, and underdeveloped financial systems. Another hypothesis is that a resource boom reinforces rent grabbing and civil conflict especially if institutions are bad, induces corruption especially in nondemocratic countries, and keeps in place bad policies. Finally, resource rich developing economies seem unable to successfully convert their depleting exhaustible resources into other productive assets. The survey also offers some welfare-based fiscal rules for harnessing resource windfalls in developed and developing economies.","author":[{"dropping-particle":"","family":"Ploeg","given":"Frederick","non-dropping-particle":"van der","parse-names":false,"suffix":""}],"container-title":"Journal of Economic Literature","id":"ITEM-1","issue":"2","issued":{"date-parts":[["2011"]]},"page":"366-420","title":"Natural Resources: Curse or Blessing?","type":"article-journal","volume":"49"},"uris":["http://www.mendeley.com/documents/?uuid=9deb3d22-df61-4d9d-b6f7-77da139942f5"]}],"mendeley":{"formattedCitation":"(van der Ploeg, 2011)","plainTextFormattedCitation":"(van der Ploeg, 2011)","previouslyFormattedCitation":"(van der Ploeg, 2011)"},"properties":{"noteIndex":0},"schema":"https://github.com/citation-style-language/schema/raw/master/csl-citation.json"}</w:instrText>
      </w:r>
      <w:r w:rsidR="00011C4A">
        <w:fldChar w:fldCharType="separate"/>
      </w:r>
      <w:r w:rsidR="00B53BF6" w:rsidRPr="00B53BF6">
        <w:rPr>
          <w:noProof/>
        </w:rPr>
        <w:t>(van der Ploeg, 2011)</w:t>
      </w:r>
      <w:r w:rsidR="00011C4A">
        <w:fldChar w:fldCharType="end"/>
      </w:r>
      <w:r w:rsidR="00011C4A">
        <w:t>.</w:t>
      </w:r>
      <w:r w:rsidR="00C51BFF">
        <w:t xml:space="preserve"> </w:t>
      </w:r>
      <w:r w:rsidR="008B17E2">
        <w:t>With regime stability resting upon these systems of corruption, one should not be naïve about the prospects for reform</w:t>
      </w:r>
      <w:r w:rsidR="00C51BFF">
        <w:t xml:space="preserve"> </w:t>
      </w:r>
      <w:r w:rsidR="00C51BFF">
        <w:fldChar w:fldCharType="begin" w:fldLock="1"/>
      </w:r>
      <w:r w:rsidR="00AE1CAD">
        <w:instrText>ADDIN CSL_CITATION {"citationItems":[{"id":"ITEM-1","itemData":{"ISBN":"9780821394755","author":[{"dropping-particle":"","family":"Chayes","given":"Sarah","non-dropping-particle":"","parse-names":false,"suffix":""}],"id":"ITEM-1","issued":{"date-parts":[["2017"]]},"publisher-place":"Washington, DC","title":"When corruption is the operating system: the case of Honduras","type":"report"},"uris":["http://www.mendeley.com/documents/?uuid=6eb21149-96bf-4f31-879a-71a659863422"]}],"mendeley":{"formattedCitation":"(Chayes, 2017)","plainTextFormattedCitation":"(Chayes, 2017)","previouslyFormattedCitation":"(Chayes, 2017)"},"properties":{"noteIndex":0},"schema":"https://github.com/citation-style-language/schema/raw/master/csl-citation.json"}</w:instrText>
      </w:r>
      <w:r w:rsidR="00C51BFF">
        <w:fldChar w:fldCharType="separate"/>
      </w:r>
      <w:r w:rsidR="00B53BF6" w:rsidRPr="00B53BF6">
        <w:rPr>
          <w:noProof/>
        </w:rPr>
        <w:t>(Chayes, 2017)</w:t>
      </w:r>
      <w:r w:rsidR="00C51BFF">
        <w:fldChar w:fldCharType="end"/>
      </w:r>
      <w:r w:rsidR="00C51BFF">
        <w:t>.</w:t>
      </w:r>
    </w:p>
    <w:p w14:paraId="5CC4BB04" w14:textId="53F90973" w:rsidR="00BF00A3" w:rsidRDefault="0091398F" w:rsidP="00713B11">
      <w:pPr>
        <w:spacing w:line="360" w:lineRule="auto"/>
      </w:pPr>
      <w:r>
        <w:lastRenderedPageBreak/>
        <w:t xml:space="preserve">Failed </w:t>
      </w:r>
      <w:r w:rsidR="009D369E">
        <w:t>and fragile states</w:t>
      </w:r>
      <w:r>
        <w:t xml:space="preserve"> are another </w:t>
      </w:r>
      <w:r w:rsidR="00011C4A">
        <w:t>problematic architecture for climate policy adoption</w:t>
      </w:r>
      <w:r>
        <w:t xml:space="preserve">. Clearly, countries in the midst of civil wars (Syria, Iraq, Libya, Yemen) or major domestic instability (Venezuela) cannot progress energy and climate policies </w:t>
      </w:r>
      <w:r>
        <w:fldChar w:fldCharType="begin" w:fldLock="1"/>
      </w:r>
      <w:r w:rsidR="00AE1CAD">
        <w:instrText>ADDIN CSL_CITATION {"citationItems":[{"id":"ITEM-1","itemData":{"DOI":"10.1016/j.enpol.2016.12.023","ISBN":"0301-4215","ISSN":"03014215","abstract":"The energy landscape of the Middle East and North Africa (MENA) region has undergone a significant transformation in recent years as a result of intersecting technological, economic and political trends, both regional and international. The evolving dynamics of international energy markets, increased diversification of energy sources, global concerns for climate change, and regional conflict are among the leading factors impacting the evolution of MENA energy policy. This paper provides an assessment and outlook for energy policy in the MENA region within the context of the myriad factors impacting policy design and implementation. A review and analysis of the social, political and economic factors that are impacting regional energy policy is provided and followed by analysis of regional energy policy with consideration of hydrocarbon exploration and production, regional energy trade, demand management and clean energy production. The findings show that the MENA region is in the midst of an energy transition that has uncertain outcomes but will undoubtedly have long lasting impacts on the global energy system.","author":[{"dropping-particle":"","family":"Griffiths","given":"Steven","non-dropping-particle":"","parse-names":false,"suffix":""}],"container-title":"Energy Policy","id":"ITEM-1","issued":{"date-parts":[["2017"]]},"page":"249-269","title":"A review and assessment of energy policy in the Middle East and North Africa region","type":"article-journal","volume":"102"},"uris":["http://www.mendeley.com/documents/?uuid=d356e183-9041-4f56-870a-a688d3b82d69"]}],"mendeley":{"formattedCitation":"(Griffiths, 2017)","plainTextFormattedCitation":"(Griffiths, 2017)","previouslyFormattedCitation":"(Griffiths, 2017)"},"properties":{"noteIndex":0},"schema":"https://github.com/citation-style-language/schema/raw/master/csl-citation.json"}</w:instrText>
      </w:r>
      <w:r>
        <w:fldChar w:fldCharType="separate"/>
      </w:r>
      <w:r w:rsidR="00B53BF6" w:rsidRPr="00B53BF6">
        <w:rPr>
          <w:noProof/>
        </w:rPr>
        <w:t>(Griffiths, 2017)</w:t>
      </w:r>
      <w:r>
        <w:fldChar w:fldCharType="end"/>
      </w:r>
      <w:r>
        <w:t>. Such events also spill</w:t>
      </w:r>
      <w:r w:rsidR="00322AE6">
        <w:t xml:space="preserve"> </w:t>
      </w:r>
      <w:r>
        <w:t>over into neighbouring countries through mass migration</w:t>
      </w:r>
      <w:r w:rsidR="00C41A3A">
        <w:t xml:space="preserve"> and conflicts.</w:t>
      </w:r>
      <w:r>
        <w:t xml:space="preserve"> These might be considered one-off ‘exogenous shocks’</w:t>
      </w:r>
      <w:r w:rsidR="00221D4F">
        <w:t xml:space="preserve"> sparked by specific events</w:t>
      </w:r>
      <w:r w:rsidR="00322AE6">
        <w:t>,</w:t>
      </w:r>
      <w:r>
        <w:t xml:space="preserve"> and yet </w:t>
      </w:r>
      <w:r w:rsidR="00221D4F">
        <w:t xml:space="preserve">underlying structural conditions often provide the tinder. </w:t>
      </w:r>
      <w:r w:rsidR="00EF345F">
        <w:t xml:space="preserve">Failing </w:t>
      </w:r>
      <w:r w:rsidR="002B13F9">
        <w:t xml:space="preserve">state institutions, the </w:t>
      </w:r>
      <w:r w:rsidR="00C06A91">
        <w:t>under-</w:t>
      </w:r>
      <w:r w:rsidR="002B13F9">
        <w:t xml:space="preserve">provisioning of basic needs, and </w:t>
      </w:r>
      <w:r w:rsidR="00C06A91">
        <w:t xml:space="preserve">latent ethnic or political tensions can all be leveraged </w:t>
      </w:r>
      <w:r w:rsidR="00BF00A3">
        <w:t>to realise political or economic gain</w:t>
      </w:r>
      <w:r w:rsidR="009D369E">
        <w:t>s</w:t>
      </w:r>
      <w:r w:rsidR="00EF345F">
        <w:t xml:space="preserve"> by interest groups</w:t>
      </w:r>
      <w:r w:rsidR="009D369E">
        <w:t xml:space="preserve"> </w:t>
      </w:r>
      <w:r w:rsidR="00BF00A3">
        <w:fldChar w:fldCharType="begin" w:fldLock="1"/>
      </w:r>
      <w:r w:rsidR="00AE1CAD">
        <w:instrText>ADDIN CSL_CITATION {"citationItems":[{"id":"ITEM-1","itemData":{"author":[{"dropping-particle":"","family":"Easterly","given":"William","non-dropping-particle":"","parse-names":false,"suffix":""},{"dropping-particle":"","family":"Ritzan","given":"Jozef","non-dropping-particle":"","parse-names":false,"suffix":""},{"dropping-particle":"","family":"Woolcock","given":"Michael","non-dropping-particle":"","parse-names":false,"suffix":""}],"id":"ITEM-1","issue":"94","issued":{"date-parts":[["2006"]]},"number":"94","title":"Social Cohesion, Institutions, and Growth","type":"report"},"uris":["http://www.mendeley.com/documents/?uuid=88e577b7-456f-4891-83e0-c66d00cc1c1f"]},{"id":"ITEM-2","itemData":{"author":[{"dropping-particle":"","family":"Alesina","given":"Alberto","non-dropping-particle":"","parse-names":false,"suffix":""},{"dropping-particle":"","family":"Devleeschauwer","given":"Arnaud","non-dropping-particle":"","parse-names":false,"suffix":""},{"dropping-particle":"","family":"Easterly","given":"William","non-dropping-particle":"","parse-names":false,"suffix":""},{"dropping-particle":"","family":"Kurlat","given":"Sergio","non-dropping-particle":"","parse-names":false,"suffix":""},{"dropping-particle":"","family":"Wacziarg","given":"Romain","non-dropping-particle":"","parse-names":false,"suffix":""}],"container-title":"Journal of Economic Growth","id":"ITEM-2","issued":{"date-parts":[["2003"]]},"page":"155-194","title":"Fractionalization","type":"article-journal","volume":"8"},"uris":["http://www.mendeley.com/documents/?uuid=ca56b6ce-b8e7-4019-b6dd-8ccb8dd2c064"]}],"mendeley":{"formattedCitation":"(Alesina, Devleeschauwer, Easterly, Kurlat, &amp; Wacziarg, 2003; Easterly et al., 2006)","plainTextFormattedCitation":"(Alesina, Devleeschauwer, Easterly, Kurlat, &amp; Wacziarg, 2003; Easterly et al., 2006)","previouslyFormattedCitation":"(Alesina, Devleeschauwer, Easterly, Kurlat, &amp; Wacziarg, 2003; Easterly et al., 2006)"},"properties":{"noteIndex":0},"schema":"https://github.com/citation-style-language/schema/raw/master/csl-citation.json"}</w:instrText>
      </w:r>
      <w:r w:rsidR="00BF00A3">
        <w:fldChar w:fldCharType="separate"/>
      </w:r>
      <w:r w:rsidR="00B53BF6" w:rsidRPr="00B53BF6">
        <w:rPr>
          <w:noProof/>
        </w:rPr>
        <w:t>(Alesina, Devleeschauwer, Easterly, Kurlat, &amp; Wacziarg, 2003; Easterly et al., 2006)</w:t>
      </w:r>
      <w:r w:rsidR="00BF00A3">
        <w:fldChar w:fldCharType="end"/>
      </w:r>
      <w:r w:rsidR="00BF00A3">
        <w:t xml:space="preserve">. </w:t>
      </w:r>
      <w:r w:rsidR="00C06A91">
        <w:t xml:space="preserve">Such conditions </w:t>
      </w:r>
      <w:r w:rsidR="00EF345F">
        <w:t>can be</w:t>
      </w:r>
      <w:r w:rsidR="00C06A91">
        <w:t xml:space="preserve"> mutually dependent </w:t>
      </w:r>
      <w:r w:rsidR="00EF345F">
        <w:fldChar w:fldCharType="begin" w:fldLock="1"/>
      </w:r>
      <w:r w:rsidR="00AE1CAD">
        <w:instrText>ADDIN CSL_CITATION {"citationItems":[{"id":"ITEM-1","itemData":{"author":[{"dropping-particle":"","family":"Sen","given":"Amartya","non-dropping-particle":"","parse-names":false,"suffix":""}],"id":"ITEM-1","issued":{"date-parts":[["1999"]]},"publisher":"Oxford University Press","publisher-place":"Oxford","title":"Development as Freedom","type":"book"},"uris":["http://www.mendeley.com/documents/?uuid=c26edd7f-f555-4750-9b56-a647de821ce0"]}],"mendeley":{"formattedCitation":"(Sen, 1999)","plainTextFormattedCitation":"(Sen, 1999)","previouslyFormattedCitation":"(Sen, 1999)"},"properties":{"noteIndex":0},"schema":"https://github.com/citation-style-language/schema/raw/master/csl-citation.json"}</w:instrText>
      </w:r>
      <w:r w:rsidR="00EF345F">
        <w:fldChar w:fldCharType="separate"/>
      </w:r>
      <w:r w:rsidR="00B53BF6" w:rsidRPr="00B53BF6">
        <w:rPr>
          <w:noProof/>
        </w:rPr>
        <w:t>(Sen, 1999)</w:t>
      </w:r>
      <w:r w:rsidR="00EF345F">
        <w:fldChar w:fldCharType="end"/>
      </w:r>
      <w:r w:rsidR="00EF345F">
        <w:t xml:space="preserve"> </w:t>
      </w:r>
      <w:r w:rsidR="00C06A91">
        <w:t xml:space="preserve">and often have strong historical </w:t>
      </w:r>
      <w:r w:rsidR="00B3595A">
        <w:t xml:space="preserve">origins </w:t>
      </w:r>
      <w:r w:rsidR="00EF345F">
        <w:t xml:space="preserve">(e.g. colonialism) </w:t>
      </w:r>
      <w:r w:rsidR="00EF345F">
        <w:fldChar w:fldCharType="begin" w:fldLock="1"/>
      </w:r>
      <w:r w:rsidR="00AE1CAD">
        <w:instrText>ADDIN CSL_CITATION {"citationItems":[{"id":"ITEM-1","itemData":{"author":[{"dropping-particle":"","family":"Acemoglu","given":"Daron","non-dropping-particle":"","parse-names":false,"suffix":""},{"dropping-particle":"","family":"Johnson","given":"Simon","non-dropping-particle":"","parse-names":false,"suffix":""},{"dropping-particle":"","family":"Robinson","given":"James A.","non-dropping-particle":"","parse-names":false,"suffix":""}],"container-title":"The American Economic Review","id":"ITEM-1","issue":"5","issued":{"date-parts":[["2001"]]},"page":"1369-1401","title":"The Colonial Origins of Comparative Development : An Empirical Investigation","type":"article-journal","volume":"91"},"uris":["http://www.mendeley.com/documents/?uuid=24c1c0da-7f8a-4cb6-bb13-3750d0b6f1ca"]}],"mendeley":{"formattedCitation":"(Acemoglu, Johnson, &amp; Robinson, 2001)","plainTextFormattedCitation":"(Acemoglu, Johnson, &amp; Robinson, 2001)","previouslyFormattedCitation":"(Acemoglu, Johnson, &amp; Robinson, 2001)"},"properties":{"noteIndex":0},"schema":"https://github.com/citation-style-language/schema/raw/master/csl-citation.json"}</w:instrText>
      </w:r>
      <w:r w:rsidR="00EF345F">
        <w:fldChar w:fldCharType="separate"/>
      </w:r>
      <w:r w:rsidR="00B53BF6" w:rsidRPr="00B53BF6">
        <w:rPr>
          <w:noProof/>
        </w:rPr>
        <w:t>(Acemoglu, Johnson, &amp; Robinson, 2001)</w:t>
      </w:r>
      <w:r w:rsidR="00EF345F">
        <w:fldChar w:fldCharType="end"/>
      </w:r>
      <w:r w:rsidR="00EF345F">
        <w:t xml:space="preserve">. </w:t>
      </w:r>
      <w:r w:rsidR="008F69FF">
        <w:t>Again, th</w:t>
      </w:r>
      <w:r w:rsidR="007F4E7B">
        <w:t xml:space="preserve">is </w:t>
      </w:r>
      <w:r w:rsidR="003621C1">
        <w:t>render</w:t>
      </w:r>
      <w:r w:rsidR="007F4E7B">
        <w:t>s</w:t>
      </w:r>
      <w:r w:rsidR="008F69FF">
        <w:t xml:space="preserve"> generic advice to increase competencies and build an ‘enabling environment’ rather hollow. As of 2019, 38 countries and territories can be found on the World Bank list of fragile situations</w:t>
      </w:r>
      <w:r w:rsidR="00EF345F">
        <w:rPr>
          <w:rStyle w:val="FootnoteReference"/>
        </w:rPr>
        <w:footnoteReference w:id="5"/>
      </w:r>
      <w:r w:rsidR="008F69FF">
        <w:t>.</w:t>
      </w:r>
    </w:p>
    <w:p w14:paraId="5ED3CABA" w14:textId="35434B90" w:rsidR="007F4E7B" w:rsidRDefault="007F4E7B" w:rsidP="00713B11">
      <w:pPr>
        <w:spacing w:line="360" w:lineRule="auto"/>
      </w:pPr>
      <w:r>
        <w:t xml:space="preserve">In the analysis of climate policy progress, little work has comprehensively explored architectures of political, economic and social constraints. </w:t>
      </w:r>
      <w:r w:rsidR="00826DE8">
        <w:t xml:space="preserve">A notable exception is the case study by Sarah </w:t>
      </w:r>
      <w:proofErr w:type="spellStart"/>
      <w:r w:rsidR="00826DE8">
        <w:t>Chayes</w:t>
      </w:r>
      <w:proofErr w:type="spellEnd"/>
      <w:r w:rsidR="00826DE8">
        <w:t xml:space="preserve"> </w:t>
      </w:r>
      <w:r w:rsidR="00826DE8">
        <w:fldChar w:fldCharType="begin" w:fldLock="1"/>
      </w:r>
      <w:r w:rsidR="00AE1CAD">
        <w:instrText>ADDIN CSL_CITATION {"citationItems":[{"id":"ITEM-1","itemData":{"ISBN":"9780821394755","author":[{"dropping-particle":"","family":"Chayes","given":"Sarah","non-dropping-particle":"","parse-names":false,"suffix":""}],"id":"ITEM-1","issued":{"date-parts":[["2017"]]},"publisher-place":"Washington, DC","title":"When corruption is the operating system: the case of Honduras","type":"report"},"suppress-author":1,"uris":["http://www.mendeley.com/documents/?uuid=6eb21149-96bf-4f31-879a-71a659863422"]}],"mendeley":{"formattedCitation":"(2017)","plainTextFormattedCitation":"(2017)","previouslyFormattedCitation":"(2017)"},"properties":{"noteIndex":0},"schema":"https://github.com/citation-style-language/schema/raw/master/csl-citation.json"}</w:instrText>
      </w:r>
      <w:r w:rsidR="00826DE8">
        <w:fldChar w:fldCharType="separate"/>
      </w:r>
      <w:r w:rsidR="00B53BF6" w:rsidRPr="00B53BF6">
        <w:rPr>
          <w:noProof/>
        </w:rPr>
        <w:t>(2017)</w:t>
      </w:r>
      <w:r w:rsidR="00826DE8">
        <w:fldChar w:fldCharType="end"/>
      </w:r>
      <w:r w:rsidR="00826DE8">
        <w:t xml:space="preserve"> on the interconnected roles of public and private actors in Honduras</w:t>
      </w:r>
      <w:r w:rsidR="000D515A">
        <w:t xml:space="preserve">; a system of corruption that extracts rents by design and actively prevents systemic change. </w:t>
      </w:r>
      <w:r w:rsidR="00241287">
        <w:t xml:space="preserve">As a first step </w:t>
      </w:r>
      <w:r w:rsidR="002F7822">
        <w:t>towards</w:t>
      </w:r>
      <w:r w:rsidR="00826DE8">
        <w:t xml:space="preserve"> understanding </w:t>
      </w:r>
      <w:r w:rsidR="009B2248">
        <w:t xml:space="preserve">such </w:t>
      </w:r>
      <w:r w:rsidR="00826DE8">
        <w:t>architectures</w:t>
      </w:r>
      <w:r w:rsidR="00DA2C4B">
        <w:t xml:space="preserve">, in the next section </w:t>
      </w:r>
      <w:r w:rsidR="005E4BB4">
        <w:t xml:space="preserve">we elaborate </w:t>
      </w:r>
      <w:r w:rsidR="00826DE8">
        <w:t xml:space="preserve">on </w:t>
      </w:r>
      <w:r w:rsidR="00DA2C4B">
        <w:t>some basic stylized facts</w:t>
      </w:r>
      <w:r w:rsidR="00826DE8">
        <w:t>.</w:t>
      </w:r>
      <w:r w:rsidR="00DA2C4B">
        <w:t xml:space="preserve"> </w:t>
      </w:r>
    </w:p>
    <w:p w14:paraId="2D07BF9C" w14:textId="6BAA2003" w:rsidR="000F1BB9" w:rsidRDefault="000F1BB9" w:rsidP="00FC536C">
      <w:pPr>
        <w:pStyle w:val="Heading3"/>
        <w:numPr>
          <w:ilvl w:val="0"/>
          <w:numId w:val="1"/>
        </w:numPr>
        <w:spacing w:after="120" w:line="360" w:lineRule="auto"/>
      </w:pPr>
      <w:r>
        <w:t>Stylized facts</w:t>
      </w:r>
    </w:p>
    <w:p w14:paraId="538ED596" w14:textId="7FCB18C6" w:rsidR="004B588D" w:rsidRDefault="00826DE8" w:rsidP="00E77203">
      <w:pPr>
        <w:spacing w:line="360" w:lineRule="auto"/>
      </w:pPr>
      <w:r>
        <w:t xml:space="preserve">Which of the discussed constraints are interrelated? In which countries do they cluster? And what are their trends over time? </w:t>
      </w:r>
      <w:r w:rsidR="005E4BB4">
        <w:t>Here w</w:t>
      </w:r>
      <w:r w:rsidR="00C03400">
        <w:t xml:space="preserve">e </w:t>
      </w:r>
      <w:r w:rsidR="0030416C">
        <w:t xml:space="preserve">assemble a dataset of indicators </w:t>
      </w:r>
      <w:r w:rsidR="005E4BB4">
        <w:t xml:space="preserve">representing different </w:t>
      </w:r>
      <w:r w:rsidR="0030416C">
        <w:t>constraint</w:t>
      </w:r>
      <w:r w:rsidR="0074455C">
        <w:t xml:space="preserve"> dimensions</w:t>
      </w:r>
      <w:r w:rsidR="0030416C">
        <w:t>, then explore their interrelations and distribution across different countries of the world.</w:t>
      </w:r>
    </w:p>
    <w:p w14:paraId="2681D317" w14:textId="302FF06A" w:rsidR="00F0358A" w:rsidRDefault="00351568" w:rsidP="00936D99">
      <w:pPr>
        <w:pStyle w:val="Heading3"/>
        <w:numPr>
          <w:ilvl w:val="1"/>
          <w:numId w:val="1"/>
        </w:numPr>
        <w:spacing w:after="120" w:line="360" w:lineRule="auto"/>
      </w:pPr>
      <w:r>
        <w:t xml:space="preserve">Materials and Methods </w:t>
      </w:r>
    </w:p>
    <w:p w14:paraId="1D4E9B57" w14:textId="1D93EA26" w:rsidR="000F1BB9" w:rsidRDefault="00F0358A" w:rsidP="00EF671D">
      <w:pPr>
        <w:pStyle w:val="Heading3"/>
        <w:numPr>
          <w:ilvl w:val="2"/>
          <w:numId w:val="1"/>
        </w:numPr>
        <w:spacing w:after="120" w:line="360" w:lineRule="auto"/>
      </w:pPr>
      <w:r>
        <w:t>Data</w:t>
      </w:r>
    </w:p>
    <w:p w14:paraId="2264DC7C" w14:textId="6F5AF98B" w:rsidR="003460CE" w:rsidRDefault="00814536" w:rsidP="00A94002">
      <w:pPr>
        <w:spacing w:line="360" w:lineRule="auto"/>
      </w:pPr>
      <w:r>
        <w:t xml:space="preserve">We structure the data around </w:t>
      </w:r>
      <w:r w:rsidR="003460CE">
        <w:t xml:space="preserve">four categories: </w:t>
      </w:r>
      <w:r w:rsidR="002F0DA1">
        <w:t xml:space="preserve">dependent variables of climate policy progress, and constraints related to </w:t>
      </w:r>
      <w:r>
        <w:t>interests, institutions and ideas</w:t>
      </w:r>
      <w:r w:rsidR="00911C57">
        <w:t xml:space="preserve"> (</w:t>
      </w:r>
      <w:r w:rsidR="00911C57">
        <w:fldChar w:fldCharType="begin"/>
      </w:r>
      <w:r w:rsidR="00911C57">
        <w:instrText xml:space="preserve"> REF _Ref6304225 \h </w:instrText>
      </w:r>
      <w:r w:rsidR="00911C57">
        <w:fldChar w:fldCharType="separate"/>
      </w:r>
      <w:r w:rsidR="00911C57" w:rsidRPr="00B870F3">
        <w:t xml:space="preserve">Table </w:t>
      </w:r>
      <w:r w:rsidR="00911C57">
        <w:rPr>
          <w:noProof/>
        </w:rPr>
        <w:t>4</w:t>
      </w:r>
      <w:r w:rsidR="00911C57">
        <w:fldChar w:fldCharType="end"/>
      </w:r>
      <w:r w:rsidR="00911C57">
        <w:t>)</w:t>
      </w:r>
      <w:r w:rsidR="002F0DA1">
        <w:t>.</w:t>
      </w:r>
      <w:r w:rsidR="0068431C">
        <w:t xml:space="preserve"> </w:t>
      </w:r>
      <w:r w:rsidR="003460CE">
        <w:t>Our i</w:t>
      </w:r>
      <w:r w:rsidR="0068431C">
        <w:t>ndicator selection</w:t>
      </w:r>
      <w:r w:rsidR="00EF671D">
        <w:t xml:space="preserve"> largely</w:t>
      </w:r>
      <w:r w:rsidR="0068431C">
        <w:t xml:space="preserve"> follows </w:t>
      </w:r>
      <w:r w:rsidR="00911C57">
        <w:t xml:space="preserve">the </w:t>
      </w:r>
      <w:r w:rsidR="0068431C">
        <w:t xml:space="preserve">studies </w:t>
      </w:r>
      <w:r w:rsidR="00911C57">
        <w:t xml:space="preserve">reviewed in section 3, </w:t>
      </w:r>
      <w:r w:rsidR="0068431C">
        <w:t>but is highly moderated by the quality and availability of data</w:t>
      </w:r>
      <w:r w:rsidR="003460CE">
        <w:t xml:space="preserve"> for a </w:t>
      </w:r>
      <w:r w:rsidR="00EC172E">
        <w:t>relatively complete</w:t>
      </w:r>
      <w:r w:rsidR="003460CE">
        <w:t xml:space="preserve"> set of countries</w:t>
      </w:r>
      <w:r w:rsidR="0068431C">
        <w:t>.</w:t>
      </w:r>
    </w:p>
    <w:p w14:paraId="575CB08C" w14:textId="6504F608" w:rsidR="00911C57" w:rsidRPr="00911437" w:rsidRDefault="003460CE" w:rsidP="00A94002">
      <w:pPr>
        <w:spacing w:line="360" w:lineRule="auto"/>
      </w:pPr>
      <w:r>
        <w:t xml:space="preserve">In the first instance, we select three measures of climate policy progress: </w:t>
      </w:r>
      <w:r w:rsidR="00A94002">
        <w:t>climate legislation adoption</w:t>
      </w:r>
      <w:r w:rsidR="003612CE">
        <w:t xml:space="preserve"> </w:t>
      </w:r>
      <w:r w:rsidR="003612CE">
        <w:fldChar w:fldCharType="begin" w:fldLock="1"/>
      </w:r>
      <w:r w:rsidR="00AE1CAD">
        <w:instrText>ADDIN CSL_CITATION {"citationItems":[{"id":"ITEM-1","itemData":{"author":[{"dropping-particle":"","family":"Grantham Institute","given":"","non-dropping-particle":"","parse-names":false,"suffix":""}],"id":"ITEM-1","issued":{"date-parts":[["2017"]]},"publisher-place":"London","title":"Climate Change Laws of the World database","type":"report"},"uris":["http://www.mendeley.com/documents/?uuid=50667aa3-fc88-4714-a50a-eebf79045590"]}],"mendeley":{"formattedCitation":"(Grantham Institute, 2017)","plainTextFormattedCitation":"(Grantham Institute, 2017)","previouslyFormattedCitation":"(Grantham Institute, 2017)"},"properties":{"noteIndex":0},"schema":"https://github.com/citation-style-language/schema/raw/master/csl-citation.json"}</w:instrText>
      </w:r>
      <w:r w:rsidR="003612CE">
        <w:fldChar w:fldCharType="separate"/>
      </w:r>
      <w:r w:rsidR="00B53BF6" w:rsidRPr="00B53BF6">
        <w:rPr>
          <w:noProof/>
        </w:rPr>
        <w:t>(Grantham Institute, 2017)</w:t>
      </w:r>
      <w:r w:rsidR="003612CE">
        <w:fldChar w:fldCharType="end"/>
      </w:r>
      <w:r w:rsidR="00A94002">
        <w:t xml:space="preserve">, the </w:t>
      </w:r>
      <w:r>
        <w:t xml:space="preserve">on-going </w:t>
      </w:r>
      <w:r w:rsidR="00A94002">
        <w:t>prevalence of fossil fuel subsidies</w:t>
      </w:r>
      <w:r>
        <w:t xml:space="preserve"> </w:t>
      </w:r>
      <w:r>
        <w:fldChar w:fldCharType="begin" w:fldLock="1"/>
      </w:r>
      <w:r w:rsidR="00AE1CAD">
        <w:instrText>ADDIN CSL_CITATION {"citationItems":[{"id":"ITEM-1","itemData":{"abstract":"This paper updates estimates of fossil fuel subsidies, defined as fuel consumption times the gap between existing and efficient prices (i.e., prices warranted by supply costs, environmental costs, and revenue considerations), for 191 countries. Globally, subsidies remained large at $4.7 trillion (6.3 percent of global GDP) in 2015 and are projected at $5.2 trillion (6.5 percent of GDP) in 2017. The largest subsidizers in 2015 were China ($1.4 trillion), United States ($649 billion), Russia ($551 billion), European Union ($289 billion), and India ($209 billion). About three quarters of global subsidies are due to domestic factors—energy pricing reform thus remains largely in countries’ own national interest—while coal and petroleum together account for 85 percent of global subsidies. Efficient fossil fuel pricing in 2015 would have lowered global carbon emissions by 28 percent and fossil fuel air pollution deaths by 46 percent, and increased government revenue by 3.8 percent of GDP. JEL","author":[{"dropping-particle":"","family":"Coady","given":"David","non-dropping-particle":"","parse-names":false,"suffix":""},{"dropping-particle":"","family":"Parry","given":"Ian","non-dropping-particle":"","parse-names":false,"suffix":""},{"dropping-particle":"","family":"Le","given":"Nghia-piotr","non-dropping-particle":"","parse-names":false,"suffix":""},{"dropping-particle":"","family":"Shang","given":"Baoping","non-dropping-particle":"","parse-names":false,"suffix":""}],"collection-title":"19","id":"ITEM-1","issued":{"date-parts":[["2019"]]},"number":"89","publisher-place":"Washington, D.C.","title":"Global Fossil Fuel Subsidies Remain Large: An Update Based on Country-Level Estimates","type":"report"},"prefix":"calculated by","uris":["http://www.mendeley.com/documents/?uuid=05bd599e-89c2-4f96-a1ec-4369511f3b53"]}],"mendeley":{"formattedCitation":"(calculated by Coady et al., 2019)","plainTextFormattedCitation":"(calculated by Coady et al., 2019)","previouslyFormattedCitation":"(calculated by Coady et al., 2019)"},"properties":{"noteIndex":0},"schema":"https://github.com/citation-style-language/schema/raw/master/csl-citation.json"}</w:instrText>
      </w:r>
      <w:r>
        <w:fldChar w:fldCharType="separate"/>
      </w:r>
      <w:r w:rsidR="00B53BF6" w:rsidRPr="00B53BF6">
        <w:rPr>
          <w:noProof/>
        </w:rPr>
        <w:t>(calculated by Coady et al., 2019)</w:t>
      </w:r>
      <w:r>
        <w:fldChar w:fldCharType="end"/>
      </w:r>
      <w:r w:rsidR="00A94002">
        <w:t>, and territorial carbon emissions</w:t>
      </w:r>
      <w:r w:rsidR="003612CE">
        <w:t xml:space="preserve"> </w:t>
      </w:r>
      <w:r w:rsidR="003612CE">
        <w:fldChar w:fldCharType="begin" w:fldLock="1"/>
      </w:r>
      <w:r w:rsidR="00AE1CAD">
        <w:instrText>ADDIN CSL_CITATION {"citationItems":[{"id":"ITEM-1","itemData":{"DOI":"10.5194/essd-8-605-2016","author":[{"dropping-particle":"Le","family":"Quéré","given":"Corinne","non-dropping-particle":"","parse-names":false,"suffix":""},{"dropping-particle":"","family":"Andrew","given":"Robbie M","non-dropping-particle":"","parse-names":false,"suffix":""},{"dropping-particle":"","family":"Friedlingstein","given":"Pierre","non-dropping-particle":"","parse-names":false,"suffix":""},{"dropping-particle":"","family":"Sitch","given":"Stephen","non-dropping-particle":"","parse-names":false,"suffix":""},{"dropping-particle":"","family":"Hauck","given":"Judith","non-dropping-particle":"","parse-names":false,"suffix":""},{"dropping-particle":"","family":"Pongratz","given":"Julia","non-dropping-particle":"","parse-names":false,"suffix":""},{"dropping-particle":"","family":"Pickers","given":"Penelope A.","non-dropping-particle":"","parse-names":false,"suffix":""},{"dropping-particle":"","family":"Canadell","given":"Josep G","non-dropping-particle":"","parse-names":false,"suffix":""},{"dropping-particle":"","family":"Korsbakken","given":"Jan Ivar","non-dropping-particle":"","parse-names":false,"suffix":""},{"dropping-particle":"","family":"Peters","given":"Glen P.","non-dropping-particle":"","parse-names":false,"suffix":""},{"dropping-particle":"","family":"Canadell","given":"Josep G.","non-dropping-particle":"","parse-names":false,"suffix":""},{"dropping-particle":"","family":"Arneth","given":"Almut","non-dropping-particle":"","parse-names":false,"suffix":""},{"dropping-particle":"","family":"Arora","given":"Vivek K.","non-dropping-particle":"","parse-names":false,"suffix":""},{"dropping-particle":"","family":"Barbero","given":"Leticia","non-dropping-particle":"","parse-names":false,"suffix":""},{"dropping-particle":"","family":"Bastos","given":"Ana","non-dropping-particle":"","parse-names":false,"suffix":""},{"dropping-particle":"","family":"Bopp","given":"Laurent","non-dropping-particle":"","parse-names":false,"suffix":""},{"dropping-particle":"","family":"Chevallier","given":"Frederick","non-dropping-particle":"","parse-names":false,"suffix":""},{"dropping-particle":"","family":"Chini","given":"Louise P.","non-dropping-particle":"","parse-names":false,"suffix":""},{"dropping-particle":"","family":"Ciais","given":"Philippe","non-dropping-particle":"","parse-names":false,"suffix":""},{"dropping-particle":"","family":"Doney","given":"Scott C.","non-dropping-particle":"","parse-names":false,"suffix":""},{"dropping-particle":"","family":"Gkritzalis","given":"Thanos","non-dropping-particle":"","parse-names":false,"suffix":""},{"dropping-particle":"","family":"Goll","given":"Daniel S.","non-dropping-particle":"","parse-names":false,"suffix":""},{"dropping-particle":"","family":"Harris","given":"Ian","non-dropping-particle":"","parse-names":false,"suffix":""},{"dropping-particle":"","family":"Haverd","given":"Vanessa","non-dropping-particle":"","parse-names":false,"suffix":""},{"dropping-particle":"","family":"Hoffman","given":"Forrest M.","non-dropping-particle":"","parse-names":false,"suffix":""},{"dropping-particle":"","family":"Hoppema","given":"Mario","non-dropping-particle":"","parse-names":false,"suffix":""},{"dropping-particle":"","family":"Houghton","given":"Richard A.","non-dropping-particle":"","parse-names":false,"suffix":""},{"dropping-particle":"","family":"Hurtt","given":"George","non-dropping-particle":"","parse-names":false,"suffix":""},{"dropping-particle":"","family":"Ilyina","given":"Tatiana","non-dropping-particle":"","parse-names":false,"suffix":""},{"dropping-particle":"","family":"Jain","given":"Atul K.","non-dropping-particle":"","parse-names":false,"suffix":""},{"dropping-particle":"","family":"Johannessen","given":"Truls","non-dropping-particle":"","parse-names":false,"suffix":""},{"dropping-particle":"","family":"Jones","given":"Chris D.","non-dropping-particle":"","parse-names":false,"suffix":""},{"dropping-particle":"","family":"Kato","given":"Etsushi","non-dropping-particle":"","parse-names":false,"suffix":""},{"dropping-particle":"","family":"Keeling","given":"Ralph F.","non-dropping-particle":"","parse-names":false,"suffix":""},{"dropping-particle":"","family":"Goldewijk","given":"Kees Kelin","non-dropping-particle":"","parse-names":false,"suffix":""},{"dropping-particle":"","family":"Landschützer","given":"Peter","non-dropping-particle":"","parse-names":false,"suffix":""},{"dropping-particle":"","family":"Lefèvre","given":"Nathalie","non-dropping-particle":"","parse-names":false,"suffix":""},{"dropping-particle":"","family":"Lienert","given":"Sebastian","non-dropping-particle":"","parse-names":false,"suffix":""},{"dropping-particle":"","family":"Liu","given":"Zhu","non-dropping-particle":"","parse-names":false,"suffix":""},{"dropping-particle":"","family":"Lombardozzi","given":"Danica","non-dropping-particle":"","parse-names":false,"suffix":""},{"dropping-particle":"","family":"Metzl","given":"Nicolas","non-dropping-particle":"","parse-names":false,"suffix":""},{"dropping-particle":"","family":"Munro","given":"David R.","non-dropping-particle":"","parse-names":false,"suffix":""},{"dropping-particle":"","family":"Nabel","given":"Julia E.M.S.","non-dropping-particle":"","parse-names":false,"suffix":""},{"dropping-particle":"","family":"Nakaoka","given":"Shin-ichiro","non-dropping-particle":"","parse-names":false,"suffix":""},{"dropping-particle":"","family":"Neill","given":"Craig","non-dropping-particle":"","parse-names":false,"suffix":""},{"dropping-particle":"","family":"Olsen","given":"Are","non-dropping-particle":"","parse-names":false,"suffix":""},{"dropping-particle":"","family":"Ono","given":"Tsueno","non-dropping-particle":"","parse-names":false,"suffix":""},{"dropping-particle":"","family":"Patra","given":"Prabir","non-dropping-particle":"","parse-names":false,"suffix":""},{"dropping-particle":"","family":"Peregon","given":"Anna","non-dropping-particle":"","parse-names":false,"suffix":""},{"dropping-particle":"","family":"Peters","given":"Wouter","non-dropping-particle":"","parse-names":false,"suffix":""},{"dropping-particle":"","family":"Peylin","given":"Philippe","non-dropping-particle":"","parse-names":false,"suffix":""},{"dropping-particle":"","family":"Pfeil","given":"Benjamin","non-dropping-particle":"","parse-names":false,"suffix":""},{"dropping-particle":"","family":"Pierrot","given":"Denis","non-dropping-particle":"","parse-names":false,"suffix":""},{"dropping-particle":"","family":"Poulter","given":"Benjamin","non-dropping-particle":"","parse-names":false,"suffix":""},{"dropping-particle":"","family":"Rehder","given":"Gregor","non-dropping-particle":"","parse-names":false,"suffix":""},{"dropping-particle":"","family":"Resplandy","given":"Laure","non-dropping-particle":"","parse-names":false,"suffix":""},{"dropping-particle":"","family":"Robertson","given":"Eddy","non-dropping-particle":"","parse-names":false,"suffix":""},{"dropping-particle":"","family":"Rocher","given":"Matthias","non-dropping-particle":"","parse-names":false,"suffix":""},{"dropping-particle":"","family":"Rödenbeck","given":"Christian","non-dropping-particle":"","parse-names":false,"suffix":""},{"dropping-particle":"","family":"Schuster","given":"Ute","non-dropping-particle":"","parse-names":false,"suffix":""},{"dropping-particle":"","family":"Schwinger","given":"Jörg","non-dropping-particle":"","parse-names":false,"suffix":""},{"dropping-particle":"","family":"Séférian","given":"Roland","non-dropping-particle":"","parse-names":false,"suffix":""},{"dropping-particle":"","family":"Skjelvan","given":"Ingunn","non-dropping-particle":"","parse-names":false,"suffix":""},{"dropping-particle":"","family":"Steinhoff","given":"Tobias","non-dropping-particle":"","parse-names":false,"suffix":""},{"dropping-particle":"","family":"Sutton","given":"Adrienne","non-dropping-particle":"","parse-names":false,"suffix":""},{"dropping-particle":"","family":"Tans","given":"Pieter P.","non-dropping-particle":"","parse-names":false,"suffix":""},{"dropping-particle":"","family":"Tian","given":"Hanqin","non-dropping-particle":"","parse-names":false,"suffix":""},{"dropping-particle":"","family":"Tilbrook","given":"Bronte","non-dropping-particle":"","parse-names":false,"suffix":""},{"dropping-particle":"","family":"Tubiello","given":"Francesco N.","non-dropping-particle":"","parse-names":false,"suffix":""},{"dropping-particle":"van der","family":"Laan-Luijkx","given":"Ingrid T.","non-dropping-particle":"","parse-names":false,"suffix":""},{"dropping-particle":"van der","family":"Werf","given":"Guido R.","non-dropping-particle":"","parse-names":false,"suffix":""},{"dropping-particle":"","family":"Viovy","given":"Nicolas","non-dropping-particle":"","parse-names":false,"suffix":""},{"dropping-particle":"","family":"Walker","given":"Anthony P.","non-dropping-particle":"","parse-names":false,"suffix":""},{"dropping-particle":"","family":"Wiltshire","given":"Andrew J.","non-dropping-particle":"","parse-names":false,"suffix":""},{"dropping-particle":"","family":"Wright","given":"Rebecca","non-dropping-particle":"","parse-names":false,"suffix":""},{"dropping-particle":"","family":"Zaehle","given":"Sönke","non-dropping-particle":"","parse-names":false,"suffix":""},{"dropping-particle":"","family":"Zheng","given":"Bo","non-dropping-particle":"","parse-names":false,"suffix":""}],"container-title":"Earth System Science Data","id":"ITEM-1","issued":{"date-parts":[["2018"]]},"page":"2141-2194","title":"Global Carbon Budget 2018","type":"article-journal","volume":"10"},"uris":["http://www.mendeley.com/documents/?uuid=6a008701-4a90-4d43-9d3c-d708afcc9928"]}],"mendeley":{"formattedCitation":"(Quéré et al., 2018)","plainTextFormattedCitation":"(Quéré et al., 2018)","previouslyFormattedCitation":"(Quéré et al., 2018)"},"properties":{"noteIndex":0},"schema":"https://github.com/citation-style-language/schema/raw/master/csl-citation.json"}</w:instrText>
      </w:r>
      <w:r w:rsidR="003612CE">
        <w:fldChar w:fldCharType="separate"/>
      </w:r>
      <w:r w:rsidR="00B53BF6" w:rsidRPr="00B53BF6">
        <w:rPr>
          <w:noProof/>
        </w:rPr>
        <w:t>(Quéré et al., 2018)</w:t>
      </w:r>
      <w:r w:rsidR="003612CE">
        <w:fldChar w:fldCharType="end"/>
      </w:r>
      <w:r w:rsidR="00A94002">
        <w:t>.</w:t>
      </w:r>
      <w:r>
        <w:t xml:space="preserve"> While the latter measure is </w:t>
      </w:r>
      <w:r>
        <w:lastRenderedPageBreak/>
        <w:t>conceptually limited (as discussed in section 2.2), there are such wide differences in the mitigation challenge between countries (a factor of 15-20 in some cases) that it provides important context for our analysis.</w:t>
      </w:r>
      <w:r w:rsidR="00F4606C">
        <w:t xml:space="preserve"> For </w:t>
      </w:r>
      <w:r w:rsidR="00F4606C" w:rsidRPr="00911437">
        <w:t>legislation adoption, we remove purely adaptation-focused laws</w:t>
      </w:r>
      <w:r w:rsidR="00BB4B83" w:rsidRPr="00911437">
        <w:t xml:space="preserve"> due to our mitigation focus here</w:t>
      </w:r>
      <w:r w:rsidR="00F4606C" w:rsidRPr="00911437">
        <w:t>. For fossil fuel subsidies, we use the</w:t>
      </w:r>
      <w:r w:rsidR="00911437">
        <w:t xml:space="preserve"> </w:t>
      </w:r>
      <w:r w:rsidR="00F4606C" w:rsidRPr="00911437">
        <w:t xml:space="preserve">pre-tax subsidy level, which estimates </w:t>
      </w:r>
      <w:r w:rsidR="00911437" w:rsidRPr="00911437">
        <w:t>the difference between fuel supply costs and consumer prices</w:t>
      </w:r>
      <w:r w:rsidR="00911437">
        <w:t>.</w:t>
      </w:r>
      <w:r w:rsidR="00911437" w:rsidRPr="00911437">
        <w:t xml:space="preserve"> </w:t>
      </w:r>
      <w:r w:rsidR="00911437">
        <w:t>This</w:t>
      </w:r>
      <w:r w:rsidR="00911437" w:rsidRPr="00911437">
        <w:t xml:space="preserve"> is a relatively narrow measure </w:t>
      </w:r>
      <w:r w:rsidR="00911437">
        <w:t xml:space="preserve">that does not reflect the </w:t>
      </w:r>
      <w:r w:rsidR="004F3784">
        <w:t xml:space="preserve">full </w:t>
      </w:r>
      <w:r w:rsidR="00911437">
        <w:t xml:space="preserve">external costs of fossil </w:t>
      </w:r>
      <w:r w:rsidR="00840AB1">
        <w:t xml:space="preserve">fuel </w:t>
      </w:r>
      <w:r w:rsidR="00911437">
        <w:t>use</w:t>
      </w:r>
      <w:r w:rsidR="004F3784">
        <w:t xml:space="preserve">, such as </w:t>
      </w:r>
      <w:r w:rsidR="00EC172E">
        <w:t xml:space="preserve">those </w:t>
      </w:r>
      <w:r w:rsidR="004F3784">
        <w:t>from</w:t>
      </w:r>
      <w:r w:rsidR="00911437">
        <w:t xml:space="preserve"> air pollution</w:t>
      </w:r>
      <w:r w:rsidR="004F3784">
        <w:t xml:space="preserve"> and</w:t>
      </w:r>
      <w:r w:rsidR="00911437">
        <w:t xml:space="preserve"> climate damages </w:t>
      </w:r>
      <w:r w:rsidR="00911437">
        <w:fldChar w:fldCharType="begin" w:fldLock="1"/>
      </w:r>
      <w:r w:rsidR="00AE1CAD">
        <w:instrText>ADDIN CSL_CITATION {"citationItems":[{"id":"ITEM-1","itemData":{"DOI":"10.1016/j.worlddev.2016.10.004","ISSN":"18735991","abstract":"This paper estimates fossil fuel subsidies and the economic and environmental benefits from reforming them, focusing mostly on a broad notion of subsidies arising when consumer prices are below supply costs plus environmental costs and general consumption taxes. Estimated subsidies are $4.9 trillion worldwide in 2013 and $5.3 trillion in 2015 (6.5% of global GDP in both years). Undercharging for global warming accounts for 22% of the subsidy in 2013, air pollution 46%, broader vehicle externalities 13%, supply costs 11%, and general consumer taxes 8%. China was the biggest subsidizer in 2013 ($1.8 trillion), followed by the United States ($0.6 trillion), and Russia, the European Union, and India (each with about $0.3 trillion). Eliminating subsidies would have reduced global carbon emissions in 2013 by 21% and fossil fuel air pollution deaths 55%, while raising revenue of 4%, and social welfare by 2.2%, of global GDP.","author":[{"dropping-particle":"","family":"Coady","given":"David","non-dropping-particle":"","parse-names":false,"suffix":""},{"dropping-particle":"","family":"Parry","given":"Ian","non-dropping-particle":"","parse-names":false,"suffix":""},{"dropping-particle":"","family":"Sears","given":"Louis","non-dropping-particle":"","parse-names":false,"suffix":""},{"dropping-particle":"","family":"Shang","given":"Baoping","non-dropping-particle":"","parse-names":false,"suffix":""}],"container-title":"World Development","id":"ITEM-1","issued":{"date-parts":[["2017"]]},"page":"11-27","publisher":"Elsevier Ltd","title":"How Large Are Global Fossil Fuel Subsidies?","type":"article-journal","volume":"91"},"uris":["http://www.mendeley.com/documents/?uuid=50c3d64d-db98-449a-86b5-0670caebaa8b"]}],"mendeley":{"formattedCitation":"(Coady et al., 2017)","plainTextFormattedCitation":"(Coady et al., 2017)","previouslyFormattedCitation":"(Coady et al., 2017)"},"properties":{"noteIndex":0},"schema":"https://github.com/citation-style-language/schema/raw/master/csl-citation.json"}</w:instrText>
      </w:r>
      <w:r w:rsidR="00911437">
        <w:fldChar w:fldCharType="separate"/>
      </w:r>
      <w:r w:rsidR="00B53BF6" w:rsidRPr="00B53BF6">
        <w:rPr>
          <w:noProof/>
        </w:rPr>
        <w:t>(Coady et al., 2017)</w:t>
      </w:r>
      <w:r w:rsidR="00911437">
        <w:fldChar w:fldCharType="end"/>
      </w:r>
      <w:r w:rsidR="00911437">
        <w:t>.</w:t>
      </w:r>
    </w:p>
    <w:p w14:paraId="5537C609" w14:textId="19E1AE24" w:rsidR="00B16787" w:rsidRDefault="003C6AA2" w:rsidP="00B16787">
      <w:pPr>
        <w:spacing w:line="360" w:lineRule="auto"/>
      </w:pPr>
      <w:r w:rsidRPr="00911437">
        <w:t>Following the discussion, we select two measures of</w:t>
      </w:r>
      <w:r w:rsidR="00B16787" w:rsidRPr="00911437">
        <w:t xml:space="preserve"> interest-based constraints</w:t>
      </w:r>
      <w:r w:rsidRPr="00911437">
        <w:t>. First, the fraction</w:t>
      </w:r>
      <w:r>
        <w:t xml:space="preserve"> of</w:t>
      </w:r>
      <w:r w:rsidR="00B16787">
        <w:t xml:space="preserve"> coa</w:t>
      </w:r>
      <w:r>
        <w:t>l in the energy generation mix is clearly relevant – we construct this indicator from IEA data</w:t>
      </w:r>
      <w:r w:rsidR="00B16787">
        <w:t xml:space="preserve"> </w:t>
      </w:r>
      <w:r w:rsidR="002657D1">
        <w:fldChar w:fldCharType="begin" w:fldLock="1"/>
      </w:r>
      <w:r w:rsidR="00AE1CAD">
        <w:instrText>ADDIN CSL_CITATION {"citationItems":[{"id":"ITEM-1","itemData":{"author":[{"dropping-particle":"","family":"IEA","given":"","non-dropping-particle":"","parse-names":false,"suffix":""}],"edition":"2013","id":"ITEM-1","issued":{"date-parts":[["2018"]]},"publisher":"International Energy Agency","publisher-place":"Paris","title":"World Energy Balances","type":"book"},"suppress-author":1,"uris":["http://www.mendeley.com/documents/?uuid=06792bd3-72fa-4e01-ac4e-eea58a3ebeaf"]}],"mendeley":{"formattedCitation":"(2018a)","plainTextFormattedCitation":"(2018a)","previouslyFormattedCitation":"(2018a)"},"properties":{"noteIndex":0},"schema":"https://github.com/citation-style-language/schema/raw/master/csl-citation.json"}</w:instrText>
      </w:r>
      <w:r w:rsidR="002657D1">
        <w:fldChar w:fldCharType="separate"/>
      </w:r>
      <w:r w:rsidR="00B53BF6" w:rsidRPr="00B53BF6">
        <w:rPr>
          <w:noProof/>
        </w:rPr>
        <w:t>(2018a)</w:t>
      </w:r>
      <w:r w:rsidR="002657D1">
        <w:fldChar w:fldCharType="end"/>
      </w:r>
      <w:r w:rsidR="00B16787">
        <w:t>. We also see the presence of oil and gas extraction as a key constraint, due to the documented tendency of this industry to dominate national economies and limit state capabilities. We represent this by summing the World Bank</w:t>
      </w:r>
      <w:r w:rsidR="003612CE">
        <w:t xml:space="preserve"> </w:t>
      </w:r>
      <w:r w:rsidR="003612CE">
        <w:fldChar w:fldCharType="begin" w:fldLock="1"/>
      </w:r>
      <w:r w:rsidR="00AE1CAD">
        <w:instrText>ADDIN CSL_CITATION {"citationItems":[{"id":"ITEM-1","itemData":{"URL":"http://data.worldbank.org/","accessed":{"date-parts":[["2016","11","22"]]},"author":[{"dropping-particle":"","family":"World Bank","given":"","non-dropping-particle":"","parse-names":false,"suffix":""}],"id":"ITEM-1","issued":{"date-parts":[["2017"]]},"title":"World Bank Development Indicators","type":"webpage"},"suppress-author":1,"uris":["http://www.mendeley.com/documents/?uuid=84c8dd0e-cc53-45a1-8f4a-8edf5546ef29"]}],"mendeley":{"formattedCitation":"(2017)","plainTextFormattedCitation":"(2017)","previouslyFormattedCitation":"(2017)"},"properties":{"noteIndex":0},"schema":"https://github.com/citation-style-language/schema/raw/master/csl-citation.json"}</w:instrText>
      </w:r>
      <w:r w:rsidR="003612CE">
        <w:fldChar w:fldCharType="separate"/>
      </w:r>
      <w:r w:rsidR="00B53BF6" w:rsidRPr="00B53BF6">
        <w:rPr>
          <w:noProof/>
        </w:rPr>
        <w:t>(2017)</w:t>
      </w:r>
      <w:r w:rsidR="003612CE">
        <w:fldChar w:fldCharType="end"/>
      </w:r>
      <w:r w:rsidR="00B16787">
        <w:t xml:space="preserve"> indicators for oil and gas resource rents – i.e. national net earnings from these industries as a fraction of GDP.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967"/>
        <w:gridCol w:w="2351"/>
        <w:gridCol w:w="967"/>
        <w:gridCol w:w="1806"/>
      </w:tblGrid>
      <w:tr w:rsidR="008744AF" w14:paraId="49B9E15B" w14:textId="77777777" w:rsidTr="008744AF">
        <w:trPr>
          <w:trHeight w:val="113"/>
        </w:trPr>
        <w:tc>
          <w:tcPr>
            <w:tcW w:w="1979" w:type="dxa"/>
            <w:tcBorders>
              <w:top w:val="single" w:sz="4" w:space="0" w:color="auto"/>
              <w:bottom w:val="single" w:sz="4" w:space="0" w:color="auto"/>
            </w:tcBorders>
          </w:tcPr>
          <w:p w14:paraId="178464FE" w14:textId="6368ED5C" w:rsidR="008744AF" w:rsidRPr="008744AF" w:rsidRDefault="008744AF" w:rsidP="008744AF">
            <w:pPr>
              <w:spacing w:after="60"/>
              <w:rPr>
                <w:b/>
                <w:sz w:val="20"/>
              </w:rPr>
            </w:pPr>
            <w:r w:rsidRPr="008744AF">
              <w:rPr>
                <w:b/>
                <w:sz w:val="20"/>
              </w:rPr>
              <w:t>Variable</w:t>
            </w:r>
          </w:p>
        </w:tc>
        <w:tc>
          <w:tcPr>
            <w:tcW w:w="1967" w:type="dxa"/>
            <w:tcBorders>
              <w:top w:val="single" w:sz="4" w:space="0" w:color="auto"/>
              <w:bottom w:val="single" w:sz="4" w:space="0" w:color="auto"/>
            </w:tcBorders>
          </w:tcPr>
          <w:p w14:paraId="2BC0F6A0" w14:textId="44180D72" w:rsidR="008744AF" w:rsidRPr="008744AF" w:rsidRDefault="008744AF" w:rsidP="008744AF">
            <w:pPr>
              <w:spacing w:after="60"/>
              <w:rPr>
                <w:b/>
                <w:sz w:val="20"/>
              </w:rPr>
            </w:pPr>
            <w:r>
              <w:rPr>
                <w:b/>
                <w:sz w:val="20"/>
              </w:rPr>
              <w:t>Name</w:t>
            </w:r>
          </w:p>
        </w:tc>
        <w:tc>
          <w:tcPr>
            <w:tcW w:w="2351" w:type="dxa"/>
            <w:tcBorders>
              <w:top w:val="single" w:sz="4" w:space="0" w:color="auto"/>
              <w:bottom w:val="single" w:sz="4" w:space="0" w:color="auto"/>
            </w:tcBorders>
          </w:tcPr>
          <w:p w14:paraId="4D231D4B" w14:textId="5ECE4F31" w:rsidR="008744AF" w:rsidRPr="008744AF" w:rsidRDefault="008744AF" w:rsidP="008744AF">
            <w:pPr>
              <w:spacing w:after="60"/>
              <w:rPr>
                <w:b/>
                <w:sz w:val="20"/>
              </w:rPr>
            </w:pPr>
            <w:r w:rsidRPr="008744AF">
              <w:rPr>
                <w:b/>
                <w:sz w:val="20"/>
              </w:rPr>
              <w:t>Unit</w:t>
            </w:r>
          </w:p>
        </w:tc>
        <w:tc>
          <w:tcPr>
            <w:tcW w:w="967" w:type="dxa"/>
            <w:tcBorders>
              <w:top w:val="single" w:sz="4" w:space="0" w:color="auto"/>
              <w:bottom w:val="single" w:sz="4" w:space="0" w:color="auto"/>
            </w:tcBorders>
          </w:tcPr>
          <w:p w14:paraId="5727A8DA" w14:textId="084E75E4" w:rsidR="008744AF" w:rsidRPr="008744AF" w:rsidRDefault="008744AF" w:rsidP="008744AF">
            <w:pPr>
              <w:spacing w:after="60"/>
              <w:rPr>
                <w:b/>
                <w:sz w:val="20"/>
              </w:rPr>
            </w:pPr>
            <w:r w:rsidRPr="008744AF">
              <w:rPr>
                <w:b/>
                <w:sz w:val="20"/>
              </w:rPr>
              <w:t>Latest year</w:t>
            </w:r>
          </w:p>
        </w:tc>
        <w:tc>
          <w:tcPr>
            <w:tcW w:w="1806" w:type="dxa"/>
            <w:tcBorders>
              <w:top w:val="single" w:sz="4" w:space="0" w:color="auto"/>
              <w:bottom w:val="single" w:sz="4" w:space="0" w:color="auto"/>
            </w:tcBorders>
          </w:tcPr>
          <w:p w14:paraId="27858E89" w14:textId="2C223251" w:rsidR="008744AF" w:rsidRPr="008744AF" w:rsidRDefault="008744AF" w:rsidP="008744AF">
            <w:pPr>
              <w:spacing w:after="60"/>
              <w:rPr>
                <w:b/>
                <w:sz w:val="20"/>
              </w:rPr>
            </w:pPr>
            <w:r w:rsidRPr="008744AF">
              <w:rPr>
                <w:b/>
                <w:sz w:val="20"/>
              </w:rPr>
              <w:t>Source</w:t>
            </w:r>
          </w:p>
        </w:tc>
      </w:tr>
      <w:tr w:rsidR="008744AF" w:rsidRPr="0030416C" w14:paraId="19C12137" w14:textId="77777777" w:rsidTr="008744AF">
        <w:trPr>
          <w:trHeight w:val="113"/>
        </w:trPr>
        <w:tc>
          <w:tcPr>
            <w:tcW w:w="9070" w:type="dxa"/>
            <w:gridSpan w:val="5"/>
            <w:tcBorders>
              <w:top w:val="single" w:sz="4" w:space="0" w:color="auto"/>
            </w:tcBorders>
          </w:tcPr>
          <w:p w14:paraId="54AD5C77" w14:textId="24C21A37" w:rsidR="008744AF" w:rsidRPr="008744AF" w:rsidRDefault="008744AF" w:rsidP="008744AF">
            <w:pPr>
              <w:spacing w:after="60"/>
              <w:rPr>
                <w:sz w:val="20"/>
                <w:lang w:val="de-DE"/>
              </w:rPr>
            </w:pPr>
            <w:r w:rsidRPr="008744AF">
              <w:rPr>
                <w:b/>
                <w:sz w:val="20"/>
              </w:rPr>
              <w:t>Dependents</w:t>
            </w:r>
          </w:p>
        </w:tc>
      </w:tr>
      <w:tr w:rsidR="008744AF" w:rsidRPr="0030416C" w14:paraId="2799573B" w14:textId="77777777" w:rsidTr="008744AF">
        <w:trPr>
          <w:trHeight w:val="113"/>
        </w:trPr>
        <w:tc>
          <w:tcPr>
            <w:tcW w:w="1979" w:type="dxa"/>
          </w:tcPr>
          <w:p w14:paraId="46C667FA" w14:textId="2B1F96BD" w:rsidR="008744AF" w:rsidRPr="008744AF" w:rsidRDefault="008744AF" w:rsidP="008744AF">
            <w:pPr>
              <w:spacing w:after="60"/>
              <w:rPr>
                <w:b/>
                <w:sz w:val="20"/>
              </w:rPr>
            </w:pPr>
            <w:r w:rsidRPr="008744AF">
              <w:rPr>
                <w:sz w:val="20"/>
              </w:rPr>
              <w:t>Climate legislation adoption</w:t>
            </w:r>
          </w:p>
        </w:tc>
        <w:tc>
          <w:tcPr>
            <w:tcW w:w="1967" w:type="dxa"/>
          </w:tcPr>
          <w:p w14:paraId="7216DD25" w14:textId="477ABC58" w:rsidR="008744AF" w:rsidRPr="008744AF" w:rsidRDefault="008744AF" w:rsidP="008744AF">
            <w:pPr>
              <w:spacing w:after="60"/>
              <w:rPr>
                <w:sz w:val="20"/>
              </w:rPr>
            </w:pPr>
            <w:r>
              <w:rPr>
                <w:sz w:val="20"/>
              </w:rPr>
              <w:t>Climate laws</w:t>
            </w:r>
          </w:p>
        </w:tc>
        <w:tc>
          <w:tcPr>
            <w:tcW w:w="2351" w:type="dxa"/>
          </w:tcPr>
          <w:p w14:paraId="448FBF1B" w14:textId="1E490378" w:rsidR="008744AF" w:rsidRPr="008744AF" w:rsidRDefault="008744AF" w:rsidP="008744AF">
            <w:pPr>
              <w:spacing w:after="60"/>
              <w:rPr>
                <w:sz w:val="20"/>
              </w:rPr>
            </w:pPr>
            <w:r w:rsidRPr="008744AF">
              <w:rPr>
                <w:sz w:val="20"/>
              </w:rPr>
              <w:t>No. laws per country</w:t>
            </w:r>
          </w:p>
        </w:tc>
        <w:tc>
          <w:tcPr>
            <w:tcW w:w="967" w:type="dxa"/>
          </w:tcPr>
          <w:p w14:paraId="59A34E1E" w14:textId="60DC0FEE" w:rsidR="008744AF" w:rsidRPr="008744AF" w:rsidRDefault="008744AF" w:rsidP="008744AF">
            <w:pPr>
              <w:spacing w:after="60"/>
              <w:rPr>
                <w:sz w:val="20"/>
              </w:rPr>
            </w:pPr>
            <w:r w:rsidRPr="008744AF">
              <w:rPr>
                <w:sz w:val="20"/>
              </w:rPr>
              <w:t>2017</w:t>
            </w:r>
          </w:p>
        </w:tc>
        <w:tc>
          <w:tcPr>
            <w:tcW w:w="1806" w:type="dxa"/>
          </w:tcPr>
          <w:p w14:paraId="68F8B089" w14:textId="22C72043" w:rsidR="008744AF" w:rsidRPr="008744AF" w:rsidRDefault="008744AF" w:rsidP="008744AF">
            <w:pPr>
              <w:spacing w:after="60"/>
              <w:rPr>
                <w:sz w:val="20"/>
              </w:rPr>
            </w:pPr>
            <w:r w:rsidRPr="008744AF">
              <w:rPr>
                <w:sz w:val="20"/>
              </w:rPr>
              <w:fldChar w:fldCharType="begin" w:fldLock="1"/>
            </w:r>
            <w:r w:rsidR="00AE1CAD">
              <w:rPr>
                <w:sz w:val="20"/>
              </w:rPr>
              <w:instrText>ADDIN CSL_CITATION {"citationItems":[{"id":"ITEM-1","itemData":{"author":[{"dropping-particle":"","family":"Grantham Institute","given":"","non-dropping-particle":"","parse-names":false,"suffix":""}],"id":"ITEM-1","issued":{"date-parts":[["2017"]]},"publisher-place":"London","title":"Climate Change Laws of the World database","type":"report"},"uris":["http://www.mendeley.com/documents/?uuid=50667aa3-fc88-4714-a50a-eebf79045590"]}],"mendeley":{"formattedCitation":"(Grantham Institute, 2017)","plainTextFormattedCitation":"(Grantham Institute, 2017)","previouslyFormattedCitation":"(Grantham Institute, 2017)"},"properties":{"noteIndex":0},"schema":"https://github.com/citation-style-language/schema/raw/master/csl-citation.json"}</w:instrText>
            </w:r>
            <w:r w:rsidRPr="008744AF">
              <w:rPr>
                <w:sz w:val="20"/>
              </w:rPr>
              <w:fldChar w:fldCharType="separate"/>
            </w:r>
            <w:r w:rsidR="00B53BF6" w:rsidRPr="00B53BF6">
              <w:rPr>
                <w:noProof/>
                <w:sz w:val="20"/>
              </w:rPr>
              <w:t>(Grantham Institute, 2017)</w:t>
            </w:r>
            <w:r w:rsidRPr="008744AF">
              <w:rPr>
                <w:sz w:val="20"/>
              </w:rPr>
              <w:fldChar w:fldCharType="end"/>
            </w:r>
          </w:p>
        </w:tc>
      </w:tr>
      <w:tr w:rsidR="008744AF" w:rsidRPr="0030416C" w14:paraId="6838AC8F" w14:textId="77777777" w:rsidTr="008744AF">
        <w:trPr>
          <w:trHeight w:val="113"/>
        </w:trPr>
        <w:tc>
          <w:tcPr>
            <w:tcW w:w="1979" w:type="dxa"/>
          </w:tcPr>
          <w:p w14:paraId="40B435A5" w14:textId="0D75C4B4" w:rsidR="008744AF" w:rsidRPr="008744AF" w:rsidRDefault="008744AF" w:rsidP="008744AF">
            <w:pPr>
              <w:spacing w:after="60"/>
              <w:rPr>
                <w:b/>
                <w:sz w:val="20"/>
              </w:rPr>
            </w:pPr>
            <w:r w:rsidRPr="008744AF">
              <w:rPr>
                <w:sz w:val="20"/>
              </w:rPr>
              <w:t>Fossil fuel subsidies</w:t>
            </w:r>
          </w:p>
        </w:tc>
        <w:tc>
          <w:tcPr>
            <w:tcW w:w="1967" w:type="dxa"/>
          </w:tcPr>
          <w:p w14:paraId="0816C17C" w14:textId="529946EE" w:rsidR="008744AF" w:rsidRPr="008744AF" w:rsidRDefault="008744AF" w:rsidP="008744AF">
            <w:pPr>
              <w:spacing w:after="60"/>
              <w:rPr>
                <w:sz w:val="20"/>
              </w:rPr>
            </w:pPr>
            <w:r>
              <w:rPr>
                <w:sz w:val="20"/>
              </w:rPr>
              <w:t>Fossil subsidies</w:t>
            </w:r>
          </w:p>
        </w:tc>
        <w:tc>
          <w:tcPr>
            <w:tcW w:w="2351" w:type="dxa"/>
          </w:tcPr>
          <w:p w14:paraId="5C7AD228" w14:textId="722ECA60" w:rsidR="008744AF" w:rsidRPr="008744AF" w:rsidRDefault="008744AF" w:rsidP="008744AF">
            <w:pPr>
              <w:spacing w:after="60"/>
              <w:rPr>
                <w:sz w:val="20"/>
              </w:rPr>
            </w:pPr>
            <w:r w:rsidRPr="008744AF">
              <w:rPr>
                <w:sz w:val="20"/>
              </w:rPr>
              <w:t>Pre-tax subsidy as % of GDP</w:t>
            </w:r>
          </w:p>
        </w:tc>
        <w:tc>
          <w:tcPr>
            <w:tcW w:w="967" w:type="dxa"/>
          </w:tcPr>
          <w:p w14:paraId="6EDD32DA" w14:textId="36FB9412" w:rsidR="008744AF" w:rsidRPr="008744AF" w:rsidRDefault="008744AF" w:rsidP="008744AF">
            <w:pPr>
              <w:spacing w:after="60"/>
              <w:rPr>
                <w:sz w:val="20"/>
              </w:rPr>
            </w:pPr>
            <w:r w:rsidRPr="008744AF">
              <w:rPr>
                <w:sz w:val="20"/>
              </w:rPr>
              <w:t>2017</w:t>
            </w:r>
          </w:p>
        </w:tc>
        <w:tc>
          <w:tcPr>
            <w:tcW w:w="1806" w:type="dxa"/>
          </w:tcPr>
          <w:p w14:paraId="36F4CBBC" w14:textId="7A09EFFF" w:rsidR="008744AF" w:rsidRPr="008744AF" w:rsidRDefault="008744AF" w:rsidP="008744AF">
            <w:pPr>
              <w:spacing w:after="60"/>
              <w:rPr>
                <w:sz w:val="20"/>
              </w:rPr>
            </w:pPr>
            <w:r w:rsidRPr="008744AF">
              <w:rPr>
                <w:sz w:val="20"/>
              </w:rPr>
              <w:fldChar w:fldCharType="begin" w:fldLock="1"/>
            </w:r>
            <w:r w:rsidR="00AE1CAD">
              <w:rPr>
                <w:sz w:val="20"/>
              </w:rPr>
              <w:instrText>ADDIN CSL_CITATION {"citationItems":[{"id":"ITEM-1","itemData":{"abstract":"This paper updates estimates of fossil fuel subsidies, defined as fuel consumption times the gap between existing and efficient prices (i.e., prices warranted by supply costs, environmental costs, and revenue considerations), for 191 countries. Globally, subsidies remained large at $4.7 trillion (6.3 percent of global GDP) in 2015 and are projected at $5.2 trillion (6.5 percent of GDP) in 2017. The largest subsidizers in 2015 were China ($1.4 trillion), United States ($649 billion), Russia ($551 billion), European Union ($289 billion), and India ($209 billion). About three quarters of global subsidies are due to domestic factors—energy pricing reform thus remains largely in countries’ own national interest—while coal and petroleum together account for 85 percent of global subsidies. Efficient fossil fuel pricing in 2015 would have lowered global carbon emissions by 28 percent and fossil fuel air pollution deaths by 46 percent, and increased government revenue by 3.8 percent of GDP. JEL","author":[{"dropping-particle":"","family":"Coady","given":"David","non-dropping-particle":"","parse-names":false,"suffix":""},{"dropping-particle":"","family":"Parry","given":"Ian","non-dropping-particle":"","parse-names":false,"suffix":""},{"dropping-particle":"","family":"Le","given":"Nghia-piotr","non-dropping-particle":"","parse-names":false,"suffix":""},{"dropping-particle":"","family":"Shang","given":"Baoping","non-dropping-particle":"","parse-names":false,"suffix":""}],"collection-title":"19","id":"ITEM-1","issued":{"date-parts":[["2019"]]},"number":"89","publisher-place":"Washington, D.C.","title":"Global Fossil Fuel Subsidies Remain Large: An Update Based on Country-Level Estimates","type":"report"},"uris":["http://www.mendeley.com/documents/?uuid=05bd599e-89c2-4f96-a1ec-4369511f3b53"]}],"mendeley":{"formattedCitation":"(Coady et al., 2019)","plainTextFormattedCitation":"(Coady et al., 2019)","previouslyFormattedCitation":"(Coady et al., 2019)"},"properties":{"noteIndex":0},"schema":"https://github.com/citation-style-language/schema/raw/master/csl-citation.json"}</w:instrText>
            </w:r>
            <w:r w:rsidRPr="008744AF">
              <w:rPr>
                <w:sz w:val="20"/>
              </w:rPr>
              <w:fldChar w:fldCharType="separate"/>
            </w:r>
            <w:r w:rsidR="00B53BF6" w:rsidRPr="00B53BF6">
              <w:rPr>
                <w:noProof/>
                <w:sz w:val="20"/>
              </w:rPr>
              <w:t>(Coady et al., 2019)</w:t>
            </w:r>
            <w:r w:rsidRPr="008744AF">
              <w:rPr>
                <w:sz w:val="20"/>
              </w:rPr>
              <w:fldChar w:fldCharType="end"/>
            </w:r>
          </w:p>
        </w:tc>
      </w:tr>
      <w:tr w:rsidR="008744AF" w:rsidRPr="0030416C" w14:paraId="28747119" w14:textId="77777777" w:rsidTr="008744AF">
        <w:trPr>
          <w:trHeight w:val="113"/>
        </w:trPr>
        <w:tc>
          <w:tcPr>
            <w:tcW w:w="1979" w:type="dxa"/>
          </w:tcPr>
          <w:p w14:paraId="6140CBCE" w14:textId="421A07AA" w:rsidR="008744AF" w:rsidRPr="008744AF" w:rsidRDefault="008744AF" w:rsidP="008744AF">
            <w:pPr>
              <w:spacing w:after="60"/>
              <w:rPr>
                <w:sz w:val="20"/>
              </w:rPr>
            </w:pPr>
            <w:r w:rsidRPr="008744AF">
              <w:rPr>
                <w:sz w:val="20"/>
              </w:rPr>
              <w:t>CO</w:t>
            </w:r>
            <w:r w:rsidRPr="008744AF">
              <w:rPr>
                <w:sz w:val="20"/>
                <w:vertAlign w:val="subscript"/>
              </w:rPr>
              <w:t>2</w:t>
            </w:r>
            <w:r w:rsidRPr="008744AF">
              <w:rPr>
                <w:sz w:val="20"/>
              </w:rPr>
              <w:t xml:space="preserve"> emissions (territorial)</w:t>
            </w:r>
          </w:p>
        </w:tc>
        <w:tc>
          <w:tcPr>
            <w:tcW w:w="1967" w:type="dxa"/>
          </w:tcPr>
          <w:p w14:paraId="3FF012B2" w14:textId="50E0E630" w:rsidR="008744AF" w:rsidRPr="008744AF" w:rsidRDefault="008744AF" w:rsidP="008744AF">
            <w:pPr>
              <w:spacing w:after="60"/>
              <w:rPr>
                <w:sz w:val="20"/>
              </w:rPr>
            </w:pPr>
            <w:r>
              <w:rPr>
                <w:sz w:val="20"/>
              </w:rPr>
              <w:t>CO</w:t>
            </w:r>
            <w:r w:rsidRPr="008744AF">
              <w:rPr>
                <w:sz w:val="20"/>
                <w:vertAlign w:val="subscript"/>
              </w:rPr>
              <w:t>2</w:t>
            </w:r>
            <w:r>
              <w:rPr>
                <w:sz w:val="20"/>
              </w:rPr>
              <w:t xml:space="preserve"> emissions</w:t>
            </w:r>
          </w:p>
        </w:tc>
        <w:tc>
          <w:tcPr>
            <w:tcW w:w="2351" w:type="dxa"/>
          </w:tcPr>
          <w:p w14:paraId="0DD78038" w14:textId="6C096838" w:rsidR="008744AF" w:rsidRPr="008744AF" w:rsidRDefault="008744AF" w:rsidP="008744AF">
            <w:pPr>
              <w:spacing w:after="60"/>
              <w:rPr>
                <w:sz w:val="20"/>
              </w:rPr>
            </w:pPr>
            <w:r w:rsidRPr="008744AF">
              <w:rPr>
                <w:sz w:val="20"/>
              </w:rPr>
              <w:t>tCO2 per capita</w:t>
            </w:r>
          </w:p>
        </w:tc>
        <w:tc>
          <w:tcPr>
            <w:tcW w:w="967" w:type="dxa"/>
          </w:tcPr>
          <w:p w14:paraId="1F5EAAC7" w14:textId="6C6C4BE1" w:rsidR="008744AF" w:rsidRPr="008744AF" w:rsidRDefault="008744AF" w:rsidP="008744AF">
            <w:pPr>
              <w:spacing w:after="60"/>
              <w:rPr>
                <w:sz w:val="20"/>
              </w:rPr>
            </w:pPr>
            <w:r w:rsidRPr="008744AF">
              <w:rPr>
                <w:sz w:val="20"/>
              </w:rPr>
              <w:t>2017</w:t>
            </w:r>
          </w:p>
        </w:tc>
        <w:tc>
          <w:tcPr>
            <w:tcW w:w="1806" w:type="dxa"/>
          </w:tcPr>
          <w:p w14:paraId="0DCA643F" w14:textId="042CBA64" w:rsidR="008744AF" w:rsidRPr="008744AF" w:rsidRDefault="008744AF" w:rsidP="008744AF">
            <w:pPr>
              <w:spacing w:after="60"/>
              <w:rPr>
                <w:sz w:val="20"/>
              </w:rPr>
            </w:pPr>
            <w:r w:rsidRPr="008744AF">
              <w:rPr>
                <w:sz w:val="20"/>
              </w:rPr>
              <w:fldChar w:fldCharType="begin" w:fldLock="1"/>
            </w:r>
            <w:r w:rsidR="00AE1CAD">
              <w:rPr>
                <w:sz w:val="20"/>
              </w:rPr>
              <w:instrText>ADDIN CSL_CITATION {"citationItems":[{"id":"ITEM-1","itemData":{"DOI":"10.5194/essd-8-605-2016","author":[{"dropping-particle":"Le","family":"Quéré","given":"Corinne","non-dropping-particle":"","parse-names":false,"suffix":""},{"dropping-particle":"","family":"Andrew","given":"Robbie M","non-dropping-particle":"","parse-names":false,"suffix":""},{"dropping-particle":"","family":"Friedlingstein","given":"Pierre","non-dropping-particle":"","parse-names":false,"suffix":""},{"dropping-particle":"","family":"Sitch","given":"Stephen","non-dropping-particle":"","parse-names":false,"suffix":""},{"dropping-particle":"","family":"Hauck","given":"Judith","non-dropping-particle":"","parse-names":false,"suffix":""},{"dropping-particle":"","family":"Pongratz","given":"Julia","non-dropping-particle":"","parse-names":false,"suffix":""},{"dropping-particle":"","family":"Pickers","given":"Penelope A.","non-dropping-particle":"","parse-names":false,"suffix":""},{"dropping-particle":"","family":"Canadell","given":"Josep G","non-dropping-particle":"","parse-names":false,"suffix":""},{"dropping-particle":"","family":"Korsbakken","given":"Jan Ivar","non-dropping-particle":"","parse-names":false,"suffix":""},{"dropping-particle":"","family":"Peters","given":"Glen P.","non-dropping-particle":"","parse-names":false,"suffix":""},{"dropping-particle":"","family":"Canadell","given":"Josep G.","non-dropping-particle":"","parse-names":false,"suffix":""},{"dropping-particle":"","family":"Arneth","given":"Almut","non-dropping-particle":"","parse-names":false,"suffix":""},{"dropping-particle":"","family":"Arora","given":"Vivek K.","non-dropping-particle":"","parse-names":false,"suffix":""},{"dropping-particle":"","family":"Barbero","given":"Leticia","non-dropping-particle":"","parse-names":false,"suffix":""},{"dropping-particle":"","family":"Bastos","given":"Ana","non-dropping-particle":"","parse-names":false,"suffix":""},{"dropping-particle":"","family":"Bopp","given":"Laurent","non-dropping-particle":"","parse-names":false,"suffix":""},{"dropping-particle":"","family":"Chevallier","given":"Frederick","non-dropping-particle":"","parse-names":false,"suffix":""},{"dropping-particle":"","family":"Chini","given":"Louise P.","non-dropping-particle":"","parse-names":false,"suffix":""},{"dropping-particle":"","family":"Ciais","given":"Philippe","non-dropping-particle":"","parse-names":false,"suffix":""},{"dropping-particle":"","family":"Doney","given":"Scott C.","non-dropping-particle":"","parse-names":false,"suffix":""},{"dropping-particle":"","family":"Gkritzalis","given":"Thanos","non-dropping-particle":"","parse-names":false,"suffix":""},{"dropping-particle":"","family":"Goll","given":"Daniel S.","non-dropping-particle":"","parse-names":false,"suffix":""},{"dropping-particle":"","family":"Harris","given":"Ian","non-dropping-particle":"","parse-names":false,"suffix":""},{"dropping-particle":"","family":"Haverd","given":"Vanessa","non-dropping-particle":"","parse-names":false,"suffix":""},{"dropping-particle":"","family":"Hoffman","given":"Forrest M.","non-dropping-particle":"","parse-names":false,"suffix":""},{"dropping-particle":"","family":"Hoppema","given":"Mario","non-dropping-particle":"","parse-names":false,"suffix":""},{"dropping-particle":"","family":"Houghton","given":"Richard A.","non-dropping-particle":"","parse-names":false,"suffix":""},{"dropping-particle":"","family":"Hurtt","given":"George","non-dropping-particle":"","parse-names":false,"suffix":""},{"dropping-particle":"","family":"Ilyina","given":"Tatiana","non-dropping-particle":"","parse-names":false,"suffix":""},{"dropping-particle":"","family":"Jain","given":"Atul K.","non-dropping-particle":"","parse-names":false,"suffix":""},{"dropping-particle":"","family":"Johannessen","given":"Truls","non-dropping-particle":"","parse-names":false,"suffix":""},{"dropping-particle":"","family":"Jones","given":"Chris D.","non-dropping-particle":"","parse-names":false,"suffix":""},{"dropping-particle":"","family":"Kato","given":"Etsushi","non-dropping-particle":"","parse-names":false,"suffix":""},{"dropping-particle":"","family":"Keeling","given":"Ralph F.","non-dropping-particle":"","parse-names":false,"suffix":""},{"dropping-particle":"","family":"Goldewijk","given":"Kees Kelin","non-dropping-particle":"","parse-names":false,"suffix":""},{"dropping-particle":"","family":"Landschützer","given":"Peter","non-dropping-particle":"","parse-names":false,"suffix":""},{"dropping-particle":"","family":"Lefèvre","given":"Nathalie","non-dropping-particle":"","parse-names":false,"suffix":""},{"dropping-particle":"","family":"Lienert","given":"Sebastian","non-dropping-particle":"","parse-names":false,"suffix":""},{"dropping-particle":"","family":"Liu","given":"Zhu","non-dropping-particle":"","parse-names":false,"suffix":""},{"dropping-particle":"","family":"Lombardozzi","given":"Danica","non-dropping-particle":"","parse-names":false,"suffix":""},{"dropping-particle":"","family":"Metzl","given":"Nicolas","non-dropping-particle":"","parse-names":false,"suffix":""},{"dropping-particle":"","family":"Munro","given":"David R.","non-dropping-particle":"","parse-names":false,"suffix":""},{"dropping-particle":"","family":"Nabel","given":"Julia E.M.S.","non-dropping-particle":"","parse-names":false,"suffix":""},{"dropping-particle":"","family":"Nakaoka","given":"Shin-ichiro","non-dropping-particle":"","parse-names":false,"suffix":""},{"dropping-particle":"","family":"Neill","given":"Craig","non-dropping-particle":"","parse-names":false,"suffix":""},{"dropping-particle":"","family":"Olsen","given":"Are","non-dropping-particle":"","parse-names":false,"suffix":""},{"dropping-particle":"","family":"Ono","given":"Tsueno","non-dropping-particle":"","parse-names":false,"suffix":""},{"dropping-particle":"","family":"Patra","given":"Prabir","non-dropping-particle":"","parse-names":false,"suffix":""},{"dropping-particle":"","family":"Peregon","given":"Anna","non-dropping-particle":"","parse-names":false,"suffix":""},{"dropping-particle":"","family":"Peters","given":"Wouter","non-dropping-particle":"","parse-names":false,"suffix":""},{"dropping-particle":"","family":"Peylin","given":"Philippe","non-dropping-particle":"","parse-names":false,"suffix":""},{"dropping-particle":"","family":"Pfeil","given":"Benjamin","non-dropping-particle":"","parse-names":false,"suffix":""},{"dropping-particle":"","family":"Pierrot","given":"Denis","non-dropping-particle":"","parse-names":false,"suffix":""},{"dropping-particle":"","family":"Poulter","given":"Benjamin","non-dropping-particle":"","parse-names":false,"suffix":""},{"dropping-particle":"","family":"Rehder","given":"Gregor","non-dropping-particle":"","parse-names":false,"suffix":""},{"dropping-particle":"","family":"Resplandy","given":"Laure","non-dropping-particle":"","parse-names":false,"suffix":""},{"dropping-particle":"","family":"Robertson","given":"Eddy","non-dropping-particle":"","parse-names":false,"suffix":""},{"dropping-particle":"","family":"Rocher","given":"Matthias","non-dropping-particle":"","parse-names":false,"suffix":""},{"dropping-particle":"","family":"Rödenbeck","given":"Christian","non-dropping-particle":"","parse-names":false,"suffix":""},{"dropping-particle":"","family":"Schuster","given":"Ute","non-dropping-particle":"","parse-names":false,"suffix":""},{"dropping-particle":"","family":"Schwinger","given":"Jörg","non-dropping-particle":"","parse-names":false,"suffix":""},{"dropping-particle":"","family":"Séférian","given":"Roland","non-dropping-particle":"","parse-names":false,"suffix":""},{"dropping-particle":"","family":"Skjelvan","given":"Ingunn","non-dropping-particle":"","parse-names":false,"suffix":""},{"dropping-particle":"","family":"Steinhoff","given":"Tobias","non-dropping-particle":"","parse-names":false,"suffix":""},{"dropping-particle":"","family":"Sutton","given":"Adrienne","non-dropping-particle":"","parse-names":false,"suffix":""},{"dropping-particle":"","family":"Tans","given":"Pieter P.","non-dropping-particle":"","parse-names":false,"suffix":""},{"dropping-particle":"","family":"Tian","given":"Hanqin","non-dropping-particle":"","parse-names":false,"suffix":""},{"dropping-particle":"","family":"Tilbrook","given":"Bronte","non-dropping-particle":"","parse-names":false,"suffix":""},{"dropping-particle":"","family":"Tubiello","given":"Francesco N.","non-dropping-particle":"","parse-names":false,"suffix":""},{"dropping-particle":"van der","family":"Laan-Luijkx","given":"Ingrid T.","non-dropping-particle":"","parse-names":false,"suffix":""},{"dropping-particle":"van der","family":"Werf","given":"Guido R.","non-dropping-particle":"","parse-names":false,"suffix":""},{"dropping-particle":"","family":"Viovy","given":"Nicolas","non-dropping-particle":"","parse-names":false,"suffix":""},{"dropping-particle":"","family":"Walker","given":"Anthony P.","non-dropping-particle":"","parse-names":false,"suffix":""},{"dropping-particle":"","family":"Wiltshire","given":"Andrew J.","non-dropping-particle":"","parse-names":false,"suffix":""},{"dropping-particle":"","family":"Wright","given":"Rebecca","non-dropping-particle":"","parse-names":false,"suffix":""},{"dropping-particle":"","family":"Zaehle","given":"Sönke","non-dropping-particle":"","parse-names":false,"suffix":""},{"dropping-particle":"","family":"Zheng","given":"Bo","non-dropping-particle":"","parse-names":false,"suffix":""}],"container-title":"Earth System Science Data","id":"ITEM-1","issued":{"date-parts":[["2018"]]},"page":"2141-2194","title":"Global Carbon Budget 2018","type":"article-journal","volume":"10"},"uris":["http://www.mendeley.com/documents/?uuid=6a008701-4a90-4d43-9d3c-d708afcc9928"]}],"mendeley":{"formattedCitation":"(Quéré et al., 2018)","plainTextFormattedCitation":"(Quéré et al., 2018)","previouslyFormattedCitation":"(Quéré et al., 2018)"},"properties":{"noteIndex":0},"schema":"https://github.com/citation-style-language/schema/raw/master/csl-citation.json"}</w:instrText>
            </w:r>
            <w:r w:rsidRPr="008744AF">
              <w:rPr>
                <w:sz w:val="20"/>
              </w:rPr>
              <w:fldChar w:fldCharType="separate"/>
            </w:r>
            <w:r w:rsidR="00B53BF6" w:rsidRPr="00B53BF6">
              <w:rPr>
                <w:noProof/>
                <w:sz w:val="20"/>
              </w:rPr>
              <w:t>(Quéré et al., 2018)</w:t>
            </w:r>
            <w:r w:rsidRPr="008744AF">
              <w:rPr>
                <w:sz w:val="20"/>
              </w:rPr>
              <w:fldChar w:fldCharType="end"/>
            </w:r>
          </w:p>
        </w:tc>
      </w:tr>
      <w:tr w:rsidR="008744AF" w:rsidRPr="0030416C" w14:paraId="570D351F" w14:textId="77777777" w:rsidTr="008744AF">
        <w:trPr>
          <w:trHeight w:val="113"/>
        </w:trPr>
        <w:tc>
          <w:tcPr>
            <w:tcW w:w="9070" w:type="dxa"/>
            <w:gridSpan w:val="5"/>
          </w:tcPr>
          <w:p w14:paraId="730662E7" w14:textId="780A154C" w:rsidR="008744AF" w:rsidRPr="008744AF" w:rsidRDefault="008744AF" w:rsidP="008744AF">
            <w:pPr>
              <w:spacing w:after="60"/>
              <w:rPr>
                <w:sz w:val="20"/>
              </w:rPr>
            </w:pPr>
            <w:r w:rsidRPr="008744AF">
              <w:rPr>
                <w:b/>
                <w:sz w:val="20"/>
              </w:rPr>
              <w:t>Interests</w:t>
            </w:r>
          </w:p>
        </w:tc>
      </w:tr>
      <w:tr w:rsidR="008744AF" w:rsidRPr="0030416C" w14:paraId="7FB72874" w14:textId="77777777" w:rsidTr="008744AF">
        <w:trPr>
          <w:trHeight w:val="113"/>
        </w:trPr>
        <w:tc>
          <w:tcPr>
            <w:tcW w:w="1979" w:type="dxa"/>
          </w:tcPr>
          <w:p w14:paraId="3FD989B5" w14:textId="605B08B9" w:rsidR="008744AF" w:rsidRPr="008744AF" w:rsidRDefault="008744AF" w:rsidP="008744AF">
            <w:pPr>
              <w:spacing w:after="60"/>
              <w:rPr>
                <w:b/>
                <w:sz w:val="20"/>
              </w:rPr>
            </w:pPr>
            <w:r w:rsidRPr="008744AF">
              <w:rPr>
                <w:sz w:val="20"/>
              </w:rPr>
              <w:t>Oil &amp; gas rents</w:t>
            </w:r>
          </w:p>
        </w:tc>
        <w:tc>
          <w:tcPr>
            <w:tcW w:w="1967" w:type="dxa"/>
          </w:tcPr>
          <w:p w14:paraId="04B122D8" w14:textId="2AA62EE6" w:rsidR="008744AF" w:rsidRPr="008744AF" w:rsidRDefault="008744AF" w:rsidP="008744AF">
            <w:pPr>
              <w:spacing w:after="60"/>
              <w:rPr>
                <w:sz w:val="20"/>
              </w:rPr>
            </w:pPr>
            <w:r w:rsidRPr="008744AF">
              <w:rPr>
                <w:sz w:val="20"/>
              </w:rPr>
              <w:t>Oil &amp; gas rents</w:t>
            </w:r>
          </w:p>
        </w:tc>
        <w:tc>
          <w:tcPr>
            <w:tcW w:w="2351" w:type="dxa"/>
          </w:tcPr>
          <w:p w14:paraId="1784CBDC" w14:textId="6AC4384F" w:rsidR="008744AF" w:rsidRPr="008744AF" w:rsidRDefault="008744AF" w:rsidP="008744AF">
            <w:pPr>
              <w:spacing w:after="60"/>
              <w:rPr>
                <w:sz w:val="20"/>
              </w:rPr>
            </w:pPr>
            <w:r w:rsidRPr="008744AF">
              <w:rPr>
                <w:sz w:val="20"/>
              </w:rPr>
              <w:t>Rents as % of GDP</w:t>
            </w:r>
          </w:p>
        </w:tc>
        <w:tc>
          <w:tcPr>
            <w:tcW w:w="967" w:type="dxa"/>
          </w:tcPr>
          <w:p w14:paraId="5C8D6800" w14:textId="11A7F2AC" w:rsidR="008744AF" w:rsidRPr="008744AF" w:rsidRDefault="008744AF" w:rsidP="008744AF">
            <w:pPr>
              <w:spacing w:after="60"/>
              <w:rPr>
                <w:sz w:val="20"/>
              </w:rPr>
            </w:pPr>
            <w:r w:rsidRPr="008744AF">
              <w:rPr>
                <w:sz w:val="20"/>
              </w:rPr>
              <w:t>2015</w:t>
            </w:r>
          </w:p>
        </w:tc>
        <w:tc>
          <w:tcPr>
            <w:tcW w:w="1806" w:type="dxa"/>
          </w:tcPr>
          <w:p w14:paraId="37DBA0DE" w14:textId="6F51A874" w:rsidR="008744AF" w:rsidRPr="008744AF" w:rsidRDefault="008744AF" w:rsidP="008744AF">
            <w:pPr>
              <w:spacing w:after="60"/>
              <w:rPr>
                <w:sz w:val="20"/>
              </w:rPr>
            </w:pPr>
            <w:r w:rsidRPr="008744AF">
              <w:rPr>
                <w:sz w:val="20"/>
              </w:rPr>
              <w:fldChar w:fldCharType="begin" w:fldLock="1"/>
            </w:r>
            <w:r w:rsidR="00AE1CAD">
              <w:rPr>
                <w:sz w:val="20"/>
              </w:rPr>
              <w:instrText>ADDIN CSL_CITATION {"citationItems":[{"id":"ITEM-1","itemData":{"URL":"http://data.worldbank.org/","accessed":{"date-parts":[["2016","11","22"]]},"author":[{"dropping-particle":"","family":"World Bank","given":"","non-dropping-particle":"","parse-names":false,"suffix":""}],"id":"ITEM-1","issued":{"date-parts":[["2017"]]},"title":"World Bank Development Indicators","type":"webpage"},"uris":["http://www.mendeley.com/documents/?uuid=84c8dd0e-cc53-45a1-8f4a-8edf5546ef29"]}],"mendeley":{"formattedCitation":"(World Bank, 2017)","plainTextFormattedCitation":"(World Bank, 2017)","previouslyFormattedCitation":"(World Bank, 2017)"},"properties":{"noteIndex":0},"schema":"https://github.com/citation-style-language/schema/raw/master/csl-citation.json"}</w:instrText>
            </w:r>
            <w:r w:rsidRPr="008744AF">
              <w:rPr>
                <w:sz w:val="20"/>
              </w:rPr>
              <w:fldChar w:fldCharType="separate"/>
            </w:r>
            <w:r w:rsidR="00B53BF6" w:rsidRPr="00B53BF6">
              <w:rPr>
                <w:noProof/>
                <w:sz w:val="20"/>
              </w:rPr>
              <w:t>(World Bank, 2017)</w:t>
            </w:r>
            <w:r w:rsidRPr="008744AF">
              <w:rPr>
                <w:sz w:val="20"/>
              </w:rPr>
              <w:fldChar w:fldCharType="end"/>
            </w:r>
          </w:p>
        </w:tc>
      </w:tr>
      <w:tr w:rsidR="008744AF" w:rsidRPr="0030416C" w14:paraId="3CFFD085" w14:textId="77777777" w:rsidTr="008744AF">
        <w:trPr>
          <w:trHeight w:val="113"/>
        </w:trPr>
        <w:tc>
          <w:tcPr>
            <w:tcW w:w="1979" w:type="dxa"/>
          </w:tcPr>
          <w:p w14:paraId="1A0A70F9" w14:textId="77777777" w:rsidR="008744AF" w:rsidRPr="008744AF" w:rsidRDefault="008744AF" w:rsidP="008744AF">
            <w:pPr>
              <w:spacing w:after="60"/>
              <w:rPr>
                <w:sz w:val="20"/>
              </w:rPr>
            </w:pPr>
            <w:r w:rsidRPr="008744AF">
              <w:rPr>
                <w:sz w:val="20"/>
              </w:rPr>
              <w:t>Coal in elec. mix</w:t>
            </w:r>
          </w:p>
          <w:p w14:paraId="3BE2950F" w14:textId="77777777" w:rsidR="008744AF" w:rsidRPr="008744AF" w:rsidRDefault="008744AF" w:rsidP="008744AF">
            <w:pPr>
              <w:spacing w:after="60"/>
              <w:rPr>
                <w:b/>
                <w:sz w:val="20"/>
              </w:rPr>
            </w:pPr>
          </w:p>
        </w:tc>
        <w:tc>
          <w:tcPr>
            <w:tcW w:w="1967" w:type="dxa"/>
          </w:tcPr>
          <w:p w14:paraId="7BA352D8" w14:textId="446200CD" w:rsidR="008744AF" w:rsidRPr="008744AF" w:rsidRDefault="008744AF" w:rsidP="008744AF">
            <w:pPr>
              <w:spacing w:after="60"/>
              <w:rPr>
                <w:sz w:val="20"/>
              </w:rPr>
            </w:pPr>
            <w:r>
              <w:rPr>
                <w:sz w:val="20"/>
              </w:rPr>
              <w:t>Coal share</w:t>
            </w:r>
          </w:p>
        </w:tc>
        <w:tc>
          <w:tcPr>
            <w:tcW w:w="2351" w:type="dxa"/>
          </w:tcPr>
          <w:p w14:paraId="7E7D34F7" w14:textId="1A925A6A" w:rsidR="008744AF" w:rsidRPr="008744AF" w:rsidRDefault="008744AF" w:rsidP="008744AF">
            <w:pPr>
              <w:spacing w:after="60"/>
              <w:rPr>
                <w:sz w:val="20"/>
              </w:rPr>
            </w:pPr>
            <w:r w:rsidRPr="008744AF">
              <w:rPr>
                <w:sz w:val="20"/>
              </w:rPr>
              <w:t>% of coal in total primary energy supply</w:t>
            </w:r>
          </w:p>
        </w:tc>
        <w:tc>
          <w:tcPr>
            <w:tcW w:w="967" w:type="dxa"/>
          </w:tcPr>
          <w:p w14:paraId="2465E3BD" w14:textId="731574BE" w:rsidR="008744AF" w:rsidRPr="008744AF" w:rsidRDefault="008744AF" w:rsidP="008744AF">
            <w:pPr>
              <w:spacing w:after="60"/>
              <w:rPr>
                <w:sz w:val="20"/>
              </w:rPr>
            </w:pPr>
            <w:r w:rsidRPr="008744AF">
              <w:rPr>
                <w:sz w:val="20"/>
              </w:rPr>
              <w:t>2014</w:t>
            </w:r>
          </w:p>
        </w:tc>
        <w:tc>
          <w:tcPr>
            <w:tcW w:w="1806" w:type="dxa"/>
          </w:tcPr>
          <w:p w14:paraId="73DE94CF" w14:textId="612107CF" w:rsidR="008744AF" w:rsidRPr="008744AF" w:rsidRDefault="008744AF" w:rsidP="008744AF">
            <w:pPr>
              <w:spacing w:after="60"/>
              <w:rPr>
                <w:sz w:val="20"/>
              </w:rPr>
            </w:pPr>
            <w:r w:rsidRPr="008744AF">
              <w:rPr>
                <w:sz w:val="20"/>
              </w:rPr>
              <w:fldChar w:fldCharType="begin" w:fldLock="1"/>
            </w:r>
            <w:r w:rsidR="00AE1CAD">
              <w:rPr>
                <w:sz w:val="20"/>
              </w:rPr>
              <w:instrText>ADDIN CSL_CITATION {"citationItems":[{"id":"ITEM-1","itemData":{"author":[{"dropping-particle":"","family":"IEA","given":"","non-dropping-particle":"","parse-names":false,"suffix":""}],"edition":"2013","id":"ITEM-1","issued":{"date-parts":[["2018"]]},"publisher":"International Energy Agency","publisher-place":"Paris","title":"World Energy Balances","type":"book"},"uris":["http://www.mendeley.com/documents/?uuid=06792bd3-72fa-4e01-ac4e-eea58a3ebeaf"]}],"mendeley":{"formattedCitation":"(IEA, 2018a)","plainTextFormattedCitation":"(IEA, 2018a)","previouslyFormattedCitation":"(IEA, 2018a)"},"properties":{"noteIndex":0},"schema":"https://github.com/citation-style-language/schema/raw/master/csl-citation.json"}</w:instrText>
            </w:r>
            <w:r w:rsidRPr="008744AF">
              <w:rPr>
                <w:sz w:val="20"/>
              </w:rPr>
              <w:fldChar w:fldCharType="separate"/>
            </w:r>
            <w:r w:rsidR="00B53BF6" w:rsidRPr="00B53BF6">
              <w:rPr>
                <w:noProof/>
                <w:sz w:val="20"/>
              </w:rPr>
              <w:t>(IEA, 2018a)</w:t>
            </w:r>
            <w:r w:rsidRPr="008744AF">
              <w:rPr>
                <w:sz w:val="20"/>
              </w:rPr>
              <w:fldChar w:fldCharType="end"/>
            </w:r>
          </w:p>
        </w:tc>
      </w:tr>
      <w:tr w:rsidR="008744AF" w:rsidRPr="0030416C" w14:paraId="0E859759" w14:textId="77777777" w:rsidTr="008744AF">
        <w:trPr>
          <w:trHeight w:val="113"/>
        </w:trPr>
        <w:tc>
          <w:tcPr>
            <w:tcW w:w="9070" w:type="dxa"/>
            <w:gridSpan w:val="5"/>
          </w:tcPr>
          <w:p w14:paraId="467B9811" w14:textId="43AE2D77" w:rsidR="008744AF" w:rsidRPr="008744AF" w:rsidRDefault="008744AF" w:rsidP="008744AF">
            <w:pPr>
              <w:spacing w:after="60"/>
              <w:rPr>
                <w:sz w:val="20"/>
              </w:rPr>
            </w:pPr>
            <w:r w:rsidRPr="008744AF">
              <w:rPr>
                <w:b/>
                <w:sz w:val="20"/>
              </w:rPr>
              <w:t>Institutions</w:t>
            </w:r>
          </w:p>
        </w:tc>
      </w:tr>
      <w:tr w:rsidR="008744AF" w:rsidRPr="0030416C" w14:paraId="2E44EC09" w14:textId="77777777" w:rsidTr="008744AF">
        <w:trPr>
          <w:trHeight w:val="113"/>
        </w:trPr>
        <w:tc>
          <w:tcPr>
            <w:tcW w:w="1979" w:type="dxa"/>
          </w:tcPr>
          <w:p w14:paraId="360BFCA3" w14:textId="49595A15" w:rsidR="008744AF" w:rsidRPr="008744AF" w:rsidRDefault="008744AF" w:rsidP="008744AF">
            <w:pPr>
              <w:spacing w:after="60"/>
              <w:rPr>
                <w:sz w:val="20"/>
              </w:rPr>
            </w:pPr>
            <w:r w:rsidRPr="008744AF">
              <w:rPr>
                <w:sz w:val="20"/>
              </w:rPr>
              <w:t>Electoral democracy index</w:t>
            </w:r>
          </w:p>
        </w:tc>
        <w:tc>
          <w:tcPr>
            <w:tcW w:w="1967" w:type="dxa"/>
          </w:tcPr>
          <w:p w14:paraId="0F78DDD5" w14:textId="7EC58ABE" w:rsidR="008744AF" w:rsidRPr="008744AF" w:rsidRDefault="008744AF" w:rsidP="008744AF">
            <w:pPr>
              <w:spacing w:after="60"/>
              <w:rPr>
                <w:sz w:val="20"/>
              </w:rPr>
            </w:pPr>
            <w:r>
              <w:rPr>
                <w:sz w:val="20"/>
              </w:rPr>
              <w:t>Democracy</w:t>
            </w:r>
          </w:p>
        </w:tc>
        <w:tc>
          <w:tcPr>
            <w:tcW w:w="2351" w:type="dxa"/>
          </w:tcPr>
          <w:p w14:paraId="04E7C1C0" w14:textId="68A1D964" w:rsidR="008744AF" w:rsidRPr="008744AF" w:rsidRDefault="008744AF" w:rsidP="008744AF">
            <w:pPr>
              <w:spacing w:after="60"/>
              <w:rPr>
                <w:sz w:val="20"/>
              </w:rPr>
            </w:pPr>
            <w:r>
              <w:rPr>
                <w:sz w:val="20"/>
              </w:rPr>
              <w:t>0 – 1.0 (normalised scale)</w:t>
            </w:r>
          </w:p>
        </w:tc>
        <w:tc>
          <w:tcPr>
            <w:tcW w:w="967" w:type="dxa"/>
          </w:tcPr>
          <w:p w14:paraId="4A008FA2" w14:textId="192C8913" w:rsidR="008744AF" w:rsidRPr="008744AF" w:rsidRDefault="008744AF" w:rsidP="008744AF">
            <w:pPr>
              <w:spacing w:after="60"/>
              <w:rPr>
                <w:sz w:val="20"/>
              </w:rPr>
            </w:pPr>
            <w:r w:rsidRPr="008744AF">
              <w:rPr>
                <w:sz w:val="20"/>
              </w:rPr>
              <w:t>2015</w:t>
            </w:r>
          </w:p>
        </w:tc>
        <w:tc>
          <w:tcPr>
            <w:tcW w:w="1806" w:type="dxa"/>
          </w:tcPr>
          <w:p w14:paraId="66B0DC0D" w14:textId="227E536D" w:rsidR="008744AF" w:rsidRPr="008744AF" w:rsidRDefault="008744AF" w:rsidP="008744AF">
            <w:pPr>
              <w:spacing w:after="60"/>
              <w:rPr>
                <w:sz w:val="20"/>
                <w:lang w:val="de-DE"/>
              </w:rPr>
            </w:pPr>
            <w:r w:rsidRPr="008744AF">
              <w:rPr>
                <w:sz w:val="20"/>
              </w:rPr>
              <w:fldChar w:fldCharType="begin" w:fldLock="1"/>
            </w:r>
            <w:r w:rsidR="00AE1CAD">
              <w:rPr>
                <w:sz w:val="20"/>
                <w:lang w:val="de-DE"/>
              </w:rPr>
              <w:instrText>ADDIN CSL_CITATION {"citationItems":[{"id":"ITEM-1","itemData":{"author":[{"dropping-particle":"","family":"V-DEM","given":"","non-dropping-particle":"","parse-names":false,"suffix":""}],"id":"ITEM-1","issued":{"date-parts":[["2018"]]},"publisher-place":"Gothenburg","title":"Democracy for All? V-Dem Annual Democracy Report 2018","type":"report"},"uris":["http://www.mendeley.com/documents/?uuid=a1fb460f-966a-4f48-9806-a3d7f8f05855"]}],"mendeley":{"formattedCitation":"(V-DEM, 2018)","plainTextFormattedCitation":"(V-DEM, 2018)","previouslyFormattedCitation":"(V-DEM, 2018)"},"properties":{"noteIndex":0},"schema":"https://github.com/citation-style-language/schema/raw/master/csl-citation.json"}</w:instrText>
            </w:r>
            <w:r w:rsidRPr="008744AF">
              <w:rPr>
                <w:sz w:val="20"/>
              </w:rPr>
              <w:fldChar w:fldCharType="separate"/>
            </w:r>
            <w:r w:rsidR="00B53BF6" w:rsidRPr="00B53BF6">
              <w:rPr>
                <w:noProof/>
                <w:sz w:val="20"/>
                <w:lang w:val="de-DE"/>
              </w:rPr>
              <w:t>(V-DEM, 2018)</w:t>
            </w:r>
            <w:r w:rsidRPr="008744AF">
              <w:rPr>
                <w:sz w:val="20"/>
              </w:rPr>
              <w:fldChar w:fldCharType="end"/>
            </w:r>
          </w:p>
          <w:p w14:paraId="12930C20" w14:textId="77777777" w:rsidR="008744AF" w:rsidRPr="008744AF" w:rsidRDefault="008744AF" w:rsidP="008744AF">
            <w:pPr>
              <w:spacing w:after="60"/>
              <w:rPr>
                <w:sz w:val="20"/>
              </w:rPr>
            </w:pPr>
          </w:p>
        </w:tc>
      </w:tr>
      <w:tr w:rsidR="008744AF" w:rsidRPr="0030416C" w14:paraId="04ACFB2B" w14:textId="77777777" w:rsidTr="008744AF">
        <w:trPr>
          <w:trHeight w:val="113"/>
        </w:trPr>
        <w:tc>
          <w:tcPr>
            <w:tcW w:w="1979" w:type="dxa"/>
          </w:tcPr>
          <w:p w14:paraId="45E5889B" w14:textId="16DB75C1" w:rsidR="008744AF" w:rsidRPr="008744AF" w:rsidRDefault="008744AF" w:rsidP="008744AF">
            <w:pPr>
              <w:spacing w:after="60"/>
              <w:rPr>
                <w:sz w:val="20"/>
              </w:rPr>
            </w:pPr>
            <w:r w:rsidRPr="008744AF">
              <w:rPr>
                <w:sz w:val="20"/>
              </w:rPr>
              <w:t>Control of corruption</w:t>
            </w:r>
          </w:p>
        </w:tc>
        <w:tc>
          <w:tcPr>
            <w:tcW w:w="1967" w:type="dxa"/>
          </w:tcPr>
          <w:p w14:paraId="5C8F7D9E" w14:textId="7B6885CB" w:rsidR="008744AF" w:rsidRPr="008744AF" w:rsidRDefault="008744AF" w:rsidP="008744AF">
            <w:pPr>
              <w:spacing w:after="60"/>
              <w:rPr>
                <w:sz w:val="20"/>
              </w:rPr>
            </w:pPr>
            <w:r>
              <w:rPr>
                <w:sz w:val="20"/>
              </w:rPr>
              <w:t>Corruption</w:t>
            </w:r>
          </w:p>
        </w:tc>
        <w:tc>
          <w:tcPr>
            <w:tcW w:w="2351" w:type="dxa"/>
          </w:tcPr>
          <w:p w14:paraId="11B67748" w14:textId="74467CAA" w:rsidR="008744AF" w:rsidRPr="008744AF" w:rsidRDefault="008744AF" w:rsidP="008744AF">
            <w:pPr>
              <w:spacing w:after="60"/>
              <w:rPr>
                <w:sz w:val="20"/>
              </w:rPr>
            </w:pPr>
            <w:r>
              <w:rPr>
                <w:sz w:val="20"/>
              </w:rPr>
              <w:t>-2.0 – 2.0</w:t>
            </w:r>
            <w:r w:rsidRPr="008744AF">
              <w:rPr>
                <w:sz w:val="20"/>
              </w:rPr>
              <w:t xml:space="preserve"> (normalised scale)</w:t>
            </w:r>
          </w:p>
        </w:tc>
        <w:tc>
          <w:tcPr>
            <w:tcW w:w="967" w:type="dxa"/>
          </w:tcPr>
          <w:p w14:paraId="200AB7E3" w14:textId="5C934EAE" w:rsidR="008744AF" w:rsidRPr="008744AF" w:rsidRDefault="008744AF" w:rsidP="008744AF">
            <w:pPr>
              <w:spacing w:after="60"/>
              <w:rPr>
                <w:sz w:val="20"/>
              </w:rPr>
            </w:pPr>
            <w:r w:rsidRPr="008744AF">
              <w:rPr>
                <w:sz w:val="20"/>
              </w:rPr>
              <w:t>2017</w:t>
            </w:r>
          </w:p>
        </w:tc>
        <w:tc>
          <w:tcPr>
            <w:tcW w:w="1806" w:type="dxa"/>
          </w:tcPr>
          <w:p w14:paraId="563D31D1" w14:textId="33EC1AC8" w:rsidR="008744AF" w:rsidRPr="008744AF" w:rsidRDefault="008744AF" w:rsidP="008744AF">
            <w:pPr>
              <w:spacing w:after="60"/>
              <w:rPr>
                <w:sz w:val="20"/>
                <w:lang w:val="de-DE"/>
              </w:rPr>
            </w:pPr>
            <w:r w:rsidRPr="008744AF">
              <w:rPr>
                <w:sz w:val="20"/>
              </w:rPr>
              <w:fldChar w:fldCharType="begin" w:fldLock="1"/>
            </w:r>
            <w:r w:rsidR="00AE1CAD">
              <w:rPr>
                <w:sz w:val="20"/>
                <w:lang w:val="de-DE"/>
              </w:rPr>
              <w:instrText>ADDIN CSL_CITATION {"citationItems":[{"id":"ITEM-1","itemData":{"URL":"http://info.worldbank.org/governance/wgi/index.aspx","author":[{"dropping-particle":"","family":"Kaufmann","given":"Daniel","non-dropping-particle":"","parse-names":false,"suffix":""},{"dropping-particle":"","family":"Kraay","given":"Aart","non-dropping-particle":"","parse-names":false,"suffix":""}],"id":"ITEM-1","issued":{"date-parts":[["2015"]]},"title":"World Governance Indicators","type":"webpage"},"uris":["http://www.mendeley.com/documents/?uuid=5bec128a-865d-4f2c-8ad6-c91af5f5012b"]}],"mendeley":{"formattedCitation":"(Kaufmann &amp; Kraay, 2015)","plainTextFormattedCitation":"(Kaufmann &amp; Kraay, 2015)","previouslyFormattedCitation":"(Kaufmann &amp; Kraay, 2015)"},"properties":{"noteIndex":0},"schema":"https://github.com/citation-style-language/schema/raw/master/csl-citation.json"}</w:instrText>
            </w:r>
            <w:r w:rsidRPr="008744AF">
              <w:rPr>
                <w:sz w:val="20"/>
              </w:rPr>
              <w:fldChar w:fldCharType="separate"/>
            </w:r>
            <w:r w:rsidR="00B53BF6" w:rsidRPr="00B53BF6">
              <w:rPr>
                <w:noProof/>
                <w:sz w:val="20"/>
                <w:lang w:val="de-DE"/>
              </w:rPr>
              <w:t>(Kaufmann &amp; Kraay, 2015)</w:t>
            </w:r>
            <w:r w:rsidRPr="008744AF">
              <w:rPr>
                <w:sz w:val="20"/>
              </w:rPr>
              <w:fldChar w:fldCharType="end"/>
            </w:r>
          </w:p>
        </w:tc>
      </w:tr>
      <w:tr w:rsidR="008744AF" w:rsidRPr="0030416C" w14:paraId="2F50E22D" w14:textId="77777777" w:rsidTr="008744AF">
        <w:trPr>
          <w:trHeight w:val="113"/>
        </w:trPr>
        <w:tc>
          <w:tcPr>
            <w:tcW w:w="9070" w:type="dxa"/>
            <w:gridSpan w:val="5"/>
          </w:tcPr>
          <w:p w14:paraId="2D4E48F0" w14:textId="07D30DD6" w:rsidR="008744AF" w:rsidRPr="008744AF" w:rsidRDefault="008744AF" w:rsidP="008744AF">
            <w:pPr>
              <w:spacing w:after="60"/>
              <w:rPr>
                <w:b/>
                <w:sz w:val="20"/>
              </w:rPr>
            </w:pPr>
            <w:r w:rsidRPr="008744AF">
              <w:rPr>
                <w:b/>
                <w:sz w:val="20"/>
              </w:rPr>
              <w:t>Ideas</w:t>
            </w:r>
          </w:p>
        </w:tc>
      </w:tr>
      <w:tr w:rsidR="008744AF" w:rsidRPr="0030416C" w14:paraId="4A048712" w14:textId="77777777" w:rsidTr="008744AF">
        <w:trPr>
          <w:trHeight w:val="113"/>
        </w:trPr>
        <w:tc>
          <w:tcPr>
            <w:tcW w:w="1979" w:type="dxa"/>
          </w:tcPr>
          <w:p w14:paraId="67D6817D" w14:textId="21C07D23" w:rsidR="008744AF" w:rsidRPr="008744AF" w:rsidRDefault="008744AF" w:rsidP="008744AF">
            <w:pPr>
              <w:spacing w:after="60"/>
              <w:rPr>
                <w:sz w:val="20"/>
              </w:rPr>
            </w:pPr>
            <w:r w:rsidRPr="008744AF">
              <w:rPr>
                <w:sz w:val="20"/>
              </w:rPr>
              <w:t>Social trust</w:t>
            </w:r>
          </w:p>
        </w:tc>
        <w:tc>
          <w:tcPr>
            <w:tcW w:w="1967" w:type="dxa"/>
          </w:tcPr>
          <w:p w14:paraId="3E0254E2" w14:textId="73E1B6CD" w:rsidR="008744AF" w:rsidRPr="008744AF" w:rsidRDefault="008744AF" w:rsidP="008744AF">
            <w:pPr>
              <w:spacing w:after="60"/>
              <w:rPr>
                <w:sz w:val="20"/>
              </w:rPr>
            </w:pPr>
            <w:r>
              <w:rPr>
                <w:sz w:val="20"/>
              </w:rPr>
              <w:t>Trust</w:t>
            </w:r>
          </w:p>
        </w:tc>
        <w:tc>
          <w:tcPr>
            <w:tcW w:w="2351" w:type="dxa"/>
          </w:tcPr>
          <w:p w14:paraId="2B32783F" w14:textId="4AF89894" w:rsidR="008744AF" w:rsidRPr="008744AF" w:rsidRDefault="008744AF" w:rsidP="008744AF">
            <w:pPr>
              <w:spacing w:after="60"/>
              <w:rPr>
                <w:sz w:val="20"/>
              </w:rPr>
            </w:pPr>
            <w:r w:rsidRPr="008744AF">
              <w:rPr>
                <w:sz w:val="20"/>
              </w:rPr>
              <w:t>% of population who trust others</w:t>
            </w:r>
          </w:p>
        </w:tc>
        <w:tc>
          <w:tcPr>
            <w:tcW w:w="967" w:type="dxa"/>
          </w:tcPr>
          <w:p w14:paraId="4A3BC893" w14:textId="1A3E4C92" w:rsidR="008744AF" w:rsidRPr="008744AF" w:rsidRDefault="008744AF" w:rsidP="008744AF">
            <w:pPr>
              <w:spacing w:after="60"/>
              <w:rPr>
                <w:sz w:val="20"/>
              </w:rPr>
            </w:pPr>
            <w:r w:rsidRPr="008744AF">
              <w:rPr>
                <w:sz w:val="20"/>
              </w:rPr>
              <w:t>2017</w:t>
            </w:r>
          </w:p>
        </w:tc>
        <w:tc>
          <w:tcPr>
            <w:tcW w:w="1806" w:type="dxa"/>
          </w:tcPr>
          <w:p w14:paraId="728A9860" w14:textId="752C42CC" w:rsidR="008744AF" w:rsidRPr="008744AF" w:rsidRDefault="008744AF" w:rsidP="008744AF">
            <w:pPr>
              <w:spacing w:after="60"/>
              <w:rPr>
                <w:sz w:val="20"/>
                <w:lang w:val="de-DE"/>
              </w:rPr>
            </w:pPr>
            <w:r w:rsidRPr="008744AF">
              <w:rPr>
                <w:sz w:val="20"/>
              </w:rPr>
              <w:fldChar w:fldCharType="begin" w:fldLock="1"/>
            </w:r>
            <w:r w:rsidR="00AE1CAD">
              <w:rPr>
                <w:sz w:val="20"/>
                <w:lang w:val="de-DE"/>
              </w:rPr>
              <w:instrText>ADDIN CSL_CITATION {"citationItems":[{"id":"ITEM-1","itemData":{"URL":"www.worldvaluessurvey.org","accessed":{"date-parts":[["2016","10","10"]]},"author":[{"dropping-particle":"","family":"WVS","given":"","non-dropping-particle":"","parse-names":false,"suffix":""}],"id":"ITEM-1","issued":{"date-parts":[["2014"]]},"title":"WORLD VALUES SURVEY Wave 6 2010-2014 OFFICIAL AGGREGATE v.20150418.","type":"webpage"},"uris":["http://www.mendeley.com/documents/?uuid=eb9a3bf6-d7dc-4629-b4fe-97c9f5a816aa"]}],"mendeley":{"formattedCitation":"(WVS, 2014)","plainTextFormattedCitation":"(WVS, 2014)","previouslyFormattedCitation":"(WVS, 2014)"},"properties":{"noteIndex":0},"schema":"https://github.com/citation-style-language/schema/raw/master/csl-citation.json"}</w:instrText>
            </w:r>
            <w:r w:rsidRPr="008744AF">
              <w:rPr>
                <w:sz w:val="20"/>
              </w:rPr>
              <w:fldChar w:fldCharType="separate"/>
            </w:r>
            <w:r w:rsidR="00B53BF6" w:rsidRPr="00B53BF6">
              <w:rPr>
                <w:noProof/>
                <w:sz w:val="20"/>
                <w:lang w:val="de-DE"/>
              </w:rPr>
              <w:t>(WVS, 2014)</w:t>
            </w:r>
            <w:r w:rsidRPr="008744AF">
              <w:rPr>
                <w:sz w:val="20"/>
              </w:rPr>
              <w:fldChar w:fldCharType="end"/>
            </w:r>
          </w:p>
        </w:tc>
      </w:tr>
      <w:tr w:rsidR="008744AF" w:rsidRPr="0030416C" w14:paraId="7BD79673" w14:textId="77777777" w:rsidTr="008744AF">
        <w:trPr>
          <w:trHeight w:val="113"/>
        </w:trPr>
        <w:tc>
          <w:tcPr>
            <w:tcW w:w="1979" w:type="dxa"/>
            <w:tcBorders>
              <w:bottom w:val="single" w:sz="4" w:space="0" w:color="auto"/>
            </w:tcBorders>
          </w:tcPr>
          <w:p w14:paraId="501F07C8" w14:textId="563669F6" w:rsidR="008744AF" w:rsidRPr="008744AF" w:rsidRDefault="008744AF" w:rsidP="008744AF">
            <w:pPr>
              <w:spacing w:after="60"/>
              <w:rPr>
                <w:b/>
                <w:sz w:val="20"/>
              </w:rPr>
            </w:pPr>
            <w:r w:rsidRPr="008744AF">
              <w:rPr>
                <w:sz w:val="20"/>
              </w:rPr>
              <w:t>Climate awareness</w:t>
            </w:r>
          </w:p>
        </w:tc>
        <w:tc>
          <w:tcPr>
            <w:tcW w:w="1967" w:type="dxa"/>
            <w:tcBorders>
              <w:bottom w:val="single" w:sz="4" w:space="0" w:color="auto"/>
            </w:tcBorders>
          </w:tcPr>
          <w:p w14:paraId="00506587" w14:textId="3A84CA37" w:rsidR="008744AF" w:rsidRPr="008744AF" w:rsidRDefault="008744AF" w:rsidP="008744AF">
            <w:pPr>
              <w:spacing w:after="60"/>
              <w:rPr>
                <w:sz w:val="20"/>
              </w:rPr>
            </w:pPr>
            <w:r>
              <w:rPr>
                <w:sz w:val="20"/>
              </w:rPr>
              <w:t>Climate awareness</w:t>
            </w:r>
          </w:p>
        </w:tc>
        <w:tc>
          <w:tcPr>
            <w:tcW w:w="2351" w:type="dxa"/>
            <w:tcBorders>
              <w:bottom w:val="single" w:sz="4" w:space="0" w:color="auto"/>
            </w:tcBorders>
          </w:tcPr>
          <w:p w14:paraId="517A575A" w14:textId="7A7F4A40" w:rsidR="008744AF" w:rsidRPr="008744AF" w:rsidRDefault="008744AF" w:rsidP="008744AF">
            <w:pPr>
              <w:spacing w:after="60"/>
              <w:rPr>
                <w:sz w:val="20"/>
              </w:rPr>
            </w:pPr>
            <w:r w:rsidRPr="008744AF">
              <w:rPr>
                <w:sz w:val="20"/>
              </w:rPr>
              <w:t>% of population aware of climate change</w:t>
            </w:r>
          </w:p>
        </w:tc>
        <w:tc>
          <w:tcPr>
            <w:tcW w:w="967" w:type="dxa"/>
            <w:tcBorders>
              <w:bottom w:val="single" w:sz="4" w:space="0" w:color="auto"/>
            </w:tcBorders>
          </w:tcPr>
          <w:p w14:paraId="5D75ED69" w14:textId="630C2AF8" w:rsidR="008744AF" w:rsidRPr="008744AF" w:rsidRDefault="008744AF" w:rsidP="008744AF">
            <w:pPr>
              <w:spacing w:after="60"/>
              <w:rPr>
                <w:sz w:val="20"/>
              </w:rPr>
            </w:pPr>
            <w:r w:rsidRPr="008744AF">
              <w:rPr>
                <w:sz w:val="20"/>
              </w:rPr>
              <w:t>2010</w:t>
            </w:r>
          </w:p>
        </w:tc>
        <w:tc>
          <w:tcPr>
            <w:tcW w:w="1806" w:type="dxa"/>
            <w:tcBorders>
              <w:bottom w:val="single" w:sz="4" w:space="0" w:color="auto"/>
            </w:tcBorders>
          </w:tcPr>
          <w:p w14:paraId="1021CD8F" w14:textId="495BD1AA" w:rsidR="008744AF" w:rsidRPr="008744AF" w:rsidRDefault="008744AF" w:rsidP="008744AF">
            <w:pPr>
              <w:spacing w:after="60"/>
              <w:rPr>
                <w:sz w:val="20"/>
              </w:rPr>
            </w:pPr>
            <w:r w:rsidRPr="008744AF">
              <w:rPr>
                <w:sz w:val="20"/>
                <w:lang w:val="de-DE"/>
              </w:rPr>
              <w:fldChar w:fldCharType="begin" w:fldLock="1"/>
            </w:r>
            <w:r w:rsidR="00AE1CAD">
              <w:rPr>
                <w:sz w:val="20"/>
                <w:lang w:val="de-DE"/>
              </w:rPr>
              <w:instrText>ADDIN CSL_CITATION {"citationItems":[{"id":"ITEM-1","itemData":{"DOI":"10.1038/nclimate2728","ISBN":"1758-678X","ISSN":"17586798","PMID":"15244664","abstract":"Climate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w:instrText>
            </w:r>
            <w:r w:rsidR="00AE1CAD" w:rsidRPr="00AE1CAD">
              <w:rPr>
                <w:sz w:val="20"/>
              </w:rPr>
              <w:instrText>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Change","id":"ITEM-1","issue":"11","issued":{"date-parts":[["2015"]]},"page":"1014-1020","title":"Predictors of public climate change awareness and risk perception around the world","type":"article-journal","volume":"5"},"uris":["http://www.mendeley.com/documents/?uuid=6827d493-0056-4c64-a396-f933490098f2"]},{"id":"ITEM-2","itemData":{"author":[{"dropping-particle":"","family":"Pelham","given":"Brett W.","non-dropping-particle":"","parse-names":false,"suffix":""}],"id":"ITEM-2","issued":{"date-parts":[["2009"]]},"publisher-place":"Washington, D.C.","title":"Awareness, Opinions About Global Warming Vary Worldwide","type":"report"},"uris":["http://www.mendeley.com/documents/?uuid=c589978a-81ae-45ed-a5bb-ebfe3973a1e4"]}],"mendeley":{"formattedCitation":"(Lee et al., 2015; Pelham, 2009)","plainTextFormattedCitation":"(Lee et al., 2015; Pelham, 2009)","previouslyFormattedCitation":"(Lee et al., 2015; Pelham, 2009)"},"properties":{"noteIndex":0},"schema":"https://github.com/citation-style-language/schema/raw/master/csl-citation.json"}</w:instrText>
            </w:r>
            <w:r w:rsidRPr="008744AF">
              <w:rPr>
                <w:sz w:val="20"/>
                <w:lang w:val="de-DE"/>
              </w:rPr>
              <w:fldChar w:fldCharType="separate"/>
            </w:r>
            <w:r w:rsidR="00B53BF6" w:rsidRPr="00B53BF6">
              <w:rPr>
                <w:noProof/>
                <w:sz w:val="20"/>
              </w:rPr>
              <w:t>(Lee et al., 2015; Pelham, 2009)</w:t>
            </w:r>
            <w:r w:rsidRPr="008744AF">
              <w:rPr>
                <w:sz w:val="20"/>
                <w:lang w:val="de-DE"/>
              </w:rPr>
              <w:fldChar w:fldCharType="end"/>
            </w:r>
          </w:p>
        </w:tc>
      </w:tr>
    </w:tbl>
    <w:p w14:paraId="1F9B47AC" w14:textId="40DB63E1" w:rsidR="0055617A" w:rsidRPr="00093C59" w:rsidRDefault="00B870F3" w:rsidP="00B870F3">
      <w:pPr>
        <w:pStyle w:val="Caption"/>
        <w:rPr>
          <w:b/>
          <w:sz w:val="22"/>
        </w:rPr>
      </w:pPr>
      <w:bookmarkStart w:id="3" w:name="_Ref6304225"/>
      <w:bookmarkStart w:id="4" w:name="_Ref12279991"/>
      <w:r w:rsidRPr="00093C59">
        <w:rPr>
          <w:b/>
          <w:sz w:val="22"/>
        </w:rPr>
        <w:t xml:space="preserve">Table </w:t>
      </w:r>
      <w:r w:rsidRPr="00093C59">
        <w:rPr>
          <w:b/>
          <w:sz w:val="22"/>
        </w:rPr>
        <w:fldChar w:fldCharType="begin"/>
      </w:r>
      <w:r w:rsidRPr="00093C59">
        <w:rPr>
          <w:b/>
          <w:sz w:val="22"/>
        </w:rPr>
        <w:instrText xml:space="preserve"> SEQ Table \* ARABIC </w:instrText>
      </w:r>
      <w:r w:rsidRPr="00093C59">
        <w:rPr>
          <w:b/>
          <w:sz w:val="22"/>
        </w:rPr>
        <w:fldChar w:fldCharType="separate"/>
      </w:r>
      <w:r w:rsidR="00403128" w:rsidRPr="00093C59">
        <w:rPr>
          <w:b/>
          <w:noProof/>
          <w:sz w:val="22"/>
        </w:rPr>
        <w:t>4</w:t>
      </w:r>
      <w:r w:rsidRPr="00093C59">
        <w:rPr>
          <w:b/>
          <w:sz w:val="22"/>
        </w:rPr>
        <w:fldChar w:fldCharType="end"/>
      </w:r>
      <w:bookmarkEnd w:id="3"/>
      <w:r w:rsidRPr="00093C59">
        <w:rPr>
          <w:b/>
          <w:sz w:val="22"/>
        </w:rPr>
        <w:t xml:space="preserve">: </w:t>
      </w:r>
      <w:r w:rsidR="00A716AC">
        <w:rPr>
          <w:b/>
          <w:sz w:val="22"/>
        </w:rPr>
        <w:t>D</w:t>
      </w:r>
      <w:r w:rsidR="00061A34" w:rsidRPr="00093C59">
        <w:rPr>
          <w:b/>
          <w:sz w:val="22"/>
        </w:rPr>
        <w:t>ata and variables</w:t>
      </w:r>
      <w:bookmarkEnd w:id="4"/>
    </w:p>
    <w:p w14:paraId="47844D36" w14:textId="77777777" w:rsidR="00A716AC" w:rsidRDefault="00A716AC" w:rsidP="00952DB6">
      <w:pPr>
        <w:spacing w:line="360" w:lineRule="auto"/>
      </w:pPr>
      <w:r>
        <w:t xml:space="preserve">Institutional variables are well documented and widely available. Given considerable evidence pointing to the importance of broad democratic processes, as well as the specific issue of controlling corruption, we employ respective indexes on these dimensions from the V-Dem </w:t>
      </w:r>
      <w:r>
        <w:fldChar w:fldCharType="begin" w:fldLock="1"/>
      </w:r>
      <w:r>
        <w:instrText>ADDIN CSL_CITATION {"citationItems":[{"id":"ITEM-1","itemData":{"author":[{"dropping-particle":"","family":"V-DEM","given":"","non-dropping-particle":"","parse-names":false,"suffix":""}],"id":"ITEM-1","issued":{"date-parts":[["2018"]]},"publisher-place":"Gothenburg","title":"Democracy for All? V-Dem Annual Democracy Report 2018","type":"report"},"suppress-author":1,"uris":["http://www.mendeley.com/documents/?uuid=a1fb460f-966a-4f48-9806-a3d7f8f05855"]}],"mendeley":{"formattedCitation":"(2018)","plainTextFormattedCitation":"(2018)","previouslyFormattedCitation":"(2018)"},"properties":{"noteIndex":0},"schema":"https://github.com/citation-style-language/schema/raw/master/csl-citation.json"}</w:instrText>
      </w:r>
      <w:r>
        <w:fldChar w:fldCharType="separate"/>
      </w:r>
      <w:r w:rsidRPr="00B53BF6">
        <w:rPr>
          <w:noProof/>
        </w:rPr>
        <w:t>(2018)</w:t>
      </w:r>
      <w:r>
        <w:fldChar w:fldCharType="end"/>
      </w:r>
      <w:r>
        <w:t xml:space="preserve"> and World Governance Indicator </w:t>
      </w:r>
      <w:r>
        <w:fldChar w:fldCharType="begin" w:fldLock="1"/>
      </w:r>
      <w:r>
        <w:instrText>ADDIN CSL_CITATION {"citationItems":[{"id":"ITEM-1","itemData":{"URL":"http://info.worldbank.org/governance/wgi/index.aspx","author":[{"dropping-particle":"","family":"Kaufmann","given":"Daniel","non-dropping-particle":"","parse-names":false,"suffix":""},{"dropping-particle":"","family":"Kraay","given":"Aart","non-dropping-particle":"","parse-names":false,"suffix":""}],"id":"ITEM-1","issued":{"date-parts":[["2015"]]},"title":"World Governance Indicators","type":"webpage"},"uris":["http://www.mendeley.com/documents/?uuid=5bec128a-865d-4f2c-8ad6-c91af5f5012b"]}],"mendeley":{"formattedCitation":"(Kaufmann &amp; Kraay, 2015)","plainTextFormattedCitation":"(Kaufmann &amp; Kraay, 2015)","previouslyFormattedCitation":"(Kaufmann &amp; Kraay, 2015)"},"properties":{"noteIndex":0},"schema":"https://github.com/citation-style-language/schema/raw/master/csl-citation.json"}</w:instrText>
      </w:r>
      <w:r>
        <w:fldChar w:fldCharType="separate"/>
      </w:r>
      <w:r w:rsidRPr="00B53BF6">
        <w:rPr>
          <w:noProof/>
        </w:rPr>
        <w:t>(Kaufmann &amp; Kraay, 2015)</w:t>
      </w:r>
      <w:r>
        <w:fldChar w:fldCharType="end"/>
      </w:r>
      <w:r>
        <w:t xml:space="preserve"> databases.</w:t>
      </w:r>
    </w:p>
    <w:p w14:paraId="7C1F5E9B" w14:textId="3992E3A3" w:rsidR="003612CE" w:rsidRDefault="003612CE" w:rsidP="00952DB6">
      <w:pPr>
        <w:spacing w:line="360" w:lineRule="auto"/>
      </w:pPr>
      <w:r>
        <w:lastRenderedPageBreak/>
        <w:t>Finally, for idea-based constraints we centre on climate change awareness and social trust as the foundations for long-term public policy making. The former we obtain from the Gallup survey of 2008</w:t>
      </w:r>
      <w:r w:rsidR="007858F8">
        <w:t xml:space="preserve"> </w:t>
      </w:r>
      <w:r w:rsidR="007858F8">
        <w:fldChar w:fldCharType="begin" w:fldLock="1"/>
      </w:r>
      <w:r w:rsidR="00AE1CAD">
        <w:instrText>ADDIN CSL_CITATION {"citationItems":[{"id":"ITEM-1","itemData":{"author":[{"dropping-particle":"","family":"Pelham","given":"Brett W.","non-dropping-particle":"","parse-names":false,"suffix":""}],"id":"ITEM-1","issued":{"date-parts":[["2009"]]},"publisher-place":"Washington, D.C.","title":"Awareness, Opinions About Global Warming Vary Worldwide","type":"report"},"uris":["http://www.mendeley.com/documents/?uuid=c589978a-81ae-45ed-a5bb-ebfe3973a1e4"]}],"mendeley":{"formattedCitation":"(Pelham, 2009)","plainTextFormattedCitation":"(Pelham, 2009)","previouslyFormattedCitation":"(Pelham, 2009)"},"properties":{"noteIndex":0},"schema":"https://github.com/citation-style-language/schema/raw/master/csl-citation.json"}</w:instrText>
      </w:r>
      <w:r w:rsidR="007858F8">
        <w:fldChar w:fldCharType="separate"/>
      </w:r>
      <w:r w:rsidR="00B53BF6" w:rsidRPr="00B53BF6">
        <w:rPr>
          <w:noProof/>
        </w:rPr>
        <w:t>(Pelham, 2009)</w:t>
      </w:r>
      <w:r w:rsidR="007858F8">
        <w:fldChar w:fldCharType="end"/>
      </w:r>
      <w:r>
        <w:t xml:space="preserve">, averaged with data reported in a more recent publication </w:t>
      </w:r>
      <w:r>
        <w:fldChar w:fldCharType="begin" w:fldLock="1"/>
      </w:r>
      <w:r w:rsidR="00AE1CAD">
        <w:instrText>ADDIN CSL_CITATION {"citationItems":[{"id":"ITEM-1","itemData":{"DOI":"10.1038/nclimate2728","ISBN":"1758-678X","ISSN":"17586798","PMID":"15244664","abstract":"Climate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Change","id":"ITEM-1","issue":"11","issued":{"date-parts":[["2015"]]},"page":"1014-1020","title":"Predictors of public climate change awareness and risk perception around the world","type":"article-journal","volume":"5"},"uris":["http://www.mendeley.com/documents/?uuid=6827d493-0056-4c64-a396-f933490098f2"]}],"mendeley":{"formattedCitation":"(Lee et al., 2015)","plainTextFormattedCitation":"(Lee et al., 2015)","previouslyFormattedCitation":"(Lee et al., 2015)"},"properties":{"noteIndex":0},"schema":"https://github.com/citation-style-language/schema/raw/master/csl-citation.json"}</w:instrText>
      </w:r>
      <w:r>
        <w:fldChar w:fldCharType="separate"/>
      </w:r>
      <w:r w:rsidR="00B53BF6" w:rsidRPr="00B53BF6">
        <w:rPr>
          <w:noProof/>
        </w:rPr>
        <w:t>(Lee et al., 2015)</w:t>
      </w:r>
      <w:r>
        <w:fldChar w:fldCharType="end"/>
      </w:r>
      <w:r>
        <w:t xml:space="preserve">. The latter was obtained by aggregating the World Values Survey </w:t>
      </w:r>
      <w:r>
        <w:fldChar w:fldCharType="begin" w:fldLock="1"/>
      </w:r>
      <w:r w:rsidR="00AE1CAD">
        <w:instrText>ADDIN CSL_CITATION {"citationItems":[{"id":"ITEM-1","itemData":{"URL":"www.worldvaluessurvey.org","accessed":{"date-parts":[["2016","10","10"]]},"author":[{"dropping-particle":"","family":"WVS","given":"","non-dropping-particle":"","parse-names":false,"suffix":""}],"id":"ITEM-1","issued":{"date-parts":[["2014"]]},"title":"WORLD VALUES SURVEY Wave 6 2010-2014 OFFICIAL AGGREGATE v.20150418.","type":"webpage"},"uris":["http://www.mendeley.com/documents/?uuid=eb9a3bf6-d7dc-4629-b4fe-97c9f5a816aa"]}],"mendeley":{"formattedCitation":"(WVS, 2014)","plainTextFormattedCitation":"(WVS, 2014)","previouslyFormattedCitation":"(WVS, 2014)"},"properties":{"noteIndex":0},"schema":"https://github.com/citation-style-language/schema/raw/master/csl-citation.json"}</w:instrText>
      </w:r>
      <w:r>
        <w:fldChar w:fldCharType="separate"/>
      </w:r>
      <w:r w:rsidR="00B53BF6" w:rsidRPr="00B53BF6">
        <w:rPr>
          <w:noProof/>
        </w:rPr>
        <w:t>(WVS, 2014)</w:t>
      </w:r>
      <w:r>
        <w:fldChar w:fldCharType="end"/>
      </w:r>
      <w:r>
        <w:t xml:space="preserve"> with</w:t>
      </w:r>
      <w:r w:rsidR="003C6AA2">
        <w:t xml:space="preserve"> regional value surveys from Europe</w:t>
      </w:r>
      <w:r>
        <w:t xml:space="preserve">, Latin </w:t>
      </w:r>
      <w:r w:rsidR="003C6AA2">
        <w:t xml:space="preserve">America </w:t>
      </w:r>
      <w:r>
        <w:t>and Africa.</w:t>
      </w:r>
    </w:p>
    <w:p w14:paraId="0D3B46AE" w14:textId="5D4F94AD" w:rsidR="00351568" w:rsidRDefault="000F06FC" w:rsidP="00AA57D1">
      <w:pPr>
        <w:pStyle w:val="Heading3"/>
        <w:numPr>
          <w:ilvl w:val="2"/>
          <w:numId w:val="1"/>
        </w:numPr>
        <w:spacing w:after="120" w:line="360" w:lineRule="auto"/>
      </w:pPr>
      <w:r>
        <w:t xml:space="preserve">Correlations, PCA, cluster </w:t>
      </w:r>
      <w:r w:rsidR="00676B9A">
        <w:t xml:space="preserve">and trend </w:t>
      </w:r>
      <w:r w:rsidR="00C52415">
        <w:t>analysis</w:t>
      </w:r>
    </w:p>
    <w:p w14:paraId="174432F4" w14:textId="5AC71916" w:rsidR="00351568" w:rsidRDefault="000F77F3" w:rsidP="00952DB6">
      <w:pPr>
        <w:spacing w:line="360" w:lineRule="auto"/>
      </w:pPr>
      <w:r>
        <w:t xml:space="preserve">Our exploratory analysis consists of 4 </w:t>
      </w:r>
      <w:r w:rsidR="00D47EA3">
        <w:t>stages</w:t>
      </w:r>
      <w:r>
        <w:t xml:space="preserve">. First we calculate the (Spearman) correlations between variables, to derive a general sense of the dominant relationships at hand. Second, we perform a principal component analysis (PCA) to synthesize the dataset into a smaller </w:t>
      </w:r>
      <w:r w:rsidR="009E32AC">
        <w:t>set</w:t>
      </w:r>
      <w:r>
        <w:t xml:space="preserve"> of dimensions. Since we expect strong correlations between certain variables (for instance, democracy and corruption), PCA reduce</w:t>
      </w:r>
      <w:r w:rsidR="00AA2D51">
        <w:t>s</w:t>
      </w:r>
      <w:r>
        <w:t xml:space="preserve"> the raw data into vectors (components) that combine these effects</w:t>
      </w:r>
      <w:r w:rsidR="009E32AC">
        <w:t xml:space="preserve">, each orthogonal to the other, capturing decreasing amounts of variance. This aids interpretation, by removing noise, and creates more stable data for conducting cluster analysis </w:t>
      </w:r>
      <w:r w:rsidR="009E32AC">
        <w:fldChar w:fldCharType="begin" w:fldLock="1"/>
      </w:r>
      <w:r w:rsidR="00AE1CAD">
        <w:instrText>ADDIN CSL_CITATION {"citationItems":[{"id":"ITEM-1","itemData":{"DOI":"10.1201/b21874","ISBN":"9781315301877","ISSN":"0266-4763","PMID":"16492807","abstract":"An introduction to exploratory techniques for multivariate data analysis, this book covers the key methodology, including principal components analysis, correspondence analysis, mixed models, and multiple factor analysis. The authors take a practical approach, with examples leading the discussion of the methods and many graphics to emphasize visualization. They present the concepts in the most intuitive way possible, keeping mathematical content to a minimum or relegating it to the appendices. The book includes examples that use real data from a range of scientific disciplines and implemented using an R package developed by the authors.","author":[{"dropping-particle":"","family":"Husson","given":"François","non-dropping-particle":"","parse-names":false,"suffix":""},{"dropping-particle":"","family":"Lê","given":"Sébastien","non-dropping-particle":"","parse-names":false,"suffix":""},{"dropping-particle":"","family":"Pagès","given":"Jérôme","non-dropping-particle":"","parse-names":false,"suffix":""}],"id":"ITEM-1","issued":{"date-parts":[["2017"]]},"publisher":"CRC Press","publisher-place":"London","title":"Exploratory Multivariate Analysis by Example Using R","type":"book"},"uris":["http://www.mendeley.com/documents/?uuid=de10245f-02db-453f-84ee-cb0d6bb20605"]}],"mendeley":{"formattedCitation":"(Husson, Lê, &amp; Pagès, 2017)","plainTextFormattedCitation":"(Husson, Lê, &amp; Pagès, 2017)","previouslyFormattedCitation":"(Husson, Lê, &amp; Pagès, 2017)"},"properties":{"noteIndex":0},"schema":"https://github.com/citation-style-language/schema/raw/master/csl-citation.json"}</w:instrText>
      </w:r>
      <w:r w:rsidR="009E32AC">
        <w:fldChar w:fldCharType="separate"/>
      </w:r>
      <w:r w:rsidR="00B53BF6" w:rsidRPr="00B53BF6">
        <w:rPr>
          <w:noProof/>
        </w:rPr>
        <w:t>(Husson, Lê, &amp; Pagès, 2017)</w:t>
      </w:r>
      <w:r w:rsidR="009E32AC">
        <w:fldChar w:fldCharType="end"/>
      </w:r>
      <w:r w:rsidR="009E32AC">
        <w:t xml:space="preserve">. Third, we perform cluster analysis </w:t>
      </w:r>
      <w:r w:rsidR="00F04BE9">
        <w:t xml:space="preserve">using a k-means algorithm </w:t>
      </w:r>
      <w:r w:rsidR="009E32AC">
        <w:t>on the principal components</w:t>
      </w:r>
      <w:r w:rsidR="00F04BE9">
        <w:t xml:space="preserve"> that account for 85% of the cumulative data variance</w:t>
      </w:r>
      <w:r w:rsidR="009E32AC">
        <w:t xml:space="preserve">. </w:t>
      </w:r>
      <w:r w:rsidR="00AA2D51">
        <w:t xml:space="preserve">The number of clusters is subjectively chosen: we calculated </w:t>
      </w:r>
      <w:proofErr w:type="spellStart"/>
      <w:r w:rsidR="00AA2D51">
        <w:t>n</w:t>
      </w:r>
      <w:proofErr w:type="spellEnd"/>
      <w:r w:rsidR="00AA2D51">
        <w:t xml:space="preserve"> clusters from 4 to 8, and noted that beyond 5 </w:t>
      </w:r>
      <w:r w:rsidR="00F04BE9">
        <w:t xml:space="preserve">we obtain </w:t>
      </w:r>
      <w:r w:rsidR="00AA2D51">
        <w:t>only marginal differentiation between group</w:t>
      </w:r>
      <w:r w:rsidR="00F04BE9">
        <w:t>s</w:t>
      </w:r>
      <w:r w:rsidR="00AA2D51">
        <w:t xml:space="preserve"> of wealthier northern states.</w:t>
      </w:r>
      <w:r w:rsidR="00F04BE9">
        <w:t xml:space="preserve"> The 5 clusters of countries are then descriptively analysed</w:t>
      </w:r>
      <w:r w:rsidR="00EC172E">
        <w:t xml:space="preserve"> and named</w:t>
      </w:r>
      <w:r w:rsidR="00F04BE9">
        <w:t xml:space="preserve">. </w:t>
      </w:r>
      <w:r w:rsidR="00B71F74">
        <w:t>In this combination of</w:t>
      </w:r>
      <w:r w:rsidR="00053C72">
        <w:t xml:space="preserve"> PCA and clustering</w:t>
      </w:r>
      <w:r w:rsidR="00B71F74">
        <w:t xml:space="preserve"> methods we follow </w:t>
      </w:r>
      <w:r w:rsidR="00831238">
        <w:t xml:space="preserve">a simplified </w:t>
      </w:r>
      <w:r w:rsidR="00053C72">
        <w:t xml:space="preserve">version of the </w:t>
      </w:r>
      <w:r w:rsidR="00B71F74">
        <w:t xml:space="preserve">approach </w:t>
      </w:r>
      <w:r w:rsidR="00053C72">
        <w:t xml:space="preserve">by </w:t>
      </w:r>
      <w:proofErr w:type="spellStart"/>
      <w:r w:rsidR="00B71F74">
        <w:t>Cahen-fourot</w:t>
      </w:r>
      <w:proofErr w:type="spellEnd"/>
      <w:r w:rsidR="00B71F74">
        <w:t xml:space="preserve"> </w:t>
      </w:r>
      <w:r w:rsidR="00B71F74">
        <w:fldChar w:fldCharType="begin" w:fldLock="1"/>
      </w:r>
      <w:r w:rsidR="00AE1CAD">
        <w:instrText>ADDIN CSL_CITATION {"citationItems":[{"id":"ITEM-1","itemData":{"author":[{"dropping-particle":"","family":"Cahen-fourot","given":"Louison","non-dropping-particle":"","parse-names":false,"suffix":""}],"id":"ITEM-1","issued":{"date-parts":[["2019"]]},"number":"26","publisher-place":"Vienna","title":"The social relation to the environment in contemporary capitalism: theoretical reflections and empirical explorations","type":"report"},"suppress-author":1,"uris":["http://www.mendeley.com/documents/?uuid=f74efa70-9c85-4074-877a-7ef5df50e18a"]}],"mendeley":{"formattedCitation":"(2019)","plainTextFormattedCitation":"(2019)","previouslyFormattedCitation":"(2019)"},"properties":{"noteIndex":0},"schema":"https://github.com/citation-style-language/schema/raw/master/csl-citation.json"}</w:instrText>
      </w:r>
      <w:r w:rsidR="00B71F74">
        <w:fldChar w:fldCharType="separate"/>
      </w:r>
      <w:r w:rsidR="00B53BF6" w:rsidRPr="00B53BF6">
        <w:rPr>
          <w:noProof/>
        </w:rPr>
        <w:t>(2019)</w:t>
      </w:r>
      <w:r w:rsidR="00B71F74">
        <w:fldChar w:fldCharType="end"/>
      </w:r>
      <w:r w:rsidR="00B71F74">
        <w:t xml:space="preserve">, which explores varieties of national capitalism and their social relation to the environment. </w:t>
      </w:r>
      <w:r w:rsidR="00F04BE9">
        <w:t>Finally, we assess general trends over time by</w:t>
      </w:r>
      <w:r w:rsidR="000B5348">
        <w:t xml:space="preserve"> country and cluster</w:t>
      </w:r>
      <w:r w:rsidR="000F06FC">
        <w:t>.</w:t>
      </w:r>
    </w:p>
    <w:p w14:paraId="2FAFB7CD" w14:textId="28D18CD4" w:rsidR="000B5348" w:rsidRDefault="000B5348" w:rsidP="00952DB6">
      <w:pPr>
        <w:spacing w:line="360" w:lineRule="auto"/>
      </w:pPr>
      <w:r>
        <w:t xml:space="preserve">Due to the high data requirements of this analysis we use the latest available years for each variable (see </w:t>
      </w:r>
      <w:r>
        <w:fldChar w:fldCharType="begin"/>
      </w:r>
      <w:r>
        <w:instrText xml:space="preserve"> REF _Ref6304225 \h </w:instrText>
      </w:r>
      <w:r>
        <w:fldChar w:fldCharType="separate"/>
      </w:r>
      <w:r w:rsidRPr="00B870F3">
        <w:t xml:space="preserve">Table </w:t>
      </w:r>
      <w:r>
        <w:rPr>
          <w:noProof/>
        </w:rPr>
        <w:t>4</w:t>
      </w:r>
      <w:r>
        <w:fldChar w:fldCharType="end"/>
      </w:r>
      <w:r>
        <w:t xml:space="preserve">). However, for some countries there simply is no data on key variables, particularly </w:t>
      </w:r>
      <w:r w:rsidR="00FD5557">
        <w:t>in the case of</w:t>
      </w:r>
      <w:r>
        <w:t xml:space="preserve"> climate awareness, trust and coal use. </w:t>
      </w:r>
      <w:r w:rsidR="00FD5557">
        <w:t>W</w:t>
      </w:r>
      <w:r>
        <w:t>e are therefore only able to capture</w:t>
      </w:r>
      <w:r w:rsidR="00EC172E">
        <w:t xml:space="preserve"> 99 countries in the final cluster analysis, representing</w:t>
      </w:r>
      <w:r>
        <w:t xml:space="preserve"> 88% of global population and 92% of global emissions</w:t>
      </w:r>
      <w:r w:rsidR="00EC172E">
        <w:t>. T</w:t>
      </w:r>
      <w:r>
        <w:t xml:space="preserve">he main </w:t>
      </w:r>
      <w:r w:rsidR="00EC172E">
        <w:t xml:space="preserve">data </w:t>
      </w:r>
      <w:r>
        <w:t xml:space="preserve">gaps </w:t>
      </w:r>
      <w:r w:rsidR="00EC172E">
        <w:t xml:space="preserve">are </w:t>
      </w:r>
      <w:r>
        <w:t>found in sub-Saharan Africa.</w:t>
      </w:r>
    </w:p>
    <w:p w14:paraId="5E4335E9" w14:textId="77777777" w:rsidR="00D75F10" w:rsidRDefault="00D75F10" w:rsidP="00936D99">
      <w:pPr>
        <w:pStyle w:val="Heading3"/>
        <w:numPr>
          <w:ilvl w:val="1"/>
          <w:numId w:val="1"/>
        </w:numPr>
        <w:spacing w:after="120" w:line="360" w:lineRule="auto"/>
      </w:pPr>
      <w:r>
        <w:t>Results</w:t>
      </w:r>
    </w:p>
    <w:p w14:paraId="7C08F620" w14:textId="0E7B429B" w:rsidR="000F1BB9" w:rsidRDefault="00887102" w:rsidP="00D75F10">
      <w:pPr>
        <w:pStyle w:val="Heading3"/>
        <w:numPr>
          <w:ilvl w:val="2"/>
          <w:numId w:val="1"/>
        </w:numPr>
        <w:spacing w:after="120" w:line="360" w:lineRule="auto"/>
      </w:pPr>
      <w:r>
        <w:t>Interrelations between constraints</w:t>
      </w:r>
    </w:p>
    <w:p w14:paraId="0A1CC725" w14:textId="128CCD30" w:rsidR="005741FE" w:rsidRDefault="008744AF" w:rsidP="007219F3">
      <w:pPr>
        <w:spacing w:line="360" w:lineRule="auto"/>
      </w:pPr>
      <w:r>
        <w:fldChar w:fldCharType="begin"/>
      </w:r>
      <w:r>
        <w:instrText xml:space="preserve"> REF _Ref12452873 \h </w:instrText>
      </w:r>
      <w:r>
        <w:fldChar w:fldCharType="separate"/>
      </w:r>
      <w:r w:rsidRPr="00F96BBF">
        <w:t xml:space="preserve">Figure </w:t>
      </w:r>
      <w:r>
        <w:rPr>
          <w:noProof/>
        </w:rPr>
        <w:t>4</w:t>
      </w:r>
      <w:r>
        <w:fldChar w:fldCharType="end"/>
      </w:r>
      <w:r w:rsidR="003333CA">
        <w:t xml:space="preserve"> </w:t>
      </w:r>
      <w:r w:rsidR="00DB2B79">
        <w:t>shows a striking</w:t>
      </w:r>
      <w:r w:rsidR="00CF79A8">
        <w:t xml:space="preserve"> (</w:t>
      </w:r>
      <w:r w:rsidR="00616E60">
        <w:t xml:space="preserve">but </w:t>
      </w:r>
      <w:r w:rsidR="00DA0F9B">
        <w:t>not unexpected</w:t>
      </w:r>
      <w:r w:rsidR="00CF79A8">
        <w:t>)</w:t>
      </w:r>
      <w:r w:rsidR="00DB2B79">
        <w:t xml:space="preserve"> picture: </w:t>
      </w:r>
      <w:r w:rsidR="00B40EE1">
        <w:t>the continued existence of fossil fuel subsidies is strongly and negatively correlated with control of corruption, electoral democracy, awareness of climate change,</w:t>
      </w:r>
      <w:r w:rsidR="00501326">
        <w:t xml:space="preserve"> and</w:t>
      </w:r>
      <w:r w:rsidR="00BA5D69">
        <w:t xml:space="preserve"> to a lesser extent,</w:t>
      </w:r>
      <w:r w:rsidR="00501326">
        <w:t xml:space="preserve"> </w:t>
      </w:r>
      <w:r w:rsidR="00B40EE1">
        <w:t>levels of social trust</w:t>
      </w:r>
      <w:r w:rsidR="00501326">
        <w:t xml:space="preserve">. </w:t>
      </w:r>
      <w:r w:rsidR="00616E60">
        <w:t>The adoption of climate legislation</w:t>
      </w:r>
      <w:r w:rsidR="00501326">
        <w:t xml:space="preserve">, in turn, is positively associated with these indicators. </w:t>
      </w:r>
      <w:r w:rsidR="005741FE">
        <w:t xml:space="preserve">In the </w:t>
      </w:r>
      <w:r w:rsidR="00E87312">
        <w:t>principal component</w:t>
      </w:r>
      <w:r w:rsidR="005741FE">
        <w:t xml:space="preserve"> analysis, we see </w:t>
      </w:r>
      <w:r w:rsidR="009D3D48">
        <w:t xml:space="preserve">much of </w:t>
      </w:r>
      <w:r w:rsidR="005741FE">
        <w:t xml:space="preserve">these trends captured in the </w:t>
      </w:r>
      <w:r w:rsidR="00E87312">
        <w:t xml:space="preserve">first </w:t>
      </w:r>
      <w:r w:rsidR="005741FE">
        <w:t xml:space="preserve">component: </w:t>
      </w:r>
      <w:r w:rsidR="007219F3">
        <w:t xml:space="preserve">where institutional and idea-based constraints are </w:t>
      </w:r>
      <w:r w:rsidR="00EC3CDD">
        <w:t xml:space="preserve">closely </w:t>
      </w:r>
      <w:r w:rsidR="007219F3">
        <w:t>linked to subsidy removal and the adoption of climate legislation.</w:t>
      </w:r>
      <w:r w:rsidR="00A373F6">
        <w:t xml:space="preserve"> </w:t>
      </w:r>
      <w:r w:rsidR="006F24F7">
        <w:t xml:space="preserve">We </w:t>
      </w:r>
      <w:r w:rsidR="006F24F7">
        <w:lastRenderedPageBreak/>
        <w:t>interpret this as a</w:t>
      </w:r>
      <w:r w:rsidR="00A373F6">
        <w:t xml:space="preserve"> latent ‘development’ variable that points to a general North-South divide in</w:t>
      </w:r>
      <w:r w:rsidR="00A46850">
        <w:t xml:space="preserve"> the quality of public institutions, with knock-on impacts on the social sphere and</w:t>
      </w:r>
      <w:r w:rsidR="00B22962">
        <w:t xml:space="preserve"> climate policy constraints</w:t>
      </w:r>
      <w:r w:rsidR="00A373F6">
        <w:t>.</w:t>
      </w:r>
    </w:p>
    <w:p w14:paraId="23F657A2" w14:textId="5891ABDC" w:rsidR="004F407C" w:rsidRDefault="004F407C" w:rsidP="004F407C">
      <w:pPr>
        <w:spacing w:line="360" w:lineRule="auto"/>
      </w:pPr>
      <w:r>
        <w:t>Are territorial carbon emissions also associated with these constraints? E</w:t>
      </w:r>
      <w:r w:rsidR="007219F3">
        <w:t>vidently</w:t>
      </w:r>
      <w:r>
        <w:t>, the correlations</w:t>
      </w:r>
      <w:r w:rsidR="00EC3CDD">
        <w:t xml:space="preserve"> suggest that</w:t>
      </w:r>
      <w:r w:rsidR="007219F3">
        <w:t xml:space="preserve"> nations </w:t>
      </w:r>
      <w:r>
        <w:t xml:space="preserve">with </w:t>
      </w:r>
      <w:r w:rsidR="007219F3">
        <w:t>stronger institutions and a more supportive social sphere for policies</w:t>
      </w:r>
      <w:r w:rsidR="00DE2CCD">
        <w:t xml:space="preserve"> (e.g. wealthier countries)</w:t>
      </w:r>
      <w:r>
        <w:t xml:space="preserve"> do tend to have</w:t>
      </w:r>
      <w:r w:rsidR="007219F3">
        <w:t xml:space="preserve"> higher emissions. </w:t>
      </w:r>
      <w:r>
        <w:t>Yet in the second principal component, emissions is a dominant variable</w:t>
      </w:r>
      <w:r w:rsidR="00E87312">
        <w:t xml:space="preserve">, </w:t>
      </w:r>
      <w:r w:rsidR="00A4588A">
        <w:t>associating</w:t>
      </w:r>
      <w:r w:rsidR="00E87312">
        <w:t xml:space="preserve"> </w:t>
      </w:r>
      <w:r>
        <w:t xml:space="preserve">primarily with oil &amp; gas rents and social trust. Hence there is likely a </w:t>
      </w:r>
      <w:r w:rsidR="00744946">
        <w:t xml:space="preserve">well-differentiated </w:t>
      </w:r>
      <w:r>
        <w:t>subset</w:t>
      </w:r>
      <w:r w:rsidR="00A4588A">
        <w:t xml:space="preserve"> of fossil-extractive </w:t>
      </w:r>
      <w:r w:rsidR="003268B6">
        <w:t xml:space="preserve">nations in which emissions </w:t>
      </w:r>
      <w:r w:rsidR="00A4588A">
        <w:t>are very high</w:t>
      </w:r>
      <w:r w:rsidR="00744946">
        <w:t>. Such emissions may arise</w:t>
      </w:r>
      <w:r w:rsidR="00A4588A">
        <w:t xml:space="preserve"> </w:t>
      </w:r>
      <w:r w:rsidR="00744946">
        <w:t>from</w:t>
      </w:r>
      <w:r w:rsidR="00A4588A">
        <w:t xml:space="preserve"> </w:t>
      </w:r>
      <w:r w:rsidR="00744946">
        <w:t xml:space="preserve">extraction processes themselves (which tend to be energy-intensive), or </w:t>
      </w:r>
      <w:r w:rsidR="003268B6">
        <w:t>from poor incentives to pursue efficiency and fuel switching measures</w:t>
      </w:r>
      <w:r w:rsidR="00744946">
        <w:t>, i.e.</w:t>
      </w:r>
      <w:r w:rsidR="005B5D98">
        <w:t xml:space="preserve"> a ‘fossil-resource curse’ </w:t>
      </w:r>
      <w:r w:rsidR="005B5D98">
        <w:fldChar w:fldCharType="begin" w:fldLock="1"/>
      </w:r>
      <w:r w:rsidR="00AE1CAD">
        <w:instrText>ADDIN CSL_CITATION {"citationItems":[{"id":"ITEM-1","itemData":{"DOI":"10.1016/j.enpol.2013.07.076","ISSN":"03014215","author":[{"dropping-particle":"","family":"Friedrichs","given":"Jörg","non-dropping-particle":"","parse-names":false,"suffix":""},{"dropping-particle":"","family":"Inderwildi","given":"Oliver R.","non-dropping-particle":"","parse-names":false,"suffix":""}],"container-title":"Energy Policy","id":"ITEM-1","issued":{"date-parts":[["2013","8"]]},"page":"1-10","publisher":"Elsevier","title":"The carbon curse: Are fuel rich countries doomed to high CO2 intensities?","type":"article-journal"},"uris":["http://www.mendeley.com/documents/?uuid=d7a8c3fa-d5b6-4ffb-ad22-0255ef492340"]}],"mendeley":{"formattedCitation":"(Friedrichs &amp; Inderwildi, 2013)","plainTextFormattedCitation":"(Friedrichs &amp; Inderwildi, 2013)","previouslyFormattedCitation":"(Friedrichs &amp; Inderwildi, 2013)"},"properties":{"noteIndex":0},"schema":"https://github.com/citation-style-language/schema/raw/master/csl-citation.json"}</w:instrText>
      </w:r>
      <w:r w:rsidR="005B5D98">
        <w:fldChar w:fldCharType="separate"/>
      </w:r>
      <w:r w:rsidR="00B53BF6" w:rsidRPr="00B53BF6">
        <w:rPr>
          <w:noProof/>
        </w:rPr>
        <w:t>(Friedrichs &amp; Inderwildi, 2013)</w:t>
      </w:r>
      <w:r w:rsidR="005B5D98">
        <w:fldChar w:fldCharType="end"/>
      </w:r>
      <w:r w:rsidR="005B2421">
        <w:t xml:space="preserve">. </w:t>
      </w:r>
      <w:r w:rsidR="00FE1DE0">
        <w:t xml:space="preserve">Again, </w:t>
      </w:r>
      <w:r w:rsidR="005B2421">
        <w:t>in such contexts</w:t>
      </w:r>
      <w:r w:rsidR="00525A1B">
        <w:t>,</w:t>
      </w:r>
      <w:r w:rsidR="005B2421">
        <w:t xml:space="preserve"> </w:t>
      </w:r>
      <w:r w:rsidR="00EC172E">
        <w:t xml:space="preserve">the adoption of </w:t>
      </w:r>
      <w:r w:rsidR="00FE1DE0">
        <w:t xml:space="preserve">climate legislation </w:t>
      </w:r>
      <w:r w:rsidR="00EC172E">
        <w:t xml:space="preserve">becomes </w:t>
      </w:r>
      <w:r w:rsidR="005B2421">
        <w:t>less likely</w:t>
      </w:r>
      <w:r w:rsidR="00FE1DE0">
        <w:t>.</w:t>
      </w:r>
    </w:p>
    <w:p w14:paraId="2731ED8D" w14:textId="037D3532" w:rsidR="00AE1284" w:rsidRDefault="009522C7" w:rsidP="00D536AD">
      <w:pPr>
        <w:keepNext/>
        <w:spacing w:line="360" w:lineRule="auto"/>
      </w:pPr>
      <w:r>
        <w:rPr>
          <w:noProof/>
          <w:lang w:eastAsia="en-GB"/>
        </w:rPr>
        <w:drawing>
          <wp:inline distT="0" distB="0" distL="0" distR="0" wp14:anchorId="756E6D8B" wp14:editId="3F5B8BE5">
            <wp:extent cx="5531904" cy="4862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ela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3778" cy="4864477"/>
                    </a:xfrm>
                    <a:prstGeom prst="rect">
                      <a:avLst/>
                    </a:prstGeom>
                  </pic:spPr>
                </pic:pic>
              </a:graphicData>
            </a:graphic>
          </wp:inline>
        </w:drawing>
      </w:r>
    </w:p>
    <w:p w14:paraId="752DF33E" w14:textId="71E80120" w:rsidR="008726A0" w:rsidRPr="00093C59" w:rsidRDefault="00F96BBF" w:rsidP="00F96BBF">
      <w:pPr>
        <w:pStyle w:val="Caption"/>
        <w:jc w:val="center"/>
        <w:rPr>
          <w:b/>
          <w:sz w:val="22"/>
        </w:rPr>
      </w:pPr>
      <w:bookmarkStart w:id="5" w:name="_Ref12452873"/>
      <w:r w:rsidRPr="00093C59">
        <w:rPr>
          <w:b/>
          <w:sz w:val="22"/>
        </w:rPr>
        <w:t xml:space="preserve">Figure </w:t>
      </w:r>
      <w:r w:rsidRPr="00093C59">
        <w:rPr>
          <w:b/>
          <w:sz w:val="22"/>
        </w:rPr>
        <w:fldChar w:fldCharType="begin"/>
      </w:r>
      <w:r w:rsidRPr="00093C59">
        <w:rPr>
          <w:b/>
          <w:sz w:val="22"/>
        </w:rPr>
        <w:instrText xml:space="preserve"> SEQ Figure \* ARABIC </w:instrText>
      </w:r>
      <w:r w:rsidRPr="00093C59">
        <w:rPr>
          <w:b/>
          <w:sz w:val="22"/>
        </w:rPr>
        <w:fldChar w:fldCharType="separate"/>
      </w:r>
      <w:r w:rsidR="00BA5D69" w:rsidRPr="00093C59">
        <w:rPr>
          <w:b/>
          <w:noProof/>
          <w:sz w:val="22"/>
        </w:rPr>
        <w:t>4</w:t>
      </w:r>
      <w:r w:rsidRPr="00093C59">
        <w:rPr>
          <w:b/>
          <w:sz w:val="22"/>
        </w:rPr>
        <w:fldChar w:fldCharType="end"/>
      </w:r>
      <w:bookmarkEnd w:id="5"/>
      <w:r w:rsidRPr="00093C59">
        <w:rPr>
          <w:b/>
          <w:sz w:val="22"/>
        </w:rPr>
        <w:t>: Spearman correlations</w:t>
      </w:r>
    </w:p>
    <w:p w14:paraId="7D618A7D" w14:textId="43D92801" w:rsidR="001525A3" w:rsidRDefault="00294EC3" w:rsidP="00620429">
      <w:pPr>
        <w:spacing w:line="360" w:lineRule="auto"/>
      </w:pPr>
      <w:r>
        <w:lastRenderedPageBreak/>
        <w:t xml:space="preserve">The influence of coal is interesting: </w:t>
      </w:r>
      <w:r w:rsidR="001525A3">
        <w:t>it moderately correlates</w:t>
      </w:r>
      <w:r>
        <w:t xml:space="preserve"> with institutional variables and legislation adoption, </w:t>
      </w:r>
      <w:r w:rsidR="00525A1B">
        <w:t xml:space="preserve">but </w:t>
      </w:r>
      <w:r>
        <w:t>negatively with fossil subsidies</w:t>
      </w:r>
      <w:r w:rsidR="00525A1B">
        <w:t xml:space="preserve">. This suggests that coal share </w:t>
      </w:r>
      <w:r w:rsidR="001525A3">
        <w:t>does not provide a significant barrier at the legislative level</w:t>
      </w:r>
      <w:r>
        <w:t>. Yet the low strength of these relationships, and the third principal component</w:t>
      </w:r>
      <w:r w:rsidR="008436D7">
        <w:t xml:space="preserve"> (which is primarily driven by this measure),</w:t>
      </w:r>
      <w:r w:rsidR="001525A3">
        <w:t xml:space="preserve"> </w:t>
      </w:r>
      <w:r w:rsidR="008436D7">
        <w:t>indicates</w:t>
      </w:r>
      <w:r>
        <w:t xml:space="preserve"> that coal share is orthogonal to other constraints: cutting across different types of countries, and in certain contexts associating negatively with the measure of electoral democracy.</w:t>
      </w:r>
      <w:r w:rsidR="00EF5CAC">
        <w:t xml:space="preserve"> </w:t>
      </w:r>
    </w:p>
    <w:p w14:paraId="2118A58D" w14:textId="754EAB85" w:rsidR="003333CA" w:rsidRDefault="00EF5CAC" w:rsidP="00620429">
      <w:pPr>
        <w:spacing w:line="360" w:lineRule="auto"/>
      </w:pPr>
      <w:r>
        <w:t>Overall, the low variance captured by each component suggests that political economic constra</w:t>
      </w:r>
      <w:r w:rsidR="008436D7">
        <w:t>ints are rather heterogeneous. T</w:t>
      </w:r>
      <w:r w:rsidR="001525A3">
        <w:t xml:space="preserve">hey are captured in a few general </w:t>
      </w:r>
      <w:r>
        <w:t>trends</w:t>
      </w:r>
      <w:r w:rsidR="008436D7">
        <w:t xml:space="preserve"> that we have described</w:t>
      </w:r>
      <w:r>
        <w:t xml:space="preserve">, but </w:t>
      </w:r>
      <w:r w:rsidR="001525A3">
        <w:t xml:space="preserve">there is much room for </w:t>
      </w:r>
      <w:r>
        <w:t>context-specific</w:t>
      </w:r>
      <w:r w:rsidR="001525A3">
        <w:t xml:space="preserve"> combinations of factors</w:t>
      </w:r>
      <w:r>
        <w:t>.</w:t>
      </w:r>
    </w:p>
    <w:tbl>
      <w:tblPr>
        <w:tblW w:w="8789" w:type="dxa"/>
        <w:tblCellMar>
          <w:top w:w="15" w:type="dxa"/>
          <w:left w:w="15" w:type="dxa"/>
          <w:bottom w:w="15" w:type="dxa"/>
          <w:right w:w="15" w:type="dxa"/>
        </w:tblCellMar>
        <w:tblLook w:val="04A0" w:firstRow="1" w:lastRow="0" w:firstColumn="1" w:lastColumn="0" w:noHBand="0" w:noVBand="1"/>
      </w:tblPr>
      <w:tblGrid>
        <w:gridCol w:w="2552"/>
        <w:gridCol w:w="1247"/>
        <w:gridCol w:w="1247"/>
        <w:gridCol w:w="1248"/>
        <w:gridCol w:w="1247"/>
        <w:gridCol w:w="1248"/>
      </w:tblGrid>
      <w:tr w:rsidR="00BA5D69" w:rsidRPr="00BA5D69" w14:paraId="62C655F1" w14:textId="77777777" w:rsidTr="00403128">
        <w:trPr>
          <w:tblHeader/>
        </w:trPr>
        <w:tc>
          <w:tcPr>
            <w:tcW w:w="2552" w:type="dxa"/>
            <w:tcBorders>
              <w:top w:val="single" w:sz="4" w:space="0" w:color="auto"/>
              <w:bottom w:val="single" w:sz="4" w:space="0" w:color="auto"/>
            </w:tcBorders>
            <w:shd w:val="clear" w:color="auto" w:fill="auto"/>
            <w:tcMar>
              <w:top w:w="120" w:type="dxa"/>
              <w:left w:w="120" w:type="dxa"/>
              <w:bottom w:w="120" w:type="dxa"/>
              <w:right w:w="120" w:type="dxa"/>
            </w:tcMar>
            <w:vAlign w:val="bottom"/>
            <w:hideMark/>
          </w:tcPr>
          <w:p w14:paraId="38170E2E" w14:textId="10691EB2" w:rsidR="00BA5D69" w:rsidRPr="00BA5D69" w:rsidRDefault="00BA5D69" w:rsidP="00EC3CDD">
            <w:pPr>
              <w:spacing w:after="0" w:line="240" w:lineRule="auto"/>
              <w:jc w:val="right"/>
              <w:rPr>
                <w:rFonts w:ascii="Helvetica" w:eastAsia="Times New Roman" w:hAnsi="Helvetica" w:cs="Helvetica"/>
                <w:b/>
                <w:bCs/>
                <w:color w:val="444444"/>
                <w:sz w:val="19"/>
                <w:szCs w:val="19"/>
                <w:lang w:eastAsia="en-GB"/>
              </w:rPr>
            </w:pPr>
          </w:p>
        </w:tc>
        <w:tc>
          <w:tcPr>
            <w:tcW w:w="1247" w:type="dxa"/>
            <w:tcBorders>
              <w:top w:val="single" w:sz="4" w:space="0" w:color="auto"/>
              <w:bottom w:val="single" w:sz="4" w:space="0" w:color="auto"/>
            </w:tcBorders>
            <w:shd w:val="clear" w:color="auto" w:fill="auto"/>
            <w:tcMar>
              <w:top w:w="120" w:type="dxa"/>
              <w:left w:w="120" w:type="dxa"/>
              <w:bottom w:w="120" w:type="dxa"/>
              <w:right w:w="120" w:type="dxa"/>
            </w:tcMar>
            <w:vAlign w:val="bottom"/>
            <w:hideMark/>
          </w:tcPr>
          <w:p w14:paraId="6787C111" w14:textId="2D607584" w:rsidR="00BA5D69" w:rsidRPr="00BA5D69" w:rsidRDefault="00BA5D69" w:rsidP="00EC3CDD">
            <w:pPr>
              <w:spacing w:after="0" w:line="240" w:lineRule="auto"/>
              <w:rPr>
                <w:rFonts w:ascii="Helvetica" w:eastAsia="Times New Roman" w:hAnsi="Helvetica" w:cs="Helvetica"/>
                <w:b/>
                <w:bCs/>
                <w:color w:val="444444"/>
                <w:sz w:val="19"/>
                <w:szCs w:val="19"/>
                <w:lang w:eastAsia="en-GB"/>
              </w:rPr>
            </w:pPr>
            <w:r>
              <w:rPr>
                <w:rFonts w:ascii="Helvetica" w:eastAsia="Times New Roman" w:hAnsi="Helvetica" w:cs="Helvetica"/>
                <w:b/>
                <w:bCs/>
                <w:color w:val="444444"/>
                <w:sz w:val="19"/>
                <w:szCs w:val="19"/>
                <w:lang w:eastAsia="en-GB"/>
              </w:rPr>
              <w:t>PC1</w:t>
            </w:r>
          </w:p>
        </w:tc>
        <w:tc>
          <w:tcPr>
            <w:tcW w:w="1247" w:type="dxa"/>
            <w:tcBorders>
              <w:top w:val="single" w:sz="4" w:space="0" w:color="auto"/>
              <w:bottom w:val="single" w:sz="4" w:space="0" w:color="auto"/>
            </w:tcBorders>
            <w:shd w:val="clear" w:color="auto" w:fill="auto"/>
            <w:tcMar>
              <w:top w:w="120" w:type="dxa"/>
              <w:left w:w="120" w:type="dxa"/>
              <w:bottom w:w="120" w:type="dxa"/>
              <w:right w:w="120" w:type="dxa"/>
            </w:tcMar>
            <w:vAlign w:val="bottom"/>
            <w:hideMark/>
          </w:tcPr>
          <w:p w14:paraId="5E069885" w14:textId="6D4E16D7" w:rsidR="00BA5D69" w:rsidRPr="00BA5D69" w:rsidRDefault="00BA5D69" w:rsidP="00EC3CDD">
            <w:pPr>
              <w:spacing w:after="0" w:line="240" w:lineRule="auto"/>
              <w:rPr>
                <w:rFonts w:ascii="Helvetica" w:eastAsia="Times New Roman" w:hAnsi="Helvetica" w:cs="Helvetica"/>
                <w:b/>
                <w:bCs/>
                <w:color w:val="444444"/>
                <w:sz w:val="19"/>
                <w:szCs w:val="19"/>
                <w:lang w:eastAsia="en-GB"/>
              </w:rPr>
            </w:pPr>
            <w:r>
              <w:rPr>
                <w:rFonts w:ascii="Helvetica" w:eastAsia="Times New Roman" w:hAnsi="Helvetica" w:cs="Helvetica"/>
                <w:b/>
                <w:bCs/>
                <w:color w:val="444444"/>
                <w:sz w:val="19"/>
                <w:szCs w:val="19"/>
                <w:lang w:eastAsia="en-GB"/>
              </w:rPr>
              <w:t>PC2</w:t>
            </w:r>
          </w:p>
        </w:tc>
        <w:tc>
          <w:tcPr>
            <w:tcW w:w="1248" w:type="dxa"/>
            <w:tcBorders>
              <w:top w:val="single" w:sz="4" w:space="0" w:color="auto"/>
              <w:bottom w:val="single" w:sz="4" w:space="0" w:color="auto"/>
            </w:tcBorders>
            <w:shd w:val="clear" w:color="auto" w:fill="auto"/>
            <w:tcMar>
              <w:top w:w="120" w:type="dxa"/>
              <w:left w:w="120" w:type="dxa"/>
              <w:bottom w:w="120" w:type="dxa"/>
              <w:right w:w="120" w:type="dxa"/>
            </w:tcMar>
            <w:vAlign w:val="bottom"/>
            <w:hideMark/>
          </w:tcPr>
          <w:p w14:paraId="3E15FD02" w14:textId="13EA6072" w:rsidR="00BA5D69" w:rsidRPr="00BA5D69" w:rsidRDefault="00BA5D69" w:rsidP="00EC3CDD">
            <w:pPr>
              <w:spacing w:after="0" w:line="240" w:lineRule="auto"/>
              <w:rPr>
                <w:rFonts w:ascii="Helvetica" w:eastAsia="Times New Roman" w:hAnsi="Helvetica" w:cs="Helvetica"/>
                <w:b/>
                <w:bCs/>
                <w:color w:val="444444"/>
                <w:sz w:val="19"/>
                <w:szCs w:val="19"/>
                <w:lang w:eastAsia="en-GB"/>
              </w:rPr>
            </w:pPr>
            <w:r>
              <w:rPr>
                <w:rFonts w:ascii="Helvetica" w:eastAsia="Times New Roman" w:hAnsi="Helvetica" w:cs="Helvetica"/>
                <w:b/>
                <w:bCs/>
                <w:color w:val="444444"/>
                <w:sz w:val="19"/>
                <w:szCs w:val="19"/>
                <w:lang w:eastAsia="en-GB"/>
              </w:rPr>
              <w:t>PC3</w:t>
            </w:r>
          </w:p>
        </w:tc>
        <w:tc>
          <w:tcPr>
            <w:tcW w:w="1247" w:type="dxa"/>
            <w:tcBorders>
              <w:top w:val="single" w:sz="4" w:space="0" w:color="auto"/>
              <w:bottom w:val="single" w:sz="4" w:space="0" w:color="auto"/>
            </w:tcBorders>
            <w:shd w:val="clear" w:color="auto" w:fill="auto"/>
            <w:tcMar>
              <w:top w:w="120" w:type="dxa"/>
              <w:left w:w="120" w:type="dxa"/>
              <w:bottom w:w="120" w:type="dxa"/>
              <w:right w:w="120" w:type="dxa"/>
            </w:tcMar>
            <w:vAlign w:val="bottom"/>
            <w:hideMark/>
          </w:tcPr>
          <w:p w14:paraId="6C9815A2" w14:textId="2E539075" w:rsidR="00BA5D69" w:rsidRPr="00BA5D69" w:rsidRDefault="00BA5D69" w:rsidP="00EC3CDD">
            <w:pPr>
              <w:spacing w:after="0" w:line="240" w:lineRule="auto"/>
              <w:rPr>
                <w:rFonts w:ascii="Helvetica" w:eastAsia="Times New Roman" w:hAnsi="Helvetica" w:cs="Helvetica"/>
                <w:b/>
                <w:bCs/>
                <w:color w:val="444444"/>
                <w:sz w:val="19"/>
                <w:szCs w:val="19"/>
                <w:lang w:eastAsia="en-GB"/>
              </w:rPr>
            </w:pPr>
            <w:r>
              <w:rPr>
                <w:rFonts w:ascii="Helvetica" w:eastAsia="Times New Roman" w:hAnsi="Helvetica" w:cs="Helvetica"/>
                <w:b/>
                <w:bCs/>
                <w:color w:val="444444"/>
                <w:sz w:val="19"/>
                <w:szCs w:val="19"/>
                <w:lang w:eastAsia="en-GB"/>
              </w:rPr>
              <w:t>PC4</w:t>
            </w:r>
          </w:p>
        </w:tc>
        <w:tc>
          <w:tcPr>
            <w:tcW w:w="1248" w:type="dxa"/>
            <w:tcBorders>
              <w:top w:val="single" w:sz="4" w:space="0" w:color="auto"/>
              <w:bottom w:val="single" w:sz="4" w:space="0" w:color="auto"/>
            </w:tcBorders>
            <w:shd w:val="clear" w:color="auto" w:fill="auto"/>
            <w:tcMar>
              <w:top w:w="120" w:type="dxa"/>
              <w:left w:w="120" w:type="dxa"/>
              <w:bottom w:w="120" w:type="dxa"/>
              <w:right w:w="120" w:type="dxa"/>
            </w:tcMar>
            <w:vAlign w:val="bottom"/>
            <w:hideMark/>
          </w:tcPr>
          <w:p w14:paraId="2182D4E0" w14:textId="14AC35DA" w:rsidR="00BA5D69" w:rsidRPr="00BA5D69" w:rsidRDefault="00BA5D69" w:rsidP="00EC3CDD">
            <w:pPr>
              <w:spacing w:after="0" w:line="240" w:lineRule="auto"/>
              <w:rPr>
                <w:rFonts w:ascii="Helvetica" w:eastAsia="Times New Roman" w:hAnsi="Helvetica" w:cs="Helvetica"/>
                <w:b/>
                <w:bCs/>
                <w:color w:val="444444"/>
                <w:sz w:val="19"/>
                <w:szCs w:val="19"/>
                <w:lang w:eastAsia="en-GB"/>
              </w:rPr>
            </w:pPr>
            <w:r w:rsidRPr="00BA5D69">
              <w:rPr>
                <w:rFonts w:ascii="Helvetica" w:eastAsia="Times New Roman" w:hAnsi="Helvetica" w:cs="Helvetica"/>
                <w:b/>
                <w:bCs/>
                <w:color w:val="444444"/>
                <w:sz w:val="19"/>
                <w:szCs w:val="19"/>
                <w:lang w:eastAsia="en-GB"/>
              </w:rPr>
              <w:t>PC</w:t>
            </w:r>
            <w:r>
              <w:rPr>
                <w:rFonts w:ascii="Helvetica" w:eastAsia="Times New Roman" w:hAnsi="Helvetica" w:cs="Helvetica"/>
                <w:b/>
                <w:bCs/>
                <w:color w:val="444444"/>
                <w:sz w:val="19"/>
                <w:szCs w:val="19"/>
                <w:lang w:eastAsia="en-GB"/>
              </w:rPr>
              <w:t>5</w:t>
            </w:r>
          </w:p>
        </w:tc>
      </w:tr>
      <w:tr w:rsidR="00BA5D69" w:rsidRPr="00BA5D69" w14:paraId="146A96E9" w14:textId="77777777" w:rsidTr="00403128">
        <w:tc>
          <w:tcPr>
            <w:tcW w:w="2552" w:type="dxa"/>
            <w:tcBorders>
              <w:top w:val="single" w:sz="4" w:space="0" w:color="auto"/>
            </w:tcBorders>
            <w:shd w:val="clear" w:color="auto" w:fill="auto"/>
            <w:tcMar>
              <w:top w:w="120" w:type="dxa"/>
              <w:left w:w="120" w:type="dxa"/>
              <w:bottom w:w="120" w:type="dxa"/>
              <w:right w:w="120" w:type="dxa"/>
            </w:tcMar>
            <w:hideMark/>
          </w:tcPr>
          <w:p w14:paraId="6DDBE127"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SD</w:t>
            </w:r>
          </w:p>
        </w:tc>
        <w:tc>
          <w:tcPr>
            <w:tcW w:w="1247" w:type="dxa"/>
            <w:tcBorders>
              <w:top w:val="single" w:sz="4" w:space="0" w:color="auto"/>
            </w:tcBorders>
            <w:shd w:val="clear" w:color="auto" w:fill="auto"/>
            <w:tcMar>
              <w:top w:w="120" w:type="dxa"/>
              <w:left w:w="120" w:type="dxa"/>
              <w:bottom w:w="120" w:type="dxa"/>
              <w:right w:w="120" w:type="dxa"/>
            </w:tcMar>
            <w:hideMark/>
          </w:tcPr>
          <w:p w14:paraId="275996DF"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1.85</w:t>
            </w:r>
          </w:p>
        </w:tc>
        <w:tc>
          <w:tcPr>
            <w:tcW w:w="1247" w:type="dxa"/>
            <w:tcBorders>
              <w:top w:val="single" w:sz="4" w:space="0" w:color="auto"/>
            </w:tcBorders>
            <w:shd w:val="clear" w:color="auto" w:fill="auto"/>
            <w:tcMar>
              <w:top w:w="120" w:type="dxa"/>
              <w:left w:w="120" w:type="dxa"/>
              <w:bottom w:w="120" w:type="dxa"/>
              <w:right w:w="120" w:type="dxa"/>
            </w:tcMar>
            <w:hideMark/>
          </w:tcPr>
          <w:p w14:paraId="32FDACAC"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1.29</w:t>
            </w:r>
          </w:p>
        </w:tc>
        <w:tc>
          <w:tcPr>
            <w:tcW w:w="1248" w:type="dxa"/>
            <w:tcBorders>
              <w:top w:val="single" w:sz="4" w:space="0" w:color="auto"/>
            </w:tcBorders>
            <w:shd w:val="clear" w:color="auto" w:fill="auto"/>
            <w:tcMar>
              <w:top w:w="120" w:type="dxa"/>
              <w:left w:w="120" w:type="dxa"/>
              <w:bottom w:w="120" w:type="dxa"/>
              <w:right w:w="120" w:type="dxa"/>
            </w:tcMar>
            <w:hideMark/>
          </w:tcPr>
          <w:p w14:paraId="48D61D26"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1.02</w:t>
            </w:r>
          </w:p>
        </w:tc>
        <w:tc>
          <w:tcPr>
            <w:tcW w:w="1247" w:type="dxa"/>
            <w:tcBorders>
              <w:top w:val="single" w:sz="4" w:space="0" w:color="auto"/>
            </w:tcBorders>
            <w:shd w:val="clear" w:color="auto" w:fill="auto"/>
            <w:tcMar>
              <w:top w:w="120" w:type="dxa"/>
              <w:left w:w="120" w:type="dxa"/>
              <w:bottom w:w="120" w:type="dxa"/>
              <w:right w:w="120" w:type="dxa"/>
            </w:tcMar>
            <w:hideMark/>
          </w:tcPr>
          <w:p w14:paraId="59290C66"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0.88</w:t>
            </w:r>
          </w:p>
        </w:tc>
        <w:tc>
          <w:tcPr>
            <w:tcW w:w="1248" w:type="dxa"/>
            <w:tcBorders>
              <w:top w:val="single" w:sz="4" w:space="0" w:color="auto"/>
            </w:tcBorders>
            <w:shd w:val="clear" w:color="auto" w:fill="auto"/>
            <w:tcMar>
              <w:top w:w="120" w:type="dxa"/>
              <w:left w:w="120" w:type="dxa"/>
              <w:bottom w:w="120" w:type="dxa"/>
              <w:right w:w="120" w:type="dxa"/>
            </w:tcMar>
            <w:hideMark/>
          </w:tcPr>
          <w:p w14:paraId="16CD9DD8"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0.85</w:t>
            </w:r>
          </w:p>
        </w:tc>
      </w:tr>
      <w:tr w:rsidR="00BA5D69" w:rsidRPr="00BA5D69" w14:paraId="04EC9E92" w14:textId="77777777" w:rsidTr="00403128">
        <w:tc>
          <w:tcPr>
            <w:tcW w:w="2552" w:type="dxa"/>
            <w:shd w:val="clear" w:color="auto" w:fill="auto"/>
            <w:tcMar>
              <w:top w:w="120" w:type="dxa"/>
              <w:left w:w="120" w:type="dxa"/>
              <w:bottom w:w="120" w:type="dxa"/>
              <w:right w:w="120" w:type="dxa"/>
            </w:tcMar>
            <w:hideMark/>
          </w:tcPr>
          <w:p w14:paraId="582C287B" w14:textId="2DF5D69D"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Proportion</w:t>
            </w:r>
            <w:r w:rsidR="00EC3CDD" w:rsidRPr="00EC3CDD">
              <w:rPr>
                <w:rFonts w:ascii="Helvetica" w:eastAsia="Times New Roman" w:hAnsi="Helvetica" w:cs="Helvetica"/>
                <w:color w:val="777777"/>
                <w:sz w:val="19"/>
                <w:szCs w:val="19"/>
                <w:lang w:eastAsia="en-GB"/>
              </w:rPr>
              <w:t xml:space="preserve"> of variance</w:t>
            </w:r>
          </w:p>
        </w:tc>
        <w:tc>
          <w:tcPr>
            <w:tcW w:w="1247" w:type="dxa"/>
            <w:shd w:val="clear" w:color="auto" w:fill="auto"/>
            <w:tcMar>
              <w:top w:w="120" w:type="dxa"/>
              <w:left w:w="120" w:type="dxa"/>
              <w:bottom w:w="120" w:type="dxa"/>
              <w:right w:w="120" w:type="dxa"/>
            </w:tcMar>
            <w:hideMark/>
          </w:tcPr>
          <w:p w14:paraId="3119ED99"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0.38</w:t>
            </w:r>
          </w:p>
        </w:tc>
        <w:tc>
          <w:tcPr>
            <w:tcW w:w="1247" w:type="dxa"/>
            <w:shd w:val="clear" w:color="auto" w:fill="auto"/>
            <w:tcMar>
              <w:top w:w="120" w:type="dxa"/>
              <w:left w:w="120" w:type="dxa"/>
              <w:bottom w:w="120" w:type="dxa"/>
              <w:right w:w="120" w:type="dxa"/>
            </w:tcMar>
            <w:hideMark/>
          </w:tcPr>
          <w:p w14:paraId="4ABCC42C"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0.18</w:t>
            </w:r>
          </w:p>
        </w:tc>
        <w:tc>
          <w:tcPr>
            <w:tcW w:w="1248" w:type="dxa"/>
            <w:shd w:val="clear" w:color="auto" w:fill="auto"/>
            <w:tcMar>
              <w:top w:w="120" w:type="dxa"/>
              <w:left w:w="120" w:type="dxa"/>
              <w:bottom w:w="120" w:type="dxa"/>
              <w:right w:w="120" w:type="dxa"/>
            </w:tcMar>
            <w:hideMark/>
          </w:tcPr>
          <w:p w14:paraId="46BEB1A9"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0.12</w:t>
            </w:r>
          </w:p>
        </w:tc>
        <w:tc>
          <w:tcPr>
            <w:tcW w:w="1247" w:type="dxa"/>
            <w:shd w:val="clear" w:color="auto" w:fill="auto"/>
            <w:tcMar>
              <w:top w:w="120" w:type="dxa"/>
              <w:left w:w="120" w:type="dxa"/>
              <w:bottom w:w="120" w:type="dxa"/>
              <w:right w:w="120" w:type="dxa"/>
            </w:tcMar>
            <w:hideMark/>
          </w:tcPr>
          <w:p w14:paraId="1CB28CE5"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0.09</w:t>
            </w:r>
          </w:p>
        </w:tc>
        <w:tc>
          <w:tcPr>
            <w:tcW w:w="1248" w:type="dxa"/>
            <w:shd w:val="clear" w:color="auto" w:fill="auto"/>
            <w:tcMar>
              <w:top w:w="120" w:type="dxa"/>
              <w:left w:w="120" w:type="dxa"/>
              <w:bottom w:w="120" w:type="dxa"/>
              <w:right w:w="120" w:type="dxa"/>
            </w:tcMar>
            <w:hideMark/>
          </w:tcPr>
          <w:p w14:paraId="08D3E145"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0.08</w:t>
            </w:r>
          </w:p>
        </w:tc>
      </w:tr>
      <w:tr w:rsidR="00BA5D69" w:rsidRPr="00BA5D69" w14:paraId="3993D4E9" w14:textId="77777777" w:rsidTr="00403128">
        <w:tc>
          <w:tcPr>
            <w:tcW w:w="2552" w:type="dxa"/>
            <w:shd w:val="clear" w:color="auto" w:fill="auto"/>
            <w:tcMar>
              <w:top w:w="120" w:type="dxa"/>
              <w:left w:w="120" w:type="dxa"/>
              <w:bottom w:w="120" w:type="dxa"/>
              <w:right w:w="120" w:type="dxa"/>
            </w:tcMar>
            <w:hideMark/>
          </w:tcPr>
          <w:p w14:paraId="048BEA2F" w14:textId="4B37125C"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Cumulative</w:t>
            </w:r>
            <w:r w:rsidR="00EC3CDD" w:rsidRPr="00EC3CDD">
              <w:rPr>
                <w:rFonts w:ascii="Helvetica" w:eastAsia="Times New Roman" w:hAnsi="Helvetica" w:cs="Helvetica"/>
                <w:color w:val="777777"/>
                <w:sz w:val="19"/>
                <w:szCs w:val="19"/>
                <w:lang w:eastAsia="en-GB"/>
              </w:rPr>
              <w:t xml:space="preserve"> variance</w:t>
            </w:r>
          </w:p>
        </w:tc>
        <w:tc>
          <w:tcPr>
            <w:tcW w:w="1247" w:type="dxa"/>
            <w:shd w:val="clear" w:color="auto" w:fill="auto"/>
            <w:tcMar>
              <w:top w:w="120" w:type="dxa"/>
              <w:left w:w="120" w:type="dxa"/>
              <w:bottom w:w="120" w:type="dxa"/>
              <w:right w:w="120" w:type="dxa"/>
            </w:tcMar>
            <w:hideMark/>
          </w:tcPr>
          <w:p w14:paraId="06A3C7D2"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0.38</w:t>
            </w:r>
          </w:p>
        </w:tc>
        <w:tc>
          <w:tcPr>
            <w:tcW w:w="1247" w:type="dxa"/>
            <w:shd w:val="clear" w:color="auto" w:fill="auto"/>
            <w:tcMar>
              <w:top w:w="120" w:type="dxa"/>
              <w:left w:w="120" w:type="dxa"/>
              <w:bottom w:w="120" w:type="dxa"/>
              <w:right w:w="120" w:type="dxa"/>
            </w:tcMar>
            <w:hideMark/>
          </w:tcPr>
          <w:p w14:paraId="54358659"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0.56</w:t>
            </w:r>
          </w:p>
        </w:tc>
        <w:tc>
          <w:tcPr>
            <w:tcW w:w="1248" w:type="dxa"/>
            <w:shd w:val="clear" w:color="auto" w:fill="auto"/>
            <w:tcMar>
              <w:top w:w="120" w:type="dxa"/>
              <w:left w:w="120" w:type="dxa"/>
              <w:bottom w:w="120" w:type="dxa"/>
              <w:right w:w="120" w:type="dxa"/>
            </w:tcMar>
            <w:hideMark/>
          </w:tcPr>
          <w:p w14:paraId="246FF3FA"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0.68</w:t>
            </w:r>
          </w:p>
        </w:tc>
        <w:tc>
          <w:tcPr>
            <w:tcW w:w="1247" w:type="dxa"/>
            <w:shd w:val="clear" w:color="auto" w:fill="auto"/>
            <w:tcMar>
              <w:top w:w="120" w:type="dxa"/>
              <w:left w:w="120" w:type="dxa"/>
              <w:bottom w:w="120" w:type="dxa"/>
              <w:right w:w="120" w:type="dxa"/>
            </w:tcMar>
            <w:hideMark/>
          </w:tcPr>
          <w:p w14:paraId="75EF8A05"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0.77</w:t>
            </w:r>
          </w:p>
        </w:tc>
        <w:tc>
          <w:tcPr>
            <w:tcW w:w="1248" w:type="dxa"/>
            <w:shd w:val="clear" w:color="auto" w:fill="auto"/>
            <w:tcMar>
              <w:top w:w="120" w:type="dxa"/>
              <w:left w:w="120" w:type="dxa"/>
              <w:bottom w:w="120" w:type="dxa"/>
              <w:right w:w="120" w:type="dxa"/>
            </w:tcMar>
            <w:hideMark/>
          </w:tcPr>
          <w:p w14:paraId="018ED79C" w14:textId="77777777" w:rsidR="00BA5D69" w:rsidRPr="00BA5D69" w:rsidRDefault="00BA5D69" w:rsidP="00EC3CDD">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0.85</w:t>
            </w:r>
          </w:p>
        </w:tc>
      </w:tr>
      <w:tr w:rsidR="00755B63" w:rsidRPr="00BA5D69" w14:paraId="66600500" w14:textId="77777777" w:rsidTr="00403128">
        <w:tc>
          <w:tcPr>
            <w:tcW w:w="2552" w:type="dxa"/>
            <w:shd w:val="clear" w:color="auto" w:fill="auto"/>
            <w:tcMar>
              <w:top w:w="120" w:type="dxa"/>
              <w:left w:w="120" w:type="dxa"/>
              <w:bottom w:w="120" w:type="dxa"/>
              <w:right w:w="120" w:type="dxa"/>
            </w:tcMar>
          </w:tcPr>
          <w:p w14:paraId="7CE3B9D3" w14:textId="2B5BE1E2" w:rsidR="00755B63" w:rsidRPr="00EC3CDD" w:rsidRDefault="00755B63" w:rsidP="00755B63">
            <w:pPr>
              <w:spacing w:after="0" w:line="240" w:lineRule="auto"/>
              <w:rPr>
                <w:rFonts w:ascii="Helvetica" w:eastAsia="Times New Roman" w:hAnsi="Helvetica" w:cs="Helvetica"/>
                <w:color w:val="777777"/>
                <w:sz w:val="19"/>
                <w:szCs w:val="19"/>
                <w:lang w:eastAsia="en-GB"/>
              </w:rPr>
            </w:pPr>
            <w:r w:rsidRPr="00EC3CDD">
              <w:rPr>
                <w:rFonts w:ascii="Helvetica" w:eastAsia="Times New Roman" w:hAnsi="Helvetica" w:cs="Helvetica"/>
                <w:color w:val="777777"/>
                <w:sz w:val="19"/>
                <w:szCs w:val="19"/>
                <w:lang w:eastAsia="en-GB"/>
              </w:rPr>
              <w:t xml:space="preserve">Climate </w:t>
            </w:r>
            <w:r>
              <w:rPr>
                <w:rFonts w:ascii="Helvetica" w:eastAsia="Times New Roman" w:hAnsi="Helvetica" w:cs="Helvetica"/>
                <w:color w:val="777777"/>
                <w:sz w:val="19"/>
                <w:szCs w:val="19"/>
                <w:lang w:eastAsia="en-GB"/>
              </w:rPr>
              <w:t>laws</w:t>
            </w:r>
          </w:p>
        </w:tc>
        <w:tc>
          <w:tcPr>
            <w:tcW w:w="1247" w:type="dxa"/>
            <w:shd w:val="clear" w:color="auto" w:fill="auto"/>
            <w:tcMar>
              <w:top w:w="120" w:type="dxa"/>
              <w:left w:w="120" w:type="dxa"/>
              <w:bottom w:w="120" w:type="dxa"/>
              <w:right w:w="120" w:type="dxa"/>
            </w:tcMar>
          </w:tcPr>
          <w:p w14:paraId="475CD31B" w14:textId="7EF56653"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b/>
                <w:color w:val="777777"/>
                <w:sz w:val="19"/>
                <w:szCs w:val="19"/>
                <w:lang w:eastAsia="en-GB"/>
              </w:rPr>
              <w:t>0.27</w:t>
            </w:r>
          </w:p>
        </w:tc>
        <w:tc>
          <w:tcPr>
            <w:tcW w:w="1247" w:type="dxa"/>
            <w:shd w:val="clear" w:color="auto" w:fill="auto"/>
            <w:tcMar>
              <w:top w:w="120" w:type="dxa"/>
              <w:left w:w="120" w:type="dxa"/>
              <w:bottom w:w="120" w:type="dxa"/>
              <w:right w:w="120" w:type="dxa"/>
            </w:tcMar>
          </w:tcPr>
          <w:p w14:paraId="4F1B8B99" w14:textId="27638C71"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0.27</w:t>
            </w:r>
          </w:p>
        </w:tc>
        <w:tc>
          <w:tcPr>
            <w:tcW w:w="1248" w:type="dxa"/>
            <w:shd w:val="clear" w:color="auto" w:fill="auto"/>
            <w:tcMar>
              <w:top w:w="120" w:type="dxa"/>
              <w:left w:w="120" w:type="dxa"/>
              <w:bottom w:w="120" w:type="dxa"/>
              <w:right w:w="120" w:type="dxa"/>
            </w:tcMar>
          </w:tcPr>
          <w:p w14:paraId="6EC74FC9" w14:textId="310FA27E"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b/>
                <w:color w:val="777777"/>
                <w:sz w:val="19"/>
                <w:szCs w:val="19"/>
                <w:lang w:eastAsia="en-GB"/>
              </w:rPr>
              <w:t>0.28</w:t>
            </w:r>
          </w:p>
        </w:tc>
        <w:tc>
          <w:tcPr>
            <w:tcW w:w="1247" w:type="dxa"/>
            <w:shd w:val="clear" w:color="auto" w:fill="auto"/>
            <w:tcMar>
              <w:top w:w="120" w:type="dxa"/>
              <w:left w:w="120" w:type="dxa"/>
              <w:bottom w:w="120" w:type="dxa"/>
              <w:right w:w="120" w:type="dxa"/>
            </w:tcMar>
          </w:tcPr>
          <w:p w14:paraId="6F4CBEBD" w14:textId="3FD994A4"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b/>
                <w:color w:val="777777"/>
                <w:sz w:val="19"/>
                <w:szCs w:val="19"/>
                <w:lang w:eastAsia="en-GB"/>
              </w:rPr>
              <w:t>-0.73</w:t>
            </w:r>
          </w:p>
        </w:tc>
        <w:tc>
          <w:tcPr>
            <w:tcW w:w="1248" w:type="dxa"/>
            <w:shd w:val="clear" w:color="auto" w:fill="auto"/>
            <w:tcMar>
              <w:top w:w="120" w:type="dxa"/>
              <w:left w:w="120" w:type="dxa"/>
              <w:bottom w:w="120" w:type="dxa"/>
              <w:right w:w="120" w:type="dxa"/>
            </w:tcMar>
          </w:tcPr>
          <w:p w14:paraId="6E3E4813" w14:textId="19281B64"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-0.28</w:t>
            </w:r>
          </w:p>
        </w:tc>
      </w:tr>
      <w:tr w:rsidR="00755B63" w:rsidRPr="00BA5D69" w14:paraId="184160BB" w14:textId="77777777" w:rsidTr="00403128">
        <w:tc>
          <w:tcPr>
            <w:tcW w:w="2552" w:type="dxa"/>
            <w:shd w:val="clear" w:color="auto" w:fill="auto"/>
            <w:tcMar>
              <w:top w:w="120" w:type="dxa"/>
              <w:left w:w="120" w:type="dxa"/>
              <w:bottom w:w="120" w:type="dxa"/>
              <w:right w:w="120" w:type="dxa"/>
            </w:tcMar>
          </w:tcPr>
          <w:p w14:paraId="775BC449" w14:textId="3AFE7E8A"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EC3CDD">
              <w:rPr>
                <w:rFonts w:ascii="Helvetica" w:eastAsia="Times New Roman" w:hAnsi="Helvetica" w:cs="Helvetica"/>
                <w:color w:val="777777"/>
                <w:sz w:val="19"/>
                <w:szCs w:val="19"/>
                <w:lang w:eastAsia="en-GB"/>
              </w:rPr>
              <w:t>Fossil subsidies</w:t>
            </w:r>
          </w:p>
        </w:tc>
        <w:tc>
          <w:tcPr>
            <w:tcW w:w="1247" w:type="dxa"/>
            <w:shd w:val="clear" w:color="auto" w:fill="auto"/>
            <w:tcMar>
              <w:top w:w="120" w:type="dxa"/>
              <w:left w:w="120" w:type="dxa"/>
              <w:bottom w:w="120" w:type="dxa"/>
              <w:right w:w="120" w:type="dxa"/>
            </w:tcMar>
          </w:tcPr>
          <w:p w14:paraId="168615F7" w14:textId="50493578"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b/>
                <w:color w:val="777777"/>
                <w:sz w:val="19"/>
                <w:szCs w:val="19"/>
                <w:lang w:eastAsia="en-GB"/>
              </w:rPr>
              <w:t>-0.35</w:t>
            </w:r>
          </w:p>
        </w:tc>
        <w:tc>
          <w:tcPr>
            <w:tcW w:w="1247" w:type="dxa"/>
            <w:shd w:val="clear" w:color="auto" w:fill="auto"/>
            <w:tcMar>
              <w:top w:w="120" w:type="dxa"/>
              <w:left w:w="120" w:type="dxa"/>
              <w:bottom w:w="120" w:type="dxa"/>
              <w:right w:w="120" w:type="dxa"/>
            </w:tcMar>
          </w:tcPr>
          <w:p w14:paraId="31055882" w14:textId="2395256C"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color w:val="777777"/>
                <w:sz w:val="19"/>
                <w:szCs w:val="19"/>
                <w:lang w:eastAsia="en-GB"/>
              </w:rPr>
              <w:t>-0.20</w:t>
            </w:r>
          </w:p>
        </w:tc>
        <w:tc>
          <w:tcPr>
            <w:tcW w:w="1248" w:type="dxa"/>
            <w:shd w:val="clear" w:color="auto" w:fill="auto"/>
            <w:tcMar>
              <w:top w:w="120" w:type="dxa"/>
              <w:left w:w="120" w:type="dxa"/>
              <w:bottom w:w="120" w:type="dxa"/>
              <w:right w:w="120" w:type="dxa"/>
            </w:tcMar>
          </w:tcPr>
          <w:p w14:paraId="35213A69" w14:textId="2BC95822"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0.14</w:t>
            </w:r>
          </w:p>
        </w:tc>
        <w:tc>
          <w:tcPr>
            <w:tcW w:w="1247" w:type="dxa"/>
            <w:shd w:val="clear" w:color="auto" w:fill="auto"/>
            <w:tcMar>
              <w:top w:w="120" w:type="dxa"/>
              <w:left w:w="120" w:type="dxa"/>
              <w:bottom w:w="120" w:type="dxa"/>
              <w:right w:w="120" w:type="dxa"/>
            </w:tcMar>
          </w:tcPr>
          <w:p w14:paraId="56CA970C" w14:textId="6646D728"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b/>
                <w:color w:val="777777"/>
                <w:sz w:val="19"/>
                <w:szCs w:val="19"/>
                <w:lang w:eastAsia="en-GB"/>
              </w:rPr>
              <w:t>-0.27</w:t>
            </w:r>
          </w:p>
        </w:tc>
        <w:tc>
          <w:tcPr>
            <w:tcW w:w="1248" w:type="dxa"/>
            <w:shd w:val="clear" w:color="auto" w:fill="auto"/>
            <w:tcMar>
              <w:top w:w="120" w:type="dxa"/>
              <w:left w:w="120" w:type="dxa"/>
              <w:bottom w:w="120" w:type="dxa"/>
              <w:right w:w="120" w:type="dxa"/>
            </w:tcMar>
          </w:tcPr>
          <w:p w14:paraId="35119D73" w14:textId="46B90C52"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-0.45</w:t>
            </w:r>
          </w:p>
        </w:tc>
      </w:tr>
      <w:tr w:rsidR="00755B63" w:rsidRPr="00BA5D69" w14:paraId="57280EAC" w14:textId="77777777" w:rsidTr="00403128">
        <w:tc>
          <w:tcPr>
            <w:tcW w:w="2552" w:type="dxa"/>
            <w:shd w:val="clear" w:color="auto" w:fill="auto"/>
            <w:tcMar>
              <w:top w:w="120" w:type="dxa"/>
              <w:left w:w="120" w:type="dxa"/>
              <w:bottom w:w="120" w:type="dxa"/>
              <w:right w:w="120" w:type="dxa"/>
            </w:tcMar>
          </w:tcPr>
          <w:p w14:paraId="1F28B0DD" w14:textId="726CB5F6" w:rsidR="00755B63" w:rsidRPr="00BA5D69" w:rsidRDefault="00755B63" w:rsidP="00755B63">
            <w:pPr>
              <w:spacing w:after="0" w:line="240" w:lineRule="auto"/>
              <w:rPr>
                <w:rFonts w:ascii="Helvetica" w:eastAsia="Times New Roman" w:hAnsi="Helvetica" w:cs="Helvetica"/>
                <w:color w:val="777777"/>
                <w:sz w:val="19"/>
                <w:szCs w:val="19"/>
                <w:lang w:eastAsia="en-GB"/>
              </w:rPr>
            </w:pPr>
            <w:r>
              <w:rPr>
                <w:rFonts w:ascii="Helvetica" w:eastAsia="Times New Roman" w:hAnsi="Helvetica" w:cs="Helvetica"/>
                <w:color w:val="777777"/>
                <w:sz w:val="19"/>
                <w:szCs w:val="19"/>
                <w:lang w:eastAsia="en-GB"/>
              </w:rPr>
              <w:t>CO</w:t>
            </w:r>
            <w:r w:rsidRPr="00755B63">
              <w:rPr>
                <w:rFonts w:ascii="Helvetica" w:eastAsia="Times New Roman" w:hAnsi="Helvetica" w:cs="Helvetica"/>
                <w:color w:val="777777"/>
                <w:sz w:val="19"/>
                <w:szCs w:val="19"/>
                <w:vertAlign w:val="subscript"/>
                <w:lang w:eastAsia="en-GB"/>
              </w:rPr>
              <w:t>2</w:t>
            </w:r>
            <w:r>
              <w:rPr>
                <w:rFonts w:ascii="Helvetica" w:eastAsia="Times New Roman" w:hAnsi="Helvetica" w:cs="Helvetica"/>
                <w:color w:val="777777"/>
                <w:sz w:val="19"/>
                <w:szCs w:val="19"/>
                <w:lang w:eastAsia="en-GB"/>
              </w:rPr>
              <w:t xml:space="preserve"> emissions</w:t>
            </w:r>
          </w:p>
        </w:tc>
        <w:tc>
          <w:tcPr>
            <w:tcW w:w="1247" w:type="dxa"/>
            <w:shd w:val="clear" w:color="auto" w:fill="auto"/>
            <w:tcMar>
              <w:top w:w="120" w:type="dxa"/>
              <w:left w:w="120" w:type="dxa"/>
              <w:bottom w:w="120" w:type="dxa"/>
              <w:right w:w="120" w:type="dxa"/>
            </w:tcMar>
          </w:tcPr>
          <w:p w14:paraId="7715DA56" w14:textId="3F4D5A05"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color w:val="777777"/>
                <w:sz w:val="19"/>
                <w:szCs w:val="19"/>
                <w:lang w:eastAsia="en-GB"/>
              </w:rPr>
              <w:t>0.22</w:t>
            </w:r>
          </w:p>
        </w:tc>
        <w:tc>
          <w:tcPr>
            <w:tcW w:w="1247" w:type="dxa"/>
            <w:shd w:val="clear" w:color="auto" w:fill="auto"/>
            <w:tcMar>
              <w:top w:w="120" w:type="dxa"/>
              <w:left w:w="120" w:type="dxa"/>
              <w:bottom w:w="120" w:type="dxa"/>
              <w:right w:w="120" w:type="dxa"/>
            </w:tcMar>
          </w:tcPr>
          <w:p w14:paraId="1C65FD18" w14:textId="158346B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-0.60</w:t>
            </w:r>
          </w:p>
        </w:tc>
        <w:tc>
          <w:tcPr>
            <w:tcW w:w="1248" w:type="dxa"/>
            <w:shd w:val="clear" w:color="auto" w:fill="auto"/>
            <w:tcMar>
              <w:top w:w="120" w:type="dxa"/>
              <w:left w:w="120" w:type="dxa"/>
              <w:bottom w:w="120" w:type="dxa"/>
              <w:right w:w="120" w:type="dxa"/>
            </w:tcMar>
          </w:tcPr>
          <w:p w14:paraId="0FAB5245" w14:textId="683C863D"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color w:val="777777"/>
                <w:sz w:val="19"/>
                <w:szCs w:val="19"/>
                <w:lang w:eastAsia="en-GB"/>
              </w:rPr>
              <w:t>0.06</w:t>
            </w:r>
          </w:p>
        </w:tc>
        <w:tc>
          <w:tcPr>
            <w:tcW w:w="1247" w:type="dxa"/>
            <w:shd w:val="clear" w:color="auto" w:fill="auto"/>
            <w:tcMar>
              <w:top w:w="120" w:type="dxa"/>
              <w:left w:w="120" w:type="dxa"/>
              <w:bottom w:w="120" w:type="dxa"/>
              <w:right w:w="120" w:type="dxa"/>
            </w:tcMar>
          </w:tcPr>
          <w:p w14:paraId="3A7FDEA8" w14:textId="74F6AEFE"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color w:val="777777"/>
                <w:sz w:val="19"/>
                <w:szCs w:val="19"/>
                <w:lang w:eastAsia="en-GB"/>
              </w:rPr>
              <w:t>-0.17</w:t>
            </w:r>
          </w:p>
        </w:tc>
        <w:tc>
          <w:tcPr>
            <w:tcW w:w="1248" w:type="dxa"/>
            <w:shd w:val="clear" w:color="auto" w:fill="auto"/>
            <w:tcMar>
              <w:top w:w="120" w:type="dxa"/>
              <w:left w:w="120" w:type="dxa"/>
              <w:bottom w:w="120" w:type="dxa"/>
              <w:right w:w="120" w:type="dxa"/>
            </w:tcMar>
          </w:tcPr>
          <w:p w14:paraId="568DB8B5" w14:textId="36A44880"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0.37</w:t>
            </w:r>
          </w:p>
        </w:tc>
      </w:tr>
      <w:tr w:rsidR="00755B63" w:rsidRPr="00BA5D69" w14:paraId="7CA1349B" w14:textId="77777777" w:rsidTr="00403128">
        <w:tc>
          <w:tcPr>
            <w:tcW w:w="2552" w:type="dxa"/>
            <w:shd w:val="clear" w:color="auto" w:fill="auto"/>
            <w:tcMar>
              <w:top w:w="120" w:type="dxa"/>
              <w:left w:w="120" w:type="dxa"/>
              <w:bottom w:w="120" w:type="dxa"/>
              <w:right w:w="120" w:type="dxa"/>
            </w:tcMar>
            <w:hideMark/>
          </w:tcPr>
          <w:p w14:paraId="37446201" w14:textId="2D8B2F92"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EC3CDD">
              <w:rPr>
                <w:rFonts w:ascii="Helvetica" w:eastAsia="Times New Roman" w:hAnsi="Helvetica" w:cs="Helvetica"/>
                <w:color w:val="777777"/>
                <w:sz w:val="19"/>
                <w:szCs w:val="19"/>
                <w:lang w:eastAsia="en-GB"/>
              </w:rPr>
              <w:t>Oil &amp; gas rents</w:t>
            </w:r>
          </w:p>
        </w:tc>
        <w:tc>
          <w:tcPr>
            <w:tcW w:w="1247" w:type="dxa"/>
            <w:shd w:val="clear" w:color="auto" w:fill="auto"/>
            <w:tcMar>
              <w:top w:w="120" w:type="dxa"/>
              <w:left w:w="120" w:type="dxa"/>
              <w:bottom w:w="120" w:type="dxa"/>
              <w:right w:w="120" w:type="dxa"/>
            </w:tcMar>
            <w:hideMark/>
          </w:tcPr>
          <w:p w14:paraId="557093FB"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-0.24</w:t>
            </w:r>
          </w:p>
        </w:tc>
        <w:tc>
          <w:tcPr>
            <w:tcW w:w="1247" w:type="dxa"/>
            <w:shd w:val="clear" w:color="auto" w:fill="auto"/>
            <w:tcMar>
              <w:top w:w="120" w:type="dxa"/>
              <w:left w:w="120" w:type="dxa"/>
              <w:bottom w:w="120" w:type="dxa"/>
              <w:right w:w="120" w:type="dxa"/>
            </w:tcMar>
            <w:hideMark/>
          </w:tcPr>
          <w:p w14:paraId="5AE9F94C" w14:textId="7777777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-0.58</w:t>
            </w:r>
          </w:p>
        </w:tc>
        <w:tc>
          <w:tcPr>
            <w:tcW w:w="1248" w:type="dxa"/>
            <w:shd w:val="clear" w:color="auto" w:fill="auto"/>
            <w:tcMar>
              <w:top w:w="120" w:type="dxa"/>
              <w:left w:w="120" w:type="dxa"/>
              <w:bottom w:w="120" w:type="dxa"/>
              <w:right w:w="120" w:type="dxa"/>
            </w:tcMar>
            <w:hideMark/>
          </w:tcPr>
          <w:p w14:paraId="5D0DAEC7"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-0.12</w:t>
            </w:r>
          </w:p>
        </w:tc>
        <w:tc>
          <w:tcPr>
            <w:tcW w:w="1247" w:type="dxa"/>
            <w:shd w:val="clear" w:color="auto" w:fill="auto"/>
            <w:tcMar>
              <w:top w:w="120" w:type="dxa"/>
              <w:left w:w="120" w:type="dxa"/>
              <w:bottom w:w="120" w:type="dxa"/>
              <w:right w:w="120" w:type="dxa"/>
            </w:tcMar>
            <w:hideMark/>
          </w:tcPr>
          <w:p w14:paraId="70F6DDC9" w14:textId="7777777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-0.27</w:t>
            </w:r>
          </w:p>
        </w:tc>
        <w:tc>
          <w:tcPr>
            <w:tcW w:w="1248" w:type="dxa"/>
            <w:shd w:val="clear" w:color="auto" w:fill="auto"/>
            <w:tcMar>
              <w:top w:w="120" w:type="dxa"/>
              <w:left w:w="120" w:type="dxa"/>
              <w:bottom w:w="120" w:type="dxa"/>
              <w:right w:w="120" w:type="dxa"/>
            </w:tcMar>
            <w:hideMark/>
          </w:tcPr>
          <w:p w14:paraId="49A74B86"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0.09</w:t>
            </w:r>
          </w:p>
        </w:tc>
      </w:tr>
      <w:tr w:rsidR="00755B63" w:rsidRPr="00BA5D69" w14:paraId="240ACF42" w14:textId="77777777" w:rsidTr="00403128">
        <w:tc>
          <w:tcPr>
            <w:tcW w:w="2552" w:type="dxa"/>
            <w:shd w:val="clear" w:color="auto" w:fill="auto"/>
            <w:tcMar>
              <w:top w:w="120" w:type="dxa"/>
              <w:left w:w="120" w:type="dxa"/>
              <w:bottom w:w="120" w:type="dxa"/>
              <w:right w:w="120" w:type="dxa"/>
            </w:tcMar>
            <w:hideMark/>
          </w:tcPr>
          <w:p w14:paraId="4F6C0AA8" w14:textId="4F8D944E" w:rsidR="00755B63" w:rsidRPr="00BA5D69" w:rsidRDefault="00755B63" w:rsidP="00755B63">
            <w:pPr>
              <w:spacing w:after="0" w:line="240" w:lineRule="auto"/>
              <w:rPr>
                <w:rFonts w:ascii="Helvetica" w:eastAsia="Times New Roman" w:hAnsi="Helvetica" w:cs="Helvetica"/>
                <w:b/>
                <w:bCs/>
                <w:color w:val="444444"/>
                <w:sz w:val="19"/>
                <w:szCs w:val="19"/>
                <w:lang w:eastAsia="en-GB"/>
              </w:rPr>
            </w:pPr>
            <w:r>
              <w:rPr>
                <w:rFonts w:ascii="Helvetica" w:eastAsia="Times New Roman" w:hAnsi="Helvetica" w:cs="Helvetica"/>
                <w:color w:val="777777"/>
                <w:sz w:val="19"/>
                <w:szCs w:val="19"/>
                <w:lang w:eastAsia="en-GB"/>
              </w:rPr>
              <w:t>Coal share</w:t>
            </w:r>
          </w:p>
        </w:tc>
        <w:tc>
          <w:tcPr>
            <w:tcW w:w="1247" w:type="dxa"/>
            <w:shd w:val="clear" w:color="auto" w:fill="auto"/>
            <w:tcMar>
              <w:top w:w="120" w:type="dxa"/>
              <w:left w:w="120" w:type="dxa"/>
              <w:bottom w:w="120" w:type="dxa"/>
              <w:right w:w="120" w:type="dxa"/>
            </w:tcMar>
            <w:hideMark/>
          </w:tcPr>
          <w:p w14:paraId="7EE19BAE"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0.17</w:t>
            </w:r>
          </w:p>
        </w:tc>
        <w:tc>
          <w:tcPr>
            <w:tcW w:w="1247" w:type="dxa"/>
            <w:shd w:val="clear" w:color="auto" w:fill="auto"/>
            <w:tcMar>
              <w:top w:w="120" w:type="dxa"/>
              <w:left w:w="120" w:type="dxa"/>
              <w:bottom w:w="120" w:type="dxa"/>
              <w:right w:w="120" w:type="dxa"/>
            </w:tcMar>
            <w:hideMark/>
          </w:tcPr>
          <w:p w14:paraId="301E5B72"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-0.02</w:t>
            </w:r>
          </w:p>
        </w:tc>
        <w:tc>
          <w:tcPr>
            <w:tcW w:w="1248" w:type="dxa"/>
            <w:shd w:val="clear" w:color="auto" w:fill="auto"/>
            <w:tcMar>
              <w:top w:w="120" w:type="dxa"/>
              <w:left w:w="120" w:type="dxa"/>
              <w:bottom w:w="120" w:type="dxa"/>
              <w:right w:w="120" w:type="dxa"/>
            </w:tcMar>
            <w:hideMark/>
          </w:tcPr>
          <w:p w14:paraId="17A6FA5C" w14:textId="7777777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0.87</w:t>
            </w:r>
          </w:p>
        </w:tc>
        <w:tc>
          <w:tcPr>
            <w:tcW w:w="1247" w:type="dxa"/>
            <w:shd w:val="clear" w:color="auto" w:fill="auto"/>
            <w:tcMar>
              <w:top w:w="120" w:type="dxa"/>
              <w:left w:w="120" w:type="dxa"/>
              <w:bottom w:w="120" w:type="dxa"/>
              <w:right w:w="120" w:type="dxa"/>
            </w:tcMar>
            <w:hideMark/>
          </w:tcPr>
          <w:p w14:paraId="7BDF5C02"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0.19</w:t>
            </w:r>
          </w:p>
        </w:tc>
        <w:tc>
          <w:tcPr>
            <w:tcW w:w="1248" w:type="dxa"/>
            <w:shd w:val="clear" w:color="auto" w:fill="auto"/>
            <w:tcMar>
              <w:top w:w="120" w:type="dxa"/>
              <w:left w:w="120" w:type="dxa"/>
              <w:bottom w:w="120" w:type="dxa"/>
              <w:right w:w="120" w:type="dxa"/>
            </w:tcMar>
            <w:hideMark/>
          </w:tcPr>
          <w:p w14:paraId="42D9A898" w14:textId="7777777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0.27</w:t>
            </w:r>
          </w:p>
        </w:tc>
      </w:tr>
      <w:tr w:rsidR="00755B63" w:rsidRPr="00BA5D69" w14:paraId="1852BE54" w14:textId="77777777" w:rsidTr="00403128">
        <w:tc>
          <w:tcPr>
            <w:tcW w:w="2552" w:type="dxa"/>
            <w:shd w:val="clear" w:color="auto" w:fill="auto"/>
            <w:tcMar>
              <w:top w:w="120" w:type="dxa"/>
              <w:left w:w="120" w:type="dxa"/>
              <w:bottom w:w="120" w:type="dxa"/>
              <w:right w:w="120" w:type="dxa"/>
            </w:tcMar>
            <w:hideMark/>
          </w:tcPr>
          <w:p w14:paraId="4DBDD877" w14:textId="5C503F0B" w:rsidR="00755B63" w:rsidRPr="00BA5D69" w:rsidRDefault="00755B63" w:rsidP="00755B63">
            <w:pPr>
              <w:spacing w:after="0" w:line="240" w:lineRule="auto"/>
              <w:rPr>
                <w:rFonts w:ascii="Helvetica" w:eastAsia="Times New Roman" w:hAnsi="Helvetica" w:cs="Helvetica"/>
                <w:b/>
                <w:bCs/>
                <w:color w:val="444444"/>
                <w:sz w:val="19"/>
                <w:szCs w:val="19"/>
                <w:lang w:eastAsia="en-GB"/>
              </w:rPr>
            </w:pPr>
            <w:r>
              <w:rPr>
                <w:rFonts w:ascii="Helvetica" w:eastAsia="Times New Roman" w:hAnsi="Helvetica" w:cs="Helvetica"/>
                <w:color w:val="777777"/>
                <w:sz w:val="19"/>
                <w:szCs w:val="19"/>
                <w:lang w:eastAsia="en-GB"/>
              </w:rPr>
              <w:t>Democracy</w:t>
            </w:r>
          </w:p>
        </w:tc>
        <w:tc>
          <w:tcPr>
            <w:tcW w:w="1247" w:type="dxa"/>
            <w:shd w:val="clear" w:color="auto" w:fill="auto"/>
            <w:tcMar>
              <w:top w:w="120" w:type="dxa"/>
              <w:left w:w="120" w:type="dxa"/>
              <w:bottom w:w="120" w:type="dxa"/>
              <w:right w:w="120" w:type="dxa"/>
            </w:tcMar>
            <w:hideMark/>
          </w:tcPr>
          <w:p w14:paraId="07261DA2" w14:textId="7777777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0.42</w:t>
            </w:r>
          </w:p>
        </w:tc>
        <w:tc>
          <w:tcPr>
            <w:tcW w:w="1247" w:type="dxa"/>
            <w:shd w:val="clear" w:color="auto" w:fill="auto"/>
            <w:tcMar>
              <w:top w:w="120" w:type="dxa"/>
              <w:left w:w="120" w:type="dxa"/>
              <w:bottom w:w="120" w:type="dxa"/>
              <w:right w:w="120" w:type="dxa"/>
            </w:tcMar>
            <w:hideMark/>
          </w:tcPr>
          <w:p w14:paraId="5C4B7F81"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0.19</w:t>
            </w:r>
          </w:p>
        </w:tc>
        <w:tc>
          <w:tcPr>
            <w:tcW w:w="1248" w:type="dxa"/>
            <w:shd w:val="clear" w:color="auto" w:fill="auto"/>
            <w:tcMar>
              <w:top w:w="120" w:type="dxa"/>
              <w:left w:w="120" w:type="dxa"/>
              <w:bottom w:w="120" w:type="dxa"/>
              <w:right w:w="120" w:type="dxa"/>
            </w:tcMar>
            <w:hideMark/>
          </w:tcPr>
          <w:p w14:paraId="576765C8" w14:textId="7777777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-0.29</w:t>
            </w:r>
          </w:p>
        </w:tc>
        <w:tc>
          <w:tcPr>
            <w:tcW w:w="1247" w:type="dxa"/>
            <w:shd w:val="clear" w:color="auto" w:fill="auto"/>
            <w:tcMar>
              <w:top w:w="120" w:type="dxa"/>
              <w:left w:w="120" w:type="dxa"/>
              <w:bottom w:w="120" w:type="dxa"/>
              <w:right w:w="120" w:type="dxa"/>
            </w:tcMar>
            <w:hideMark/>
          </w:tcPr>
          <w:p w14:paraId="34B89567"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-0.01</w:t>
            </w:r>
          </w:p>
        </w:tc>
        <w:tc>
          <w:tcPr>
            <w:tcW w:w="1248" w:type="dxa"/>
            <w:shd w:val="clear" w:color="auto" w:fill="auto"/>
            <w:tcMar>
              <w:top w:w="120" w:type="dxa"/>
              <w:left w:w="120" w:type="dxa"/>
              <w:bottom w:w="120" w:type="dxa"/>
              <w:right w:w="120" w:type="dxa"/>
            </w:tcMar>
            <w:hideMark/>
          </w:tcPr>
          <w:p w14:paraId="284871E7"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0.16</w:t>
            </w:r>
          </w:p>
        </w:tc>
      </w:tr>
      <w:tr w:rsidR="00755B63" w:rsidRPr="00BA5D69" w14:paraId="4910063A" w14:textId="77777777" w:rsidTr="00403128">
        <w:tc>
          <w:tcPr>
            <w:tcW w:w="2552" w:type="dxa"/>
            <w:shd w:val="clear" w:color="auto" w:fill="auto"/>
            <w:tcMar>
              <w:top w:w="120" w:type="dxa"/>
              <w:left w:w="120" w:type="dxa"/>
              <w:bottom w:w="120" w:type="dxa"/>
              <w:right w:w="120" w:type="dxa"/>
            </w:tcMar>
            <w:hideMark/>
          </w:tcPr>
          <w:p w14:paraId="395C528A" w14:textId="383FA1FC" w:rsidR="00755B63" w:rsidRPr="00BA5D69" w:rsidRDefault="00755B63" w:rsidP="00755B63">
            <w:pPr>
              <w:spacing w:after="0" w:line="240" w:lineRule="auto"/>
              <w:rPr>
                <w:rFonts w:ascii="Helvetica" w:eastAsia="Times New Roman" w:hAnsi="Helvetica" w:cs="Helvetica"/>
                <w:b/>
                <w:bCs/>
                <w:color w:val="444444"/>
                <w:sz w:val="19"/>
                <w:szCs w:val="19"/>
                <w:lang w:eastAsia="en-GB"/>
              </w:rPr>
            </w:pPr>
            <w:r>
              <w:rPr>
                <w:rFonts w:ascii="Helvetica" w:eastAsia="Times New Roman" w:hAnsi="Helvetica" w:cs="Helvetica"/>
                <w:color w:val="777777"/>
                <w:sz w:val="19"/>
                <w:szCs w:val="19"/>
                <w:lang w:eastAsia="en-GB"/>
              </w:rPr>
              <w:t>Corruption</w:t>
            </w:r>
          </w:p>
        </w:tc>
        <w:tc>
          <w:tcPr>
            <w:tcW w:w="1247" w:type="dxa"/>
            <w:shd w:val="clear" w:color="auto" w:fill="auto"/>
            <w:tcMar>
              <w:top w:w="120" w:type="dxa"/>
              <w:left w:w="120" w:type="dxa"/>
              <w:bottom w:w="120" w:type="dxa"/>
              <w:right w:w="120" w:type="dxa"/>
            </w:tcMar>
            <w:hideMark/>
          </w:tcPr>
          <w:p w14:paraId="25D7508D" w14:textId="7777777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0.48</w:t>
            </w:r>
          </w:p>
        </w:tc>
        <w:tc>
          <w:tcPr>
            <w:tcW w:w="1247" w:type="dxa"/>
            <w:shd w:val="clear" w:color="auto" w:fill="auto"/>
            <w:tcMar>
              <w:top w:w="120" w:type="dxa"/>
              <w:left w:w="120" w:type="dxa"/>
              <w:bottom w:w="120" w:type="dxa"/>
              <w:right w:w="120" w:type="dxa"/>
            </w:tcMar>
            <w:hideMark/>
          </w:tcPr>
          <w:p w14:paraId="5039F196"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-0.12</w:t>
            </w:r>
          </w:p>
        </w:tc>
        <w:tc>
          <w:tcPr>
            <w:tcW w:w="1248" w:type="dxa"/>
            <w:shd w:val="clear" w:color="auto" w:fill="auto"/>
            <w:tcMar>
              <w:top w:w="120" w:type="dxa"/>
              <w:left w:w="120" w:type="dxa"/>
              <w:bottom w:w="120" w:type="dxa"/>
              <w:right w:w="120" w:type="dxa"/>
            </w:tcMar>
            <w:hideMark/>
          </w:tcPr>
          <w:p w14:paraId="59F5E274"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-0.15</w:t>
            </w:r>
          </w:p>
        </w:tc>
        <w:tc>
          <w:tcPr>
            <w:tcW w:w="1247" w:type="dxa"/>
            <w:shd w:val="clear" w:color="auto" w:fill="auto"/>
            <w:tcMar>
              <w:top w:w="120" w:type="dxa"/>
              <w:left w:w="120" w:type="dxa"/>
              <w:bottom w:w="120" w:type="dxa"/>
              <w:right w:w="120" w:type="dxa"/>
            </w:tcMar>
            <w:hideMark/>
          </w:tcPr>
          <w:p w14:paraId="48FD699C"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0.15</w:t>
            </w:r>
          </w:p>
        </w:tc>
        <w:tc>
          <w:tcPr>
            <w:tcW w:w="1248" w:type="dxa"/>
            <w:shd w:val="clear" w:color="auto" w:fill="auto"/>
            <w:tcMar>
              <w:top w:w="120" w:type="dxa"/>
              <w:left w:w="120" w:type="dxa"/>
              <w:bottom w:w="120" w:type="dxa"/>
              <w:right w:w="120" w:type="dxa"/>
            </w:tcMar>
            <w:hideMark/>
          </w:tcPr>
          <w:p w14:paraId="3CC96DF9"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-0.16</w:t>
            </w:r>
          </w:p>
        </w:tc>
      </w:tr>
      <w:tr w:rsidR="00755B63" w:rsidRPr="00BA5D69" w14:paraId="5DDC6801" w14:textId="77777777" w:rsidTr="00403128">
        <w:tc>
          <w:tcPr>
            <w:tcW w:w="2552" w:type="dxa"/>
            <w:shd w:val="clear" w:color="auto" w:fill="auto"/>
            <w:tcMar>
              <w:top w:w="120" w:type="dxa"/>
              <w:left w:w="120" w:type="dxa"/>
              <w:bottom w:w="120" w:type="dxa"/>
              <w:right w:w="120" w:type="dxa"/>
            </w:tcMar>
            <w:hideMark/>
          </w:tcPr>
          <w:p w14:paraId="06CBA9DA" w14:textId="04921269" w:rsidR="00755B63" w:rsidRPr="00BA5D69" w:rsidRDefault="00755B63" w:rsidP="00755B63">
            <w:pPr>
              <w:spacing w:after="0" w:line="240" w:lineRule="auto"/>
              <w:rPr>
                <w:rFonts w:ascii="Helvetica" w:eastAsia="Times New Roman" w:hAnsi="Helvetica" w:cs="Helvetica"/>
                <w:b/>
                <w:bCs/>
                <w:color w:val="444444"/>
                <w:sz w:val="19"/>
                <w:szCs w:val="19"/>
                <w:lang w:eastAsia="en-GB"/>
              </w:rPr>
            </w:pPr>
            <w:r>
              <w:rPr>
                <w:rFonts w:ascii="Helvetica" w:eastAsia="Times New Roman" w:hAnsi="Helvetica" w:cs="Helvetica"/>
                <w:color w:val="777777"/>
                <w:sz w:val="19"/>
                <w:szCs w:val="19"/>
                <w:lang w:eastAsia="en-GB"/>
              </w:rPr>
              <w:t>Trust</w:t>
            </w:r>
          </w:p>
        </w:tc>
        <w:tc>
          <w:tcPr>
            <w:tcW w:w="1247" w:type="dxa"/>
            <w:shd w:val="clear" w:color="auto" w:fill="auto"/>
            <w:tcMar>
              <w:top w:w="120" w:type="dxa"/>
              <w:left w:w="120" w:type="dxa"/>
              <w:bottom w:w="120" w:type="dxa"/>
              <w:right w:w="120" w:type="dxa"/>
            </w:tcMar>
            <w:hideMark/>
          </w:tcPr>
          <w:p w14:paraId="4E3FCE4F" w14:textId="7777777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0.30</w:t>
            </w:r>
          </w:p>
        </w:tc>
        <w:tc>
          <w:tcPr>
            <w:tcW w:w="1247" w:type="dxa"/>
            <w:shd w:val="clear" w:color="auto" w:fill="auto"/>
            <w:tcMar>
              <w:top w:w="120" w:type="dxa"/>
              <w:left w:w="120" w:type="dxa"/>
              <w:bottom w:w="120" w:type="dxa"/>
              <w:right w:w="120" w:type="dxa"/>
            </w:tcMar>
            <w:hideMark/>
          </w:tcPr>
          <w:p w14:paraId="00DA9CCC" w14:textId="7777777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-0.35</w:t>
            </w:r>
          </w:p>
        </w:tc>
        <w:tc>
          <w:tcPr>
            <w:tcW w:w="1248" w:type="dxa"/>
            <w:shd w:val="clear" w:color="auto" w:fill="auto"/>
            <w:tcMar>
              <w:top w:w="120" w:type="dxa"/>
              <w:left w:w="120" w:type="dxa"/>
              <w:bottom w:w="120" w:type="dxa"/>
              <w:right w:w="120" w:type="dxa"/>
            </w:tcMar>
            <w:hideMark/>
          </w:tcPr>
          <w:p w14:paraId="5DBDE765" w14:textId="77777777" w:rsidR="00755B63" w:rsidRPr="00BA5D69" w:rsidRDefault="00755B63" w:rsidP="00755B63">
            <w:pPr>
              <w:spacing w:after="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0.11</w:t>
            </w:r>
          </w:p>
        </w:tc>
        <w:tc>
          <w:tcPr>
            <w:tcW w:w="1247" w:type="dxa"/>
            <w:shd w:val="clear" w:color="auto" w:fill="auto"/>
            <w:tcMar>
              <w:top w:w="120" w:type="dxa"/>
              <w:left w:w="120" w:type="dxa"/>
              <w:bottom w:w="120" w:type="dxa"/>
              <w:right w:w="120" w:type="dxa"/>
            </w:tcMar>
            <w:hideMark/>
          </w:tcPr>
          <w:p w14:paraId="5962EAC1" w14:textId="7777777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0.37</w:t>
            </w:r>
          </w:p>
        </w:tc>
        <w:tc>
          <w:tcPr>
            <w:tcW w:w="1248" w:type="dxa"/>
            <w:shd w:val="clear" w:color="auto" w:fill="auto"/>
            <w:tcMar>
              <w:top w:w="120" w:type="dxa"/>
              <w:left w:w="120" w:type="dxa"/>
              <w:bottom w:w="120" w:type="dxa"/>
              <w:right w:w="120" w:type="dxa"/>
            </w:tcMar>
            <w:hideMark/>
          </w:tcPr>
          <w:p w14:paraId="42D4C3FB" w14:textId="77777777" w:rsidR="00755B63" w:rsidRPr="00BA5D69" w:rsidRDefault="00755B63" w:rsidP="00755B63">
            <w:pPr>
              <w:spacing w:after="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-0.67</w:t>
            </w:r>
          </w:p>
        </w:tc>
      </w:tr>
      <w:tr w:rsidR="00755B63" w:rsidRPr="00BA5D69" w14:paraId="6E435CFB" w14:textId="77777777" w:rsidTr="00403128">
        <w:tc>
          <w:tcPr>
            <w:tcW w:w="2552" w:type="dxa"/>
            <w:tcBorders>
              <w:bottom w:val="single" w:sz="4" w:space="0" w:color="auto"/>
            </w:tcBorders>
            <w:shd w:val="clear" w:color="auto" w:fill="auto"/>
            <w:tcMar>
              <w:top w:w="120" w:type="dxa"/>
              <w:left w:w="120" w:type="dxa"/>
              <w:bottom w:w="120" w:type="dxa"/>
              <w:right w:w="120" w:type="dxa"/>
            </w:tcMar>
            <w:hideMark/>
          </w:tcPr>
          <w:p w14:paraId="6B8EC6A0" w14:textId="29CB1428" w:rsidR="00755B63" w:rsidRPr="00BA5D69" w:rsidRDefault="00755B63" w:rsidP="00403128">
            <w:pPr>
              <w:spacing w:after="120" w:line="240" w:lineRule="auto"/>
              <w:rPr>
                <w:rFonts w:ascii="Helvetica" w:eastAsia="Times New Roman" w:hAnsi="Helvetica" w:cs="Helvetica"/>
                <w:b/>
                <w:bCs/>
                <w:color w:val="444444"/>
                <w:sz w:val="19"/>
                <w:szCs w:val="19"/>
                <w:lang w:eastAsia="en-GB"/>
              </w:rPr>
            </w:pPr>
            <w:r>
              <w:rPr>
                <w:rFonts w:ascii="Helvetica" w:eastAsia="Times New Roman" w:hAnsi="Helvetica" w:cs="Helvetica"/>
                <w:color w:val="777777"/>
                <w:sz w:val="19"/>
                <w:szCs w:val="19"/>
                <w:lang w:eastAsia="en-GB"/>
              </w:rPr>
              <w:t>Climate awareness</w:t>
            </w:r>
          </w:p>
        </w:tc>
        <w:tc>
          <w:tcPr>
            <w:tcW w:w="1247" w:type="dxa"/>
            <w:tcBorders>
              <w:bottom w:val="single" w:sz="4" w:space="0" w:color="auto"/>
            </w:tcBorders>
            <w:shd w:val="clear" w:color="auto" w:fill="auto"/>
            <w:tcMar>
              <w:top w:w="120" w:type="dxa"/>
              <w:left w:w="120" w:type="dxa"/>
              <w:bottom w:w="120" w:type="dxa"/>
              <w:right w:w="120" w:type="dxa"/>
            </w:tcMar>
            <w:hideMark/>
          </w:tcPr>
          <w:p w14:paraId="5F66E747" w14:textId="77777777" w:rsidR="00755B63" w:rsidRPr="00BA5D69" w:rsidRDefault="00755B63" w:rsidP="00403128">
            <w:pPr>
              <w:spacing w:after="12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0.42</w:t>
            </w:r>
          </w:p>
        </w:tc>
        <w:tc>
          <w:tcPr>
            <w:tcW w:w="1247" w:type="dxa"/>
            <w:tcBorders>
              <w:bottom w:val="single" w:sz="4" w:space="0" w:color="auto"/>
            </w:tcBorders>
            <w:shd w:val="clear" w:color="auto" w:fill="auto"/>
            <w:tcMar>
              <w:top w:w="120" w:type="dxa"/>
              <w:left w:w="120" w:type="dxa"/>
              <w:bottom w:w="120" w:type="dxa"/>
              <w:right w:w="120" w:type="dxa"/>
            </w:tcMar>
            <w:hideMark/>
          </w:tcPr>
          <w:p w14:paraId="09C37214" w14:textId="77777777" w:rsidR="00755B63" w:rsidRPr="00BA5D69" w:rsidRDefault="00755B63" w:rsidP="00403128">
            <w:pPr>
              <w:spacing w:after="12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-0.14</w:t>
            </w:r>
          </w:p>
        </w:tc>
        <w:tc>
          <w:tcPr>
            <w:tcW w:w="1248" w:type="dxa"/>
            <w:tcBorders>
              <w:bottom w:val="single" w:sz="4" w:space="0" w:color="auto"/>
            </w:tcBorders>
            <w:shd w:val="clear" w:color="auto" w:fill="auto"/>
            <w:tcMar>
              <w:top w:w="120" w:type="dxa"/>
              <w:left w:w="120" w:type="dxa"/>
              <w:bottom w:w="120" w:type="dxa"/>
              <w:right w:w="120" w:type="dxa"/>
            </w:tcMar>
            <w:hideMark/>
          </w:tcPr>
          <w:p w14:paraId="29FC103B" w14:textId="77777777" w:rsidR="00755B63" w:rsidRPr="00BA5D69" w:rsidRDefault="00755B63" w:rsidP="00403128">
            <w:pPr>
              <w:spacing w:after="12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-0.11</w:t>
            </w:r>
          </w:p>
        </w:tc>
        <w:tc>
          <w:tcPr>
            <w:tcW w:w="1247" w:type="dxa"/>
            <w:tcBorders>
              <w:bottom w:val="single" w:sz="4" w:space="0" w:color="auto"/>
            </w:tcBorders>
            <w:shd w:val="clear" w:color="auto" w:fill="auto"/>
            <w:tcMar>
              <w:top w:w="120" w:type="dxa"/>
              <w:left w:w="120" w:type="dxa"/>
              <w:bottom w:w="120" w:type="dxa"/>
              <w:right w:w="120" w:type="dxa"/>
            </w:tcMar>
            <w:hideMark/>
          </w:tcPr>
          <w:p w14:paraId="46076C4B" w14:textId="77777777" w:rsidR="00755B63" w:rsidRPr="00BA5D69" w:rsidRDefault="00755B63" w:rsidP="00403128">
            <w:pPr>
              <w:spacing w:after="120" w:line="240" w:lineRule="auto"/>
              <w:rPr>
                <w:rFonts w:ascii="Helvetica" w:eastAsia="Times New Roman" w:hAnsi="Helvetica" w:cs="Helvetica"/>
                <w:b/>
                <w:color w:val="777777"/>
                <w:sz w:val="19"/>
                <w:szCs w:val="19"/>
                <w:lang w:eastAsia="en-GB"/>
              </w:rPr>
            </w:pPr>
            <w:r w:rsidRPr="00BA5D69">
              <w:rPr>
                <w:rFonts w:ascii="Helvetica" w:eastAsia="Times New Roman" w:hAnsi="Helvetica" w:cs="Helvetica"/>
                <w:b/>
                <w:color w:val="777777"/>
                <w:sz w:val="19"/>
                <w:szCs w:val="19"/>
                <w:lang w:eastAsia="en-GB"/>
              </w:rPr>
              <w:t>-0.32</w:t>
            </w:r>
          </w:p>
        </w:tc>
        <w:tc>
          <w:tcPr>
            <w:tcW w:w="1248" w:type="dxa"/>
            <w:tcBorders>
              <w:bottom w:val="single" w:sz="4" w:space="0" w:color="auto"/>
            </w:tcBorders>
            <w:shd w:val="clear" w:color="auto" w:fill="auto"/>
            <w:tcMar>
              <w:top w:w="120" w:type="dxa"/>
              <w:left w:w="120" w:type="dxa"/>
              <w:bottom w:w="120" w:type="dxa"/>
              <w:right w:w="120" w:type="dxa"/>
            </w:tcMar>
            <w:hideMark/>
          </w:tcPr>
          <w:p w14:paraId="25D25051" w14:textId="77777777" w:rsidR="00755B63" w:rsidRPr="00BA5D69" w:rsidRDefault="00755B63" w:rsidP="00403128">
            <w:pPr>
              <w:keepNext/>
              <w:spacing w:after="120" w:line="240" w:lineRule="auto"/>
              <w:rPr>
                <w:rFonts w:ascii="Helvetica" w:eastAsia="Times New Roman" w:hAnsi="Helvetica" w:cs="Helvetica"/>
                <w:color w:val="777777"/>
                <w:sz w:val="19"/>
                <w:szCs w:val="19"/>
                <w:lang w:eastAsia="en-GB"/>
              </w:rPr>
            </w:pPr>
            <w:r w:rsidRPr="00BA5D69">
              <w:rPr>
                <w:rFonts w:ascii="Helvetica" w:eastAsia="Times New Roman" w:hAnsi="Helvetica" w:cs="Helvetica"/>
                <w:color w:val="777777"/>
                <w:sz w:val="19"/>
                <w:szCs w:val="19"/>
                <w:lang w:eastAsia="en-GB"/>
              </w:rPr>
              <w:t>0.06</w:t>
            </w:r>
          </w:p>
        </w:tc>
      </w:tr>
    </w:tbl>
    <w:p w14:paraId="462F5C7E" w14:textId="1CE62262" w:rsidR="00BA5D69" w:rsidRPr="00093C59" w:rsidRDefault="00403128" w:rsidP="00403128">
      <w:pPr>
        <w:pStyle w:val="Caption"/>
        <w:rPr>
          <w:b/>
          <w:sz w:val="22"/>
        </w:rPr>
      </w:pPr>
      <w:r w:rsidRPr="00093C59">
        <w:rPr>
          <w:b/>
          <w:sz w:val="22"/>
        </w:rPr>
        <w:t xml:space="preserve">Table </w:t>
      </w:r>
      <w:r w:rsidRPr="00093C59">
        <w:rPr>
          <w:b/>
          <w:sz w:val="22"/>
        </w:rPr>
        <w:fldChar w:fldCharType="begin"/>
      </w:r>
      <w:r w:rsidRPr="00093C59">
        <w:rPr>
          <w:b/>
          <w:sz w:val="22"/>
        </w:rPr>
        <w:instrText xml:space="preserve"> SEQ Table \* ARABIC </w:instrText>
      </w:r>
      <w:r w:rsidRPr="00093C59">
        <w:rPr>
          <w:b/>
          <w:sz w:val="22"/>
        </w:rPr>
        <w:fldChar w:fldCharType="separate"/>
      </w:r>
      <w:r w:rsidRPr="00093C59">
        <w:rPr>
          <w:b/>
          <w:noProof/>
          <w:sz w:val="22"/>
        </w:rPr>
        <w:t>5</w:t>
      </w:r>
      <w:r w:rsidRPr="00093C59">
        <w:rPr>
          <w:b/>
          <w:sz w:val="22"/>
        </w:rPr>
        <w:fldChar w:fldCharType="end"/>
      </w:r>
      <w:r w:rsidRPr="00093C59">
        <w:rPr>
          <w:b/>
          <w:sz w:val="22"/>
        </w:rPr>
        <w:t>: Principal component analysis of constraints</w:t>
      </w:r>
    </w:p>
    <w:p w14:paraId="3AE49380" w14:textId="52F73CF7" w:rsidR="00A1695A" w:rsidRDefault="00FE4D7B" w:rsidP="00D75F10">
      <w:pPr>
        <w:pStyle w:val="Heading3"/>
        <w:numPr>
          <w:ilvl w:val="2"/>
          <w:numId w:val="1"/>
        </w:numPr>
        <w:spacing w:after="120" w:line="360" w:lineRule="auto"/>
      </w:pPr>
      <w:r>
        <w:t>C</w:t>
      </w:r>
      <w:r w:rsidR="00D75F10">
        <w:t>luster</w:t>
      </w:r>
      <w:r>
        <w:t>s of countries</w:t>
      </w:r>
    </w:p>
    <w:p w14:paraId="49026742" w14:textId="4CA5F42A" w:rsidR="00620429" w:rsidRDefault="00B226D5" w:rsidP="001F6792">
      <w:pPr>
        <w:spacing w:line="360" w:lineRule="auto"/>
      </w:pPr>
      <w:r>
        <w:t>Where</w:t>
      </w:r>
      <w:r w:rsidR="00142FF3">
        <w:t xml:space="preserve"> do similar </w:t>
      </w:r>
      <w:r w:rsidR="00EC6DA0">
        <w:t>types of constraint</w:t>
      </w:r>
      <w:r w:rsidR="00142FF3">
        <w:t xml:space="preserve"> manifest? </w:t>
      </w:r>
      <w:r w:rsidR="00EC6DA0">
        <w:t>We estimate 5 groups of countries in the cluster analysis</w:t>
      </w:r>
      <w:r w:rsidR="00A16516">
        <w:t xml:space="preserve">, implicitly ordered from highest to lowers apparent constraints </w:t>
      </w:r>
      <w:r w:rsidR="00EC6DA0">
        <w:t>(</w:t>
      </w:r>
      <w:r w:rsidR="00EC6DA0">
        <w:fldChar w:fldCharType="begin"/>
      </w:r>
      <w:r w:rsidR="00EC6DA0">
        <w:instrText xml:space="preserve"> REF _Ref12621250 \h </w:instrText>
      </w:r>
      <w:r w:rsidR="001F6792">
        <w:instrText xml:space="preserve"> \* MERGEFORMAT </w:instrText>
      </w:r>
      <w:r w:rsidR="00EC6DA0">
        <w:fldChar w:fldCharType="separate"/>
      </w:r>
      <w:r w:rsidR="00F34E84" w:rsidRPr="00F34E84">
        <w:t xml:space="preserve">Figure </w:t>
      </w:r>
      <w:r w:rsidR="00F34E84" w:rsidRPr="00F34E84">
        <w:rPr>
          <w:noProof/>
        </w:rPr>
        <w:t>5</w:t>
      </w:r>
      <w:r w:rsidR="00EC6DA0">
        <w:fldChar w:fldCharType="end"/>
      </w:r>
      <w:r w:rsidR="00EC6DA0">
        <w:t>)</w:t>
      </w:r>
      <w:r w:rsidR="00A16516">
        <w:t>.</w:t>
      </w:r>
      <w:r w:rsidR="003D0B47">
        <w:t xml:space="preserve"> We first observe</w:t>
      </w:r>
      <w:r w:rsidR="00142FF3">
        <w:t xml:space="preserve"> a group of states strongly dependent on oil &amp; gas resource extraction</w:t>
      </w:r>
      <w:r w:rsidR="00DA546F">
        <w:t>.</w:t>
      </w:r>
      <w:r w:rsidR="001F6792">
        <w:t xml:space="preserve"> </w:t>
      </w:r>
      <w:r w:rsidR="00142FF3">
        <w:t xml:space="preserve">Of the entire sample, these tend to have the lowest levels of legislation adoption, the highest fossil subsidies, as well as the most serious deficiencies in controlling corruption and </w:t>
      </w:r>
      <w:r w:rsidR="001F6792">
        <w:t xml:space="preserve">advancing democratic norms. In short they appear to face </w:t>
      </w:r>
      <w:r w:rsidR="00740757">
        <w:t>fundamental</w:t>
      </w:r>
      <w:r w:rsidR="001F6792">
        <w:t xml:space="preserve"> political economic barriers to advancing climate policy</w:t>
      </w:r>
      <w:r w:rsidR="0059376F">
        <w:t xml:space="preserve">. The states include </w:t>
      </w:r>
      <w:r w:rsidR="0059376F">
        <w:lastRenderedPageBreak/>
        <w:t xml:space="preserve">countries such as Saudi Arabia, Iran, </w:t>
      </w:r>
      <w:r w:rsidR="00026BBD">
        <w:t>Algeria</w:t>
      </w:r>
      <w:r w:rsidR="0059376F">
        <w:t xml:space="preserve"> and Venezuela</w:t>
      </w:r>
      <w:r w:rsidR="009522C7">
        <w:rPr>
          <w:rStyle w:val="FootnoteReference"/>
        </w:rPr>
        <w:footnoteReference w:id="6"/>
      </w:r>
      <w:r w:rsidR="00CC4543">
        <w:t>. T</w:t>
      </w:r>
      <w:r w:rsidR="0059376F">
        <w:t xml:space="preserve">hey comprise </w:t>
      </w:r>
      <w:r w:rsidR="00CC4543">
        <w:t>6</w:t>
      </w:r>
      <w:r w:rsidR="006E1B19">
        <w:t xml:space="preserve">% of global emissions </w:t>
      </w:r>
      <w:r w:rsidR="00657005">
        <w:t xml:space="preserve">(territorial) and </w:t>
      </w:r>
      <w:r w:rsidR="00CC4543">
        <w:t>5% of global population</w:t>
      </w:r>
      <w:r w:rsidR="00E140F4">
        <w:t>.</w:t>
      </w:r>
    </w:p>
    <w:p w14:paraId="418B4625" w14:textId="67C27824" w:rsidR="00E54731" w:rsidRDefault="009760AA" w:rsidP="00E54731">
      <w:pPr>
        <w:spacing w:line="360" w:lineRule="auto"/>
      </w:pPr>
      <w:r>
        <w:t>T</w:t>
      </w:r>
      <w:r w:rsidR="00E54731">
        <w:t xml:space="preserve">he second cluster </w:t>
      </w:r>
      <w:r>
        <w:t xml:space="preserve">we name ‘fragile states’. These are countries which tend to lack democratic norms, have poor levels of corruption control, and limited social trust. They have made little </w:t>
      </w:r>
      <w:r w:rsidR="00E54731">
        <w:t xml:space="preserve">progress in </w:t>
      </w:r>
      <w:r>
        <w:t xml:space="preserve">climate </w:t>
      </w:r>
      <w:r w:rsidR="00E54731">
        <w:t xml:space="preserve">legislation adoption and fossil subsidy removal, </w:t>
      </w:r>
      <w:r>
        <w:t xml:space="preserve">but generally have </w:t>
      </w:r>
      <w:r w:rsidR="00E54731">
        <w:t xml:space="preserve">low levels of </w:t>
      </w:r>
      <w:r>
        <w:t xml:space="preserve">per capita </w:t>
      </w:r>
      <w:r w:rsidR="00E54731">
        <w:t xml:space="preserve">carbon emissions. </w:t>
      </w:r>
      <w:r>
        <w:t xml:space="preserve">The fragile states </w:t>
      </w:r>
      <w:r w:rsidR="00E54731">
        <w:t xml:space="preserve">group includes many low-income </w:t>
      </w:r>
      <w:r>
        <w:t xml:space="preserve">countries </w:t>
      </w:r>
      <w:r w:rsidR="00E54731">
        <w:t>in</w:t>
      </w:r>
      <w:r>
        <w:t xml:space="preserve"> Africa, Latin America and Asia such as </w:t>
      </w:r>
      <w:r w:rsidR="00E54731">
        <w:t xml:space="preserve">Nigeria, </w:t>
      </w:r>
      <w:r>
        <w:t xml:space="preserve">Mexico, </w:t>
      </w:r>
      <w:r w:rsidR="00E54731">
        <w:t>Pakistan, Bangladesh and K</w:t>
      </w:r>
      <w:r>
        <w:t>enya. T</w:t>
      </w:r>
      <w:r w:rsidR="00E54731">
        <w:t>hey make up 3% of global emissions and 11% of global population.</w:t>
      </w:r>
    </w:p>
    <w:p w14:paraId="3200784C" w14:textId="5D7FCCB4" w:rsidR="0066774E" w:rsidRDefault="0066774E" w:rsidP="0066774E">
      <w:pPr>
        <w:spacing w:line="360" w:lineRule="auto"/>
      </w:pPr>
      <w:r>
        <w:t xml:space="preserve">The third cluster </w:t>
      </w:r>
      <w:r w:rsidR="007C3F36">
        <w:t>is primarily distinguished by a heavy reliance on coal in primary energy supply. We refer to this group as ‘</w:t>
      </w:r>
      <w:r w:rsidR="00F34E84">
        <w:t>coal dependent development’</w:t>
      </w:r>
      <w:r w:rsidR="007C3F36">
        <w:t xml:space="preserve">, since it captures fast emerging economies such as China, India, Turkey, </w:t>
      </w:r>
      <w:r w:rsidR="00842D93">
        <w:t xml:space="preserve">South Africa, </w:t>
      </w:r>
      <w:r w:rsidR="007C3F36">
        <w:t xml:space="preserve">Russia, </w:t>
      </w:r>
      <w:r w:rsidR="00842D93">
        <w:t>as well as other countries from the former Soviet Union and Eastern Block</w:t>
      </w:r>
      <w:r w:rsidR="007C3F36">
        <w:t xml:space="preserve">. This group tends to occupy the middle-ground of political economic constraints: </w:t>
      </w:r>
      <w:r>
        <w:t xml:space="preserve">moderate legislation adoption and emissions, some remaining fossil subsidies, but institutions that are fragile and exposed to corruption. </w:t>
      </w:r>
      <w:r w:rsidR="009537B4">
        <w:t>However</w:t>
      </w:r>
      <w:r>
        <w:t xml:space="preserve">, </w:t>
      </w:r>
      <w:r w:rsidR="007C3F36">
        <w:t>there is</w:t>
      </w:r>
      <w:r>
        <w:t xml:space="preserve"> </w:t>
      </w:r>
      <w:r w:rsidR="009537B4">
        <w:t xml:space="preserve">diversity and a </w:t>
      </w:r>
      <w:r>
        <w:t xml:space="preserve">large spread of values across </w:t>
      </w:r>
      <w:r w:rsidR="007C3F36">
        <w:t xml:space="preserve">different </w:t>
      </w:r>
      <w:r>
        <w:t>dimensions, from autocratic regimes to competitive electoral democracies</w:t>
      </w:r>
      <w:r w:rsidR="007C3F36">
        <w:t xml:space="preserve">, </w:t>
      </w:r>
      <w:r w:rsidR="009537B4">
        <w:t>as well as low and high levels of trust</w:t>
      </w:r>
      <w:r w:rsidR="00A357C6">
        <w:t xml:space="preserve"> and awareness</w:t>
      </w:r>
      <w:r w:rsidR="007C3F36">
        <w:t>.</w:t>
      </w:r>
      <w:r>
        <w:t xml:space="preserve"> </w:t>
      </w:r>
      <w:r w:rsidR="007C3F36">
        <w:t>This group</w:t>
      </w:r>
      <w:r>
        <w:t xml:space="preserve"> makes up the largest share of global emissions (47%) and population (4</w:t>
      </w:r>
      <w:r w:rsidR="007C3F36">
        <w:t>8</w:t>
      </w:r>
      <w:r>
        <w:t>%).</w:t>
      </w:r>
    </w:p>
    <w:p w14:paraId="494CEA30" w14:textId="77777777" w:rsidR="00F1511A" w:rsidRDefault="00F1511A" w:rsidP="00F1511A">
      <w:pPr>
        <w:spacing w:line="360" w:lineRule="auto"/>
      </w:pPr>
      <w:r>
        <w:t>The fourth cluster of countries has the highest average rates of climate legislation adoption; they also have relatively low carbon emissions and very limited fossil subsidies. We call this group ‘fractured democracies’ since they have formal electoral systems, but remain hampered by low levels of trust and a failure to eradicate corruption. It is a group of middle and upper-middle income countries in Latin America and Eastern Europe, among which the awareness of climate change is typically high. Countries such as Brazil, Argentina, Chile, Portugal, Greece and Hungary are present in this cluster. It comprises 4% of global emissions and 6% of the global population.</w:t>
      </w:r>
    </w:p>
    <w:p w14:paraId="2A72719B" w14:textId="77777777" w:rsidR="00F1511A" w:rsidRDefault="00F1511A" w:rsidP="00F1511A">
      <w:pPr>
        <w:spacing w:line="360" w:lineRule="auto"/>
      </w:pPr>
      <w:r>
        <w:t xml:space="preserve">The final cluster is dominated by wealthy OECD nations, where emissions are high and direct fossil subsidies are practically eliminated. These countries have moderate (but not high) levels of trust, a good awareness of climate change, and strong democratic institutions largely free from corruption. With the lowest apparent levels of constraints, they ought to be leading in climate policy ambition, and yet legislation adoption is spread across a large range, averaging lower than the fourth cluster. In this sense the group is lagging in its potential progress. Indeed some known examples, such as the United States, Australia and Canada, have backtracked on climate policies amid strong lobbying and </w:t>
      </w:r>
      <w:r>
        <w:lastRenderedPageBreak/>
        <w:t>domestic opposition. This group is responsible for 30% of global emissions and 13% of global population.</w:t>
      </w:r>
    </w:p>
    <w:p w14:paraId="0207841F" w14:textId="1BC257F0" w:rsidR="007663CD" w:rsidRDefault="0025000B" w:rsidP="007663CD">
      <w:pPr>
        <w:keepNext/>
        <w:spacing w:line="360" w:lineRule="auto"/>
      </w:pPr>
      <w:r>
        <w:rPr>
          <w:noProof/>
          <w:lang w:eastAsia="en-GB"/>
        </w:rPr>
        <w:drawing>
          <wp:inline distT="0" distB="0" distL="0" distR="0" wp14:anchorId="09B45301" wp14:editId="2A9E542B">
            <wp:extent cx="5759450" cy="4912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olog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4912360"/>
                    </a:xfrm>
                    <a:prstGeom prst="rect">
                      <a:avLst/>
                    </a:prstGeom>
                  </pic:spPr>
                </pic:pic>
              </a:graphicData>
            </a:graphic>
          </wp:inline>
        </w:drawing>
      </w:r>
    </w:p>
    <w:p w14:paraId="74DB9C86" w14:textId="6CBF1B48" w:rsidR="005636C1" w:rsidRPr="009A2FA3" w:rsidRDefault="007663CD" w:rsidP="00744C9B">
      <w:pPr>
        <w:pStyle w:val="Caption"/>
        <w:jc w:val="center"/>
        <w:rPr>
          <w:sz w:val="22"/>
        </w:rPr>
      </w:pPr>
      <w:bookmarkStart w:id="6" w:name="_Ref12621250"/>
      <w:r w:rsidRPr="00403128">
        <w:rPr>
          <w:b/>
          <w:sz w:val="22"/>
        </w:rPr>
        <w:t xml:space="preserve">Figure </w:t>
      </w:r>
      <w:r w:rsidR="001D6A61" w:rsidRPr="00403128">
        <w:rPr>
          <w:b/>
          <w:noProof/>
          <w:sz w:val="22"/>
        </w:rPr>
        <w:fldChar w:fldCharType="begin"/>
      </w:r>
      <w:r w:rsidR="001D6A61" w:rsidRPr="00403128">
        <w:rPr>
          <w:b/>
          <w:noProof/>
          <w:sz w:val="22"/>
        </w:rPr>
        <w:instrText xml:space="preserve"> SEQ Figure \* ARABIC </w:instrText>
      </w:r>
      <w:r w:rsidR="001D6A61" w:rsidRPr="00403128">
        <w:rPr>
          <w:b/>
          <w:noProof/>
          <w:sz w:val="22"/>
        </w:rPr>
        <w:fldChar w:fldCharType="separate"/>
      </w:r>
      <w:r w:rsidR="00BA5D69" w:rsidRPr="00403128">
        <w:rPr>
          <w:b/>
          <w:noProof/>
          <w:sz w:val="22"/>
        </w:rPr>
        <w:t>5</w:t>
      </w:r>
      <w:r w:rsidR="001D6A61" w:rsidRPr="00403128">
        <w:rPr>
          <w:b/>
          <w:noProof/>
          <w:sz w:val="22"/>
        </w:rPr>
        <w:fldChar w:fldCharType="end"/>
      </w:r>
      <w:bookmarkEnd w:id="6"/>
      <w:r w:rsidRPr="00403128">
        <w:rPr>
          <w:b/>
          <w:sz w:val="22"/>
        </w:rPr>
        <w:t>: Clusters of constraints across countries</w:t>
      </w:r>
      <w:r w:rsidR="009A2FA3">
        <w:rPr>
          <w:b/>
          <w:sz w:val="22"/>
        </w:rPr>
        <w:t xml:space="preserve">. </w:t>
      </w:r>
      <w:r w:rsidR="009A2FA3">
        <w:rPr>
          <w:sz w:val="22"/>
        </w:rPr>
        <w:t>Population and emissions for each cluster are shown, but are not used as variables in the cluster analysis.</w:t>
      </w:r>
    </w:p>
    <w:p w14:paraId="3B9DB99F" w14:textId="4395FE62" w:rsidR="00B870F3" w:rsidRDefault="0076581B" w:rsidP="00936D99">
      <w:pPr>
        <w:pStyle w:val="Heading3"/>
        <w:numPr>
          <w:ilvl w:val="1"/>
          <w:numId w:val="1"/>
        </w:numPr>
        <w:spacing w:after="120" w:line="360" w:lineRule="auto"/>
      </w:pPr>
      <w:r>
        <w:t>Trends in constraints</w:t>
      </w:r>
    </w:p>
    <w:p w14:paraId="7D3C489D" w14:textId="24A0692F" w:rsidR="00FE4D7B" w:rsidRDefault="00416475" w:rsidP="00657F92">
      <w:pPr>
        <w:spacing w:line="360" w:lineRule="auto"/>
      </w:pPr>
      <w:r>
        <w:t xml:space="preserve">How have political </w:t>
      </w:r>
      <w:r w:rsidR="00907460">
        <w:t>economic constraints developed over</w:t>
      </w:r>
      <w:r>
        <w:t xml:space="preserve"> the past decades?</w:t>
      </w:r>
      <w:r w:rsidR="00657F92">
        <w:t xml:space="preserve"> </w:t>
      </w:r>
      <w:r w:rsidR="00657F92" w:rsidRPr="009E26C0">
        <w:fldChar w:fldCharType="begin"/>
      </w:r>
      <w:r w:rsidR="00657F92" w:rsidRPr="009E26C0">
        <w:instrText xml:space="preserve"> REF _Ref12627487 \h  \* MERGEFORMAT </w:instrText>
      </w:r>
      <w:r w:rsidR="00657F92" w:rsidRPr="009E26C0">
        <w:fldChar w:fldCharType="separate"/>
      </w:r>
      <w:r w:rsidR="00657F92" w:rsidRPr="009E26C0">
        <w:t xml:space="preserve">Figure </w:t>
      </w:r>
      <w:r w:rsidR="00657F92" w:rsidRPr="009E26C0">
        <w:rPr>
          <w:noProof/>
        </w:rPr>
        <w:t>4</w:t>
      </w:r>
      <w:r w:rsidR="00657F92" w:rsidRPr="009E26C0">
        <w:fldChar w:fldCharType="end"/>
      </w:r>
      <w:r>
        <w:t xml:space="preserve"> </w:t>
      </w:r>
      <w:r w:rsidR="00657F92">
        <w:t>depicts these trends where data is available. Most striking is the level of stability in perceived corruption</w:t>
      </w:r>
      <w:r w:rsidR="00C654FD">
        <w:t xml:space="preserve"> </w:t>
      </w:r>
      <w:r w:rsidR="00657F92">
        <w:t xml:space="preserve">since the 1990s. </w:t>
      </w:r>
      <w:r w:rsidR="00C654FD">
        <w:t>In fact</w:t>
      </w:r>
      <w:r w:rsidR="00597728">
        <w:t>,</w:t>
      </w:r>
      <w:r w:rsidR="00C654FD">
        <w:t xml:space="preserve"> </w:t>
      </w:r>
      <w:r w:rsidR="007824BF">
        <w:t xml:space="preserve">for a large portion of the sample </w:t>
      </w:r>
      <w:r w:rsidR="00C654FD">
        <w:t>we see</w:t>
      </w:r>
      <w:r w:rsidR="007824BF">
        <w:t xml:space="preserve"> evidence of </w:t>
      </w:r>
      <w:r w:rsidR="00C654FD">
        <w:t xml:space="preserve">marginal declines, even </w:t>
      </w:r>
      <w:r w:rsidR="00597728">
        <w:t>among</w:t>
      </w:r>
      <w:r w:rsidR="00C654FD">
        <w:t xml:space="preserve"> countries in the wealthy OECD group</w:t>
      </w:r>
      <w:r w:rsidR="00093982">
        <w:t xml:space="preserve">, such as the USA, </w:t>
      </w:r>
      <w:r w:rsidR="00312030">
        <w:t>UK</w:t>
      </w:r>
      <w:r w:rsidR="00093982">
        <w:t xml:space="preserve"> and Italy</w:t>
      </w:r>
      <w:r w:rsidR="00C654FD">
        <w:t xml:space="preserve">. </w:t>
      </w:r>
      <w:r w:rsidR="00657F92">
        <w:t xml:space="preserve">Democratic institutions have fared somewhat </w:t>
      </w:r>
      <w:r w:rsidR="001C725E">
        <w:t xml:space="preserve">better, particularly in </w:t>
      </w:r>
      <w:r w:rsidR="00EE5725">
        <w:t>the cluster of ‘fragile states’</w:t>
      </w:r>
      <w:r w:rsidR="00963E3F">
        <w:t>.</w:t>
      </w:r>
      <w:r w:rsidR="00312030">
        <w:t xml:space="preserve"> Nigeria, for example, has made large improvements.</w:t>
      </w:r>
      <w:r w:rsidR="00963E3F">
        <w:t xml:space="preserve"> </w:t>
      </w:r>
      <w:r w:rsidR="00312030">
        <w:t xml:space="preserve">However in some countries, democratic norms (or </w:t>
      </w:r>
      <w:r w:rsidR="007858F8">
        <w:t xml:space="preserve">the </w:t>
      </w:r>
      <w:r w:rsidR="00312030">
        <w:t>lack thereof) have</w:t>
      </w:r>
      <w:r w:rsidR="00657F92">
        <w:t xml:space="preserve"> remained highly st</w:t>
      </w:r>
      <w:r w:rsidR="007858F8">
        <w:t xml:space="preserve">able. This is the case </w:t>
      </w:r>
      <w:r w:rsidR="00312030">
        <w:t>in China, and the majority of oil &amp; gas states. I</w:t>
      </w:r>
      <w:r w:rsidR="00963E3F">
        <w:t xml:space="preserve">n </w:t>
      </w:r>
      <w:r w:rsidR="007858F8">
        <w:t>some circumstances</w:t>
      </w:r>
      <w:r w:rsidR="003F1EF5">
        <w:t xml:space="preserve"> </w:t>
      </w:r>
      <w:r w:rsidR="007858F8">
        <w:t xml:space="preserve">democratic quality has </w:t>
      </w:r>
      <w:r w:rsidR="003F1EF5">
        <w:t>substantially</w:t>
      </w:r>
      <w:r w:rsidR="00FF0BCD">
        <w:t xml:space="preserve"> </w:t>
      </w:r>
      <w:r w:rsidR="00657F92">
        <w:t xml:space="preserve">declined (Russia, </w:t>
      </w:r>
      <w:r w:rsidR="00BF7917">
        <w:t>Venezuela).</w:t>
      </w:r>
    </w:p>
    <w:p w14:paraId="4392D0CF" w14:textId="5F1ED7D7" w:rsidR="00912797" w:rsidRDefault="00912797" w:rsidP="00312030">
      <w:pPr>
        <w:spacing w:line="360" w:lineRule="auto"/>
      </w:pPr>
      <w:r>
        <w:lastRenderedPageBreak/>
        <w:t xml:space="preserve">Oil &amp; gas rents have noticeably increased </w:t>
      </w:r>
      <w:r w:rsidR="009522C7">
        <w:t xml:space="preserve">among </w:t>
      </w:r>
      <w:r w:rsidR="00557D69">
        <w:t xml:space="preserve">oil </w:t>
      </w:r>
      <w:r w:rsidR="009522C7">
        <w:t xml:space="preserve">&amp; gas </w:t>
      </w:r>
      <w:r w:rsidR="00557D69">
        <w:t xml:space="preserve">states over </w:t>
      </w:r>
      <w:r>
        <w:t>the past two decades</w:t>
      </w:r>
      <w:r w:rsidR="00312030">
        <w:t xml:space="preserve">, with only isolated instances of decline (e.g. Yemen). The share of coal in primary energy supply has also increased across most of the ‘coal-dependent development’ group, but is mainly driven by India and China. This trend has been well documented in the climate literature </w:t>
      </w:r>
      <w:r w:rsidR="00312030">
        <w:fldChar w:fldCharType="begin" w:fldLock="1"/>
      </w:r>
      <w:r w:rsidR="00AE1CAD">
        <w:instrText>ADDIN CSL_CITATION {"citationItems":[{"id":"ITEM-1","itemData":{"DOI":"10.1073/pnas.1422722112","ISBN":"1422722112","ISSN":"0027-8424","author":[{"dropping-particle":"","family":"Steckel","given":"Jan Christoph","non-dropping-particle":"","parse-names":false,"suffix":""},{"dropping-particle":"","family":"Edenhofer","given":"Ottmar","non-dropping-particle":"","parse-names":false,"suffix":""},{"dropping-particle":"","family":"Jakob","given":"Michael","non-dropping-particle":"","parse-names":false,"suffix":""}],"container-title":"Proceedings of the National Academy of Sciences of the United States of America","id":"ITEM-1","issue":"29","issued":{"date-parts":[["2015"]]},"page":"E3775-E3781","title":"Drivers for the renaissance of coal","type":"article-journal","volume":"112"},"uris":["http://www.mendeley.com/documents/?uuid=8bed672c-d6cb-4c39-a1b3-aba16583001c"]}],"mendeley":{"formattedCitation":"(Steckel, Edenhofer, &amp; Jakob, 2015)","plainTextFormattedCitation":"(Steckel, Edenhofer, &amp; Jakob, 2015)","previouslyFormattedCitation":"(Steckel, Edenhofer, &amp; Jakob, 2015)"},"properties":{"noteIndex":0},"schema":"https://github.com/citation-style-language/schema/raw/master/csl-citation.json"}</w:instrText>
      </w:r>
      <w:r w:rsidR="00312030">
        <w:fldChar w:fldCharType="separate"/>
      </w:r>
      <w:r w:rsidR="00B53BF6" w:rsidRPr="00B53BF6">
        <w:rPr>
          <w:noProof/>
        </w:rPr>
        <w:t>(Steckel, Edenhofer, &amp; Jakob, 2015)</w:t>
      </w:r>
      <w:r w:rsidR="00312030">
        <w:fldChar w:fldCharType="end"/>
      </w:r>
      <w:r w:rsidR="00312030">
        <w:t xml:space="preserve">. Indeed, there remains a large pipeline of planned and under-construction coal power plants, particularly in India, Turkey, Vietnam and Indonesia </w:t>
      </w:r>
      <w:r w:rsidR="00312030">
        <w:fldChar w:fldCharType="begin" w:fldLock="1"/>
      </w:r>
      <w:r w:rsidR="00AE1CAD">
        <w:instrText>ADDIN CSL_CITATION {"citationItems":[{"id":"ITEM-1","itemData":{"DOI":"10.1088/1748-9326/aaa3a2","author":[{"dropping-particle":"","family":"Edenhofer","given":"Ottmar","non-dropping-particle":"","parse-names":false,"suffix":""},{"dropping-particle":"","family":"Steckel","given":"Jan Christoph","non-dropping-particle":"","parse-names":false,"suffix":""},{"dropping-particle":"","family":"Jakob","given":"Michael","non-dropping-particle":"","parse-names":false,"suffix":""},{"dropping-particle":"","family":"Bertram","given":"Christoph","non-dropping-particle":"","parse-names":false,"suffix":""}],"container-title":"Environ. Res. Lett","id":"ITEM-1","issued":{"date-parts":[["2018"]]},"page":"1-9","title":"Reports of coal’s terminal decline may be exaggerated","type":"article-journal","volume":"13"},"uris":["http://www.mendeley.com/documents/?uuid=e41478c3-bd08-49e5-b206-dc57f1bb5716"]}],"mendeley":{"formattedCitation":"(Edenhofer, Steckel, Jakob, &amp; Bertram, 2018)","plainTextFormattedCitation":"(Edenhofer, Steckel, Jakob, &amp; Bertram, 2018)","previouslyFormattedCitation":"(Edenhofer, Steckel, Jakob, &amp; Bertram, 2018)"},"properties":{"noteIndex":0},"schema":"https://github.com/citation-style-language/schema/raw/master/csl-citation.json"}</w:instrText>
      </w:r>
      <w:r w:rsidR="00312030">
        <w:fldChar w:fldCharType="separate"/>
      </w:r>
      <w:r w:rsidR="00B53BF6" w:rsidRPr="00B53BF6">
        <w:rPr>
          <w:noProof/>
        </w:rPr>
        <w:t>(Edenhofer, Steckel, Jakob, &amp; Bertram, 2018)</w:t>
      </w:r>
      <w:r w:rsidR="00312030">
        <w:fldChar w:fldCharType="end"/>
      </w:r>
      <w:r w:rsidR="00312030">
        <w:t>.</w:t>
      </w:r>
    </w:p>
    <w:p w14:paraId="7AF68B84" w14:textId="01818792" w:rsidR="0082247F" w:rsidRDefault="00912797" w:rsidP="00912797">
      <w:pPr>
        <w:spacing w:line="360" w:lineRule="auto"/>
      </w:pPr>
      <w:r>
        <w:t xml:space="preserve">The </w:t>
      </w:r>
      <w:r w:rsidR="007858F8">
        <w:t xml:space="preserve">main </w:t>
      </w:r>
      <w:r>
        <w:t xml:space="preserve">intuition </w:t>
      </w:r>
      <w:r w:rsidR="00E20268">
        <w:t>here</w:t>
      </w:r>
      <w:r>
        <w:t xml:space="preserve"> is that one cannot rely on underlying political economic constraints to naturally improve over time</w:t>
      </w:r>
      <w:r w:rsidR="00DC22B3">
        <w:t>, not even</w:t>
      </w:r>
      <w:r w:rsidR="00137674">
        <w:t xml:space="preserve"> as countries industrialise</w:t>
      </w:r>
      <w:r w:rsidR="00E0158A">
        <w:t xml:space="preserve"> </w:t>
      </w:r>
      <w:r w:rsidR="00137674">
        <w:t>and gain wealth</w:t>
      </w:r>
      <w:r>
        <w:t>.</w:t>
      </w:r>
      <w:r w:rsidR="00074236">
        <w:t xml:space="preserve"> </w:t>
      </w:r>
      <w:r w:rsidR="00DC22B3">
        <w:t>In the case of democracy, h</w:t>
      </w:r>
      <w:r w:rsidR="00074236">
        <w:t xml:space="preserve">ighly stable </w:t>
      </w:r>
      <w:r w:rsidR="00DC22B3">
        <w:t>non-democratic regimes exist. These may be fully autocratic systems</w:t>
      </w:r>
      <w:r w:rsidR="00312030">
        <w:t xml:space="preserve"> with no electoral possibilities</w:t>
      </w:r>
      <w:r w:rsidR="00DC22B3">
        <w:t>, such as in Saudi Arabia</w:t>
      </w:r>
      <w:r w:rsidR="007858F8">
        <w:t xml:space="preserve">; </w:t>
      </w:r>
      <w:r w:rsidR="00DC22B3">
        <w:t xml:space="preserve">or hybrid regimes that combine democratic elements with </w:t>
      </w:r>
      <w:r w:rsidR="00F22A2C">
        <w:t xml:space="preserve">corruption and </w:t>
      </w:r>
      <w:r w:rsidR="00DC22B3">
        <w:t xml:space="preserve">autocratic rule, such as </w:t>
      </w:r>
      <w:r w:rsidR="00991149">
        <w:t xml:space="preserve">in </w:t>
      </w:r>
      <w:r w:rsidR="00DC22B3">
        <w:t>Russia</w:t>
      </w:r>
      <w:r w:rsidR="00CD6585">
        <w:t xml:space="preserve"> </w:t>
      </w:r>
      <w:r w:rsidR="0059532E">
        <w:fldChar w:fldCharType="begin" w:fldLock="1"/>
      </w:r>
      <w:r w:rsidR="00AE1CAD">
        <w:instrText>ADDIN CSL_CITATION {"citationItems":[{"id":"ITEM-1","itemData":{"DOI":"10.1353/jod.2002.0026","ISBN":"978-0521709156","ISSN":"1086-3214","PMID":"10835918","abstract":"Discusses regime in which formal democratic institutions are widely viewed as the principal means of obtaining and exercising political authority; focus on four areas: electoral, legislative, judicial, and media. Included in a collection of articles under the overall title, \"Elections without democracy.","author":[{"dropping-particle":"","family":"Levitsky","given":"Steven","non-dropping-particle":"","parse-names":false,"suffix":""},{"dropping-particle":"","family":"Way","given":"Lucan","non-dropping-particle":"","parse-names":false,"suffix":""}],"container-title":"Journal of Democracy","id":"ITEM-1","issue":"2","issued":{"date-parts":[["2002"]]},"page":"51-65","title":"The Rise of Competitive Authoritarianism","type":"article-journal","volume":"13"},"uris":["http://www.mendeley.com/documents/?uuid=497b0d77-3485-4156-ae19-8547ef3353d4"]},{"id":"ITEM-2","itemData":{"author":[{"dropping-particle":"","family":"V-DEM","given":"","non-dropping-particle":"","parse-names":false,"suffix":""}],"id":"ITEM-2","issued":{"date-parts":[["2018"]]},"publisher-place":"Gothenburg","title":"Democracy for All? V-Dem Annual Democracy Report 2018","type":"report"},"uris":["http://www.mendeley.com/documents/?uuid=a1fb460f-966a-4f48-9806-a3d7f8f05855"]}],"mendeley":{"formattedCitation":"(Levitsky &amp; Way, 2002; V-DEM, 2018)","plainTextFormattedCitation":"(Levitsky &amp; Way, 2002; V-DEM, 2018)","previouslyFormattedCitation":"(Levitsky &amp; Way, 2002; V-DEM, 2018)"},"properties":{"noteIndex":0},"schema":"https://github.com/citation-style-language/schema/raw/master/csl-citation.json"}</w:instrText>
      </w:r>
      <w:r w:rsidR="0059532E">
        <w:fldChar w:fldCharType="separate"/>
      </w:r>
      <w:r w:rsidR="00B53BF6" w:rsidRPr="00B53BF6">
        <w:rPr>
          <w:noProof/>
        </w:rPr>
        <w:t>(Levitsky &amp; Way, 2002; V-DEM, 2018)</w:t>
      </w:r>
      <w:r w:rsidR="0059532E">
        <w:fldChar w:fldCharType="end"/>
      </w:r>
      <w:r w:rsidR="00CD6585">
        <w:t>.</w:t>
      </w:r>
      <w:r w:rsidR="00DC22B3">
        <w:t xml:space="preserve"> I</w:t>
      </w:r>
      <w:r w:rsidR="00B90134">
        <w:t>n a similar sense, the other categories of constraint are not necessarily in</w:t>
      </w:r>
      <w:r w:rsidR="00744C9B">
        <w:t xml:space="preserve"> a positive</w:t>
      </w:r>
      <w:r w:rsidR="00B90134">
        <w:t xml:space="preserve"> transition</w:t>
      </w:r>
      <w:r w:rsidR="00744C9B">
        <w:t>, but must be actively addressed and improved</w:t>
      </w:r>
      <w:r w:rsidR="0082247F">
        <w:t>.</w:t>
      </w:r>
    </w:p>
    <w:p w14:paraId="2A83FE63" w14:textId="142890F4" w:rsidR="00952D4D" w:rsidRDefault="00891FF8" w:rsidP="00744C9B">
      <w:pPr>
        <w:spacing w:line="360" w:lineRule="auto"/>
      </w:pPr>
      <w:r>
        <w:rPr>
          <w:noProof/>
          <w:lang w:eastAsia="en-GB"/>
        </w:rPr>
        <w:drawing>
          <wp:inline distT="0" distB="0" distL="0" distR="0" wp14:anchorId="734D8AAD" wp14:editId="7BA2F05F">
            <wp:extent cx="5759450"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n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901440"/>
                    </a:xfrm>
                    <a:prstGeom prst="rect">
                      <a:avLst/>
                    </a:prstGeom>
                  </pic:spPr>
                </pic:pic>
              </a:graphicData>
            </a:graphic>
          </wp:inline>
        </w:drawing>
      </w:r>
    </w:p>
    <w:p w14:paraId="4485E995" w14:textId="73F2CFD6" w:rsidR="00222D68" w:rsidRPr="00093C59" w:rsidRDefault="00952D4D" w:rsidP="00E43A88">
      <w:pPr>
        <w:pStyle w:val="Caption"/>
        <w:spacing w:after="120"/>
        <w:jc w:val="center"/>
        <w:rPr>
          <w:sz w:val="22"/>
        </w:rPr>
      </w:pPr>
      <w:bookmarkStart w:id="7" w:name="_Ref12627487"/>
      <w:r w:rsidRPr="00093C59">
        <w:rPr>
          <w:b/>
          <w:sz w:val="22"/>
        </w:rPr>
        <w:t xml:space="preserve">Figure </w:t>
      </w:r>
      <w:r w:rsidRPr="00093C59">
        <w:rPr>
          <w:b/>
          <w:sz w:val="22"/>
        </w:rPr>
        <w:fldChar w:fldCharType="begin"/>
      </w:r>
      <w:r w:rsidRPr="00093C59">
        <w:rPr>
          <w:b/>
          <w:sz w:val="22"/>
        </w:rPr>
        <w:instrText xml:space="preserve"> SEQ Figure \* ARABIC </w:instrText>
      </w:r>
      <w:r w:rsidRPr="00093C59">
        <w:rPr>
          <w:b/>
          <w:sz w:val="22"/>
        </w:rPr>
        <w:fldChar w:fldCharType="separate"/>
      </w:r>
      <w:r w:rsidR="00BA5D69" w:rsidRPr="00093C59">
        <w:rPr>
          <w:b/>
          <w:noProof/>
          <w:sz w:val="22"/>
        </w:rPr>
        <w:t>6</w:t>
      </w:r>
      <w:r w:rsidRPr="00093C59">
        <w:rPr>
          <w:b/>
          <w:sz w:val="22"/>
        </w:rPr>
        <w:fldChar w:fldCharType="end"/>
      </w:r>
      <w:bookmarkEnd w:id="7"/>
      <w:r w:rsidRPr="00093C59">
        <w:rPr>
          <w:b/>
          <w:sz w:val="22"/>
        </w:rPr>
        <w:t xml:space="preserve">: trends in constrains by cluster. </w:t>
      </w:r>
      <w:r w:rsidRPr="00093C59">
        <w:rPr>
          <w:sz w:val="22"/>
        </w:rPr>
        <w:t>Data points scaled to country population.</w:t>
      </w:r>
      <w:r w:rsidR="00E43A88" w:rsidRPr="00093C59">
        <w:rPr>
          <w:sz w:val="22"/>
        </w:rPr>
        <w:t xml:space="preserve"> Not all constraints shown, due to insufficient time spans in the data.</w:t>
      </w:r>
    </w:p>
    <w:p w14:paraId="44068329" w14:textId="77777777" w:rsidR="007858F8" w:rsidRPr="007858F8" w:rsidRDefault="007858F8" w:rsidP="007858F8"/>
    <w:p w14:paraId="686BD9B7" w14:textId="193BA2B8" w:rsidR="00C77E09" w:rsidRDefault="004E51DB" w:rsidP="006E557C">
      <w:pPr>
        <w:spacing w:line="360" w:lineRule="auto"/>
      </w:pPr>
      <w:r>
        <w:t xml:space="preserve">There are </w:t>
      </w:r>
      <w:r w:rsidR="00DC6328">
        <w:t>some</w:t>
      </w:r>
      <w:r>
        <w:t xml:space="preserve"> limitations with this analysis.</w:t>
      </w:r>
      <w:r w:rsidR="00280D3E">
        <w:t xml:space="preserve"> </w:t>
      </w:r>
      <w:r w:rsidR="00404EF1">
        <w:t>First</w:t>
      </w:r>
      <w:r w:rsidR="00485044">
        <w:t xml:space="preserve">, </w:t>
      </w:r>
      <w:r w:rsidR="00280D3E">
        <w:t>the international scope raises data limitations</w:t>
      </w:r>
      <w:r w:rsidR="00485044">
        <w:t xml:space="preserve">. </w:t>
      </w:r>
      <w:r w:rsidR="00A9240A">
        <w:t xml:space="preserve">As we </w:t>
      </w:r>
      <w:r w:rsidR="00BE5BC7">
        <w:t xml:space="preserve">have </w:t>
      </w:r>
      <w:r w:rsidR="00A9240A">
        <w:t>discussed in this paper, there are few</w:t>
      </w:r>
      <w:r w:rsidR="00991149">
        <w:t xml:space="preserve"> adequate</w:t>
      </w:r>
      <w:r w:rsidR="00A9240A">
        <w:t xml:space="preserve"> cross-national measures of climate policy </w:t>
      </w:r>
      <w:r w:rsidR="00A9240A">
        <w:lastRenderedPageBreak/>
        <w:t xml:space="preserve">performance. At best, the number of climate laws </w:t>
      </w:r>
      <w:r w:rsidR="00EC172E">
        <w:t>implemented in a country</w:t>
      </w:r>
      <w:r w:rsidR="00A9240A">
        <w:t xml:space="preserve"> gives a suggestion of </w:t>
      </w:r>
      <w:r w:rsidR="008F6D52">
        <w:t xml:space="preserve">policy </w:t>
      </w:r>
      <w:r w:rsidR="00A9240A">
        <w:t xml:space="preserve">engagement, but </w:t>
      </w:r>
      <w:r w:rsidR="008F6D52">
        <w:t xml:space="preserve">does not describe policy quality or ambition. The inclusion of fossil subsidies and current emissions gives a more rounded picture, but one that is still lacking. Quantifying interest-based opposition to climate policy is also challenging: </w:t>
      </w:r>
      <w:r w:rsidR="00EC172E">
        <w:t xml:space="preserve">both </w:t>
      </w:r>
      <w:r w:rsidR="008F6D52">
        <w:t xml:space="preserve">oil </w:t>
      </w:r>
      <w:r w:rsidR="00EC172E">
        <w:t>&amp;</w:t>
      </w:r>
      <w:r w:rsidR="008F6D52">
        <w:t xml:space="preserve"> gas rent</w:t>
      </w:r>
      <w:r w:rsidR="00EC172E">
        <w:t>s</w:t>
      </w:r>
      <w:r w:rsidR="008F6D52">
        <w:t xml:space="preserve"> and share</w:t>
      </w:r>
      <w:r w:rsidR="00EC172E">
        <w:t>s of coal</w:t>
      </w:r>
      <w:r w:rsidR="00240F6D">
        <w:t xml:space="preserve"> tend to describe</w:t>
      </w:r>
      <w:r w:rsidR="00EC172E">
        <w:t xml:space="preserve"> </w:t>
      </w:r>
      <w:r w:rsidR="008F6D52">
        <w:t>supply-side issues</w:t>
      </w:r>
      <w:r w:rsidR="00E90D26">
        <w:t xml:space="preserve">. They </w:t>
      </w:r>
      <w:r w:rsidR="008F6D52">
        <w:t xml:space="preserve">do not capture </w:t>
      </w:r>
      <w:r w:rsidR="00240F6D">
        <w:t xml:space="preserve">issues concerning transportation, agriculture or energy demand. Nor can they describe </w:t>
      </w:r>
      <w:r w:rsidR="008F6D52">
        <w:t>the full scope of possible lobbying and obstruction activities</w:t>
      </w:r>
      <w:r w:rsidR="00240F6D">
        <w:t xml:space="preserve"> through political capture</w:t>
      </w:r>
      <w:r w:rsidR="008F6D52">
        <w:t xml:space="preserve">. The fact that the United States is categorised into the least constrained group of countries attests to this problem. </w:t>
      </w:r>
      <w:r w:rsidR="0048725B">
        <w:t xml:space="preserve">Finally, </w:t>
      </w:r>
      <w:r w:rsidR="001F1FBA">
        <w:t>the</w:t>
      </w:r>
      <w:r w:rsidR="0048725B">
        <w:t xml:space="preserve"> data </w:t>
      </w:r>
      <w:r w:rsidR="001F1FBA">
        <w:t xml:space="preserve">on climate awareness </w:t>
      </w:r>
      <w:r w:rsidR="0048725B">
        <w:t>is notably out of date. Climate awareness and concern may rapidly change, due to political</w:t>
      </w:r>
      <w:r w:rsidR="009647B4">
        <w:t xml:space="preserve"> circumstances</w:t>
      </w:r>
      <w:r w:rsidR="0048725B">
        <w:t xml:space="preserve"> (</w:t>
      </w:r>
      <w:r w:rsidR="00E036A2">
        <w:t xml:space="preserve">e.g. </w:t>
      </w:r>
      <w:r w:rsidR="0048725B">
        <w:t>the Paris Agreement)</w:t>
      </w:r>
      <w:r w:rsidR="00E036A2">
        <w:t xml:space="preserve"> or </w:t>
      </w:r>
      <w:r w:rsidR="0048725B">
        <w:t xml:space="preserve">extreme-weather </w:t>
      </w:r>
      <w:r w:rsidR="00E036A2">
        <w:t xml:space="preserve">events; however we are aware of no recent cross-national surveys that </w:t>
      </w:r>
      <w:r w:rsidR="00037DCA">
        <w:t>have documented such shifts</w:t>
      </w:r>
      <w:r w:rsidR="00E036A2">
        <w:t>.</w:t>
      </w:r>
    </w:p>
    <w:p w14:paraId="51621FCE" w14:textId="5E24622A" w:rsidR="00991149" w:rsidRDefault="00991149" w:rsidP="006E557C">
      <w:pPr>
        <w:spacing w:line="360" w:lineRule="auto"/>
      </w:pPr>
      <w:r>
        <w:t>Methodological limitations should also be noted. Cluster analysis is primarily a heuristic device to understand broad categorisations: it does not account for the magnitude of effects in each dimension (for instance, democratic norms may be more consequential than climate awareness)</w:t>
      </w:r>
      <w:r w:rsidR="00647589">
        <w:t xml:space="preserve"> There is also an inevitable trade-off between the number of clusters (affecting interpretability) and the quality of each cluster (i.e. internal variation along each dimension).</w:t>
      </w:r>
      <w:r w:rsidR="007B1B4D">
        <w:t xml:space="preserve"> Nonetheless, this work provides a descriptive starting point and raises critical questions for future research.</w:t>
      </w:r>
    </w:p>
    <w:p w14:paraId="6797DDEA" w14:textId="632623A6" w:rsidR="00F63557" w:rsidRDefault="00471AF7" w:rsidP="00936D99">
      <w:pPr>
        <w:pStyle w:val="Heading3"/>
        <w:numPr>
          <w:ilvl w:val="0"/>
          <w:numId w:val="1"/>
        </w:numPr>
        <w:spacing w:after="120" w:line="360" w:lineRule="auto"/>
      </w:pPr>
      <w:r>
        <w:t>Discussion &amp; c</w:t>
      </w:r>
      <w:r w:rsidR="00F63AB1" w:rsidRPr="00D056A0">
        <w:t>onclusion</w:t>
      </w:r>
    </w:p>
    <w:p w14:paraId="65BCC294" w14:textId="6CDE075F" w:rsidR="004E51DB" w:rsidRDefault="00A017E4" w:rsidP="00A017E4">
      <w:pPr>
        <w:spacing w:line="360" w:lineRule="auto"/>
      </w:pPr>
      <w:r>
        <w:t xml:space="preserve">In this paper we set out to explore political economic constraints to climate policy. </w:t>
      </w:r>
      <w:r w:rsidR="001E259A">
        <w:t xml:space="preserve">We take a comparative focus at the </w:t>
      </w:r>
      <w:r>
        <w:t>national</w:t>
      </w:r>
      <w:r w:rsidR="001E259A">
        <w:t xml:space="preserve"> level, categorising interest, institution and idea-based </w:t>
      </w:r>
      <w:r w:rsidR="00453D50">
        <w:t>constraints</w:t>
      </w:r>
      <w:r w:rsidR="001E259A">
        <w:t xml:space="preserve"> that actively hinder the advancement of climate policy</w:t>
      </w:r>
      <w:r>
        <w:t>.</w:t>
      </w:r>
      <w:r w:rsidR="001E259A">
        <w:t xml:space="preserve"> </w:t>
      </w:r>
      <w:r>
        <w:t xml:space="preserve">We </w:t>
      </w:r>
      <w:r w:rsidR="00453D50">
        <w:t>argue</w:t>
      </w:r>
      <w:r>
        <w:t xml:space="preserve"> that it is possible to document and explore systematic differences </w:t>
      </w:r>
      <w:r w:rsidR="00610E23">
        <w:t xml:space="preserve">in </w:t>
      </w:r>
      <w:r w:rsidR="00256FE2">
        <w:t xml:space="preserve">these constraints between </w:t>
      </w:r>
      <w:r w:rsidR="00453D50">
        <w:t>countries</w:t>
      </w:r>
      <w:r w:rsidR="00256FE2">
        <w:t>. H</w:t>
      </w:r>
      <w:r>
        <w:t>owever, this comes with major conceptual and empirical challenges going forward.</w:t>
      </w:r>
    </w:p>
    <w:p w14:paraId="5D9454F9" w14:textId="4F04680D" w:rsidR="00693EF0" w:rsidRDefault="000D11F0" w:rsidP="00693EF0">
      <w:pPr>
        <w:spacing w:line="360" w:lineRule="auto"/>
      </w:pPr>
      <w:r>
        <w:t xml:space="preserve">First, our </w:t>
      </w:r>
      <w:r w:rsidR="009647B4">
        <w:t>study</w:t>
      </w:r>
      <w:r>
        <w:t xml:space="preserve"> finds very little structured understanding of </w:t>
      </w:r>
      <w:r w:rsidR="00CF0A1A">
        <w:t xml:space="preserve">how to compare </w:t>
      </w:r>
      <w:r>
        <w:t>national climate policy progress</w:t>
      </w:r>
      <w:r w:rsidR="00CF0A1A">
        <w:t xml:space="preserve">, </w:t>
      </w:r>
      <w:r w:rsidR="003016D8">
        <w:t>including</w:t>
      </w:r>
      <w:r w:rsidR="00CF0A1A">
        <w:t xml:space="preserve"> what dependent variables can be put to </w:t>
      </w:r>
      <w:r w:rsidR="00256FE2">
        <w:t>this</w:t>
      </w:r>
      <w:r w:rsidR="00CF0A1A">
        <w:t xml:space="preserve"> task</w:t>
      </w:r>
      <w:r>
        <w:t>. T</w:t>
      </w:r>
      <w:r w:rsidR="00CF0A1A">
        <w:t>his is a major limitation,</w:t>
      </w:r>
      <w:r>
        <w:t xml:space="preserve"> not only </w:t>
      </w:r>
      <w:r w:rsidR="00CF0A1A">
        <w:t xml:space="preserve">for </w:t>
      </w:r>
      <w:r>
        <w:t xml:space="preserve">examining political economic constraints, but in </w:t>
      </w:r>
      <w:r w:rsidR="00256FE2">
        <w:t>broadly</w:t>
      </w:r>
      <w:r>
        <w:t xml:space="preserve"> documenting the performance of countries. Research </w:t>
      </w:r>
      <w:r w:rsidR="009F5373">
        <w:t>tends to focus</w:t>
      </w:r>
      <w:r>
        <w:t xml:space="preserve"> on individual facets of progress, such as target setting (the NDCs), </w:t>
      </w:r>
      <w:r w:rsidR="009F5373">
        <w:t xml:space="preserve">tracking </w:t>
      </w:r>
      <w:r>
        <w:t xml:space="preserve">emissions trends, or </w:t>
      </w:r>
      <w:r w:rsidR="009F5373">
        <w:t xml:space="preserve">estimating </w:t>
      </w:r>
      <w:r>
        <w:t xml:space="preserve">implicit carbon prices. Thus </w:t>
      </w:r>
      <w:r w:rsidR="00DD72FF">
        <w:t>if a government</w:t>
      </w:r>
      <w:r>
        <w:t xml:space="preserve"> claim</w:t>
      </w:r>
      <w:r w:rsidR="00DD72FF">
        <w:t>s</w:t>
      </w:r>
      <w:r>
        <w:t xml:space="preserve"> to be </w:t>
      </w:r>
      <w:r w:rsidR="00DD72FF">
        <w:t xml:space="preserve">a </w:t>
      </w:r>
      <w:r>
        <w:t>world leader</w:t>
      </w:r>
      <w:r w:rsidR="00CF0A1A">
        <w:t xml:space="preserve"> in climate policy ambition</w:t>
      </w:r>
      <w:r>
        <w:t xml:space="preserve">, it is genuinely difficult to assess </w:t>
      </w:r>
      <w:r w:rsidR="00CF0A1A">
        <w:t>such</w:t>
      </w:r>
      <w:r w:rsidR="00DD72FF">
        <w:t xml:space="preserve"> a</w:t>
      </w:r>
      <w:r w:rsidR="00CF0A1A">
        <w:t xml:space="preserve"> claim. Work is needed to bridge this gap and build multi-dimensional criteria </w:t>
      </w:r>
      <w:r w:rsidR="008910F4">
        <w:t xml:space="preserve">and measures </w:t>
      </w:r>
      <w:r w:rsidR="00CF0A1A">
        <w:t xml:space="preserve">that can shine a </w:t>
      </w:r>
      <w:r w:rsidR="00151855">
        <w:t xml:space="preserve">critical </w:t>
      </w:r>
      <w:r w:rsidR="00CF0A1A">
        <w:t xml:space="preserve">light on national </w:t>
      </w:r>
      <w:r w:rsidR="00863A64">
        <w:t xml:space="preserve">climate </w:t>
      </w:r>
      <w:r w:rsidR="00CF0A1A">
        <w:t xml:space="preserve">policy </w:t>
      </w:r>
      <w:r w:rsidR="00B246EE">
        <w:t>progress</w:t>
      </w:r>
      <w:r w:rsidR="00CF0A1A">
        <w:t>.</w:t>
      </w:r>
      <w:r w:rsidR="00693EF0">
        <w:t xml:space="preserve"> </w:t>
      </w:r>
      <w:r w:rsidR="00863A64">
        <w:t xml:space="preserve"> </w:t>
      </w:r>
      <w:r w:rsidR="00693EF0">
        <w:t xml:space="preserve">This could pave the way for more rigorous and policy-relevant assessments of the prevalent climate policy gap. </w:t>
      </w:r>
    </w:p>
    <w:p w14:paraId="132F4B7B" w14:textId="3F58D649" w:rsidR="000D11F0" w:rsidRDefault="00610E23" w:rsidP="00A017E4">
      <w:pPr>
        <w:spacing w:line="360" w:lineRule="auto"/>
      </w:pPr>
      <w:r>
        <w:lastRenderedPageBreak/>
        <w:t xml:space="preserve">Second, the extant literature </w:t>
      </w:r>
      <w:r w:rsidR="00151855">
        <w:t xml:space="preserve">documents a series of constraints. </w:t>
      </w:r>
      <w:r w:rsidR="000D7E5A">
        <w:t>Oil and gas</w:t>
      </w:r>
      <w:r w:rsidR="00151855">
        <w:t xml:space="preserve"> extraction </w:t>
      </w:r>
      <w:r w:rsidR="000F791D">
        <w:t>activities</w:t>
      </w:r>
      <w:r w:rsidR="00F869B7">
        <w:t xml:space="preserve"> </w:t>
      </w:r>
      <w:r w:rsidR="00151855">
        <w:t xml:space="preserve">and </w:t>
      </w:r>
      <w:r w:rsidR="006C0A6E">
        <w:t xml:space="preserve">supply-side </w:t>
      </w:r>
      <w:r w:rsidR="00151855">
        <w:t xml:space="preserve">fossil penetration </w:t>
      </w:r>
      <w:r w:rsidR="00F869B7">
        <w:t>both</w:t>
      </w:r>
      <w:r w:rsidR="00151855">
        <w:t xml:space="preserve"> appear to </w:t>
      </w:r>
      <w:r w:rsidR="00821FAF">
        <w:t>hinder decarbonisation</w:t>
      </w:r>
      <w:r w:rsidR="00151855">
        <w:t xml:space="preserve">. Undemocratic and more corrupt countries fare poorly in the adoption of climate legislation and policies. Low levels of climate awareness and social trust are further barriers. And besides these, a host of </w:t>
      </w:r>
      <w:r w:rsidR="00FF4D33">
        <w:t xml:space="preserve">more nuanced and less easily traced factors are likely to hold influence, such as </w:t>
      </w:r>
      <w:r w:rsidR="004B12DA">
        <w:t xml:space="preserve">dominant </w:t>
      </w:r>
      <w:r w:rsidR="00FF4D33">
        <w:t xml:space="preserve">political ideologies, legalised forms of corruption (lobbying), </w:t>
      </w:r>
      <w:r w:rsidR="00135F15">
        <w:t xml:space="preserve">institutional designs that offer veto-points, </w:t>
      </w:r>
      <w:r w:rsidR="00FE1BAD">
        <w:t>demand-</w:t>
      </w:r>
      <w:r w:rsidR="00931F7B">
        <w:t>side</w:t>
      </w:r>
      <w:r w:rsidR="00FE1BAD">
        <w:t xml:space="preserve"> carbon lock-in</w:t>
      </w:r>
      <w:r w:rsidR="00931F7B">
        <w:t xml:space="preserve">, </w:t>
      </w:r>
      <w:r w:rsidR="00135F15">
        <w:t>and so forth.</w:t>
      </w:r>
    </w:p>
    <w:p w14:paraId="36919C17" w14:textId="0EC9E3DC" w:rsidR="006E557C" w:rsidRDefault="00453D50" w:rsidP="00F541E5">
      <w:pPr>
        <w:spacing w:line="360" w:lineRule="auto"/>
      </w:pPr>
      <w:r>
        <w:t>Third, we claim that such constraints are likely to be inter-</w:t>
      </w:r>
      <w:r w:rsidR="004B12DA">
        <w:t>related</w:t>
      </w:r>
      <w:r w:rsidR="008313C0">
        <w:t xml:space="preserve"> </w:t>
      </w:r>
      <w:r w:rsidR="00EF1147">
        <w:t xml:space="preserve">and mutually reinforcing </w:t>
      </w:r>
      <w:r w:rsidR="004B12DA">
        <w:t xml:space="preserve">in some </w:t>
      </w:r>
      <w:r w:rsidR="00C3047F">
        <w:t>circumstances</w:t>
      </w:r>
      <w:r w:rsidR="00EF1147">
        <w:t xml:space="preserve"> – </w:t>
      </w:r>
      <w:r w:rsidR="004B12DA">
        <w:t>perhaps hinting at more fundamental</w:t>
      </w:r>
      <w:r w:rsidR="00EF1147">
        <w:t xml:space="preserve"> architectures of constraint</w:t>
      </w:r>
      <w:r w:rsidR="004B12DA">
        <w:t xml:space="preserve">. </w:t>
      </w:r>
      <w:r w:rsidR="00A82904">
        <w:t xml:space="preserve">This </w:t>
      </w:r>
      <w:r w:rsidR="00106487">
        <w:t>is scarcely</w:t>
      </w:r>
      <w:r w:rsidR="00A82904">
        <w:t xml:space="preserve"> researched</w:t>
      </w:r>
      <w:r w:rsidR="00C3047F">
        <w:t xml:space="preserve"> </w:t>
      </w:r>
      <w:r w:rsidR="00106487">
        <w:t xml:space="preserve">territory </w:t>
      </w:r>
      <w:r w:rsidR="00C3047F">
        <w:t>in the context of climate policy</w:t>
      </w:r>
      <w:r w:rsidR="005E586B">
        <w:t xml:space="preserve">. It has rather </w:t>
      </w:r>
      <w:r w:rsidR="000F791D">
        <w:t xml:space="preserve">gained attention where </w:t>
      </w:r>
      <w:r w:rsidR="00944831">
        <w:t>regimes</w:t>
      </w:r>
      <w:r w:rsidR="008313C0">
        <w:t xml:space="preserve"> </w:t>
      </w:r>
      <w:r w:rsidR="00931F7B">
        <w:t xml:space="preserve">actively facilitate resource extraction, </w:t>
      </w:r>
      <w:r w:rsidR="00FE2FC6">
        <w:t xml:space="preserve">economic </w:t>
      </w:r>
      <w:r w:rsidR="00931F7B">
        <w:t xml:space="preserve">exploitation and </w:t>
      </w:r>
      <w:proofErr w:type="spellStart"/>
      <w:r w:rsidR="00931F7B">
        <w:t>kleptocratic</w:t>
      </w:r>
      <w:proofErr w:type="spellEnd"/>
      <w:r w:rsidR="00931F7B">
        <w:t xml:space="preserve"> tendencies, </w:t>
      </w:r>
      <w:r w:rsidR="008313C0">
        <w:t xml:space="preserve">such as </w:t>
      </w:r>
      <w:r w:rsidR="005E586B">
        <w:t xml:space="preserve">in </w:t>
      </w:r>
      <w:r w:rsidR="00931F7B">
        <w:t>rentier and fragile states.</w:t>
      </w:r>
    </w:p>
    <w:p w14:paraId="3BA614CC" w14:textId="5A96EA9E" w:rsidR="00EE5CF6" w:rsidRDefault="000F791D" w:rsidP="00F541E5">
      <w:pPr>
        <w:spacing w:line="360" w:lineRule="auto"/>
      </w:pPr>
      <w:r>
        <w:t>Finally, we conduct an empirical analysis of constraints, focusing on some basic stylized facts.</w:t>
      </w:r>
      <w:r w:rsidR="009A2458">
        <w:t xml:space="preserve"> The available data demo</w:t>
      </w:r>
      <w:r w:rsidR="009537B4">
        <w:t>nstrates strong interrelations</w:t>
      </w:r>
      <w:r w:rsidR="009A2458">
        <w:t xml:space="preserve">, with several dominant trends captured in a </w:t>
      </w:r>
      <w:r w:rsidR="00842BEE">
        <w:t xml:space="preserve">vector of institutional strength (democracy, control of corruption), implicit social support </w:t>
      </w:r>
      <w:r w:rsidR="009A2458">
        <w:t xml:space="preserve">for policy </w:t>
      </w:r>
      <w:r w:rsidR="00842BEE">
        <w:t xml:space="preserve">(climate awareness, social trust), and an absence of fossil extraction </w:t>
      </w:r>
      <w:r w:rsidR="009A2458">
        <w:t xml:space="preserve">activities </w:t>
      </w:r>
      <w:r w:rsidR="00842BEE">
        <w:t xml:space="preserve">and subsidies. </w:t>
      </w:r>
      <w:r w:rsidR="009537B4">
        <w:t xml:space="preserve">Cluster analysis establishes 5 groups of countries. Of these, </w:t>
      </w:r>
      <w:r w:rsidR="00EE5CF6">
        <w:t xml:space="preserve">the </w:t>
      </w:r>
      <w:r w:rsidR="009537B4">
        <w:t>oil states appear to be most fundamentally hindered in climate policy progress, due to dominant interest-based opposition and undemocratic institutional regimes.</w:t>
      </w:r>
      <w:r w:rsidR="00EE5CF6">
        <w:t xml:space="preserve"> Indeed, strong democratic norms and institutions free from corruption are a rarity, coalescing in only one cluster of countries, the wealthy OECD group. That these constraints are stable over time, or in many cases declining (social trust)</w:t>
      </w:r>
      <w:r w:rsidR="003F7F56">
        <w:t xml:space="preserve"> is a cause for significant concern, given the already pressing challenge of </w:t>
      </w:r>
      <w:r w:rsidR="00823918">
        <w:t>remaining within dwindling carbon budgets.</w:t>
      </w:r>
    </w:p>
    <w:p w14:paraId="09B8BACC" w14:textId="3D606327" w:rsidR="009647B4" w:rsidRDefault="001F1FBA" w:rsidP="009647B4">
      <w:pPr>
        <w:spacing w:line="360" w:lineRule="auto"/>
      </w:pPr>
      <w:r>
        <w:t xml:space="preserve">It is important to have a clear-eyed view of these challenges. </w:t>
      </w:r>
      <w:r w:rsidR="00B57B9D">
        <w:t>The typical advice following analysis of this kind is that our attention should focus on establishing ‘enabling environments’ for climate policy. Yet, as</w:t>
      </w:r>
      <w:r>
        <w:t xml:space="preserve"> others have argued, one cannot simply mobilise political will and technocratic skill when these ingredients are purposefully absent</w:t>
      </w:r>
      <w:r w:rsidR="004025B2">
        <w:t xml:space="preserve"> </w:t>
      </w:r>
      <w:r w:rsidR="004025B2">
        <w:fldChar w:fldCharType="begin" w:fldLock="1"/>
      </w:r>
      <w:r w:rsidR="00AE1CAD">
        <w:instrText>ADDIN CSL_CITATION {"citationItems":[{"id":"ITEM-1","itemData":{"ISBN":"9780821394755","author":[{"dropping-particle":"","family":"Chayes","given":"Sarah","non-dropping-particle":"","parse-names":false,"suffix":""}],"id":"ITEM-1","issued":{"date-parts":[["2017"]]},"publisher-place":"Washington, DC","title":"When corruption is the operating system: the case of Honduras","type":"report"},"uris":["http://www.mendeley.com/documents/?uuid=6eb21149-96bf-4f31-879a-71a659863422"]}],"mendeley":{"formattedCitation":"(Chayes, 2017)","plainTextFormattedCitation":"(Chayes, 2017)","previouslyFormattedCitation":"(Chayes, 2017)"},"properties":{"noteIndex":0},"schema":"https://github.com/citation-style-language/schema/raw/master/csl-citation.json"}</w:instrText>
      </w:r>
      <w:r w:rsidR="004025B2">
        <w:fldChar w:fldCharType="separate"/>
      </w:r>
      <w:r w:rsidR="00B53BF6" w:rsidRPr="00B53BF6">
        <w:rPr>
          <w:noProof/>
        </w:rPr>
        <w:t>(Chayes, 2017)</w:t>
      </w:r>
      <w:r w:rsidR="004025B2">
        <w:fldChar w:fldCharType="end"/>
      </w:r>
      <w:r>
        <w:t xml:space="preserve">. </w:t>
      </w:r>
      <w:r w:rsidR="00B57B9D">
        <w:t xml:space="preserve">What then, are realistic intervention points? </w:t>
      </w:r>
      <w:r w:rsidR="00891FF8">
        <w:t xml:space="preserve">This </w:t>
      </w:r>
      <w:r w:rsidR="00D36A36">
        <w:t xml:space="preserve">is a question that deserves our attention. </w:t>
      </w:r>
      <w:r w:rsidR="009647B4">
        <w:t xml:space="preserve">Recent literatures argue for a shift </w:t>
      </w:r>
      <w:r w:rsidR="009647B4" w:rsidRPr="009647B4">
        <w:t xml:space="preserve">beyond </w:t>
      </w:r>
      <w:r w:rsidR="009647B4">
        <w:t xml:space="preserve">standard economic theories of policy instrument choice, which has traditionally promoted </w:t>
      </w:r>
      <w:r w:rsidR="009647B4" w:rsidRPr="009647B4">
        <w:t>carbon taxation across all regions and sectors</w:t>
      </w:r>
      <w:r w:rsidR="009647B4">
        <w:t>.</w:t>
      </w:r>
      <w:r w:rsidR="009647B4" w:rsidRPr="009647B4">
        <w:t xml:space="preserve"> </w:t>
      </w:r>
      <w:r w:rsidR="009647B4">
        <w:t xml:space="preserve">Instead, a sequencing of different policy instruments with growing ambition appears more realistic to overcome the various constraints in a stepwise process </w:t>
      </w:r>
      <w:r w:rsidR="009647B4">
        <w:fldChar w:fldCharType="begin" w:fldLock="1"/>
      </w:r>
      <w:r w:rsidR="009647B4">
        <w:instrText>ADDIN CSL_CITATION {"citationItems":[{"id":"ITEM-1","itemData":{"DOI":"10.1038/s41558-018-0287-6","ISSN":"1758-678X","author":[{"dropping-particle":"","family":"Pahle","given":"Michael","non-dropping-particle":"","parse-names":false,"suffix":""},{"dropping-particle":"","family":"Burtraw","given":"Dallas","non-dropping-particle":"","parse-names":false,"suffix":""},{"dropping-particle":"","family":"Flachsland","given":"Christian","non-dropping-particle":"","parse-names":false,"suffix":""},{"dropping-particle":"","family":"Kelsey","given":"Nina","non-dropping-particle":"","parse-names":false,"suffix":""},{"dropping-particle":"","family":"Biber","given":"Eric","non-dropping-particle":"","parse-names":false,"suffix":""},{"dropping-particle":"","family":"Meckling","given":"Jonas","non-dropping-particle":"","parse-names":false,"suffix":""},{"dropping-particle":"","family":"Edenhofer","given":"Ottmar","non-dropping-particle":"","parse-names":false,"suffix":""},{"dropping-particle":"","family":"Zysman","given":"John","non-dropping-particle":"","parse-names":false,"suffix":""}],"container-title":"Nature Climate Change","id":"ITEM-1","issue":"10","issued":{"date-parts":[["2018"]]},"page":"861-867","publisher":"Springer US","title":"Sequencing to ratchet up climate policy stringency","type":"article-journal","volume":"8"},"uris":["http://www.mendeley.com/documents/?uuid=06201094-7835-48e1-9003-da36c3374678"]},{"id":"ITEM-2","itemData":{"DOI":"10.1038/s41560-017-0025-8","ISSN":"20587546","abstract":"Many economists have long held that carbon pricing—either through a carbon tax or cap-and-trade—is the most cost-effective way to decarbonize energy systems, along with subsidies for basic research and development. Meanwhile, green innovation and industrial policies aimed at fostering low-carbon energy technologies have proliferated widely. Most of these predate direct carbon pricing. Low-carbon leaders such as California and the European Union (EU) have followed a distinct policy sequence that helps overcome some of the political challenges facing low-carbon policy by building economic interest groups in support of decarbonization and reducing the cost of technologies required for emissions reductions. However, while politically effective, this policy pathway faces significant challenges to environmental and cost effectiveness, including excess rent capture and lock-in. Here we discuss options for addressing these challenges under political constraints. As countries move toward deeper emissions cuts, combining and sequencing policies will prove critical to avoid environmental, economic, and political dead-ends in decarbonizing energy systems. A policy sequence for low-carbon policy that is politically effective continues to face challenges of environmental and cost effectiveness. This Perspective outlines ways to address these issues within political constraints.","author":[{"dropping-particle":"","family":"Meckling","given":"Jonas","non-dropping-particle":"","parse-names":false,"suffix":""},{"dropping-particle":"","family":"Sterner","given":"Thomas","non-dropping-particle":"","parse-names":false,"suffix":""},{"dropping-particle":"","family":"Wagner","given":"Gernot","non-dropping-particle":"","parse-names":false,"suffix":""}],"container-title":"Nature Energy","id":"ITEM-2","issue":"12","issued":{"date-parts":[["2017"]]},"page":"918-922","publisher":"Springer US","title":"Policy sequencing toward decarbonization","type":"article-journal","volume":"2"},"uris":["http://www.mendeley.com/documents/?uuid=67f803d9-b3cf-4965-bb41-a907af91e677"]}],"mendeley":{"formattedCitation":"(Meckling et al., 2017; Pahle et al., 2018)","plainTextFormattedCitation":"(Meckling et al., 2017; Pahle et al., 2018)","previouslyFormattedCitation":"(Meckling et al., 2017; Pahle et al., 2018)"},"properties":{"noteIndex":0},"schema":"https://github.com/citation-style-language/schema/raw/master/csl-citation.json"}</w:instrText>
      </w:r>
      <w:r w:rsidR="009647B4">
        <w:fldChar w:fldCharType="separate"/>
      </w:r>
      <w:r w:rsidR="009647B4" w:rsidRPr="00B53BF6">
        <w:rPr>
          <w:noProof/>
        </w:rPr>
        <w:t>(Meckling et al., 2017; Pahle et al., 2018)</w:t>
      </w:r>
      <w:r w:rsidR="009647B4">
        <w:fldChar w:fldCharType="end"/>
      </w:r>
      <w:r w:rsidR="009647B4">
        <w:t xml:space="preserve">. </w:t>
      </w:r>
    </w:p>
    <w:p w14:paraId="7C3BCBEB" w14:textId="2B5E2985" w:rsidR="005E204A" w:rsidRDefault="009647B4" w:rsidP="009647B4">
      <w:pPr>
        <w:spacing w:line="360" w:lineRule="auto"/>
      </w:pPr>
      <w:r>
        <w:t>T</w:t>
      </w:r>
      <w:r w:rsidR="005E204A">
        <w:t xml:space="preserve">he active </w:t>
      </w:r>
      <w:r w:rsidR="006755CE">
        <w:t xml:space="preserve">formation </w:t>
      </w:r>
      <w:r w:rsidR="005E204A">
        <w:t>of political movements</w:t>
      </w:r>
      <w:r w:rsidR="006755CE">
        <w:t xml:space="preserve"> and building of climate constituencies </w:t>
      </w:r>
      <w:r>
        <w:t xml:space="preserve">appears critical. Beyond policy sequencing, this might involve </w:t>
      </w:r>
      <w:r w:rsidR="004025B2">
        <w:t xml:space="preserve">diverse approaches from raising </w:t>
      </w:r>
      <w:r w:rsidR="00121CD6">
        <w:t xml:space="preserve">legal cases, </w:t>
      </w:r>
      <w:r w:rsidR="00121CD6">
        <w:lastRenderedPageBreak/>
        <w:t>establishing boycotts</w:t>
      </w:r>
      <w:r>
        <w:t>,</w:t>
      </w:r>
      <w:r w:rsidR="00121CD6">
        <w:t xml:space="preserve"> and </w:t>
      </w:r>
      <w:r w:rsidR="00891FF8">
        <w:t>challenging</w:t>
      </w:r>
      <w:r w:rsidR="00121CD6">
        <w:t xml:space="preserve"> finance </w:t>
      </w:r>
      <w:r w:rsidR="00121CD6">
        <w:fldChar w:fldCharType="begin" w:fldLock="1"/>
      </w:r>
      <w:r w:rsidR="00AE1CAD">
        <w:instrText>ADDIN CSL_CITATION {"citationItems":[{"id":"ITEM-1","itemData":{"DOI":"10.1038/s41559-018-0497-3","author":[{"dropping-particle":"","family":"Galaz","given":"Victor","non-dropping-particle":"","parse-names":false,"suffix":""},{"dropping-particle":"","family":"Crona","given":"Beatrice","non-dropping-particle":"","parse-names":false,"suffix":""},{"dropping-particle":"","family":"Dauriach","given":"Alice","non-dropping-particle":"","parse-names":false,"suffix":""},{"dropping-particle":"","family":"Jouffray","given":"Jean-baptiste","non-dropping-particle":"","parse-names":false,"suffix":""},{"dropping-particle":"","family":"Österblom","given":"Henrik","non-dropping-particle":"","parse-names":false,"suffix":""},{"dropping-particle":"","family":"Fichtner","given":"Jan","non-dropping-particle":"","parse-names":false,"suffix":""}],"container-title":"Nature Ecology &amp; Evolution","id":"ITEM-1","issued":{"date-parts":[["2018"]]},"title":"Tax havens and global environmental degradation","type":"article-journal"},"uris":["http://www.mendeley.com/documents/?uuid=352b6b5e-36e7-41f8-98d1-c5b4173cf1dd"]}],"mendeley":{"formattedCitation":"(Galaz et al., 2018)","plainTextFormattedCitation":"(Galaz et al., 2018)","previouslyFormattedCitation":"(Galaz et al., 2018)"},"properties":{"noteIndex":0},"schema":"https://github.com/citation-style-language/schema/raw/master/csl-citation.json"}</w:instrText>
      </w:r>
      <w:r w:rsidR="00121CD6">
        <w:fldChar w:fldCharType="separate"/>
      </w:r>
      <w:r w:rsidR="00B53BF6" w:rsidRPr="00B53BF6">
        <w:rPr>
          <w:noProof/>
        </w:rPr>
        <w:t>(Galaz et al., 2018)</w:t>
      </w:r>
      <w:r w:rsidR="00121CD6">
        <w:fldChar w:fldCharType="end"/>
      </w:r>
      <w:r w:rsidR="00121CD6">
        <w:t xml:space="preserve">, </w:t>
      </w:r>
      <w:r w:rsidR="004025B2">
        <w:t xml:space="preserve">to building </w:t>
      </w:r>
      <w:r w:rsidR="005E204A">
        <w:t xml:space="preserve">anti-fossil norms </w:t>
      </w:r>
      <w:r w:rsidR="005E204A">
        <w:fldChar w:fldCharType="begin" w:fldLock="1"/>
      </w:r>
      <w:r w:rsidR="00AE1CAD">
        <w:instrText>ADDIN CSL_CITATION {"citationItems":[{"id":"ITEM-1","itemData":{"DOI":"10.1007/s10584-017-2134-6","ISSN":"15731480","abstract":"Historically, climate governance initiatives and associated scholarship have all but ignored the potential for Bglobal moral norms^ to bring about changes in the political conditions for global climate mitigation. This is surprising, since global moral norms are widely employed—as both a mode of governance and an analytical framework—in other domains of global governance, from international security to human rights. However, recent national-level fossil fuel divestments, moratoria on new coal mines and bans on gas fracking, among other developments, suggest the promise of global moral norms prohibiting fossil fuel-related activities, which this article terms Banti-fossil fuel norms^ (AFFNs). The article interprets recent examples of such activities in the light of international relations theory on moral norms to provide a general framework for understanding how AFFNs originate, spread and affect states. Specifically, the article argues that there are: (i) influential agents that are originating, and likely to continue to originate, AFFNs; and (ii) international and domestic mechanisms by which AFFNs are likely to spread widely among states and have a significant causal effect on the identity-related considerations or rational calcu-lations of states in the direction of limiting or reducing the production or consumption of fossil fuels. The article also shows that, because they spread and affect state behaviour through mecha-nisms of Binternational socialization^ and domestic Bpolitical mobilization^, AFFNs cohere with and build upon the new paradigm of global climate governance crystallized in the Paris Agreement. AFFNs, the article concludes, represent a promising new frontier in climate governance.","author":[{"dropping-particle":"","family":"Green","given":"Fergus","non-dropping-particle":"","parse-names":false,"suffix":""}],"container-title":"Climatic Change","id":"ITEM-1","issue":"December 2017","issued":{"date-parts":[["2018"]]},"page":"1-14","publisher":"Climatic Change","title":"Anti-fossil fuel norms","type":"article-journal"},"uris":["http://www.mendeley.com/documents/?uuid=7eb8d3a2-8a1f-4539-bd51-a0aadfb09c76"]}],"mendeley":{"formattedCitation":"(Green, 2018)","plainTextFormattedCitation":"(Green, 2018)","previouslyFormattedCitation":"(Green, 2018)"},"properties":{"noteIndex":0},"schema":"https://github.com/citation-style-language/schema/raw/master/csl-citation.json"}</w:instrText>
      </w:r>
      <w:r w:rsidR="005E204A">
        <w:fldChar w:fldCharType="separate"/>
      </w:r>
      <w:r w:rsidR="00B53BF6" w:rsidRPr="00B53BF6">
        <w:rPr>
          <w:noProof/>
        </w:rPr>
        <w:t>(Green, 2018)</w:t>
      </w:r>
      <w:r w:rsidR="005E204A">
        <w:fldChar w:fldCharType="end"/>
      </w:r>
      <w:r w:rsidR="004025B2">
        <w:t xml:space="preserve">. </w:t>
      </w:r>
      <w:r w:rsidR="00121CD6">
        <w:t>Progress on these fronts</w:t>
      </w:r>
      <w:r w:rsidR="004025B2">
        <w:t xml:space="preserve"> might be propagated </w:t>
      </w:r>
      <w:r w:rsidR="005E204A">
        <w:t xml:space="preserve">through international institutions and diplomatic pressure. It may require building unusual alliances, bringing together democratic movements and climate advocacy. </w:t>
      </w:r>
      <w:r w:rsidR="004025B2">
        <w:t>And it certainly requires increasing ambition and actions within countries that face lower</w:t>
      </w:r>
      <w:r w:rsidR="00121CD6">
        <w:t xml:space="preserve"> comparative challenges. This may result in </w:t>
      </w:r>
      <w:r w:rsidR="004025B2">
        <w:t xml:space="preserve">international </w:t>
      </w:r>
      <w:r w:rsidR="00121CD6">
        <w:t>spill-</w:t>
      </w:r>
      <w:r w:rsidR="004025B2">
        <w:t xml:space="preserve">overs from a decline in fossil </w:t>
      </w:r>
      <w:r w:rsidR="00121CD6">
        <w:t xml:space="preserve">fuel </w:t>
      </w:r>
      <w:r w:rsidR="004025B2">
        <w:t xml:space="preserve">demand, and the steady development of alternative technologies. </w:t>
      </w:r>
      <w:r w:rsidR="005E204A">
        <w:t>Above all</w:t>
      </w:r>
      <w:r w:rsidR="00DC14E1">
        <w:t>,</w:t>
      </w:r>
      <w:r w:rsidR="005E204A">
        <w:t xml:space="preserve"> the </w:t>
      </w:r>
      <w:r w:rsidR="00F729EB">
        <w:t xml:space="preserve">underlying </w:t>
      </w:r>
      <w:r w:rsidR="005E204A">
        <w:t xml:space="preserve">reasons for our continued failure to </w:t>
      </w:r>
      <w:r w:rsidR="00DC14E1">
        <w:t xml:space="preserve">shift towards </w:t>
      </w:r>
      <w:r w:rsidR="004025B2">
        <w:t xml:space="preserve">a </w:t>
      </w:r>
      <w:r w:rsidR="0002633C">
        <w:t xml:space="preserve">global </w:t>
      </w:r>
      <w:r w:rsidR="00DC14E1">
        <w:t>low-</w:t>
      </w:r>
      <w:r w:rsidR="0002633C">
        <w:t>carbon transition</w:t>
      </w:r>
      <w:r w:rsidR="004025B2">
        <w:t xml:space="preserve"> need to be brought to light</w:t>
      </w:r>
      <w:r w:rsidR="00DC14E1">
        <w:t>.</w:t>
      </w:r>
    </w:p>
    <w:p w14:paraId="5F9C6DFE" w14:textId="4791265A" w:rsidR="006755CE" w:rsidRDefault="006755CE" w:rsidP="004025B2">
      <w:pPr>
        <w:spacing w:line="360" w:lineRule="auto"/>
      </w:pPr>
    </w:p>
    <w:p w14:paraId="036C6B0D" w14:textId="63F33D76" w:rsidR="0002339E" w:rsidRPr="0002339E" w:rsidRDefault="0002339E" w:rsidP="0002339E">
      <w:pPr>
        <w:pStyle w:val="Heading3"/>
        <w:spacing w:after="120"/>
      </w:pPr>
      <w:r w:rsidRPr="0002339E">
        <w:t>References</w:t>
      </w:r>
    </w:p>
    <w:p w14:paraId="01198EDE" w14:textId="143F3D96" w:rsidR="00AE1CAD" w:rsidRPr="00AE1CAD" w:rsidRDefault="00426F7E" w:rsidP="00AE1CAD">
      <w:pPr>
        <w:widowControl w:val="0"/>
        <w:autoSpaceDE w:val="0"/>
        <w:autoSpaceDN w:val="0"/>
        <w:adjustRightInd w:val="0"/>
        <w:spacing w:line="360" w:lineRule="auto"/>
        <w:ind w:left="480" w:hanging="480"/>
        <w:rPr>
          <w:rFonts w:ascii="Calibri" w:hAnsi="Calibri" w:cs="Calibri"/>
          <w:noProof/>
          <w:szCs w:val="24"/>
        </w:rPr>
      </w:pPr>
      <w:r>
        <w:fldChar w:fldCharType="begin" w:fldLock="1"/>
      </w:r>
      <w:r w:rsidRPr="008341E6">
        <w:instrText xml:space="preserve">ADDIN Mendeley Bibliography CSL_BIBLIOGRAPHY </w:instrText>
      </w:r>
      <w:r>
        <w:fldChar w:fldCharType="separate"/>
      </w:r>
      <w:r w:rsidR="00AE1CAD" w:rsidRPr="00AE1CAD">
        <w:rPr>
          <w:rFonts w:ascii="Calibri" w:hAnsi="Calibri" w:cs="Calibri"/>
          <w:noProof/>
          <w:szCs w:val="24"/>
        </w:rPr>
        <w:t xml:space="preserve">Acemoglu, D., Johnson, S., &amp; Robinson, J. A. (2001). The Colonial Origins of Comparative Development : An Empirical Investigation. </w:t>
      </w:r>
      <w:r w:rsidR="00AE1CAD" w:rsidRPr="00AE1CAD">
        <w:rPr>
          <w:rFonts w:ascii="Calibri" w:hAnsi="Calibri" w:cs="Calibri"/>
          <w:i/>
          <w:iCs/>
          <w:noProof/>
          <w:szCs w:val="24"/>
        </w:rPr>
        <w:t>The American Economic Review</w:t>
      </w:r>
      <w:r w:rsidR="00AE1CAD" w:rsidRPr="00AE1CAD">
        <w:rPr>
          <w:rFonts w:ascii="Calibri" w:hAnsi="Calibri" w:cs="Calibri"/>
          <w:noProof/>
          <w:szCs w:val="24"/>
        </w:rPr>
        <w:t xml:space="preserve">, </w:t>
      </w:r>
      <w:r w:rsidR="00AE1CAD" w:rsidRPr="00AE1CAD">
        <w:rPr>
          <w:rFonts w:ascii="Calibri" w:hAnsi="Calibri" w:cs="Calibri"/>
          <w:i/>
          <w:iCs/>
          <w:noProof/>
          <w:szCs w:val="24"/>
        </w:rPr>
        <w:t>91</w:t>
      </w:r>
      <w:r w:rsidR="00AE1CAD" w:rsidRPr="00AE1CAD">
        <w:rPr>
          <w:rFonts w:ascii="Calibri" w:hAnsi="Calibri" w:cs="Calibri"/>
          <w:noProof/>
          <w:szCs w:val="24"/>
        </w:rPr>
        <w:t>(5), 1369–1401.</w:t>
      </w:r>
    </w:p>
    <w:p w14:paraId="4C8A8AAD"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Alesina, A., Devleeschauwer, A., Easterly, W., Kurlat, S., &amp; Wacziarg, R. (2003). Fractionalization. </w:t>
      </w:r>
      <w:r w:rsidRPr="00AE1CAD">
        <w:rPr>
          <w:rFonts w:ascii="Calibri" w:hAnsi="Calibri" w:cs="Calibri"/>
          <w:i/>
          <w:iCs/>
          <w:noProof/>
          <w:szCs w:val="24"/>
        </w:rPr>
        <w:t>Journal of Economic Growth</w:t>
      </w:r>
      <w:r w:rsidRPr="00AE1CAD">
        <w:rPr>
          <w:rFonts w:ascii="Calibri" w:hAnsi="Calibri" w:cs="Calibri"/>
          <w:noProof/>
          <w:szCs w:val="24"/>
        </w:rPr>
        <w:t xml:space="preserve">, </w:t>
      </w:r>
      <w:r w:rsidRPr="00AE1CAD">
        <w:rPr>
          <w:rFonts w:ascii="Calibri" w:hAnsi="Calibri" w:cs="Calibri"/>
          <w:i/>
          <w:iCs/>
          <w:noProof/>
          <w:szCs w:val="24"/>
        </w:rPr>
        <w:t>8</w:t>
      </w:r>
      <w:r w:rsidRPr="00AE1CAD">
        <w:rPr>
          <w:rFonts w:ascii="Calibri" w:hAnsi="Calibri" w:cs="Calibri"/>
          <w:noProof/>
          <w:szCs w:val="24"/>
        </w:rPr>
        <w:t>, 155–194.</w:t>
      </w:r>
    </w:p>
    <w:p w14:paraId="79F6F93E"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Bache, I., Reardon, L., Bartle, I., Flinders, M., &amp; Marsden, G. (2015). Symbolic Meta-Policy: (Not) Tackling Climate Change in the Transport Sector. </w:t>
      </w:r>
      <w:r w:rsidRPr="00AE1CAD">
        <w:rPr>
          <w:rFonts w:ascii="Calibri" w:hAnsi="Calibri" w:cs="Calibri"/>
          <w:i/>
          <w:iCs/>
          <w:noProof/>
          <w:szCs w:val="24"/>
        </w:rPr>
        <w:t>Political Studies</w:t>
      </w:r>
      <w:r w:rsidRPr="00AE1CAD">
        <w:rPr>
          <w:rFonts w:ascii="Calibri" w:hAnsi="Calibri" w:cs="Calibri"/>
          <w:noProof/>
          <w:szCs w:val="24"/>
        </w:rPr>
        <w:t xml:space="preserve">, </w:t>
      </w:r>
      <w:r w:rsidRPr="00AE1CAD">
        <w:rPr>
          <w:rFonts w:ascii="Calibri" w:hAnsi="Calibri" w:cs="Calibri"/>
          <w:i/>
          <w:iCs/>
          <w:noProof/>
          <w:szCs w:val="24"/>
        </w:rPr>
        <w:t>63</w:t>
      </w:r>
      <w:r w:rsidRPr="00AE1CAD">
        <w:rPr>
          <w:rFonts w:ascii="Calibri" w:hAnsi="Calibri" w:cs="Calibri"/>
          <w:noProof/>
          <w:szCs w:val="24"/>
        </w:rPr>
        <w:t>(4), 830–851. https://doi.org/10.1111/1467-9248.12123</w:t>
      </w:r>
    </w:p>
    <w:p w14:paraId="12C4C87F"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Baker, L., Newell, P., &amp; Phillips, J. (2014). The Political Economy of Energy Transitions: The Case of South Africa. </w:t>
      </w:r>
      <w:r w:rsidRPr="00AE1CAD">
        <w:rPr>
          <w:rFonts w:ascii="Calibri" w:hAnsi="Calibri" w:cs="Calibri"/>
          <w:i/>
          <w:iCs/>
          <w:noProof/>
          <w:szCs w:val="24"/>
        </w:rPr>
        <w:t>New Political Economy</w:t>
      </w:r>
      <w:r w:rsidRPr="00AE1CAD">
        <w:rPr>
          <w:rFonts w:ascii="Calibri" w:hAnsi="Calibri" w:cs="Calibri"/>
          <w:noProof/>
          <w:szCs w:val="24"/>
        </w:rPr>
        <w:t xml:space="preserve">, </w:t>
      </w:r>
      <w:r w:rsidRPr="00AE1CAD">
        <w:rPr>
          <w:rFonts w:ascii="Calibri" w:hAnsi="Calibri" w:cs="Calibri"/>
          <w:i/>
          <w:iCs/>
          <w:noProof/>
          <w:szCs w:val="24"/>
        </w:rPr>
        <w:t>19</w:t>
      </w:r>
      <w:r w:rsidRPr="00AE1CAD">
        <w:rPr>
          <w:rFonts w:ascii="Calibri" w:hAnsi="Calibri" w:cs="Calibri"/>
          <w:noProof/>
          <w:szCs w:val="24"/>
        </w:rPr>
        <w:t>(6), 791–818. https://doi.org/10.1080/13563467.2013.849674</w:t>
      </w:r>
    </w:p>
    <w:p w14:paraId="224C651D"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Bardhan, P. (2016). State and Development: The Need for a Reappraisal of the Current Literature. </w:t>
      </w:r>
      <w:r w:rsidRPr="00AE1CAD">
        <w:rPr>
          <w:rFonts w:ascii="Calibri" w:hAnsi="Calibri" w:cs="Calibri"/>
          <w:i/>
          <w:iCs/>
          <w:noProof/>
          <w:szCs w:val="24"/>
        </w:rPr>
        <w:t>Journal of Economic Literature</w:t>
      </w:r>
      <w:r w:rsidRPr="00AE1CAD">
        <w:rPr>
          <w:rFonts w:ascii="Calibri" w:hAnsi="Calibri" w:cs="Calibri"/>
          <w:noProof/>
          <w:szCs w:val="24"/>
        </w:rPr>
        <w:t xml:space="preserve">, </w:t>
      </w:r>
      <w:r w:rsidRPr="00AE1CAD">
        <w:rPr>
          <w:rFonts w:ascii="Calibri" w:hAnsi="Calibri" w:cs="Calibri"/>
          <w:i/>
          <w:iCs/>
          <w:noProof/>
          <w:szCs w:val="24"/>
        </w:rPr>
        <w:t>54</w:t>
      </w:r>
      <w:r w:rsidRPr="00AE1CAD">
        <w:rPr>
          <w:rFonts w:ascii="Calibri" w:hAnsi="Calibri" w:cs="Calibri"/>
          <w:noProof/>
          <w:szCs w:val="24"/>
        </w:rPr>
        <w:t>(3), 862–892. https://doi.org/10.1257/jel.20151239</w:t>
      </w:r>
    </w:p>
    <w:p w14:paraId="67CFCD1E"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Bernauer, T., &amp; Böhmelt, T. (2013). National climate policies in international comparison: The Climate Change Cooperation Index. </w:t>
      </w:r>
      <w:r w:rsidRPr="00AE1CAD">
        <w:rPr>
          <w:rFonts w:ascii="Calibri" w:hAnsi="Calibri" w:cs="Calibri"/>
          <w:i/>
          <w:iCs/>
          <w:noProof/>
          <w:szCs w:val="24"/>
        </w:rPr>
        <w:t>Environmental Science and Policy</w:t>
      </w:r>
      <w:r w:rsidRPr="00AE1CAD">
        <w:rPr>
          <w:rFonts w:ascii="Calibri" w:hAnsi="Calibri" w:cs="Calibri"/>
          <w:noProof/>
          <w:szCs w:val="24"/>
        </w:rPr>
        <w:t xml:space="preserve">, </w:t>
      </w:r>
      <w:r w:rsidRPr="00AE1CAD">
        <w:rPr>
          <w:rFonts w:ascii="Calibri" w:hAnsi="Calibri" w:cs="Calibri"/>
          <w:i/>
          <w:iCs/>
          <w:noProof/>
          <w:szCs w:val="24"/>
        </w:rPr>
        <w:t>25</w:t>
      </w:r>
      <w:r w:rsidRPr="00AE1CAD">
        <w:rPr>
          <w:rFonts w:ascii="Calibri" w:hAnsi="Calibri" w:cs="Calibri"/>
          <w:noProof/>
          <w:szCs w:val="24"/>
        </w:rPr>
        <w:t>, 196–206. https://doi.org/10.1016/j.envsci.2012.09.007</w:t>
      </w:r>
    </w:p>
    <w:p w14:paraId="29FCF1F5" w14:textId="77777777" w:rsidR="00AE1CAD" w:rsidRPr="00EF0E60" w:rsidRDefault="00AE1CAD" w:rsidP="00AE1CAD">
      <w:pPr>
        <w:widowControl w:val="0"/>
        <w:autoSpaceDE w:val="0"/>
        <w:autoSpaceDN w:val="0"/>
        <w:adjustRightInd w:val="0"/>
        <w:spacing w:line="360" w:lineRule="auto"/>
        <w:ind w:left="480" w:hanging="480"/>
        <w:rPr>
          <w:rFonts w:ascii="Calibri" w:hAnsi="Calibri" w:cs="Calibri"/>
          <w:noProof/>
          <w:szCs w:val="24"/>
          <w:lang w:val="de-DE"/>
        </w:rPr>
      </w:pPr>
      <w:r w:rsidRPr="00AE1CAD">
        <w:rPr>
          <w:rFonts w:ascii="Calibri" w:hAnsi="Calibri" w:cs="Calibri"/>
          <w:noProof/>
          <w:szCs w:val="24"/>
        </w:rPr>
        <w:t xml:space="preserve">Böhmelt, T., Böker, M., &amp; Ward, H. (2016). Democratic inclusiveness, climate policy outputs, and climate policy outcomes. </w:t>
      </w:r>
      <w:r w:rsidRPr="00EF0E60">
        <w:rPr>
          <w:rFonts w:ascii="Calibri" w:hAnsi="Calibri" w:cs="Calibri"/>
          <w:i/>
          <w:iCs/>
          <w:noProof/>
          <w:szCs w:val="24"/>
          <w:lang w:val="de-DE"/>
        </w:rPr>
        <w:t>Democratization</w:t>
      </w:r>
      <w:r w:rsidRPr="00EF0E60">
        <w:rPr>
          <w:rFonts w:ascii="Calibri" w:hAnsi="Calibri" w:cs="Calibri"/>
          <w:noProof/>
          <w:szCs w:val="24"/>
          <w:lang w:val="de-DE"/>
        </w:rPr>
        <w:t xml:space="preserve">, </w:t>
      </w:r>
      <w:r w:rsidRPr="00EF0E60">
        <w:rPr>
          <w:rFonts w:ascii="Calibri" w:hAnsi="Calibri" w:cs="Calibri"/>
          <w:i/>
          <w:iCs/>
          <w:noProof/>
          <w:szCs w:val="24"/>
          <w:lang w:val="de-DE"/>
        </w:rPr>
        <w:t>23</w:t>
      </w:r>
      <w:r w:rsidRPr="00EF0E60">
        <w:rPr>
          <w:rFonts w:ascii="Calibri" w:hAnsi="Calibri" w:cs="Calibri"/>
          <w:noProof/>
          <w:szCs w:val="24"/>
          <w:lang w:val="de-DE"/>
        </w:rPr>
        <w:t>(7), 1272–1291. https://doi.org/10.1080/13510347.2015.1094059</w:t>
      </w:r>
    </w:p>
    <w:p w14:paraId="67DB19B8"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EF0E60">
        <w:rPr>
          <w:rFonts w:ascii="Calibri" w:hAnsi="Calibri" w:cs="Calibri"/>
          <w:noProof/>
          <w:szCs w:val="24"/>
          <w:lang w:val="de-DE"/>
        </w:rPr>
        <w:t xml:space="preserve">Burck, J., Hagen, U., Marten, F., Höhne, N., &amp; Bals, C. (2019). </w:t>
      </w:r>
      <w:r w:rsidRPr="00AE1CAD">
        <w:rPr>
          <w:rFonts w:ascii="Calibri" w:hAnsi="Calibri" w:cs="Calibri"/>
          <w:i/>
          <w:iCs/>
          <w:noProof/>
          <w:szCs w:val="24"/>
        </w:rPr>
        <w:t>Climate Change Performance Index 2019</w:t>
      </w:r>
      <w:r w:rsidRPr="00AE1CAD">
        <w:rPr>
          <w:rFonts w:ascii="Calibri" w:hAnsi="Calibri" w:cs="Calibri"/>
          <w:noProof/>
          <w:szCs w:val="24"/>
        </w:rPr>
        <w:t>. Bonn. Retrieved from https://www.climate-change-performance-index.org/the-climate-change-performance-index-2019</w:t>
      </w:r>
    </w:p>
    <w:p w14:paraId="5B76A041"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lastRenderedPageBreak/>
        <w:t xml:space="preserve">Burstein, P. (2011). The Impact of Public Opinion on Public Policy: A Review and an Agenda. </w:t>
      </w:r>
      <w:r w:rsidRPr="00AE1CAD">
        <w:rPr>
          <w:rFonts w:ascii="Calibri" w:hAnsi="Calibri" w:cs="Calibri"/>
          <w:i/>
          <w:iCs/>
          <w:noProof/>
          <w:szCs w:val="24"/>
        </w:rPr>
        <w:t>Political Research Quarterly</w:t>
      </w:r>
      <w:r w:rsidRPr="00AE1CAD">
        <w:rPr>
          <w:rFonts w:ascii="Calibri" w:hAnsi="Calibri" w:cs="Calibri"/>
          <w:noProof/>
          <w:szCs w:val="24"/>
        </w:rPr>
        <w:t xml:space="preserve">, </w:t>
      </w:r>
      <w:r w:rsidRPr="00AE1CAD">
        <w:rPr>
          <w:rFonts w:ascii="Calibri" w:hAnsi="Calibri" w:cs="Calibri"/>
          <w:i/>
          <w:iCs/>
          <w:noProof/>
          <w:szCs w:val="24"/>
        </w:rPr>
        <w:t>56</w:t>
      </w:r>
      <w:r w:rsidRPr="00AE1CAD">
        <w:rPr>
          <w:rFonts w:ascii="Calibri" w:hAnsi="Calibri" w:cs="Calibri"/>
          <w:noProof/>
          <w:szCs w:val="24"/>
        </w:rPr>
        <w:t>(1), 29–40. https://doi.org/10.1177/106591290305600103</w:t>
      </w:r>
    </w:p>
    <w:p w14:paraId="70EEB37A"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Cahen-fourot, L. (2019). </w:t>
      </w:r>
      <w:r w:rsidRPr="00AE1CAD">
        <w:rPr>
          <w:rFonts w:ascii="Calibri" w:hAnsi="Calibri" w:cs="Calibri"/>
          <w:i/>
          <w:iCs/>
          <w:noProof/>
          <w:szCs w:val="24"/>
        </w:rPr>
        <w:t>The social relation to the environment in contemporary capitalism: theoretical reflections and empirical explorations</w:t>
      </w:r>
      <w:r w:rsidRPr="00AE1CAD">
        <w:rPr>
          <w:rFonts w:ascii="Calibri" w:hAnsi="Calibri" w:cs="Calibri"/>
          <w:noProof/>
          <w:szCs w:val="24"/>
        </w:rPr>
        <w:t xml:space="preserve"> (No. 26). Vienna.</w:t>
      </w:r>
    </w:p>
    <w:p w14:paraId="106855AC"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Carbon Pricing Leadership Coalition. (2017). </w:t>
      </w:r>
      <w:r w:rsidRPr="00AE1CAD">
        <w:rPr>
          <w:rFonts w:ascii="Calibri" w:hAnsi="Calibri" w:cs="Calibri"/>
          <w:i/>
          <w:iCs/>
          <w:noProof/>
          <w:szCs w:val="24"/>
        </w:rPr>
        <w:t>Report of the High-Level Commission on Carbon Prices</w:t>
      </w:r>
      <w:r w:rsidRPr="00AE1CAD">
        <w:rPr>
          <w:rFonts w:ascii="Calibri" w:hAnsi="Calibri" w:cs="Calibri"/>
          <w:noProof/>
          <w:szCs w:val="24"/>
        </w:rPr>
        <w:t>.</w:t>
      </w:r>
    </w:p>
    <w:p w14:paraId="0DAB4ED3"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Chayes, S. (2017). </w:t>
      </w:r>
      <w:r w:rsidRPr="00AE1CAD">
        <w:rPr>
          <w:rFonts w:ascii="Calibri" w:hAnsi="Calibri" w:cs="Calibri"/>
          <w:i/>
          <w:iCs/>
          <w:noProof/>
          <w:szCs w:val="24"/>
        </w:rPr>
        <w:t>When corruption is the operating system: the case of Honduras</w:t>
      </w:r>
      <w:r w:rsidRPr="00AE1CAD">
        <w:rPr>
          <w:rFonts w:ascii="Calibri" w:hAnsi="Calibri" w:cs="Calibri"/>
          <w:noProof/>
          <w:szCs w:val="24"/>
        </w:rPr>
        <w:t>. Washington, DC.</w:t>
      </w:r>
    </w:p>
    <w:p w14:paraId="7FFBB5FC"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Coady, D., Parry, I., Le, N., &amp; Shang, B. (2019). </w:t>
      </w:r>
      <w:r w:rsidRPr="00AE1CAD">
        <w:rPr>
          <w:rFonts w:ascii="Calibri" w:hAnsi="Calibri" w:cs="Calibri"/>
          <w:i/>
          <w:iCs/>
          <w:noProof/>
          <w:szCs w:val="24"/>
        </w:rPr>
        <w:t>Global Fossil Fuel Subsidies Remain Large: An Update Based on Country-Level Estimates</w:t>
      </w:r>
      <w:r w:rsidRPr="00AE1CAD">
        <w:rPr>
          <w:rFonts w:ascii="Calibri" w:hAnsi="Calibri" w:cs="Calibri"/>
          <w:noProof/>
          <w:szCs w:val="24"/>
        </w:rPr>
        <w:t xml:space="preserve"> (19 No. 89). Washington, D.C. Retrieved from https://www.imf.org/en/Publications/WP/Issues/2019/05/02/Global-Fossil-Fuel-Subsidies-Remain-Large-An-Update-Based-on-Country-Level-Estimates-46509</w:t>
      </w:r>
    </w:p>
    <w:p w14:paraId="768193BB"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Coady, D., Parry, I., Sears, L., &amp; Shang, B. (2017). How Large Are Global Fossil Fuel Subsidies? </w:t>
      </w:r>
      <w:r w:rsidRPr="00AE1CAD">
        <w:rPr>
          <w:rFonts w:ascii="Calibri" w:hAnsi="Calibri" w:cs="Calibri"/>
          <w:i/>
          <w:iCs/>
          <w:noProof/>
          <w:szCs w:val="24"/>
        </w:rPr>
        <w:t>World Development</w:t>
      </w:r>
      <w:r w:rsidRPr="00AE1CAD">
        <w:rPr>
          <w:rFonts w:ascii="Calibri" w:hAnsi="Calibri" w:cs="Calibri"/>
          <w:noProof/>
          <w:szCs w:val="24"/>
        </w:rPr>
        <w:t xml:space="preserve">, </w:t>
      </w:r>
      <w:r w:rsidRPr="00AE1CAD">
        <w:rPr>
          <w:rFonts w:ascii="Calibri" w:hAnsi="Calibri" w:cs="Calibri"/>
          <w:i/>
          <w:iCs/>
          <w:noProof/>
          <w:szCs w:val="24"/>
        </w:rPr>
        <w:t>91</w:t>
      </w:r>
      <w:r w:rsidRPr="00AE1CAD">
        <w:rPr>
          <w:rFonts w:ascii="Calibri" w:hAnsi="Calibri" w:cs="Calibri"/>
          <w:noProof/>
          <w:szCs w:val="24"/>
        </w:rPr>
        <w:t>, 11–27. https://doi.org/10.1016/j.worlddev.2016.10.004</w:t>
      </w:r>
    </w:p>
    <w:p w14:paraId="640D71A1"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Compston, H., &amp; Bailey, I. (2016). Climate policy strength compared: China, the US, the EU, India, Russia, and Japan. </w:t>
      </w:r>
      <w:r w:rsidRPr="00AE1CAD">
        <w:rPr>
          <w:rFonts w:ascii="Calibri" w:hAnsi="Calibri" w:cs="Calibri"/>
          <w:i/>
          <w:iCs/>
          <w:noProof/>
          <w:szCs w:val="24"/>
        </w:rPr>
        <w:t>Climate Policy</w:t>
      </w:r>
      <w:r w:rsidRPr="00AE1CAD">
        <w:rPr>
          <w:rFonts w:ascii="Calibri" w:hAnsi="Calibri" w:cs="Calibri"/>
          <w:noProof/>
          <w:szCs w:val="24"/>
        </w:rPr>
        <w:t xml:space="preserve">, </w:t>
      </w:r>
      <w:r w:rsidRPr="00AE1CAD">
        <w:rPr>
          <w:rFonts w:ascii="Calibri" w:hAnsi="Calibri" w:cs="Calibri"/>
          <w:i/>
          <w:iCs/>
          <w:noProof/>
          <w:szCs w:val="24"/>
        </w:rPr>
        <w:t>16</w:t>
      </w:r>
      <w:r w:rsidRPr="00AE1CAD">
        <w:rPr>
          <w:rFonts w:ascii="Calibri" w:hAnsi="Calibri" w:cs="Calibri"/>
          <w:noProof/>
          <w:szCs w:val="24"/>
        </w:rPr>
        <w:t>(2), 145–164. https://doi.org/10.1080/14693062.2014.991908</w:t>
      </w:r>
    </w:p>
    <w:p w14:paraId="72CD21B3"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Creutzig, F., Agoston, P., Minx, J. C., Canadell, J. G., Andrew, R. M., Quéré, C. Le, … Dhakal, S. (2016). Urban infrastructure choices structure climate solutions. </w:t>
      </w:r>
      <w:r w:rsidRPr="00AE1CAD">
        <w:rPr>
          <w:rFonts w:ascii="Calibri" w:hAnsi="Calibri" w:cs="Calibri"/>
          <w:i/>
          <w:iCs/>
          <w:noProof/>
          <w:szCs w:val="24"/>
        </w:rPr>
        <w:t>Nature Climate Change</w:t>
      </w:r>
      <w:r w:rsidRPr="00AE1CAD">
        <w:rPr>
          <w:rFonts w:ascii="Calibri" w:hAnsi="Calibri" w:cs="Calibri"/>
          <w:noProof/>
          <w:szCs w:val="24"/>
        </w:rPr>
        <w:t xml:space="preserve">, </w:t>
      </w:r>
      <w:r w:rsidRPr="00AE1CAD">
        <w:rPr>
          <w:rFonts w:ascii="Calibri" w:hAnsi="Calibri" w:cs="Calibri"/>
          <w:i/>
          <w:iCs/>
          <w:noProof/>
          <w:szCs w:val="24"/>
        </w:rPr>
        <w:t>6</w:t>
      </w:r>
      <w:r w:rsidRPr="00AE1CAD">
        <w:rPr>
          <w:rFonts w:ascii="Calibri" w:hAnsi="Calibri" w:cs="Calibri"/>
          <w:noProof/>
          <w:szCs w:val="24"/>
        </w:rPr>
        <w:t>(12), 1054. https://doi.org/10.1038/nclimate3169</w:t>
      </w:r>
    </w:p>
    <w:p w14:paraId="4292C5AA"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Crowley, K. (2017). Up and down with climate politics 2013–2016: the repeal of carbon pricing in Australia. </w:t>
      </w:r>
      <w:r w:rsidRPr="00AE1CAD">
        <w:rPr>
          <w:rFonts w:ascii="Calibri" w:hAnsi="Calibri" w:cs="Calibri"/>
          <w:i/>
          <w:iCs/>
          <w:noProof/>
          <w:szCs w:val="24"/>
        </w:rPr>
        <w:t>Wiley Interdisciplinary Reviews: Climate Change</w:t>
      </w:r>
      <w:r w:rsidRPr="00AE1CAD">
        <w:rPr>
          <w:rFonts w:ascii="Calibri" w:hAnsi="Calibri" w:cs="Calibri"/>
          <w:noProof/>
          <w:szCs w:val="24"/>
        </w:rPr>
        <w:t xml:space="preserve">, </w:t>
      </w:r>
      <w:r w:rsidRPr="00AE1CAD">
        <w:rPr>
          <w:rFonts w:ascii="Calibri" w:hAnsi="Calibri" w:cs="Calibri"/>
          <w:i/>
          <w:iCs/>
          <w:noProof/>
          <w:szCs w:val="24"/>
        </w:rPr>
        <w:t>8</w:t>
      </w:r>
      <w:r w:rsidRPr="00AE1CAD">
        <w:rPr>
          <w:rFonts w:ascii="Calibri" w:hAnsi="Calibri" w:cs="Calibri"/>
          <w:noProof/>
          <w:szCs w:val="24"/>
        </w:rPr>
        <w:t>(e458). https://doi.org/10.1002/wcc.458</w:t>
      </w:r>
    </w:p>
    <w:p w14:paraId="13B5EB7E"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Davis, S. J., &amp; Socolow, R. H. (2014). Commitment accounting of CO2 emissions. </w:t>
      </w:r>
      <w:r w:rsidRPr="00AE1CAD">
        <w:rPr>
          <w:rFonts w:ascii="Calibri" w:hAnsi="Calibri" w:cs="Calibri"/>
          <w:i/>
          <w:iCs/>
          <w:noProof/>
          <w:szCs w:val="24"/>
        </w:rPr>
        <w:t>Environmental Research Letters</w:t>
      </w:r>
      <w:r w:rsidRPr="00AE1CAD">
        <w:rPr>
          <w:rFonts w:ascii="Calibri" w:hAnsi="Calibri" w:cs="Calibri"/>
          <w:noProof/>
          <w:szCs w:val="24"/>
        </w:rPr>
        <w:t xml:space="preserve">, </w:t>
      </w:r>
      <w:r w:rsidRPr="00AE1CAD">
        <w:rPr>
          <w:rFonts w:ascii="Calibri" w:hAnsi="Calibri" w:cs="Calibri"/>
          <w:i/>
          <w:iCs/>
          <w:noProof/>
          <w:szCs w:val="24"/>
        </w:rPr>
        <w:t>9</w:t>
      </w:r>
      <w:r w:rsidRPr="00AE1CAD">
        <w:rPr>
          <w:rFonts w:ascii="Calibri" w:hAnsi="Calibri" w:cs="Calibri"/>
          <w:noProof/>
          <w:szCs w:val="24"/>
        </w:rPr>
        <w:t>(8), 084018. https://doi.org/10.1088/1748-9326/9/8/084018</w:t>
      </w:r>
    </w:p>
    <w:p w14:paraId="4518075B"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Deacon, R. T. (2009). Public good provision under dictatorship and democracy. </w:t>
      </w:r>
      <w:r w:rsidRPr="00AE1CAD">
        <w:rPr>
          <w:rFonts w:ascii="Calibri" w:hAnsi="Calibri" w:cs="Calibri"/>
          <w:i/>
          <w:iCs/>
          <w:noProof/>
          <w:szCs w:val="24"/>
        </w:rPr>
        <w:t>Public Choice</w:t>
      </w:r>
      <w:r w:rsidRPr="00AE1CAD">
        <w:rPr>
          <w:rFonts w:ascii="Calibri" w:hAnsi="Calibri" w:cs="Calibri"/>
          <w:noProof/>
          <w:szCs w:val="24"/>
        </w:rPr>
        <w:t xml:space="preserve">, </w:t>
      </w:r>
      <w:r w:rsidRPr="00AE1CAD">
        <w:rPr>
          <w:rFonts w:ascii="Calibri" w:hAnsi="Calibri" w:cs="Calibri"/>
          <w:i/>
          <w:iCs/>
          <w:noProof/>
          <w:szCs w:val="24"/>
        </w:rPr>
        <w:t>139</w:t>
      </w:r>
      <w:r w:rsidRPr="00AE1CAD">
        <w:rPr>
          <w:rFonts w:ascii="Calibri" w:hAnsi="Calibri" w:cs="Calibri"/>
          <w:noProof/>
          <w:szCs w:val="24"/>
        </w:rPr>
        <w:t>(1–2), 241–262. https://doi.org/10.1007/s11127-008-9391-x</w:t>
      </w:r>
    </w:p>
    <w:p w14:paraId="45DF0BF2"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Dellepiane-Avellaneda, S. (2009). Review Article: Good Governance, Institutions and Economic Development: Beyond the Conventional Wisdom. </w:t>
      </w:r>
      <w:r w:rsidRPr="00AE1CAD">
        <w:rPr>
          <w:rFonts w:ascii="Calibri" w:hAnsi="Calibri" w:cs="Calibri"/>
          <w:i/>
          <w:iCs/>
          <w:noProof/>
          <w:szCs w:val="24"/>
        </w:rPr>
        <w:t>British Journal of Political Science</w:t>
      </w:r>
      <w:r w:rsidRPr="00AE1CAD">
        <w:rPr>
          <w:rFonts w:ascii="Calibri" w:hAnsi="Calibri" w:cs="Calibri"/>
          <w:noProof/>
          <w:szCs w:val="24"/>
        </w:rPr>
        <w:t xml:space="preserve">, </w:t>
      </w:r>
      <w:r w:rsidRPr="00AE1CAD">
        <w:rPr>
          <w:rFonts w:ascii="Calibri" w:hAnsi="Calibri" w:cs="Calibri"/>
          <w:i/>
          <w:iCs/>
          <w:noProof/>
          <w:szCs w:val="24"/>
        </w:rPr>
        <w:t>40</w:t>
      </w:r>
      <w:r w:rsidRPr="00AE1CAD">
        <w:rPr>
          <w:rFonts w:ascii="Calibri" w:hAnsi="Calibri" w:cs="Calibri"/>
          <w:noProof/>
          <w:szCs w:val="24"/>
        </w:rPr>
        <w:t>(01), 195. https://doi.org/10.1017/S0007123409990287</w:t>
      </w:r>
    </w:p>
    <w:p w14:paraId="18DA0D3F"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Dietz, T. (2017). Drivers of Human Stress on the Environment in the Twenty-First Century. </w:t>
      </w:r>
      <w:r w:rsidRPr="00AE1CAD">
        <w:rPr>
          <w:rFonts w:ascii="Calibri" w:hAnsi="Calibri" w:cs="Calibri"/>
          <w:i/>
          <w:iCs/>
          <w:noProof/>
          <w:szCs w:val="24"/>
        </w:rPr>
        <w:t>Annual Review of Environment and Resources</w:t>
      </w:r>
      <w:r w:rsidRPr="00AE1CAD">
        <w:rPr>
          <w:rFonts w:ascii="Calibri" w:hAnsi="Calibri" w:cs="Calibri"/>
          <w:noProof/>
          <w:szCs w:val="24"/>
        </w:rPr>
        <w:t xml:space="preserve">, </w:t>
      </w:r>
      <w:r w:rsidRPr="00AE1CAD">
        <w:rPr>
          <w:rFonts w:ascii="Calibri" w:hAnsi="Calibri" w:cs="Calibri"/>
          <w:i/>
          <w:iCs/>
          <w:noProof/>
          <w:szCs w:val="24"/>
        </w:rPr>
        <w:t>42</w:t>
      </w:r>
      <w:r w:rsidRPr="00AE1CAD">
        <w:rPr>
          <w:rFonts w:ascii="Calibri" w:hAnsi="Calibri" w:cs="Calibri"/>
          <w:noProof/>
          <w:szCs w:val="24"/>
        </w:rPr>
        <w:t>, 189–213. https://doi.org/10.1146/annurev-environ-</w:t>
      </w:r>
      <w:r w:rsidRPr="00AE1CAD">
        <w:rPr>
          <w:rFonts w:ascii="Calibri" w:hAnsi="Calibri" w:cs="Calibri"/>
          <w:noProof/>
          <w:szCs w:val="24"/>
        </w:rPr>
        <w:lastRenderedPageBreak/>
        <w:t>110615-085440</w:t>
      </w:r>
    </w:p>
    <w:p w14:paraId="003AE48F" w14:textId="77777777" w:rsidR="00AE1CAD" w:rsidRPr="00EF0E60" w:rsidRDefault="00AE1CAD" w:rsidP="00AE1CAD">
      <w:pPr>
        <w:widowControl w:val="0"/>
        <w:autoSpaceDE w:val="0"/>
        <w:autoSpaceDN w:val="0"/>
        <w:adjustRightInd w:val="0"/>
        <w:spacing w:line="360" w:lineRule="auto"/>
        <w:ind w:left="480" w:hanging="480"/>
        <w:rPr>
          <w:rFonts w:ascii="Calibri" w:hAnsi="Calibri" w:cs="Calibri"/>
          <w:noProof/>
          <w:szCs w:val="24"/>
          <w:lang w:val="de-DE"/>
        </w:rPr>
      </w:pPr>
      <w:r w:rsidRPr="00AE1CAD">
        <w:rPr>
          <w:rFonts w:ascii="Calibri" w:hAnsi="Calibri" w:cs="Calibri"/>
          <w:noProof/>
          <w:szCs w:val="24"/>
        </w:rPr>
        <w:t xml:space="preserve">Dolphin, G. G., Pollitt, M. G., &amp; Newbery, D. G. (2016). </w:t>
      </w:r>
      <w:r w:rsidRPr="00AE1CAD">
        <w:rPr>
          <w:rFonts w:ascii="Calibri" w:hAnsi="Calibri" w:cs="Calibri"/>
          <w:i/>
          <w:iCs/>
          <w:noProof/>
          <w:szCs w:val="24"/>
        </w:rPr>
        <w:t>The Political Economy of Carbon Pricing: a Panel Analysis</w:t>
      </w:r>
      <w:r w:rsidRPr="00AE1CAD">
        <w:rPr>
          <w:rFonts w:ascii="Calibri" w:hAnsi="Calibri" w:cs="Calibri"/>
          <w:noProof/>
          <w:szCs w:val="24"/>
        </w:rPr>
        <w:t xml:space="preserve"> (Cambridge Working Paper Economics No. 1663). </w:t>
      </w:r>
      <w:r w:rsidRPr="00EF0E60">
        <w:rPr>
          <w:rFonts w:ascii="Calibri" w:hAnsi="Calibri" w:cs="Calibri"/>
          <w:noProof/>
          <w:szCs w:val="24"/>
          <w:lang w:val="de-DE"/>
        </w:rPr>
        <w:t>Cambrdige, UK. https://doi.org/10.17863/CAM.7825</w:t>
      </w:r>
    </w:p>
    <w:p w14:paraId="6E5EFE0A"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EF0E60">
        <w:rPr>
          <w:rFonts w:ascii="Calibri" w:hAnsi="Calibri" w:cs="Calibri"/>
          <w:noProof/>
          <w:szCs w:val="24"/>
          <w:lang w:val="de-DE"/>
        </w:rPr>
        <w:t xml:space="preserve">Dorband, I. I., Jakob, M., Kalkuhl, M., &amp; Steckel, J. C. (2019). </w:t>
      </w:r>
      <w:r w:rsidRPr="00AE1CAD">
        <w:rPr>
          <w:rFonts w:ascii="Calibri" w:hAnsi="Calibri" w:cs="Calibri"/>
          <w:noProof/>
          <w:szCs w:val="24"/>
        </w:rPr>
        <w:t xml:space="preserve">Poverty and distributional effects of carbon pricing in low- and middle-income countries – A global comparative analysis. </w:t>
      </w:r>
      <w:r w:rsidRPr="00AE1CAD">
        <w:rPr>
          <w:rFonts w:ascii="Calibri" w:hAnsi="Calibri" w:cs="Calibri"/>
          <w:i/>
          <w:iCs/>
          <w:noProof/>
          <w:szCs w:val="24"/>
        </w:rPr>
        <w:t>World Development</w:t>
      </w:r>
      <w:r w:rsidRPr="00AE1CAD">
        <w:rPr>
          <w:rFonts w:ascii="Calibri" w:hAnsi="Calibri" w:cs="Calibri"/>
          <w:noProof/>
          <w:szCs w:val="24"/>
        </w:rPr>
        <w:t xml:space="preserve">, </w:t>
      </w:r>
      <w:r w:rsidRPr="00AE1CAD">
        <w:rPr>
          <w:rFonts w:ascii="Calibri" w:hAnsi="Calibri" w:cs="Calibri"/>
          <w:i/>
          <w:iCs/>
          <w:noProof/>
          <w:szCs w:val="24"/>
        </w:rPr>
        <w:t>115</w:t>
      </w:r>
      <w:r w:rsidRPr="00AE1CAD">
        <w:rPr>
          <w:rFonts w:ascii="Calibri" w:hAnsi="Calibri" w:cs="Calibri"/>
          <w:noProof/>
          <w:szCs w:val="24"/>
        </w:rPr>
        <w:t>, 246–257. https://doi.org/10.1016/j.worlddev.2018.11.015</w:t>
      </w:r>
    </w:p>
    <w:p w14:paraId="4D44B966"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Drews, S., &amp; van den Bergh, J. C. J. M. (2016). What explains public support for climate policies? A review of empirical and experimental studies. </w:t>
      </w:r>
      <w:r w:rsidRPr="00AE1CAD">
        <w:rPr>
          <w:rFonts w:ascii="Calibri" w:hAnsi="Calibri" w:cs="Calibri"/>
          <w:i/>
          <w:iCs/>
          <w:noProof/>
          <w:szCs w:val="24"/>
        </w:rPr>
        <w:t>Climate Policy</w:t>
      </w:r>
      <w:r w:rsidRPr="00AE1CAD">
        <w:rPr>
          <w:rFonts w:ascii="Calibri" w:hAnsi="Calibri" w:cs="Calibri"/>
          <w:noProof/>
          <w:szCs w:val="24"/>
        </w:rPr>
        <w:t xml:space="preserve">, </w:t>
      </w:r>
      <w:r w:rsidRPr="00AE1CAD">
        <w:rPr>
          <w:rFonts w:ascii="Calibri" w:hAnsi="Calibri" w:cs="Calibri"/>
          <w:i/>
          <w:iCs/>
          <w:noProof/>
          <w:szCs w:val="24"/>
        </w:rPr>
        <w:t>16</w:t>
      </w:r>
      <w:r w:rsidRPr="00AE1CAD">
        <w:rPr>
          <w:rFonts w:ascii="Calibri" w:hAnsi="Calibri" w:cs="Calibri"/>
          <w:noProof/>
          <w:szCs w:val="24"/>
        </w:rPr>
        <w:t>(7), 855–876. https://doi.org/10.1080/14693062.2015.1058240</w:t>
      </w:r>
    </w:p>
    <w:p w14:paraId="60895857"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Easterly, W., Ritzan, J., &amp; Woolcock, M. (2006). </w:t>
      </w:r>
      <w:r w:rsidRPr="00AE1CAD">
        <w:rPr>
          <w:rFonts w:ascii="Calibri" w:hAnsi="Calibri" w:cs="Calibri"/>
          <w:i/>
          <w:iCs/>
          <w:noProof/>
          <w:szCs w:val="24"/>
        </w:rPr>
        <w:t>Social Cohesion, Institutions, and Growth</w:t>
      </w:r>
      <w:r w:rsidRPr="00AE1CAD">
        <w:rPr>
          <w:rFonts w:ascii="Calibri" w:hAnsi="Calibri" w:cs="Calibri"/>
          <w:noProof/>
          <w:szCs w:val="24"/>
        </w:rPr>
        <w:t xml:space="preserve"> (No. 94).</w:t>
      </w:r>
    </w:p>
    <w:p w14:paraId="100EFD17"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EF0E60">
        <w:rPr>
          <w:rFonts w:ascii="Calibri" w:hAnsi="Calibri" w:cs="Calibri"/>
          <w:noProof/>
          <w:szCs w:val="24"/>
          <w:lang w:val="de-DE"/>
        </w:rPr>
        <w:t xml:space="preserve">Edenhofer, O., Steckel, J. C., Jakob, M., &amp; Bertram, C. (2018). </w:t>
      </w:r>
      <w:r w:rsidRPr="00AE1CAD">
        <w:rPr>
          <w:rFonts w:ascii="Calibri" w:hAnsi="Calibri" w:cs="Calibri"/>
          <w:noProof/>
          <w:szCs w:val="24"/>
        </w:rPr>
        <w:t xml:space="preserve">Reports of coal’s terminal decline may be exaggerated. </w:t>
      </w:r>
      <w:r w:rsidRPr="00AE1CAD">
        <w:rPr>
          <w:rFonts w:ascii="Calibri" w:hAnsi="Calibri" w:cs="Calibri"/>
          <w:i/>
          <w:iCs/>
          <w:noProof/>
          <w:szCs w:val="24"/>
        </w:rPr>
        <w:t>Environ. Res. Lett</w:t>
      </w:r>
      <w:r w:rsidRPr="00AE1CAD">
        <w:rPr>
          <w:rFonts w:ascii="Calibri" w:hAnsi="Calibri" w:cs="Calibri"/>
          <w:noProof/>
          <w:szCs w:val="24"/>
        </w:rPr>
        <w:t xml:space="preserve">, </w:t>
      </w:r>
      <w:r w:rsidRPr="00AE1CAD">
        <w:rPr>
          <w:rFonts w:ascii="Calibri" w:hAnsi="Calibri" w:cs="Calibri"/>
          <w:i/>
          <w:iCs/>
          <w:noProof/>
          <w:szCs w:val="24"/>
        </w:rPr>
        <w:t>13</w:t>
      </w:r>
      <w:r w:rsidRPr="00AE1CAD">
        <w:rPr>
          <w:rFonts w:ascii="Calibri" w:hAnsi="Calibri" w:cs="Calibri"/>
          <w:noProof/>
          <w:szCs w:val="24"/>
        </w:rPr>
        <w:t>, 1–9. https://doi.org/10.1088/1748-9326/aaa3a2</w:t>
      </w:r>
    </w:p>
    <w:p w14:paraId="2A101C05"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Fairbrother, M. (2016). Trust and public support for environmental protection in diverse national contexts. </w:t>
      </w:r>
      <w:r w:rsidRPr="00AE1CAD">
        <w:rPr>
          <w:rFonts w:ascii="Calibri" w:hAnsi="Calibri" w:cs="Calibri"/>
          <w:i/>
          <w:iCs/>
          <w:noProof/>
          <w:szCs w:val="24"/>
        </w:rPr>
        <w:t>Sociological Science</w:t>
      </w:r>
      <w:r w:rsidRPr="00AE1CAD">
        <w:rPr>
          <w:rFonts w:ascii="Calibri" w:hAnsi="Calibri" w:cs="Calibri"/>
          <w:noProof/>
          <w:szCs w:val="24"/>
        </w:rPr>
        <w:t xml:space="preserve">, </w:t>
      </w:r>
      <w:r w:rsidRPr="00AE1CAD">
        <w:rPr>
          <w:rFonts w:ascii="Calibri" w:hAnsi="Calibri" w:cs="Calibri"/>
          <w:i/>
          <w:iCs/>
          <w:noProof/>
          <w:szCs w:val="24"/>
        </w:rPr>
        <w:t>3</w:t>
      </w:r>
      <w:r w:rsidRPr="00AE1CAD">
        <w:rPr>
          <w:rFonts w:ascii="Calibri" w:hAnsi="Calibri" w:cs="Calibri"/>
          <w:noProof/>
          <w:szCs w:val="24"/>
        </w:rPr>
        <w:t>, 359–382. https://doi.org/10.15195/v3.a17</w:t>
      </w:r>
    </w:p>
    <w:p w14:paraId="470FBC4A"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Fairbrother, M. (2017). Environmental attitudes and the politics of distrust. </w:t>
      </w:r>
      <w:r w:rsidRPr="00AE1CAD">
        <w:rPr>
          <w:rFonts w:ascii="Calibri" w:hAnsi="Calibri" w:cs="Calibri"/>
          <w:i/>
          <w:iCs/>
          <w:noProof/>
          <w:szCs w:val="24"/>
        </w:rPr>
        <w:t>Sociology Compass</w:t>
      </w:r>
      <w:r w:rsidRPr="00AE1CAD">
        <w:rPr>
          <w:rFonts w:ascii="Calibri" w:hAnsi="Calibri" w:cs="Calibri"/>
          <w:noProof/>
          <w:szCs w:val="24"/>
        </w:rPr>
        <w:t xml:space="preserve">, </w:t>
      </w:r>
      <w:r w:rsidRPr="00AE1CAD">
        <w:rPr>
          <w:rFonts w:ascii="Calibri" w:hAnsi="Calibri" w:cs="Calibri"/>
          <w:i/>
          <w:iCs/>
          <w:noProof/>
          <w:szCs w:val="24"/>
        </w:rPr>
        <w:t>11</w:t>
      </w:r>
      <w:r w:rsidRPr="00AE1CAD">
        <w:rPr>
          <w:rFonts w:ascii="Calibri" w:hAnsi="Calibri" w:cs="Calibri"/>
          <w:noProof/>
          <w:szCs w:val="24"/>
        </w:rPr>
        <w:t>(5), 1–10. https://doi.org/10.1111/soc4.12482</w:t>
      </w:r>
    </w:p>
    <w:p w14:paraId="41B73FDE"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Fankhauser, S., Gennaioli, C., &amp; Collins, M. (2015). The political economy of passing climate change legislation: evidence from a survey. </w:t>
      </w:r>
      <w:r w:rsidRPr="00AE1CAD">
        <w:rPr>
          <w:rFonts w:ascii="Calibri" w:hAnsi="Calibri" w:cs="Calibri"/>
          <w:i/>
          <w:iCs/>
          <w:noProof/>
          <w:szCs w:val="24"/>
        </w:rPr>
        <w:t>Global Environmental Change</w:t>
      </w:r>
      <w:r w:rsidRPr="00AE1CAD">
        <w:rPr>
          <w:rFonts w:ascii="Calibri" w:hAnsi="Calibri" w:cs="Calibri"/>
          <w:noProof/>
          <w:szCs w:val="24"/>
        </w:rPr>
        <w:t xml:space="preserve">, </w:t>
      </w:r>
      <w:r w:rsidRPr="00AE1CAD">
        <w:rPr>
          <w:rFonts w:ascii="Calibri" w:hAnsi="Calibri" w:cs="Calibri"/>
          <w:i/>
          <w:iCs/>
          <w:noProof/>
          <w:szCs w:val="24"/>
        </w:rPr>
        <w:t>35</w:t>
      </w:r>
      <w:r w:rsidRPr="00AE1CAD">
        <w:rPr>
          <w:rFonts w:ascii="Calibri" w:hAnsi="Calibri" w:cs="Calibri"/>
          <w:noProof/>
          <w:szCs w:val="24"/>
        </w:rPr>
        <w:t>, 52–61. https://doi.org/10.1016/j.gloenvcha.2015.08.008</w:t>
      </w:r>
    </w:p>
    <w:p w14:paraId="2E1A1173"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Farrell, J. (2016). Network structure and influence of the climate change counter-movement. </w:t>
      </w:r>
      <w:r w:rsidRPr="00AE1CAD">
        <w:rPr>
          <w:rFonts w:ascii="Calibri" w:hAnsi="Calibri" w:cs="Calibri"/>
          <w:i/>
          <w:iCs/>
          <w:noProof/>
          <w:szCs w:val="24"/>
        </w:rPr>
        <w:t>Nature Climate Change</w:t>
      </w:r>
      <w:r w:rsidRPr="00AE1CAD">
        <w:rPr>
          <w:rFonts w:ascii="Calibri" w:hAnsi="Calibri" w:cs="Calibri"/>
          <w:noProof/>
          <w:szCs w:val="24"/>
        </w:rPr>
        <w:t xml:space="preserve">, </w:t>
      </w:r>
      <w:r w:rsidRPr="00AE1CAD">
        <w:rPr>
          <w:rFonts w:ascii="Calibri" w:hAnsi="Calibri" w:cs="Calibri"/>
          <w:i/>
          <w:iCs/>
          <w:noProof/>
          <w:szCs w:val="24"/>
        </w:rPr>
        <w:t>6</w:t>
      </w:r>
      <w:r w:rsidRPr="00AE1CAD">
        <w:rPr>
          <w:rFonts w:ascii="Calibri" w:hAnsi="Calibri" w:cs="Calibri"/>
          <w:noProof/>
          <w:szCs w:val="24"/>
        </w:rPr>
        <w:t>(4), 370–374. https://doi.org/10.1038/nclimate2875</w:t>
      </w:r>
    </w:p>
    <w:p w14:paraId="391C2E89"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Farrell, J., McConnell, K., &amp; Brulle, R. (2019). Evidence-based strategies to combat scientific misinformation. </w:t>
      </w:r>
      <w:r w:rsidRPr="00AE1CAD">
        <w:rPr>
          <w:rFonts w:ascii="Calibri" w:hAnsi="Calibri" w:cs="Calibri"/>
          <w:i/>
          <w:iCs/>
          <w:noProof/>
          <w:szCs w:val="24"/>
        </w:rPr>
        <w:t>Nature Climate Change</w:t>
      </w:r>
      <w:r w:rsidRPr="00AE1CAD">
        <w:rPr>
          <w:rFonts w:ascii="Calibri" w:hAnsi="Calibri" w:cs="Calibri"/>
          <w:noProof/>
          <w:szCs w:val="24"/>
        </w:rPr>
        <w:t xml:space="preserve">, </w:t>
      </w:r>
      <w:r w:rsidRPr="00AE1CAD">
        <w:rPr>
          <w:rFonts w:ascii="Calibri" w:hAnsi="Calibri" w:cs="Calibri"/>
          <w:i/>
          <w:iCs/>
          <w:noProof/>
          <w:szCs w:val="24"/>
        </w:rPr>
        <w:t>9</w:t>
      </w:r>
      <w:r w:rsidRPr="00AE1CAD">
        <w:rPr>
          <w:rFonts w:ascii="Calibri" w:hAnsi="Calibri" w:cs="Calibri"/>
          <w:noProof/>
          <w:szCs w:val="24"/>
        </w:rPr>
        <w:t>(March), 191–195. https://doi.org/10.1038/s41558-018-0368-6</w:t>
      </w:r>
    </w:p>
    <w:p w14:paraId="09321BBC"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Foxon, T. J., Pearson, P. J. G., Arapostathis, S., Carlsson-Hyslop, A., &amp; Thornton, J. (2013). Branching points for transition pathways: assessing responses of actors to challenges on pathways to a low carbon future. </w:t>
      </w:r>
      <w:r w:rsidRPr="00AE1CAD">
        <w:rPr>
          <w:rFonts w:ascii="Calibri" w:hAnsi="Calibri" w:cs="Calibri"/>
          <w:i/>
          <w:iCs/>
          <w:noProof/>
          <w:szCs w:val="24"/>
        </w:rPr>
        <w:t>Energy Policy</w:t>
      </w:r>
      <w:r w:rsidRPr="00AE1CAD">
        <w:rPr>
          <w:rFonts w:ascii="Calibri" w:hAnsi="Calibri" w:cs="Calibri"/>
          <w:noProof/>
          <w:szCs w:val="24"/>
        </w:rPr>
        <w:t xml:space="preserve">, </w:t>
      </w:r>
      <w:r w:rsidRPr="00AE1CAD">
        <w:rPr>
          <w:rFonts w:ascii="Calibri" w:hAnsi="Calibri" w:cs="Calibri"/>
          <w:i/>
          <w:iCs/>
          <w:noProof/>
          <w:szCs w:val="24"/>
        </w:rPr>
        <w:t>52</w:t>
      </w:r>
      <w:r w:rsidRPr="00AE1CAD">
        <w:rPr>
          <w:rFonts w:ascii="Calibri" w:hAnsi="Calibri" w:cs="Calibri"/>
          <w:noProof/>
          <w:szCs w:val="24"/>
        </w:rPr>
        <w:t>, 146–158. https://doi.org/10.1016/j.enpol.2012.04.030</w:t>
      </w:r>
    </w:p>
    <w:p w14:paraId="625EA63B"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Fredriksson, P. G., &amp; Neumayer, E. (2013). Democracy and climate change policies: Is history important? </w:t>
      </w:r>
      <w:r w:rsidRPr="00AE1CAD">
        <w:rPr>
          <w:rFonts w:ascii="Calibri" w:hAnsi="Calibri" w:cs="Calibri"/>
          <w:i/>
          <w:iCs/>
          <w:noProof/>
          <w:szCs w:val="24"/>
        </w:rPr>
        <w:t>Ecological Economics</w:t>
      </w:r>
      <w:r w:rsidRPr="00AE1CAD">
        <w:rPr>
          <w:rFonts w:ascii="Calibri" w:hAnsi="Calibri" w:cs="Calibri"/>
          <w:noProof/>
          <w:szCs w:val="24"/>
        </w:rPr>
        <w:t xml:space="preserve">, </w:t>
      </w:r>
      <w:r w:rsidRPr="00AE1CAD">
        <w:rPr>
          <w:rFonts w:ascii="Calibri" w:hAnsi="Calibri" w:cs="Calibri"/>
          <w:i/>
          <w:iCs/>
          <w:noProof/>
          <w:szCs w:val="24"/>
        </w:rPr>
        <w:t>95</w:t>
      </w:r>
      <w:r w:rsidRPr="00AE1CAD">
        <w:rPr>
          <w:rFonts w:ascii="Calibri" w:hAnsi="Calibri" w:cs="Calibri"/>
          <w:noProof/>
          <w:szCs w:val="24"/>
        </w:rPr>
        <w:t>, 11–19. https://doi.org/10.1016/j.ecolecon.2013.08.002</w:t>
      </w:r>
    </w:p>
    <w:p w14:paraId="641C0258"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lastRenderedPageBreak/>
        <w:t xml:space="preserve">Friedrichs, J., &amp; Inderwildi, O. R. (2013). The carbon curse: Are fuel rich countries doomed to high CO2 intensities? </w:t>
      </w:r>
      <w:r w:rsidRPr="00AE1CAD">
        <w:rPr>
          <w:rFonts w:ascii="Calibri" w:hAnsi="Calibri" w:cs="Calibri"/>
          <w:i/>
          <w:iCs/>
          <w:noProof/>
          <w:szCs w:val="24"/>
        </w:rPr>
        <w:t>Energy Policy</w:t>
      </w:r>
      <w:r w:rsidRPr="00AE1CAD">
        <w:rPr>
          <w:rFonts w:ascii="Calibri" w:hAnsi="Calibri" w:cs="Calibri"/>
          <w:noProof/>
          <w:szCs w:val="24"/>
        </w:rPr>
        <w:t>, 1–10. https://doi.org/10.1016/j.enpol.2013.07.076</w:t>
      </w:r>
    </w:p>
    <w:p w14:paraId="2192CCCD"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Fuchs, D. (2003). </w:t>
      </w:r>
      <w:r w:rsidRPr="00AE1CAD">
        <w:rPr>
          <w:rFonts w:ascii="Calibri" w:hAnsi="Calibri" w:cs="Calibri"/>
          <w:i/>
          <w:iCs/>
          <w:noProof/>
          <w:szCs w:val="24"/>
        </w:rPr>
        <w:t>An Institutional Basis for Environmental Stewardship: The Structure and Quality of Property Rights</w:t>
      </w:r>
      <w:r w:rsidRPr="00AE1CAD">
        <w:rPr>
          <w:rFonts w:ascii="Calibri" w:hAnsi="Calibri" w:cs="Calibri"/>
          <w:noProof/>
          <w:szCs w:val="24"/>
        </w:rPr>
        <w:t>. Dordrecht: Kluwer Academic Publishers.</w:t>
      </w:r>
    </w:p>
    <w:p w14:paraId="17C79E5B"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Fuchs, D., Di Giulio, A., Glaab, K., Lorek, S., Maniates, M., Princen, T., &amp; Røpke, I. (2015). Power: The missing element in sustainable consumption and absolute reductions research and action. </w:t>
      </w:r>
      <w:r w:rsidRPr="00AE1CAD">
        <w:rPr>
          <w:rFonts w:ascii="Calibri" w:hAnsi="Calibri" w:cs="Calibri"/>
          <w:i/>
          <w:iCs/>
          <w:noProof/>
          <w:szCs w:val="24"/>
        </w:rPr>
        <w:t>Journal of Cleaner Production</w:t>
      </w:r>
      <w:r w:rsidRPr="00AE1CAD">
        <w:rPr>
          <w:rFonts w:ascii="Calibri" w:hAnsi="Calibri" w:cs="Calibri"/>
          <w:noProof/>
          <w:szCs w:val="24"/>
        </w:rPr>
        <w:t xml:space="preserve">, </w:t>
      </w:r>
      <w:r w:rsidRPr="00AE1CAD">
        <w:rPr>
          <w:rFonts w:ascii="Calibri" w:hAnsi="Calibri" w:cs="Calibri"/>
          <w:i/>
          <w:iCs/>
          <w:noProof/>
          <w:szCs w:val="24"/>
        </w:rPr>
        <w:t>132</w:t>
      </w:r>
      <w:r w:rsidRPr="00AE1CAD">
        <w:rPr>
          <w:rFonts w:ascii="Calibri" w:hAnsi="Calibri" w:cs="Calibri"/>
          <w:noProof/>
          <w:szCs w:val="24"/>
        </w:rPr>
        <w:t>, 298–307. https://doi.org/10.1016/j.jclepro.2015.02.006</w:t>
      </w:r>
    </w:p>
    <w:p w14:paraId="6012C047"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Galaz, V., Crona, B., Dauriach, A., Jouffray, J., Österblom, H., &amp; Fichtner, J. (2018). Tax havens and global environmental degradation. </w:t>
      </w:r>
      <w:r w:rsidRPr="00AE1CAD">
        <w:rPr>
          <w:rFonts w:ascii="Calibri" w:hAnsi="Calibri" w:cs="Calibri"/>
          <w:i/>
          <w:iCs/>
          <w:noProof/>
          <w:szCs w:val="24"/>
        </w:rPr>
        <w:t>Nature Ecology &amp; Evolution</w:t>
      </w:r>
      <w:r w:rsidRPr="00AE1CAD">
        <w:rPr>
          <w:rFonts w:ascii="Calibri" w:hAnsi="Calibri" w:cs="Calibri"/>
          <w:noProof/>
          <w:szCs w:val="24"/>
        </w:rPr>
        <w:t>. https://doi.org/10.1038/s41559-018-0497-3</w:t>
      </w:r>
    </w:p>
    <w:p w14:paraId="4A675EFA"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Gardiner, S. M. (2011). </w:t>
      </w:r>
      <w:r w:rsidRPr="00AE1CAD">
        <w:rPr>
          <w:rFonts w:ascii="Calibri" w:hAnsi="Calibri" w:cs="Calibri"/>
          <w:i/>
          <w:iCs/>
          <w:noProof/>
          <w:szCs w:val="24"/>
        </w:rPr>
        <w:t>A Perfect Moral Storm: The Ethical Tragedy of Climate Change</w:t>
      </w:r>
      <w:r w:rsidRPr="00AE1CAD">
        <w:rPr>
          <w:rFonts w:ascii="Calibri" w:hAnsi="Calibri" w:cs="Calibri"/>
          <w:noProof/>
          <w:szCs w:val="24"/>
        </w:rPr>
        <w:t>. Oxford: Oxford University Press.</w:t>
      </w:r>
    </w:p>
    <w:p w14:paraId="7AB367F8"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Geels, F. W., &amp; Schot, J. (2007). Typology of sociotechnical transition pathways. </w:t>
      </w:r>
      <w:r w:rsidRPr="00AE1CAD">
        <w:rPr>
          <w:rFonts w:ascii="Calibri" w:hAnsi="Calibri" w:cs="Calibri"/>
          <w:i/>
          <w:iCs/>
          <w:noProof/>
          <w:szCs w:val="24"/>
        </w:rPr>
        <w:t>Research Policy</w:t>
      </w:r>
      <w:r w:rsidRPr="00AE1CAD">
        <w:rPr>
          <w:rFonts w:ascii="Calibri" w:hAnsi="Calibri" w:cs="Calibri"/>
          <w:noProof/>
          <w:szCs w:val="24"/>
        </w:rPr>
        <w:t xml:space="preserve">, </w:t>
      </w:r>
      <w:r w:rsidRPr="00AE1CAD">
        <w:rPr>
          <w:rFonts w:ascii="Calibri" w:hAnsi="Calibri" w:cs="Calibri"/>
          <w:i/>
          <w:iCs/>
          <w:noProof/>
          <w:szCs w:val="24"/>
        </w:rPr>
        <w:t>36</w:t>
      </w:r>
      <w:r w:rsidRPr="00AE1CAD">
        <w:rPr>
          <w:rFonts w:ascii="Calibri" w:hAnsi="Calibri" w:cs="Calibri"/>
          <w:noProof/>
          <w:szCs w:val="24"/>
        </w:rPr>
        <w:t>(3), 399–417. https://doi.org/10.1016/j.respol.2007.01.003</w:t>
      </w:r>
    </w:p>
    <w:p w14:paraId="4FA89C6A"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Geels, F. W., Sovacool, B. K., Schwanen, T., &amp; Sorrell, S. (2017). The Socio-Technical Dynamics of Low-Carbon Transitions. </w:t>
      </w:r>
      <w:r w:rsidRPr="00AE1CAD">
        <w:rPr>
          <w:rFonts w:ascii="Calibri" w:hAnsi="Calibri" w:cs="Calibri"/>
          <w:i/>
          <w:iCs/>
          <w:noProof/>
          <w:szCs w:val="24"/>
        </w:rPr>
        <w:t>Joule</w:t>
      </w:r>
      <w:r w:rsidRPr="00AE1CAD">
        <w:rPr>
          <w:rFonts w:ascii="Calibri" w:hAnsi="Calibri" w:cs="Calibri"/>
          <w:noProof/>
          <w:szCs w:val="24"/>
        </w:rPr>
        <w:t>, 1–17. https://doi.org/10.1016/j.joule.2017.09.018</w:t>
      </w:r>
    </w:p>
    <w:p w14:paraId="12856A26"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Gifford, R. (2011). The Dragons of Inaction: Psychological Barriers That Limit Climate Change Mitigation and Adaptation. </w:t>
      </w:r>
      <w:r w:rsidRPr="00AE1CAD">
        <w:rPr>
          <w:rFonts w:ascii="Calibri" w:hAnsi="Calibri" w:cs="Calibri"/>
          <w:i/>
          <w:iCs/>
          <w:noProof/>
          <w:szCs w:val="24"/>
        </w:rPr>
        <w:t>American Psychologist</w:t>
      </w:r>
      <w:r w:rsidRPr="00AE1CAD">
        <w:rPr>
          <w:rFonts w:ascii="Calibri" w:hAnsi="Calibri" w:cs="Calibri"/>
          <w:noProof/>
          <w:szCs w:val="24"/>
        </w:rPr>
        <w:t xml:space="preserve">, </w:t>
      </w:r>
      <w:r w:rsidRPr="00AE1CAD">
        <w:rPr>
          <w:rFonts w:ascii="Calibri" w:hAnsi="Calibri" w:cs="Calibri"/>
          <w:i/>
          <w:iCs/>
          <w:noProof/>
          <w:szCs w:val="24"/>
        </w:rPr>
        <w:t>66</w:t>
      </w:r>
      <w:r w:rsidRPr="00AE1CAD">
        <w:rPr>
          <w:rFonts w:ascii="Calibri" w:hAnsi="Calibri" w:cs="Calibri"/>
          <w:noProof/>
          <w:szCs w:val="24"/>
        </w:rPr>
        <w:t>(4), 290–302. https://doi.org/10.1037/a0023566</w:t>
      </w:r>
    </w:p>
    <w:p w14:paraId="2345ECE7"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Gough, I. (2016). Welfare states and environmental states: a comparative analysis. </w:t>
      </w:r>
      <w:r w:rsidRPr="00AE1CAD">
        <w:rPr>
          <w:rFonts w:ascii="Calibri" w:hAnsi="Calibri" w:cs="Calibri"/>
          <w:i/>
          <w:iCs/>
          <w:noProof/>
          <w:szCs w:val="24"/>
        </w:rPr>
        <w:t>Environmental Politics</w:t>
      </w:r>
      <w:r w:rsidRPr="00AE1CAD">
        <w:rPr>
          <w:rFonts w:ascii="Calibri" w:hAnsi="Calibri" w:cs="Calibri"/>
          <w:noProof/>
          <w:szCs w:val="24"/>
        </w:rPr>
        <w:t xml:space="preserve">, </w:t>
      </w:r>
      <w:r w:rsidRPr="00AE1CAD">
        <w:rPr>
          <w:rFonts w:ascii="Calibri" w:hAnsi="Calibri" w:cs="Calibri"/>
          <w:i/>
          <w:iCs/>
          <w:noProof/>
          <w:szCs w:val="24"/>
        </w:rPr>
        <w:t>25</w:t>
      </w:r>
      <w:r w:rsidRPr="00AE1CAD">
        <w:rPr>
          <w:rFonts w:ascii="Calibri" w:hAnsi="Calibri" w:cs="Calibri"/>
          <w:noProof/>
          <w:szCs w:val="24"/>
        </w:rPr>
        <w:t>(1), 24–47. https://doi.org/10.1080/09644016.2015.1074382</w:t>
      </w:r>
    </w:p>
    <w:p w14:paraId="4C9E1D21"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Grandin, J., Haarstad, H., Kjærås, K., &amp; Bouzarovski, S. (2018). The politics of rapid urban transformation. </w:t>
      </w:r>
      <w:r w:rsidRPr="00AE1CAD">
        <w:rPr>
          <w:rFonts w:ascii="Calibri" w:hAnsi="Calibri" w:cs="Calibri"/>
          <w:i/>
          <w:iCs/>
          <w:noProof/>
          <w:szCs w:val="24"/>
        </w:rPr>
        <w:t>Current Opinion in Environmental Sustainability</w:t>
      </w:r>
      <w:r w:rsidRPr="00AE1CAD">
        <w:rPr>
          <w:rFonts w:ascii="Calibri" w:hAnsi="Calibri" w:cs="Calibri"/>
          <w:noProof/>
          <w:szCs w:val="24"/>
        </w:rPr>
        <w:t xml:space="preserve">, </w:t>
      </w:r>
      <w:r w:rsidRPr="00AE1CAD">
        <w:rPr>
          <w:rFonts w:ascii="Calibri" w:hAnsi="Calibri" w:cs="Calibri"/>
          <w:i/>
          <w:iCs/>
          <w:noProof/>
          <w:szCs w:val="24"/>
        </w:rPr>
        <w:t>31</w:t>
      </w:r>
      <w:r w:rsidRPr="00AE1CAD">
        <w:rPr>
          <w:rFonts w:ascii="Calibri" w:hAnsi="Calibri" w:cs="Calibri"/>
          <w:noProof/>
          <w:szCs w:val="24"/>
        </w:rPr>
        <w:t>, 16–22. https://doi.org/10.1016/j.cosust.2017.12.002</w:t>
      </w:r>
    </w:p>
    <w:p w14:paraId="68D05234"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Grantham Institute. (2017). </w:t>
      </w:r>
      <w:r w:rsidRPr="00AE1CAD">
        <w:rPr>
          <w:rFonts w:ascii="Calibri" w:hAnsi="Calibri" w:cs="Calibri"/>
          <w:i/>
          <w:iCs/>
          <w:noProof/>
          <w:szCs w:val="24"/>
        </w:rPr>
        <w:t>Climate Change Laws of the World database</w:t>
      </w:r>
      <w:r w:rsidRPr="00AE1CAD">
        <w:rPr>
          <w:rFonts w:ascii="Calibri" w:hAnsi="Calibri" w:cs="Calibri"/>
          <w:noProof/>
          <w:szCs w:val="24"/>
        </w:rPr>
        <w:t>. London. Retrieved from http://www.lse.ac.uk/GranthamInstitute/legislation/.</w:t>
      </w:r>
    </w:p>
    <w:p w14:paraId="1AEE7F37"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Green, F. (2018). Anti-fossil fuel norms. </w:t>
      </w:r>
      <w:r w:rsidRPr="00AE1CAD">
        <w:rPr>
          <w:rFonts w:ascii="Calibri" w:hAnsi="Calibri" w:cs="Calibri"/>
          <w:i/>
          <w:iCs/>
          <w:noProof/>
          <w:szCs w:val="24"/>
        </w:rPr>
        <w:t>Climatic Change</w:t>
      </w:r>
      <w:r w:rsidRPr="00AE1CAD">
        <w:rPr>
          <w:rFonts w:ascii="Calibri" w:hAnsi="Calibri" w:cs="Calibri"/>
          <w:noProof/>
          <w:szCs w:val="24"/>
        </w:rPr>
        <w:t>, (December 2017), 1–14. https://doi.org/10.1007/s10584-017-2134-6</w:t>
      </w:r>
    </w:p>
    <w:p w14:paraId="4A933127"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Griffiths, S. (2017). A review and assessment of energy policy in the Middle East and North Africa region. </w:t>
      </w:r>
      <w:r w:rsidRPr="00AE1CAD">
        <w:rPr>
          <w:rFonts w:ascii="Calibri" w:hAnsi="Calibri" w:cs="Calibri"/>
          <w:i/>
          <w:iCs/>
          <w:noProof/>
          <w:szCs w:val="24"/>
        </w:rPr>
        <w:t>Energy Policy</w:t>
      </w:r>
      <w:r w:rsidRPr="00AE1CAD">
        <w:rPr>
          <w:rFonts w:ascii="Calibri" w:hAnsi="Calibri" w:cs="Calibri"/>
          <w:noProof/>
          <w:szCs w:val="24"/>
        </w:rPr>
        <w:t xml:space="preserve">, </w:t>
      </w:r>
      <w:r w:rsidRPr="00AE1CAD">
        <w:rPr>
          <w:rFonts w:ascii="Calibri" w:hAnsi="Calibri" w:cs="Calibri"/>
          <w:i/>
          <w:iCs/>
          <w:noProof/>
          <w:szCs w:val="24"/>
        </w:rPr>
        <w:t>102</w:t>
      </w:r>
      <w:r w:rsidRPr="00AE1CAD">
        <w:rPr>
          <w:rFonts w:ascii="Calibri" w:hAnsi="Calibri" w:cs="Calibri"/>
          <w:noProof/>
          <w:szCs w:val="24"/>
        </w:rPr>
        <w:t>, 249–269. https://doi.org/10.1016/j.enpol.2016.12.023</w:t>
      </w:r>
    </w:p>
    <w:p w14:paraId="0BD18CA6"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lastRenderedPageBreak/>
        <w:t xml:space="preserve">Hall, P. A. (1997). The role of interests, institutions, and ideas in the comparative political economy of the industrialized natoins. In M. I. Lichbach &amp; A. S. Zuckerman (Eds.), </w:t>
      </w:r>
      <w:r w:rsidRPr="00AE1CAD">
        <w:rPr>
          <w:rFonts w:ascii="Calibri" w:hAnsi="Calibri" w:cs="Calibri"/>
          <w:i/>
          <w:iCs/>
          <w:noProof/>
          <w:szCs w:val="24"/>
        </w:rPr>
        <w:t>Comparative Politics: Rationality, Culture, and Structure</w:t>
      </w:r>
      <w:r w:rsidRPr="00AE1CAD">
        <w:rPr>
          <w:rFonts w:ascii="Calibri" w:hAnsi="Calibri" w:cs="Calibri"/>
          <w:noProof/>
          <w:szCs w:val="24"/>
        </w:rPr>
        <w:t xml:space="preserve"> (pp. 174–207). Cambrdige, UK: Cambridge University Press.</w:t>
      </w:r>
    </w:p>
    <w:p w14:paraId="010D69DE"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Hammar, H., &amp; Jagers, S. C. (2006). Can trust in politicians explain individuals’ support for climate policy? The case of CO2 tax. </w:t>
      </w:r>
      <w:r w:rsidRPr="00AE1CAD">
        <w:rPr>
          <w:rFonts w:ascii="Calibri" w:hAnsi="Calibri" w:cs="Calibri"/>
          <w:i/>
          <w:iCs/>
          <w:noProof/>
          <w:szCs w:val="24"/>
        </w:rPr>
        <w:t>Climate Policy</w:t>
      </w:r>
      <w:r w:rsidRPr="00AE1CAD">
        <w:rPr>
          <w:rFonts w:ascii="Calibri" w:hAnsi="Calibri" w:cs="Calibri"/>
          <w:noProof/>
          <w:szCs w:val="24"/>
        </w:rPr>
        <w:t xml:space="preserve">, </w:t>
      </w:r>
      <w:r w:rsidRPr="00AE1CAD">
        <w:rPr>
          <w:rFonts w:ascii="Calibri" w:hAnsi="Calibri" w:cs="Calibri"/>
          <w:i/>
          <w:iCs/>
          <w:noProof/>
          <w:szCs w:val="24"/>
        </w:rPr>
        <w:t>5</w:t>
      </w:r>
      <w:r w:rsidRPr="00AE1CAD">
        <w:rPr>
          <w:rFonts w:ascii="Calibri" w:hAnsi="Calibri" w:cs="Calibri"/>
          <w:noProof/>
          <w:szCs w:val="24"/>
        </w:rPr>
        <w:t>(6), 613–625. https://doi.org/10.1080/14693062.2006.9685582</w:t>
      </w:r>
    </w:p>
    <w:p w14:paraId="7AA3078B"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Harring, N. (2014). Corruption, inequalities and the perceived effectiveness of economic pro-environmental policy instruments: A European cross-national study. </w:t>
      </w:r>
      <w:r w:rsidRPr="00AE1CAD">
        <w:rPr>
          <w:rFonts w:ascii="Calibri" w:hAnsi="Calibri" w:cs="Calibri"/>
          <w:i/>
          <w:iCs/>
          <w:noProof/>
          <w:szCs w:val="24"/>
        </w:rPr>
        <w:t>Environmental Science and Policy</w:t>
      </w:r>
      <w:r w:rsidRPr="00AE1CAD">
        <w:rPr>
          <w:rFonts w:ascii="Calibri" w:hAnsi="Calibri" w:cs="Calibri"/>
          <w:noProof/>
          <w:szCs w:val="24"/>
        </w:rPr>
        <w:t xml:space="preserve">, </w:t>
      </w:r>
      <w:r w:rsidRPr="00AE1CAD">
        <w:rPr>
          <w:rFonts w:ascii="Calibri" w:hAnsi="Calibri" w:cs="Calibri"/>
          <w:i/>
          <w:iCs/>
          <w:noProof/>
          <w:szCs w:val="24"/>
        </w:rPr>
        <w:t>39</w:t>
      </w:r>
      <w:r w:rsidRPr="00AE1CAD">
        <w:rPr>
          <w:rFonts w:ascii="Calibri" w:hAnsi="Calibri" w:cs="Calibri"/>
          <w:noProof/>
          <w:szCs w:val="24"/>
        </w:rPr>
        <w:t>, 119–128. https://doi.org/10.1016/j.envsci.2013.08.011</w:t>
      </w:r>
    </w:p>
    <w:p w14:paraId="5B654B8B"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Harvey, D. (2005). </w:t>
      </w:r>
      <w:r w:rsidRPr="00AE1CAD">
        <w:rPr>
          <w:rFonts w:ascii="Calibri" w:hAnsi="Calibri" w:cs="Calibri"/>
          <w:i/>
          <w:iCs/>
          <w:noProof/>
          <w:szCs w:val="24"/>
        </w:rPr>
        <w:t>A Brief History of Neoliberalism</w:t>
      </w:r>
      <w:r w:rsidRPr="00AE1CAD">
        <w:rPr>
          <w:rFonts w:ascii="Calibri" w:hAnsi="Calibri" w:cs="Calibri"/>
          <w:noProof/>
          <w:szCs w:val="24"/>
        </w:rPr>
        <w:t>. New York: Oxford University Press.</w:t>
      </w:r>
    </w:p>
    <w:p w14:paraId="580FF607"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Heilbroner, R. L. (1985). </w:t>
      </w:r>
      <w:r w:rsidRPr="00AE1CAD">
        <w:rPr>
          <w:rFonts w:ascii="Calibri" w:hAnsi="Calibri" w:cs="Calibri"/>
          <w:i/>
          <w:iCs/>
          <w:noProof/>
          <w:szCs w:val="24"/>
        </w:rPr>
        <w:t>The Nature and Logic of Capitalism</w:t>
      </w:r>
      <w:r w:rsidRPr="00AE1CAD">
        <w:rPr>
          <w:rFonts w:ascii="Calibri" w:hAnsi="Calibri" w:cs="Calibri"/>
          <w:noProof/>
          <w:szCs w:val="24"/>
        </w:rPr>
        <w:t>. London: W.W. Norton &amp; Company, Inc.</w:t>
      </w:r>
    </w:p>
    <w:p w14:paraId="775E3EE9"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Holmberg, S., Rothstein, B., &amp; Nasiritousi, N. (2009). Quality of Government: What You Get. </w:t>
      </w:r>
      <w:r w:rsidRPr="00AE1CAD">
        <w:rPr>
          <w:rFonts w:ascii="Calibri" w:hAnsi="Calibri" w:cs="Calibri"/>
          <w:i/>
          <w:iCs/>
          <w:noProof/>
          <w:szCs w:val="24"/>
        </w:rPr>
        <w:t>Annual Review of Political Science</w:t>
      </w:r>
      <w:r w:rsidRPr="00AE1CAD">
        <w:rPr>
          <w:rFonts w:ascii="Calibri" w:hAnsi="Calibri" w:cs="Calibri"/>
          <w:noProof/>
          <w:szCs w:val="24"/>
        </w:rPr>
        <w:t xml:space="preserve">, </w:t>
      </w:r>
      <w:r w:rsidRPr="00AE1CAD">
        <w:rPr>
          <w:rFonts w:ascii="Calibri" w:hAnsi="Calibri" w:cs="Calibri"/>
          <w:i/>
          <w:iCs/>
          <w:noProof/>
          <w:szCs w:val="24"/>
        </w:rPr>
        <w:t>12</w:t>
      </w:r>
      <w:r w:rsidRPr="00AE1CAD">
        <w:rPr>
          <w:rFonts w:ascii="Calibri" w:hAnsi="Calibri" w:cs="Calibri"/>
          <w:noProof/>
          <w:szCs w:val="24"/>
        </w:rPr>
        <w:t>(1), 135–161. https://doi.org/10.1146/annurev-polisci-100608-104510</w:t>
      </w:r>
    </w:p>
    <w:p w14:paraId="75A05EB6"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Husson, F., Lê, S., &amp; Pagès, J. (2017). </w:t>
      </w:r>
      <w:r w:rsidRPr="00AE1CAD">
        <w:rPr>
          <w:rFonts w:ascii="Calibri" w:hAnsi="Calibri" w:cs="Calibri"/>
          <w:i/>
          <w:iCs/>
          <w:noProof/>
          <w:szCs w:val="24"/>
        </w:rPr>
        <w:t>Exploratory Multivariate Analysis by Example Using R</w:t>
      </w:r>
      <w:r w:rsidRPr="00AE1CAD">
        <w:rPr>
          <w:rFonts w:ascii="Calibri" w:hAnsi="Calibri" w:cs="Calibri"/>
          <w:noProof/>
          <w:szCs w:val="24"/>
        </w:rPr>
        <w:t>. London: CRC Press. https://doi.org/10.1201/b21874</w:t>
      </w:r>
    </w:p>
    <w:p w14:paraId="245E65E1"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Iacobuta, G., Dubash, N. K., Upadhyaya, P., Deribe, M., &amp; Höhne, N. (2018). National climate change mitigation legislation, strategy and targets: a global update. </w:t>
      </w:r>
      <w:r w:rsidRPr="00AE1CAD">
        <w:rPr>
          <w:rFonts w:ascii="Calibri" w:hAnsi="Calibri" w:cs="Calibri"/>
          <w:i/>
          <w:iCs/>
          <w:noProof/>
          <w:szCs w:val="24"/>
        </w:rPr>
        <w:t>Climate Policy</w:t>
      </w:r>
      <w:r w:rsidRPr="00AE1CAD">
        <w:rPr>
          <w:rFonts w:ascii="Calibri" w:hAnsi="Calibri" w:cs="Calibri"/>
          <w:noProof/>
          <w:szCs w:val="24"/>
        </w:rPr>
        <w:t xml:space="preserve">, </w:t>
      </w:r>
      <w:r w:rsidRPr="00AE1CAD">
        <w:rPr>
          <w:rFonts w:ascii="Calibri" w:hAnsi="Calibri" w:cs="Calibri"/>
          <w:i/>
          <w:iCs/>
          <w:noProof/>
          <w:szCs w:val="24"/>
        </w:rPr>
        <w:t>3062</w:t>
      </w:r>
      <w:r w:rsidRPr="00AE1CAD">
        <w:rPr>
          <w:rFonts w:ascii="Calibri" w:hAnsi="Calibri" w:cs="Calibri"/>
          <w:noProof/>
          <w:szCs w:val="24"/>
        </w:rPr>
        <w:t>, 1–19. https://doi.org/10.1080/14693062.2018.1489772</w:t>
      </w:r>
    </w:p>
    <w:p w14:paraId="547722A8"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IEA. (2018a). </w:t>
      </w:r>
      <w:r w:rsidRPr="00AE1CAD">
        <w:rPr>
          <w:rFonts w:ascii="Calibri" w:hAnsi="Calibri" w:cs="Calibri"/>
          <w:i/>
          <w:iCs/>
          <w:noProof/>
          <w:szCs w:val="24"/>
        </w:rPr>
        <w:t>World Energy Balances</w:t>
      </w:r>
      <w:r w:rsidRPr="00AE1CAD">
        <w:rPr>
          <w:rFonts w:ascii="Calibri" w:hAnsi="Calibri" w:cs="Calibri"/>
          <w:noProof/>
          <w:szCs w:val="24"/>
        </w:rPr>
        <w:t xml:space="preserve"> (2013th ed.). Paris: International Energy Agency. Retrieved from http://dx.doi.org/10.5257/iea/web/2013</w:t>
      </w:r>
    </w:p>
    <w:p w14:paraId="79797087"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IEA. (2018b). </w:t>
      </w:r>
      <w:r w:rsidRPr="00AE1CAD">
        <w:rPr>
          <w:rFonts w:ascii="Calibri" w:hAnsi="Calibri" w:cs="Calibri"/>
          <w:i/>
          <w:iCs/>
          <w:noProof/>
          <w:szCs w:val="24"/>
        </w:rPr>
        <w:t>World Energy Outlook</w:t>
      </w:r>
      <w:r w:rsidRPr="00AE1CAD">
        <w:rPr>
          <w:rFonts w:ascii="Calibri" w:hAnsi="Calibri" w:cs="Calibri"/>
          <w:noProof/>
          <w:szCs w:val="24"/>
        </w:rPr>
        <w:t>. Paris. Retrieved from https://www.iea.org/weo/energysubsidies/</w:t>
      </w:r>
    </w:p>
    <w:p w14:paraId="42DEE1A8"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InfluenceMap. (2019). </w:t>
      </w:r>
      <w:r w:rsidRPr="00AE1CAD">
        <w:rPr>
          <w:rFonts w:ascii="Calibri" w:hAnsi="Calibri" w:cs="Calibri"/>
          <w:i/>
          <w:iCs/>
          <w:noProof/>
          <w:szCs w:val="24"/>
        </w:rPr>
        <w:t>Big Oil’s Real Agenda on Climate Change</w:t>
      </w:r>
      <w:r w:rsidRPr="00AE1CAD">
        <w:rPr>
          <w:rFonts w:ascii="Calibri" w:hAnsi="Calibri" w:cs="Calibri"/>
          <w:noProof/>
          <w:szCs w:val="24"/>
        </w:rPr>
        <w:t>. London. Retrieved from https://influencemap.org/report/How-Big-Oil-Continues-to-Oppose-the-Paris-Agreement-38212275958aa21196dae3b76220bddc</w:t>
      </w:r>
    </w:p>
    <w:p w14:paraId="7B83B22F"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EF0E60">
        <w:rPr>
          <w:rFonts w:ascii="Calibri" w:hAnsi="Calibri" w:cs="Calibri"/>
          <w:noProof/>
          <w:szCs w:val="24"/>
          <w:lang w:val="de-DE"/>
        </w:rPr>
        <w:t xml:space="preserve">Ivanova, D., Vita, G., Wood, R., Lausselet, C., Dumitru, A., Krause, K., … Hertwich, E. G. (2018). </w:t>
      </w:r>
      <w:r w:rsidRPr="00AE1CAD">
        <w:rPr>
          <w:rFonts w:ascii="Calibri" w:hAnsi="Calibri" w:cs="Calibri"/>
          <w:noProof/>
          <w:szCs w:val="24"/>
        </w:rPr>
        <w:t xml:space="preserve">Carbon mitigation in domains of high consumer lock-in. </w:t>
      </w:r>
      <w:r w:rsidRPr="00AE1CAD">
        <w:rPr>
          <w:rFonts w:ascii="Calibri" w:hAnsi="Calibri" w:cs="Calibri"/>
          <w:i/>
          <w:iCs/>
          <w:noProof/>
          <w:szCs w:val="24"/>
        </w:rPr>
        <w:t>Global Environmental Change</w:t>
      </w:r>
      <w:r w:rsidRPr="00AE1CAD">
        <w:rPr>
          <w:rFonts w:ascii="Calibri" w:hAnsi="Calibri" w:cs="Calibri"/>
          <w:noProof/>
          <w:szCs w:val="24"/>
        </w:rPr>
        <w:t xml:space="preserve">, </w:t>
      </w:r>
      <w:r w:rsidRPr="00AE1CAD">
        <w:rPr>
          <w:rFonts w:ascii="Calibri" w:hAnsi="Calibri" w:cs="Calibri"/>
          <w:i/>
          <w:iCs/>
          <w:noProof/>
          <w:szCs w:val="24"/>
        </w:rPr>
        <w:t>52</w:t>
      </w:r>
      <w:r w:rsidRPr="00AE1CAD">
        <w:rPr>
          <w:rFonts w:ascii="Calibri" w:hAnsi="Calibri" w:cs="Calibri"/>
          <w:noProof/>
          <w:szCs w:val="24"/>
        </w:rPr>
        <w:t>, 117–130. https://doi.org/10.1016/j.gloenvcha.2018.06.006</w:t>
      </w:r>
    </w:p>
    <w:p w14:paraId="0657B235"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EF0E60">
        <w:rPr>
          <w:rFonts w:ascii="Calibri" w:hAnsi="Calibri" w:cs="Calibri"/>
          <w:noProof/>
          <w:szCs w:val="24"/>
          <w:lang w:val="de-DE"/>
        </w:rPr>
        <w:t xml:space="preserve">Jakob, M., Steckel, J. C., Klasen, S., Lay, J., Grunewald, N., Martínez-Zarzoso, I., … </w:t>
      </w:r>
      <w:r w:rsidRPr="00AE1CAD">
        <w:rPr>
          <w:rFonts w:ascii="Calibri" w:hAnsi="Calibri" w:cs="Calibri"/>
          <w:noProof/>
          <w:szCs w:val="24"/>
        </w:rPr>
        <w:t xml:space="preserve">Edenhofer, O. </w:t>
      </w:r>
      <w:r w:rsidRPr="00AE1CAD">
        <w:rPr>
          <w:rFonts w:ascii="Calibri" w:hAnsi="Calibri" w:cs="Calibri"/>
          <w:noProof/>
          <w:szCs w:val="24"/>
        </w:rPr>
        <w:lastRenderedPageBreak/>
        <w:t xml:space="preserve">(2014). Feasible mitigation actions in developing countries. </w:t>
      </w:r>
      <w:r w:rsidRPr="00AE1CAD">
        <w:rPr>
          <w:rFonts w:ascii="Calibri" w:hAnsi="Calibri" w:cs="Calibri"/>
          <w:i/>
          <w:iCs/>
          <w:noProof/>
          <w:szCs w:val="24"/>
        </w:rPr>
        <w:t>Nature Climate Change</w:t>
      </w:r>
      <w:r w:rsidRPr="00AE1CAD">
        <w:rPr>
          <w:rFonts w:ascii="Calibri" w:hAnsi="Calibri" w:cs="Calibri"/>
          <w:noProof/>
          <w:szCs w:val="24"/>
        </w:rPr>
        <w:t xml:space="preserve">, </w:t>
      </w:r>
      <w:r w:rsidRPr="00AE1CAD">
        <w:rPr>
          <w:rFonts w:ascii="Calibri" w:hAnsi="Calibri" w:cs="Calibri"/>
          <w:i/>
          <w:iCs/>
          <w:noProof/>
          <w:szCs w:val="24"/>
        </w:rPr>
        <w:t>4</w:t>
      </w:r>
      <w:r w:rsidRPr="00AE1CAD">
        <w:rPr>
          <w:rFonts w:ascii="Calibri" w:hAnsi="Calibri" w:cs="Calibri"/>
          <w:noProof/>
          <w:szCs w:val="24"/>
        </w:rPr>
        <w:t>(11), 961–968. https://doi.org/10.1038/nclimate2370</w:t>
      </w:r>
    </w:p>
    <w:p w14:paraId="6D5C5BEA"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Jorgenson, A. K., Fiske, S., Hubacek, K., Li, J., McGovern, T., Rick, T., … Zycherman, A. (2018). Social science perspectives on drivers of and responses to global climate change. </w:t>
      </w:r>
      <w:r w:rsidRPr="00AE1CAD">
        <w:rPr>
          <w:rFonts w:ascii="Calibri" w:hAnsi="Calibri" w:cs="Calibri"/>
          <w:i/>
          <w:iCs/>
          <w:noProof/>
          <w:szCs w:val="24"/>
        </w:rPr>
        <w:t>Wiley Interdisciplinary Reviews: Climate Change</w:t>
      </w:r>
      <w:r w:rsidRPr="00AE1CAD">
        <w:rPr>
          <w:rFonts w:ascii="Calibri" w:hAnsi="Calibri" w:cs="Calibri"/>
          <w:noProof/>
          <w:szCs w:val="24"/>
        </w:rPr>
        <w:t>, (June), e554. https://doi.org/10.1002/wcc.554</w:t>
      </w:r>
    </w:p>
    <w:p w14:paraId="0B3F16D9"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Jost, J. T., Banaji, M. R., &amp; Nosek, B. a. (2004). A Decade of System Justification Theory: Accumulated Evidence of Conscious and Unconscious Bolstering of the Status Quo. </w:t>
      </w:r>
      <w:r w:rsidRPr="00AE1CAD">
        <w:rPr>
          <w:rFonts w:ascii="Calibri" w:hAnsi="Calibri" w:cs="Calibri"/>
          <w:i/>
          <w:iCs/>
          <w:noProof/>
          <w:szCs w:val="24"/>
        </w:rPr>
        <w:t>Political Psychology</w:t>
      </w:r>
      <w:r w:rsidRPr="00AE1CAD">
        <w:rPr>
          <w:rFonts w:ascii="Calibri" w:hAnsi="Calibri" w:cs="Calibri"/>
          <w:noProof/>
          <w:szCs w:val="24"/>
        </w:rPr>
        <w:t xml:space="preserve">, </w:t>
      </w:r>
      <w:r w:rsidRPr="00AE1CAD">
        <w:rPr>
          <w:rFonts w:ascii="Calibri" w:hAnsi="Calibri" w:cs="Calibri"/>
          <w:i/>
          <w:iCs/>
          <w:noProof/>
          <w:szCs w:val="24"/>
        </w:rPr>
        <w:t>25</w:t>
      </w:r>
      <w:r w:rsidRPr="00AE1CAD">
        <w:rPr>
          <w:rFonts w:ascii="Calibri" w:hAnsi="Calibri" w:cs="Calibri"/>
          <w:noProof/>
          <w:szCs w:val="24"/>
        </w:rPr>
        <w:t>(6), 881–919. https://doi.org/10.1111/j.1467-9221.2004.00402.x</w:t>
      </w:r>
    </w:p>
    <w:p w14:paraId="0E5C399C"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Karlsson-Vinkhuyzen, S. I., Groff, M., Tamás, P. A., Dahl, A. L., Harder, M., &amp; Hassall, G. (2018). Entry into force and then? The Paris agreement and state accountability. </w:t>
      </w:r>
      <w:r w:rsidRPr="00AE1CAD">
        <w:rPr>
          <w:rFonts w:ascii="Calibri" w:hAnsi="Calibri" w:cs="Calibri"/>
          <w:i/>
          <w:iCs/>
          <w:noProof/>
          <w:szCs w:val="24"/>
        </w:rPr>
        <w:t>Climate Policy</w:t>
      </w:r>
      <w:r w:rsidRPr="00AE1CAD">
        <w:rPr>
          <w:rFonts w:ascii="Calibri" w:hAnsi="Calibri" w:cs="Calibri"/>
          <w:noProof/>
          <w:szCs w:val="24"/>
        </w:rPr>
        <w:t xml:space="preserve">, </w:t>
      </w:r>
      <w:r w:rsidRPr="00AE1CAD">
        <w:rPr>
          <w:rFonts w:ascii="Calibri" w:hAnsi="Calibri" w:cs="Calibri"/>
          <w:i/>
          <w:iCs/>
          <w:noProof/>
          <w:szCs w:val="24"/>
        </w:rPr>
        <w:t>18</w:t>
      </w:r>
      <w:r w:rsidRPr="00AE1CAD">
        <w:rPr>
          <w:rFonts w:ascii="Calibri" w:hAnsi="Calibri" w:cs="Calibri"/>
          <w:noProof/>
          <w:szCs w:val="24"/>
        </w:rPr>
        <w:t>(5), 593–599. https://doi.org/10.1080/14693062.2017.1331904</w:t>
      </w:r>
    </w:p>
    <w:p w14:paraId="031AC0AF"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Kaufmann, D., &amp; Kraay, A. (2015). World Governance Indicators. Retrieved from http://info.worldbank.org/governance/wgi/index.aspx</w:t>
      </w:r>
    </w:p>
    <w:p w14:paraId="345EB717"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Keohane, R. O., &amp; Victor, D. G. (2016). Cooperation and discord in global climate policy. </w:t>
      </w:r>
      <w:r w:rsidRPr="00AE1CAD">
        <w:rPr>
          <w:rFonts w:ascii="Calibri" w:hAnsi="Calibri" w:cs="Calibri"/>
          <w:i/>
          <w:iCs/>
          <w:noProof/>
          <w:szCs w:val="24"/>
        </w:rPr>
        <w:t>Nature Climate Change</w:t>
      </w:r>
      <w:r w:rsidRPr="00AE1CAD">
        <w:rPr>
          <w:rFonts w:ascii="Calibri" w:hAnsi="Calibri" w:cs="Calibri"/>
          <w:noProof/>
          <w:szCs w:val="24"/>
        </w:rPr>
        <w:t xml:space="preserve">, </w:t>
      </w:r>
      <w:r w:rsidRPr="00AE1CAD">
        <w:rPr>
          <w:rFonts w:ascii="Calibri" w:hAnsi="Calibri" w:cs="Calibri"/>
          <w:i/>
          <w:iCs/>
          <w:noProof/>
          <w:szCs w:val="24"/>
        </w:rPr>
        <w:t>6</w:t>
      </w:r>
      <w:r w:rsidRPr="00AE1CAD">
        <w:rPr>
          <w:rFonts w:ascii="Calibri" w:hAnsi="Calibri" w:cs="Calibri"/>
          <w:noProof/>
          <w:szCs w:val="24"/>
        </w:rPr>
        <w:t>(6), 570–575. https://doi.org/10.1038/nclimate2937</w:t>
      </w:r>
    </w:p>
    <w:p w14:paraId="30A2CC12"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Kotchen, M. J., Boyle, K. J., &amp; Leiserowitz, A. A. (2013). Willingness-to-pay and policy-instrument choice for climate-change policy in the United States. </w:t>
      </w:r>
      <w:r w:rsidRPr="00AE1CAD">
        <w:rPr>
          <w:rFonts w:ascii="Calibri" w:hAnsi="Calibri" w:cs="Calibri"/>
          <w:i/>
          <w:iCs/>
          <w:noProof/>
          <w:szCs w:val="24"/>
        </w:rPr>
        <w:t>Energy Policy</w:t>
      </w:r>
      <w:r w:rsidRPr="00AE1CAD">
        <w:rPr>
          <w:rFonts w:ascii="Calibri" w:hAnsi="Calibri" w:cs="Calibri"/>
          <w:noProof/>
          <w:szCs w:val="24"/>
        </w:rPr>
        <w:t xml:space="preserve">, </w:t>
      </w:r>
      <w:r w:rsidRPr="00AE1CAD">
        <w:rPr>
          <w:rFonts w:ascii="Calibri" w:hAnsi="Calibri" w:cs="Calibri"/>
          <w:i/>
          <w:iCs/>
          <w:noProof/>
          <w:szCs w:val="24"/>
        </w:rPr>
        <w:t>55</w:t>
      </w:r>
      <w:r w:rsidRPr="00AE1CAD">
        <w:rPr>
          <w:rFonts w:ascii="Calibri" w:hAnsi="Calibri" w:cs="Calibri"/>
          <w:noProof/>
          <w:szCs w:val="24"/>
        </w:rPr>
        <w:t>, 617–625. https://doi.org/10.1016/j.enpol.2012.12.058</w:t>
      </w:r>
    </w:p>
    <w:p w14:paraId="707B896E"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Kuyper, J. W., Linnér, B. O., &amp; Schroeder, H. (2018). Non-state actors in hybrid global climate governance: justice, legitimacy, and effectiveness in a post-Paris era. </w:t>
      </w:r>
      <w:r w:rsidRPr="00AE1CAD">
        <w:rPr>
          <w:rFonts w:ascii="Calibri" w:hAnsi="Calibri" w:cs="Calibri"/>
          <w:i/>
          <w:iCs/>
          <w:noProof/>
          <w:szCs w:val="24"/>
        </w:rPr>
        <w:t>Wiley Interdisciplinary Reviews: Climate Change</w:t>
      </w:r>
      <w:r w:rsidRPr="00AE1CAD">
        <w:rPr>
          <w:rFonts w:ascii="Calibri" w:hAnsi="Calibri" w:cs="Calibri"/>
          <w:noProof/>
          <w:szCs w:val="24"/>
        </w:rPr>
        <w:t xml:space="preserve">, </w:t>
      </w:r>
      <w:r w:rsidRPr="00AE1CAD">
        <w:rPr>
          <w:rFonts w:ascii="Calibri" w:hAnsi="Calibri" w:cs="Calibri"/>
          <w:i/>
          <w:iCs/>
          <w:noProof/>
          <w:szCs w:val="24"/>
        </w:rPr>
        <w:t>9</w:t>
      </w:r>
      <w:r w:rsidRPr="00AE1CAD">
        <w:rPr>
          <w:rFonts w:ascii="Calibri" w:hAnsi="Calibri" w:cs="Calibri"/>
          <w:noProof/>
          <w:szCs w:val="24"/>
        </w:rPr>
        <w:t>(1), 1–18. https://doi.org/10.1002/wcc.497</w:t>
      </w:r>
    </w:p>
    <w:p w14:paraId="4E543852"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Lachapelle, E., &amp; Paterson, M. (2013). Drivers of national climate policy. </w:t>
      </w:r>
      <w:r w:rsidRPr="00AE1CAD">
        <w:rPr>
          <w:rFonts w:ascii="Calibri" w:hAnsi="Calibri" w:cs="Calibri"/>
          <w:i/>
          <w:iCs/>
          <w:noProof/>
          <w:szCs w:val="24"/>
        </w:rPr>
        <w:t>Climate Policy</w:t>
      </w:r>
      <w:r w:rsidRPr="00AE1CAD">
        <w:rPr>
          <w:rFonts w:ascii="Calibri" w:hAnsi="Calibri" w:cs="Calibri"/>
          <w:noProof/>
          <w:szCs w:val="24"/>
        </w:rPr>
        <w:t xml:space="preserve">, </w:t>
      </w:r>
      <w:r w:rsidRPr="00AE1CAD">
        <w:rPr>
          <w:rFonts w:ascii="Calibri" w:hAnsi="Calibri" w:cs="Calibri"/>
          <w:i/>
          <w:iCs/>
          <w:noProof/>
          <w:szCs w:val="24"/>
        </w:rPr>
        <w:t>13</w:t>
      </w:r>
      <w:r w:rsidRPr="00AE1CAD">
        <w:rPr>
          <w:rFonts w:ascii="Calibri" w:hAnsi="Calibri" w:cs="Calibri"/>
          <w:noProof/>
          <w:szCs w:val="24"/>
        </w:rPr>
        <w:t>(5), 547–571. https://doi.org/10.1080/14693062.2013.811333</w:t>
      </w:r>
    </w:p>
    <w:p w14:paraId="10018945"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Lee, T. M., Markowitz, E. M., Howe, P. D., Ko, C. Y., &amp; Leiserowitz, A. A. (2015). Predictors of public climate change awareness and risk perception around the world. </w:t>
      </w:r>
      <w:r w:rsidRPr="00AE1CAD">
        <w:rPr>
          <w:rFonts w:ascii="Calibri" w:hAnsi="Calibri" w:cs="Calibri"/>
          <w:i/>
          <w:iCs/>
          <w:noProof/>
          <w:szCs w:val="24"/>
        </w:rPr>
        <w:t>Nature Climate Change</w:t>
      </w:r>
      <w:r w:rsidRPr="00AE1CAD">
        <w:rPr>
          <w:rFonts w:ascii="Calibri" w:hAnsi="Calibri" w:cs="Calibri"/>
          <w:noProof/>
          <w:szCs w:val="24"/>
        </w:rPr>
        <w:t xml:space="preserve">, </w:t>
      </w:r>
      <w:r w:rsidRPr="00AE1CAD">
        <w:rPr>
          <w:rFonts w:ascii="Calibri" w:hAnsi="Calibri" w:cs="Calibri"/>
          <w:i/>
          <w:iCs/>
          <w:noProof/>
          <w:szCs w:val="24"/>
        </w:rPr>
        <w:t>5</w:t>
      </w:r>
      <w:r w:rsidRPr="00AE1CAD">
        <w:rPr>
          <w:rFonts w:ascii="Calibri" w:hAnsi="Calibri" w:cs="Calibri"/>
          <w:noProof/>
          <w:szCs w:val="24"/>
        </w:rPr>
        <w:t>(11), 1014–1020. https://doi.org/10.1038/nclimate2728</w:t>
      </w:r>
    </w:p>
    <w:p w14:paraId="25FBC9A0"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Levi, S., Flachsland, C., &amp; Jakob, M. (2019). </w:t>
      </w:r>
      <w:r w:rsidRPr="00AE1CAD">
        <w:rPr>
          <w:rFonts w:ascii="Calibri" w:hAnsi="Calibri" w:cs="Calibri"/>
          <w:i/>
          <w:iCs/>
          <w:noProof/>
          <w:szCs w:val="24"/>
        </w:rPr>
        <w:t>Political Economy Determinants of Carbon Pricing</w:t>
      </w:r>
      <w:r w:rsidRPr="00AE1CAD">
        <w:rPr>
          <w:rFonts w:ascii="Calibri" w:hAnsi="Calibri" w:cs="Calibri"/>
          <w:noProof/>
          <w:szCs w:val="24"/>
        </w:rPr>
        <w:t>.</w:t>
      </w:r>
    </w:p>
    <w:p w14:paraId="4772C362"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Levitsky, S., &amp; Way, L. (2002). The Rise of Competitive Authoritarianism. </w:t>
      </w:r>
      <w:r w:rsidRPr="00AE1CAD">
        <w:rPr>
          <w:rFonts w:ascii="Calibri" w:hAnsi="Calibri" w:cs="Calibri"/>
          <w:i/>
          <w:iCs/>
          <w:noProof/>
          <w:szCs w:val="24"/>
        </w:rPr>
        <w:t>Journal of Democracy</w:t>
      </w:r>
      <w:r w:rsidRPr="00AE1CAD">
        <w:rPr>
          <w:rFonts w:ascii="Calibri" w:hAnsi="Calibri" w:cs="Calibri"/>
          <w:noProof/>
          <w:szCs w:val="24"/>
        </w:rPr>
        <w:t xml:space="preserve">, </w:t>
      </w:r>
      <w:r w:rsidRPr="00AE1CAD">
        <w:rPr>
          <w:rFonts w:ascii="Calibri" w:hAnsi="Calibri" w:cs="Calibri"/>
          <w:i/>
          <w:iCs/>
          <w:noProof/>
          <w:szCs w:val="24"/>
        </w:rPr>
        <w:t>13</w:t>
      </w:r>
      <w:r w:rsidRPr="00AE1CAD">
        <w:rPr>
          <w:rFonts w:ascii="Calibri" w:hAnsi="Calibri" w:cs="Calibri"/>
          <w:noProof/>
          <w:szCs w:val="24"/>
        </w:rPr>
        <w:t>(2), 51–65. https://doi.org/10.1353/jod.2002.0026</w:t>
      </w:r>
    </w:p>
    <w:p w14:paraId="18BE72A7"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Lewis, G. B., Palm, R., &amp; Feng, B. (2018). Cross-national variation in determinants of climate change </w:t>
      </w:r>
      <w:r w:rsidRPr="00AE1CAD">
        <w:rPr>
          <w:rFonts w:ascii="Calibri" w:hAnsi="Calibri" w:cs="Calibri"/>
          <w:noProof/>
          <w:szCs w:val="24"/>
        </w:rPr>
        <w:lastRenderedPageBreak/>
        <w:t xml:space="preserve">concern. </w:t>
      </w:r>
      <w:r w:rsidRPr="00AE1CAD">
        <w:rPr>
          <w:rFonts w:ascii="Calibri" w:hAnsi="Calibri" w:cs="Calibri"/>
          <w:i/>
          <w:iCs/>
          <w:noProof/>
          <w:szCs w:val="24"/>
        </w:rPr>
        <w:t>Environmental Politics</w:t>
      </w:r>
      <w:r w:rsidRPr="00AE1CAD">
        <w:rPr>
          <w:rFonts w:ascii="Calibri" w:hAnsi="Calibri" w:cs="Calibri"/>
          <w:noProof/>
          <w:szCs w:val="24"/>
        </w:rPr>
        <w:t>. https://doi.org/10.1080/09644016.2018.1512261</w:t>
      </w:r>
    </w:p>
    <w:p w14:paraId="5D41214C"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Lockwood, M. (2015). Fossil Fuel Subsidy Reform , Rent Management and Political Fragmentation in Developing Countries. </w:t>
      </w:r>
      <w:r w:rsidRPr="00AE1CAD">
        <w:rPr>
          <w:rFonts w:ascii="Calibri" w:hAnsi="Calibri" w:cs="Calibri"/>
          <w:i/>
          <w:iCs/>
          <w:noProof/>
          <w:szCs w:val="24"/>
        </w:rPr>
        <w:t>New Political Economy</w:t>
      </w:r>
      <w:r w:rsidRPr="00AE1CAD">
        <w:rPr>
          <w:rFonts w:ascii="Calibri" w:hAnsi="Calibri" w:cs="Calibri"/>
          <w:noProof/>
          <w:szCs w:val="24"/>
        </w:rPr>
        <w:t xml:space="preserve">, </w:t>
      </w:r>
      <w:r w:rsidRPr="00AE1CAD">
        <w:rPr>
          <w:rFonts w:ascii="Calibri" w:hAnsi="Calibri" w:cs="Calibri"/>
          <w:i/>
          <w:iCs/>
          <w:noProof/>
          <w:szCs w:val="24"/>
        </w:rPr>
        <w:t>20</w:t>
      </w:r>
      <w:r w:rsidRPr="00AE1CAD">
        <w:rPr>
          <w:rFonts w:ascii="Calibri" w:hAnsi="Calibri" w:cs="Calibri"/>
          <w:noProof/>
          <w:szCs w:val="24"/>
        </w:rPr>
        <w:t>(4), 475–494. https://doi.org/10.1080/13563467.2014.923826</w:t>
      </w:r>
    </w:p>
    <w:p w14:paraId="26A73608"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Lockwood, M. (2018). Right-wing populism and the climate change agenda: exploring the linkages. </w:t>
      </w:r>
      <w:r w:rsidRPr="00AE1CAD">
        <w:rPr>
          <w:rFonts w:ascii="Calibri" w:hAnsi="Calibri" w:cs="Calibri"/>
          <w:i/>
          <w:iCs/>
          <w:noProof/>
          <w:szCs w:val="24"/>
        </w:rPr>
        <w:t>Environmental Politics</w:t>
      </w:r>
      <w:r w:rsidRPr="00AE1CAD">
        <w:rPr>
          <w:rFonts w:ascii="Calibri" w:hAnsi="Calibri" w:cs="Calibri"/>
          <w:noProof/>
          <w:szCs w:val="24"/>
        </w:rPr>
        <w:t xml:space="preserve">, </w:t>
      </w:r>
      <w:r w:rsidRPr="00AE1CAD">
        <w:rPr>
          <w:rFonts w:ascii="Calibri" w:hAnsi="Calibri" w:cs="Calibri"/>
          <w:i/>
          <w:iCs/>
          <w:noProof/>
          <w:szCs w:val="24"/>
        </w:rPr>
        <w:t>27</w:t>
      </w:r>
      <w:r w:rsidRPr="00AE1CAD">
        <w:rPr>
          <w:rFonts w:ascii="Calibri" w:hAnsi="Calibri" w:cs="Calibri"/>
          <w:noProof/>
          <w:szCs w:val="24"/>
        </w:rPr>
        <w:t>(4), 1–21. https://doi.org/10.1080/09644016.2018.1458411</w:t>
      </w:r>
    </w:p>
    <w:p w14:paraId="77D08714"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Lockwood, M., Kuzemko, C., Mitchell, C., &amp; Hoggett, R. (2016). Historical institutionalism and the politics of sustainable energy transitions : A research agenda. </w:t>
      </w:r>
      <w:r w:rsidRPr="00AE1CAD">
        <w:rPr>
          <w:rFonts w:ascii="Calibri" w:hAnsi="Calibri" w:cs="Calibri"/>
          <w:i/>
          <w:iCs/>
          <w:noProof/>
          <w:szCs w:val="24"/>
        </w:rPr>
        <w:t>Environment and Planning C: Government and Policy</w:t>
      </w:r>
      <w:r w:rsidRPr="00AE1CAD">
        <w:rPr>
          <w:rFonts w:ascii="Calibri" w:hAnsi="Calibri" w:cs="Calibri"/>
          <w:noProof/>
          <w:szCs w:val="24"/>
        </w:rPr>
        <w:t xml:space="preserve">, </w:t>
      </w:r>
      <w:r w:rsidRPr="00AE1CAD">
        <w:rPr>
          <w:rFonts w:ascii="Calibri" w:hAnsi="Calibri" w:cs="Calibri"/>
          <w:i/>
          <w:iCs/>
          <w:noProof/>
          <w:szCs w:val="24"/>
        </w:rPr>
        <w:t>0</w:t>
      </w:r>
      <w:r w:rsidRPr="00AE1CAD">
        <w:rPr>
          <w:rFonts w:ascii="Calibri" w:hAnsi="Calibri" w:cs="Calibri"/>
          <w:noProof/>
          <w:szCs w:val="24"/>
        </w:rPr>
        <w:t>(0), 1–22. https://doi.org/10.1177/0263774X16660561</w:t>
      </w:r>
    </w:p>
    <w:p w14:paraId="15DAF09F"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EF0E60">
        <w:rPr>
          <w:rFonts w:ascii="Calibri" w:hAnsi="Calibri" w:cs="Calibri"/>
          <w:noProof/>
          <w:szCs w:val="24"/>
          <w:lang w:val="de-DE"/>
        </w:rPr>
        <w:t xml:space="preserve">Luderer, G., Vrontisi, Z., Bertram, C., Edelenbosch, O. Y., Pietzcker, R. C., Rogelj, J., … </w:t>
      </w:r>
      <w:r w:rsidRPr="00AE1CAD">
        <w:rPr>
          <w:rFonts w:ascii="Calibri" w:hAnsi="Calibri" w:cs="Calibri"/>
          <w:noProof/>
          <w:szCs w:val="24"/>
        </w:rPr>
        <w:t xml:space="preserve">Kriegler, E. (2018). Residual fossil CO2 emissions in 1.5-2°C pathways. </w:t>
      </w:r>
      <w:r w:rsidRPr="00AE1CAD">
        <w:rPr>
          <w:rFonts w:ascii="Calibri" w:hAnsi="Calibri" w:cs="Calibri"/>
          <w:i/>
          <w:iCs/>
          <w:noProof/>
          <w:szCs w:val="24"/>
        </w:rPr>
        <w:t>Nature Climate Change</w:t>
      </w:r>
      <w:r w:rsidRPr="00AE1CAD">
        <w:rPr>
          <w:rFonts w:ascii="Calibri" w:hAnsi="Calibri" w:cs="Calibri"/>
          <w:noProof/>
          <w:szCs w:val="24"/>
        </w:rPr>
        <w:t xml:space="preserve">, </w:t>
      </w:r>
      <w:r w:rsidRPr="00AE1CAD">
        <w:rPr>
          <w:rFonts w:ascii="Calibri" w:hAnsi="Calibri" w:cs="Calibri"/>
          <w:i/>
          <w:iCs/>
          <w:noProof/>
          <w:szCs w:val="24"/>
        </w:rPr>
        <w:t>8</w:t>
      </w:r>
      <w:r w:rsidRPr="00AE1CAD">
        <w:rPr>
          <w:rFonts w:ascii="Calibri" w:hAnsi="Calibri" w:cs="Calibri"/>
          <w:noProof/>
          <w:szCs w:val="24"/>
        </w:rPr>
        <w:t>(7), 626–633. https://doi.org/10.1038/s41558-018-0198-6</w:t>
      </w:r>
    </w:p>
    <w:p w14:paraId="0B4DBC09"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Malm, A. (2016). </w:t>
      </w:r>
      <w:r w:rsidRPr="00AE1CAD">
        <w:rPr>
          <w:rFonts w:ascii="Calibri" w:hAnsi="Calibri" w:cs="Calibri"/>
          <w:i/>
          <w:iCs/>
          <w:noProof/>
          <w:szCs w:val="24"/>
        </w:rPr>
        <w:t>Fossil Capital: The Rise of Steam Power and the Roots of Global Warming</w:t>
      </w:r>
      <w:r w:rsidRPr="00AE1CAD">
        <w:rPr>
          <w:rFonts w:ascii="Calibri" w:hAnsi="Calibri" w:cs="Calibri"/>
          <w:noProof/>
          <w:szCs w:val="24"/>
        </w:rPr>
        <w:t>. London: Verso.</w:t>
      </w:r>
    </w:p>
    <w:p w14:paraId="4033688E"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Mattioli, G., Roberts, C., Steinberger, J. K., &amp; Brown, A. (2018). </w:t>
      </w:r>
      <w:r w:rsidRPr="00AE1CAD">
        <w:rPr>
          <w:rFonts w:ascii="Calibri" w:hAnsi="Calibri" w:cs="Calibri"/>
          <w:i/>
          <w:iCs/>
          <w:noProof/>
          <w:szCs w:val="24"/>
        </w:rPr>
        <w:t>The system of car provision: elements of a political economy of car dependence</w:t>
      </w:r>
      <w:r w:rsidRPr="00AE1CAD">
        <w:rPr>
          <w:rFonts w:ascii="Calibri" w:hAnsi="Calibri" w:cs="Calibri"/>
          <w:noProof/>
          <w:szCs w:val="24"/>
        </w:rPr>
        <w:t>. Leicester, UK.</w:t>
      </w:r>
    </w:p>
    <w:p w14:paraId="0F3EEDC6"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Meckling, J. (2015). Oppose, Support, or Hedge? Distributional Effects, Regulatory Pressure, and Business Strategy in Environmental Politics. </w:t>
      </w:r>
      <w:r w:rsidRPr="00AE1CAD">
        <w:rPr>
          <w:rFonts w:ascii="Calibri" w:hAnsi="Calibri" w:cs="Calibri"/>
          <w:i/>
          <w:iCs/>
          <w:noProof/>
          <w:szCs w:val="24"/>
        </w:rPr>
        <w:t>Global Environmental Politics</w:t>
      </w:r>
      <w:r w:rsidRPr="00AE1CAD">
        <w:rPr>
          <w:rFonts w:ascii="Calibri" w:hAnsi="Calibri" w:cs="Calibri"/>
          <w:noProof/>
          <w:szCs w:val="24"/>
        </w:rPr>
        <w:t xml:space="preserve">, </w:t>
      </w:r>
      <w:r w:rsidRPr="00AE1CAD">
        <w:rPr>
          <w:rFonts w:ascii="Calibri" w:hAnsi="Calibri" w:cs="Calibri"/>
          <w:i/>
          <w:iCs/>
          <w:noProof/>
          <w:szCs w:val="24"/>
        </w:rPr>
        <w:t>15</w:t>
      </w:r>
      <w:r w:rsidRPr="00AE1CAD">
        <w:rPr>
          <w:rFonts w:ascii="Calibri" w:hAnsi="Calibri" w:cs="Calibri"/>
          <w:noProof/>
          <w:szCs w:val="24"/>
        </w:rPr>
        <w:t>(2), 19–37. https://doi.org/10.1162/GLEP_a_00296</w:t>
      </w:r>
    </w:p>
    <w:p w14:paraId="7C3484C4"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Meckling, J., &amp; Nahm, J. (2018). The power of process: State capacity and climate policy. </w:t>
      </w:r>
      <w:r w:rsidRPr="00AE1CAD">
        <w:rPr>
          <w:rFonts w:ascii="Calibri" w:hAnsi="Calibri" w:cs="Calibri"/>
          <w:i/>
          <w:iCs/>
          <w:noProof/>
          <w:szCs w:val="24"/>
        </w:rPr>
        <w:t>Governance</w:t>
      </w:r>
      <w:r w:rsidRPr="00AE1CAD">
        <w:rPr>
          <w:rFonts w:ascii="Calibri" w:hAnsi="Calibri" w:cs="Calibri"/>
          <w:noProof/>
          <w:szCs w:val="24"/>
        </w:rPr>
        <w:t xml:space="preserve">, </w:t>
      </w:r>
      <w:r w:rsidRPr="00AE1CAD">
        <w:rPr>
          <w:rFonts w:ascii="Calibri" w:hAnsi="Calibri" w:cs="Calibri"/>
          <w:i/>
          <w:iCs/>
          <w:noProof/>
          <w:szCs w:val="24"/>
        </w:rPr>
        <w:t>31</w:t>
      </w:r>
      <w:r w:rsidRPr="00AE1CAD">
        <w:rPr>
          <w:rFonts w:ascii="Calibri" w:hAnsi="Calibri" w:cs="Calibri"/>
          <w:noProof/>
          <w:szCs w:val="24"/>
        </w:rPr>
        <w:t>(4), 741–757. https://doi.org/10.1111/gove.12338</w:t>
      </w:r>
    </w:p>
    <w:p w14:paraId="05D64A1E"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Meckling, J., Sterner, T., &amp; Wagner, G. (2017). Policy sequencing toward decarbonization. </w:t>
      </w:r>
      <w:r w:rsidRPr="00AE1CAD">
        <w:rPr>
          <w:rFonts w:ascii="Calibri" w:hAnsi="Calibri" w:cs="Calibri"/>
          <w:i/>
          <w:iCs/>
          <w:noProof/>
          <w:szCs w:val="24"/>
        </w:rPr>
        <w:t>Nature Energy</w:t>
      </w:r>
      <w:r w:rsidRPr="00AE1CAD">
        <w:rPr>
          <w:rFonts w:ascii="Calibri" w:hAnsi="Calibri" w:cs="Calibri"/>
          <w:noProof/>
          <w:szCs w:val="24"/>
        </w:rPr>
        <w:t xml:space="preserve">, </w:t>
      </w:r>
      <w:r w:rsidRPr="00AE1CAD">
        <w:rPr>
          <w:rFonts w:ascii="Calibri" w:hAnsi="Calibri" w:cs="Calibri"/>
          <w:i/>
          <w:iCs/>
          <w:noProof/>
          <w:szCs w:val="24"/>
        </w:rPr>
        <w:t>2</w:t>
      </w:r>
      <w:r w:rsidRPr="00AE1CAD">
        <w:rPr>
          <w:rFonts w:ascii="Calibri" w:hAnsi="Calibri" w:cs="Calibri"/>
          <w:noProof/>
          <w:szCs w:val="24"/>
        </w:rPr>
        <w:t>(12), 918–922. https://doi.org/10.1038/s41560-017-0025-8</w:t>
      </w:r>
    </w:p>
    <w:p w14:paraId="08E61E91"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Moe, E. (2010). Energy, industry and politics: Energy, vested interests, and long-term economic growth and development. </w:t>
      </w:r>
      <w:r w:rsidRPr="00AE1CAD">
        <w:rPr>
          <w:rFonts w:ascii="Calibri" w:hAnsi="Calibri" w:cs="Calibri"/>
          <w:i/>
          <w:iCs/>
          <w:noProof/>
          <w:szCs w:val="24"/>
        </w:rPr>
        <w:t>Energy</w:t>
      </w:r>
      <w:r w:rsidRPr="00AE1CAD">
        <w:rPr>
          <w:rFonts w:ascii="Calibri" w:hAnsi="Calibri" w:cs="Calibri"/>
          <w:noProof/>
          <w:szCs w:val="24"/>
        </w:rPr>
        <w:t xml:space="preserve">, </w:t>
      </w:r>
      <w:r w:rsidRPr="00AE1CAD">
        <w:rPr>
          <w:rFonts w:ascii="Calibri" w:hAnsi="Calibri" w:cs="Calibri"/>
          <w:i/>
          <w:iCs/>
          <w:noProof/>
          <w:szCs w:val="24"/>
        </w:rPr>
        <w:t>35</w:t>
      </w:r>
      <w:r w:rsidRPr="00AE1CAD">
        <w:rPr>
          <w:rFonts w:ascii="Calibri" w:hAnsi="Calibri" w:cs="Calibri"/>
          <w:noProof/>
          <w:szCs w:val="24"/>
        </w:rPr>
        <w:t>(4), 1730–1740. https://doi.org/10.1016/j.energy.2009.12.026</w:t>
      </w:r>
    </w:p>
    <w:p w14:paraId="7F2F66F4"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Moe, E. (2015). </w:t>
      </w:r>
      <w:r w:rsidRPr="00AE1CAD">
        <w:rPr>
          <w:rFonts w:ascii="Calibri" w:hAnsi="Calibri" w:cs="Calibri"/>
          <w:i/>
          <w:iCs/>
          <w:noProof/>
          <w:szCs w:val="24"/>
        </w:rPr>
        <w:t>Renewable Energy Transformation or Fossil Fuel Backlash - Vested Interests in the Political Economy</w:t>
      </w:r>
      <w:r w:rsidRPr="00AE1CAD">
        <w:rPr>
          <w:rFonts w:ascii="Calibri" w:hAnsi="Calibri" w:cs="Calibri"/>
          <w:noProof/>
          <w:szCs w:val="24"/>
        </w:rPr>
        <w:t>. London: Palgrave Macmillan.</w:t>
      </w:r>
    </w:p>
    <w:p w14:paraId="588DAD61"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Obydenkova, A. V., &amp; Salahodjaev, R. (2017). Climate change policies: The role of democracy and social cognitive capital. </w:t>
      </w:r>
      <w:r w:rsidRPr="00AE1CAD">
        <w:rPr>
          <w:rFonts w:ascii="Calibri" w:hAnsi="Calibri" w:cs="Calibri"/>
          <w:i/>
          <w:iCs/>
          <w:noProof/>
          <w:szCs w:val="24"/>
        </w:rPr>
        <w:t>Environmental Research</w:t>
      </w:r>
      <w:r w:rsidRPr="00AE1CAD">
        <w:rPr>
          <w:rFonts w:ascii="Calibri" w:hAnsi="Calibri" w:cs="Calibri"/>
          <w:noProof/>
          <w:szCs w:val="24"/>
        </w:rPr>
        <w:t xml:space="preserve">, </w:t>
      </w:r>
      <w:r w:rsidRPr="00AE1CAD">
        <w:rPr>
          <w:rFonts w:ascii="Calibri" w:hAnsi="Calibri" w:cs="Calibri"/>
          <w:i/>
          <w:iCs/>
          <w:noProof/>
          <w:szCs w:val="24"/>
        </w:rPr>
        <w:t>157</w:t>
      </w:r>
      <w:r w:rsidRPr="00AE1CAD">
        <w:rPr>
          <w:rFonts w:ascii="Calibri" w:hAnsi="Calibri" w:cs="Calibri"/>
          <w:noProof/>
          <w:szCs w:val="24"/>
        </w:rPr>
        <w:t xml:space="preserve">(April), 182–189. </w:t>
      </w:r>
      <w:r w:rsidRPr="00AE1CAD">
        <w:rPr>
          <w:rFonts w:ascii="Calibri" w:hAnsi="Calibri" w:cs="Calibri"/>
          <w:noProof/>
          <w:szCs w:val="24"/>
        </w:rPr>
        <w:lastRenderedPageBreak/>
        <w:t>https://doi.org/10.1016/j.envres.2017.05.009</w:t>
      </w:r>
    </w:p>
    <w:p w14:paraId="4E413D20" w14:textId="77777777" w:rsidR="00AE1CAD" w:rsidRPr="00EF0E60" w:rsidRDefault="00AE1CAD" w:rsidP="00AE1CAD">
      <w:pPr>
        <w:widowControl w:val="0"/>
        <w:autoSpaceDE w:val="0"/>
        <w:autoSpaceDN w:val="0"/>
        <w:adjustRightInd w:val="0"/>
        <w:spacing w:line="360" w:lineRule="auto"/>
        <w:ind w:left="480" w:hanging="480"/>
        <w:rPr>
          <w:rFonts w:ascii="Calibri" w:hAnsi="Calibri" w:cs="Calibri"/>
          <w:noProof/>
          <w:szCs w:val="24"/>
          <w:lang w:val="de-DE"/>
        </w:rPr>
      </w:pPr>
      <w:r w:rsidRPr="00AE1CAD">
        <w:rPr>
          <w:rFonts w:ascii="Calibri" w:hAnsi="Calibri" w:cs="Calibri"/>
          <w:noProof/>
          <w:szCs w:val="24"/>
        </w:rPr>
        <w:t xml:space="preserve">OECD. (2018). </w:t>
      </w:r>
      <w:r w:rsidRPr="00AE1CAD">
        <w:rPr>
          <w:rFonts w:ascii="Calibri" w:hAnsi="Calibri" w:cs="Calibri"/>
          <w:i/>
          <w:iCs/>
          <w:noProof/>
          <w:szCs w:val="24"/>
        </w:rPr>
        <w:t>Effective Carbon Rates 2018: Pricing carbon emissions through taxes and emissions trading</w:t>
      </w:r>
      <w:r w:rsidRPr="00AE1CAD">
        <w:rPr>
          <w:rFonts w:ascii="Calibri" w:hAnsi="Calibri" w:cs="Calibri"/>
          <w:noProof/>
          <w:szCs w:val="24"/>
        </w:rPr>
        <w:t xml:space="preserve">. </w:t>
      </w:r>
      <w:r w:rsidRPr="00EF0E60">
        <w:rPr>
          <w:rFonts w:ascii="Calibri" w:hAnsi="Calibri" w:cs="Calibri"/>
          <w:noProof/>
          <w:szCs w:val="24"/>
          <w:lang w:val="de-DE"/>
        </w:rPr>
        <w:t>Paris: OECD Publishing. https://doi.org/10.1787/9789264305304-en</w:t>
      </w:r>
    </w:p>
    <w:p w14:paraId="37D2DB21"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EF0E60">
        <w:rPr>
          <w:rFonts w:ascii="Calibri" w:hAnsi="Calibri" w:cs="Calibri"/>
          <w:noProof/>
          <w:szCs w:val="24"/>
          <w:lang w:val="de-DE"/>
        </w:rPr>
        <w:t xml:space="preserve">Ohlendorf, N., Jakob, M., Minx, J. C., Schröder, C., &amp; Steckel, J. C. (2018). </w:t>
      </w:r>
      <w:r w:rsidRPr="00AE1CAD">
        <w:rPr>
          <w:rFonts w:ascii="Calibri" w:hAnsi="Calibri" w:cs="Calibri"/>
          <w:i/>
          <w:iCs/>
          <w:noProof/>
          <w:szCs w:val="24"/>
        </w:rPr>
        <w:t>Distributional Impacts of Climate Mitigation Policies - A Meta-Analysis</w:t>
      </w:r>
      <w:r w:rsidRPr="00AE1CAD">
        <w:rPr>
          <w:rFonts w:ascii="Calibri" w:hAnsi="Calibri" w:cs="Calibri"/>
          <w:noProof/>
          <w:szCs w:val="24"/>
        </w:rPr>
        <w:t xml:space="preserve"> (No. 1776). </w:t>
      </w:r>
      <w:r w:rsidRPr="00AE1CAD">
        <w:rPr>
          <w:rFonts w:ascii="Calibri" w:hAnsi="Calibri" w:cs="Calibri"/>
          <w:i/>
          <w:iCs/>
          <w:noProof/>
          <w:szCs w:val="24"/>
        </w:rPr>
        <w:t>DIW Berlin Discussion Papers</w:t>
      </w:r>
      <w:r w:rsidRPr="00AE1CAD">
        <w:rPr>
          <w:rFonts w:ascii="Calibri" w:hAnsi="Calibri" w:cs="Calibri"/>
          <w:noProof/>
          <w:szCs w:val="24"/>
        </w:rPr>
        <w:t>. Berlin. https://doi.org/10.2139/ssrn.3299337</w:t>
      </w:r>
    </w:p>
    <w:p w14:paraId="2F2D470C" w14:textId="77777777" w:rsidR="00AE1CAD" w:rsidRPr="00EF0E60" w:rsidRDefault="00AE1CAD" w:rsidP="00AE1CAD">
      <w:pPr>
        <w:widowControl w:val="0"/>
        <w:autoSpaceDE w:val="0"/>
        <w:autoSpaceDN w:val="0"/>
        <w:adjustRightInd w:val="0"/>
        <w:spacing w:line="360" w:lineRule="auto"/>
        <w:ind w:left="480" w:hanging="480"/>
        <w:rPr>
          <w:rFonts w:ascii="Calibri" w:hAnsi="Calibri" w:cs="Calibri"/>
          <w:noProof/>
          <w:szCs w:val="24"/>
          <w:lang w:val="de-DE"/>
        </w:rPr>
      </w:pPr>
      <w:r w:rsidRPr="00AE1CAD">
        <w:rPr>
          <w:rFonts w:ascii="Calibri" w:hAnsi="Calibri" w:cs="Calibri"/>
          <w:noProof/>
          <w:szCs w:val="24"/>
        </w:rPr>
        <w:t xml:space="preserve">Oreskes, N., &amp; Conway, E. M. (2010). Defeating the merchants of doubt. </w:t>
      </w:r>
      <w:r w:rsidRPr="00EF0E60">
        <w:rPr>
          <w:rFonts w:ascii="Calibri" w:hAnsi="Calibri" w:cs="Calibri"/>
          <w:i/>
          <w:iCs/>
          <w:noProof/>
          <w:szCs w:val="24"/>
          <w:lang w:val="de-DE"/>
        </w:rPr>
        <w:t>Nature</w:t>
      </w:r>
      <w:r w:rsidRPr="00EF0E60">
        <w:rPr>
          <w:rFonts w:ascii="Calibri" w:hAnsi="Calibri" w:cs="Calibri"/>
          <w:noProof/>
          <w:szCs w:val="24"/>
          <w:lang w:val="de-DE"/>
        </w:rPr>
        <w:t xml:space="preserve">, </w:t>
      </w:r>
      <w:r w:rsidRPr="00EF0E60">
        <w:rPr>
          <w:rFonts w:ascii="Calibri" w:hAnsi="Calibri" w:cs="Calibri"/>
          <w:i/>
          <w:iCs/>
          <w:noProof/>
          <w:szCs w:val="24"/>
          <w:lang w:val="de-DE"/>
        </w:rPr>
        <w:t>465</w:t>
      </w:r>
      <w:r w:rsidRPr="00EF0E60">
        <w:rPr>
          <w:rFonts w:ascii="Calibri" w:hAnsi="Calibri" w:cs="Calibri"/>
          <w:noProof/>
          <w:szCs w:val="24"/>
          <w:lang w:val="de-DE"/>
        </w:rPr>
        <w:t>(7299), 686–687. https://doi.org/10.1038/465686a</w:t>
      </w:r>
    </w:p>
    <w:p w14:paraId="770B6AD4"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EF0E60">
        <w:rPr>
          <w:rFonts w:ascii="Calibri" w:hAnsi="Calibri" w:cs="Calibri"/>
          <w:noProof/>
          <w:szCs w:val="24"/>
          <w:lang w:val="de-DE"/>
        </w:rPr>
        <w:t xml:space="preserve">Pahle, M., Burtraw, D., Flachsland, C., Kelsey, N., Biber, E., Meckling, J., … </w:t>
      </w:r>
      <w:r w:rsidRPr="00AE1CAD">
        <w:rPr>
          <w:rFonts w:ascii="Calibri" w:hAnsi="Calibri" w:cs="Calibri"/>
          <w:noProof/>
          <w:szCs w:val="24"/>
        </w:rPr>
        <w:t xml:space="preserve">Zysman, J. (2018). Sequencing to ratchet up climate policy stringency. </w:t>
      </w:r>
      <w:r w:rsidRPr="00AE1CAD">
        <w:rPr>
          <w:rFonts w:ascii="Calibri" w:hAnsi="Calibri" w:cs="Calibri"/>
          <w:i/>
          <w:iCs/>
          <w:noProof/>
          <w:szCs w:val="24"/>
        </w:rPr>
        <w:t>Nature Climate Change</w:t>
      </w:r>
      <w:r w:rsidRPr="00AE1CAD">
        <w:rPr>
          <w:rFonts w:ascii="Calibri" w:hAnsi="Calibri" w:cs="Calibri"/>
          <w:noProof/>
          <w:szCs w:val="24"/>
        </w:rPr>
        <w:t xml:space="preserve">, </w:t>
      </w:r>
      <w:r w:rsidRPr="00AE1CAD">
        <w:rPr>
          <w:rFonts w:ascii="Calibri" w:hAnsi="Calibri" w:cs="Calibri"/>
          <w:i/>
          <w:iCs/>
          <w:noProof/>
          <w:szCs w:val="24"/>
        </w:rPr>
        <w:t>8</w:t>
      </w:r>
      <w:r w:rsidRPr="00AE1CAD">
        <w:rPr>
          <w:rFonts w:ascii="Calibri" w:hAnsi="Calibri" w:cs="Calibri"/>
          <w:noProof/>
          <w:szCs w:val="24"/>
        </w:rPr>
        <w:t>(10), 861–867. https://doi.org/10.1038/s41558-018-0287-6</w:t>
      </w:r>
    </w:p>
    <w:p w14:paraId="0C0E2E32"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Painter, J. (2011). </w:t>
      </w:r>
      <w:r w:rsidRPr="00AE1CAD">
        <w:rPr>
          <w:rFonts w:ascii="Calibri" w:hAnsi="Calibri" w:cs="Calibri"/>
          <w:i/>
          <w:iCs/>
          <w:noProof/>
          <w:szCs w:val="24"/>
        </w:rPr>
        <w:t>Poles Apart: the international reporting of climate scepticism</w:t>
      </w:r>
      <w:r w:rsidRPr="00AE1CAD">
        <w:rPr>
          <w:rFonts w:ascii="Calibri" w:hAnsi="Calibri" w:cs="Calibri"/>
          <w:noProof/>
          <w:szCs w:val="24"/>
        </w:rPr>
        <w:t>. Oxford: Reuters Institute for the Study of Journalism.</w:t>
      </w:r>
    </w:p>
    <w:p w14:paraId="170EEC4A"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Paterson, M., &amp; P‐Laberge, X. (2018). Political economies of climate change. </w:t>
      </w:r>
      <w:r w:rsidRPr="00AE1CAD">
        <w:rPr>
          <w:rFonts w:ascii="Calibri" w:hAnsi="Calibri" w:cs="Calibri"/>
          <w:i/>
          <w:iCs/>
          <w:noProof/>
          <w:szCs w:val="24"/>
        </w:rPr>
        <w:t>Wiley Interdisciplinary Reviews: Climate Change</w:t>
      </w:r>
      <w:r w:rsidRPr="00AE1CAD">
        <w:rPr>
          <w:rFonts w:ascii="Calibri" w:hAnsi="Calibri" w:cs="Calibri"/>
          <w:noProof/>
          <w:szCs w:val="24"/>
        </w:rPr>
        <w:t>, (November 2017), 1–16. https://doi.org/10.1002/WCC.506</w:t>
      </w:r>
    </w:p>
    <w:p w14:paraId="328B883C"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Pelham, B. W. (2009). </w:t>
      </w:r>
      <w:r w:rsidRPr="00AE1CAD">
        <w:rPr>
          <w:rFonts w:ascii="Calibri" w:hAnsi="Calibri" w:cs="Calibri"/>
          <w:i/>
          <w:iCs/>
          <w:noProof/>
          <w:szCs w:val="24"/>
        </w:rPr>
        <w:t>Awareness, Opinions About Global Warming Vary Worldwide</w:t>
      </w:r>
      <w:r w:rsidRPr="00AE1CAD">
        <w:rPr>
          <w:rFonts w:ascii="Calibri" w:hAnsi="Calibri" w:cs="Calibri"/>
          <w:noProof/>
          <w:szCs w:val="24"/>
        </w:rPr>
        <w:t>. Washington, D.C. Retrieved from https://news.gallup.com/poll/117772/awareness-opinions-global-warming-vary-worldwide.aspx</w:t>
      </w:r>
    </w:p>
    <w:p w14:paraId="2DF625DD"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EF0E60">
        <w:rPr>
          <w:rFonts w:ascii="Calibri" w:hAnsi="Calibri" w:cs="Calibri"/>
          <w:noProof/>
          <w:szCs w:val="24"/>
          <w:lang w:val="de-DE"/>
        </w:rPr>
        <w:t xml:space="preserve">Peters, G. P., Minx, J. C., Weber, C. L., &amp; Edenhofer, O. (2011). </w:t>
      </w:r>
      <w:r w:rsidRPr="00AE1CAD">
        <w:rPr>
          <w:rFonts w:ascii="Calibri" w:hAnsi="Calibri" w:cs="Calibri"/>
          <w:noProof/>
          <w:szCs w:val="24"/>
        </w:rPr>
        <w:t xml:space="preserve">Growth in emission transfers via international trade from 1990 to 2008. </w:t>
      </w:r>
      <w:r w:rsidRPr="00AE1CAD">
        <w:rPr>
          <w:rFonts w:ascii="Calibri" w:hAnsi="Calibri" w:cs="Calibri"/>
          <w:i/>
          <w:iCs/>
          <w:noProof/>
          <w:szCs w:val="24"/>
        </w:rPr>
        <w:t>Proceedings of the National Academy of Sciences of the United States of America</w:t>
      </w:r>
      <w:r w:rsidRPr="00AE1CAD">
        <w:rPr>
          <w:rFonts w:ascii="Calibri" w:hAnsi="Calibri" w:cs="Calibri"/>
          <w:noProof/>
          <w:szCs w:val="24"/>
        </w:rPr>
        <w:t xml:space="preserve">, </w:t>
      </w:r>
      <w:r w:rsidRPr="00AE1CAD">
        <w:rPr>
          <w:rFonts w:ascii="Calibri" w:hAnsi="Calibri" w:cs="Calibri"/>
          <w:i/>
          <w:iCs/>
          <w:noProof/>
          <w:szCs w:val="24"/>
        </w:rPr>
        <w:t>108</w:t>
      </w:r>
      <w:r w:rsidRPr="00AE1CAD">
        <w:rPr>
          <w:rFonts w:ascii="Calibri" w:hAnsi="Calibri" w:cs="Calibri"/>
          <w:noProof/>
          <w:szCs w:val="24"/>
        </w:rPr>
        <w:t>(21), 8903–8908. https://doi.org/10.1073/pnas.1006388108</w:t>
      </w:r>
    </w:p>
    <w:p w14:paraId="57174E60"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EF0E60">
        <w:rPr>
          <w:rFonts w:ascii="Calibri" w:hAnsi="Calibri" w:cs="Calibri"/>
          <w:noProof/>
          <w:szCs w:val="24"/>
          <w:lang w:val="de-DE"/>
        </w:rPr>
        <w:t xml:space="preserve">Quéré, C. Le, Andrew, R. M., Friedlingstein, P., Sitch, S., Hauck, J., Pongratz, J., … </w:t>
      </w:r>
      <w:r w:rsidRPr="00AE1CAD">
        <w:rPr>
          <w:rFonts w:ascii="Calibri" w:hAnsi="Calibri" w:cs="Calibri"/>
          <w:noProof/>
          <w:szCs w:val="24"/>
        </w:rPr>
        <w:t xml:space="preserve">Zheng, B. (2018). Global Carbon Budget 2018. </w:t>
      </w:r>
      <w:r w:rsidRPr="00AE1CAD">
        <w:rPr>
          <w:rFonts w:ascii="Calibri" w:hAnsi="Calibri" w:cs="Calibri"/>
          <w:i/>
          <w:iCs/>
          <w:noProof/>
          <w:szCs w:val="24"/>
        </w:rPr>
        <w:t>Earth System Science Data</w:t>
      </w:r>
      <w:r w:rsidRPr="00AE1CAD">
        <w:rPr>
          <w:rFonts w:ascii="Calibri" w:hAnsi="Calibri" w:cs="Calibri"/>
          <w:noProof/>
          <w:szCs w:val="24"/>
        </w:rPr>
        <w:t xml:space="preserve">, </w:t>
      </w:r>
      <w:r w:rsidRPr="00AE1CAD">
        <w:rPr>
          <w:rFonts w:ascii="Calibri" w:hAnsi="Calibri" w:cs="Calibri"/>
          <w:i/>
          <w:iCs/>
          <w:noProof/>
          <w:szCs w:val="24"/>
        </w:rPr>
        <w:t>10</w:t>
      </w:r>
      <w:r w:rsidRPr="00AE1CAD">
        <w:rPr>
          <w:rFonts w:ascii="Calibri" w:hAnsi="Calibri" w:cs="Calibri"/>
          <w:noProof/>
          <w:szCs w:val="24"/>
        </w:rPr>
        <w:t>, 2141–2194. https://doi.org/10.5194/essd-8-605-2016</w:t>
      </w:r>
    </w:p>
    <w:p w14:paraId="34269078"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Rao, N. D. (2012). Kerosene subsidies in India: When energy policy fails as social policy. </w:t>
      </w:r>
      <w:r w:rsidRPr="00AE1CAD">
        <w:rPr>
          <w:rFonts w:ascii="Calibri" w:hAnsi="Calibri" w:cs="Calibri"/>
          <w:i/>
          <w:iCs/>
          <w:noProof/>
          <w:szCs w:val="24"/>
        </w:rPr>
        <w:t>Energy for Sustainable Development</w:t>
      </w:r>
      <w:r w:rsidRPr="00AE1CAD">
        <w:rPr>
          <w:rFonts w:ascii="Calibri" w:hAnsi="Calibri" w:cs="Calibri"/>
          <w:noProof/>
          <w:szCs w:val="24"/>
        </w:rPr>
        <w:t xml:space="preserve">, </w:t>
      </w:r>
      <w:r w:rsidRPr="00AE1CAD">
        <w:rPr>
          <w:rFonts w:ascii="Calibri" w:hAnsi="Calibri" w:cs="Calibri"/>
          <w:i/>
          <w:iCs/>
          <w:noProof/>
          <w:szCs w:val="24"/>
        </w:rPr>
        <w:t>16</w:t>
      </w:r>
      <w:r w:rsidRPr="00AE1CAD">
        <w:rPr>
          <w:rFonts w:ascii="Calibri" w:hAnsi="Calibri" w:cs="Calibri"/>
          <w:noProof/>
          <w:szCs w:val="24"/>
        </w:rPr>
        <w:t>(1), 35–43. https://doi.org/10.1016/j.esd.2011.12.007</w:t>
      </w:r>
    </w:p>
    <w:p w14:paraId="46810C08"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Roberts, C., Geels, F. W., Lockwood, M., Newell, P., Schmitz, H., Turnheim, B., &amp; Jordan, A. (2018). The politics of accelerating low-carbon transitions: Towards a new research agenda. </w:t>
      </w:r>
      <w:r w:rsidRPr="00AE1CAD">
        <w:rPr>
          <w:rFonts w:ascii="Calibri" w:hAnsi="Calibri" w:cs="Calibri"/>
          <w:i/>
          <w:iCs/>
          <w:noProof/>
          <w:szCs w:val="24"/>
        </w:rPr>
        <w:t>Energy Research and Social Science</w:t>
      </w:r>
      <w:r w:rsidRPr="00AE1CAD">
        <w:rPr>
          <w:rFonts w:ascii="Calibri" w:hAnsi="Calibri" w:cs="Calibri"/>
          <w:noProof/>
          <w:szCs w:val="24"/>
        </w:rPr>
        <w:t xml:space="preserve">, </w:t>
      </w:r>
      <w:r w:rsidRPr="00AE1CAD">
        <w:rPr>
          <w:rFonts w:ascii="Calibri" w:hAnsi="Calibri" w:cs="Calibri"/>
          <w:i/>
          <w:iCs/>
          <w:noProof/>
          <w:szCs w:val="24"/>
        </w:rPr>
        <w:t>44</w:t>
      </w:r>
      <w:r w:rsidRPr="00AE1CAD">
        <w:rPr>
          <w:rFonts w:ascii="Calibri" w:hAnsi="Calibri" w:cs="Calibri"/>
          <w:noProof/>
          <w:szCs w:val="24"/>
        </w:rPr>
        <w:t>(February), 304–311. https://doi.org/10.1016/j.erss.2018.06.001</w:t>
      </w:r>
    </w:p>
    <w:p w14:paraId="5FB770D6"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Rodrik, D., &amp; World Bank. (2006). Goodbye Washington Consensus, Hellow Washington Confusion? A </w:t>
      </w:r>
      <w:r w:rsidRPr="00AE1CAD">
        <w:rPr>
          <w:rFonts w:ascii="Calibri" w:hAnsi="Calibri" w:cs="Calibri"/>
          <w:noProof/>
          <w:szCs w:val="24"/>
        </w:rPr>
        <w:lastRenderedPageBreak/>
        <w:t xml:space="preserve">Review of the World Bank’s “Economic Growth in the 1990s: Learning from a Decade of Reform.” </w:t>
      </w:r>
      <w:r w:rsidRPr="00AE1CAD">
        <w:rPr>
          <w:rFonts w:ascii="Calibri" w:hAnsi="Calibri" w:cs="Calibri"/>
          <w:i/>
          <w:iCs/>
          <w:noProof/>
          <w:szCs w:val="24"/>
        </w:rPr>
        <w:t>Journal of Economic Literature</w:t>
      </w:r>
      <w:r w:rsidRPr="00AE1CAD">
        <w:rPr>
          <w:rFonts w:ascii="Calibri" w:hAnsi="Calibri" w:cs="Calibri"/>
          <w:noProof/>
          <w:szCs w:val="24"/>
        </w:rPr>
        <w:t xml:space="preserve">, </w:t>
      </w:r>
      <w:r w:rsidRPr="00AE1CAD">
        <w:rPr>
          <w:rFonts w:ascii="Calibri" w:hAnsi="Calibri" w:cs="Calibri"/>
          <w:i/>
          <w:iCs/>
          <w:noProof/>
          <w:szCs w:val="24"/>
        </w:rPr>
        <w:t>44</w:t>
      </w:r>
      <w:r w:rsidRPr="00AE1CAD">
        <w:rPr>
          <w:rFonts w:ascii="Calibri" w:hAnsi="Calibri" w:cs="Calibri"/>
          <w:noProof/>
          <w:szCs w:val="24"/>
        </w:rPr>
        <w:t>(4), 973–987.</w:t>
      </w:r>
    </w:p>
    <w:p w14:paraId="1B70AB18"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Rosa, E. a., &amp; Dietz, T. (2012). Human drivers of national greenhouse-gas emissions. </w:t>
      </w:r>
      <w:r w:rsidRPr="00AE1CAD">
        <w:rPr>
          <w:rFonts w:ascii="Calibri" w:hAnsi="Calibri" w:cs="Calibri"/>
          <w:i/>
          <w:iCs/>
          <w:noProof/>
          <w:szCs w:val="24"/>
        </w:rPr>
        <w:t>Nature Climate Change</w:t>
      </w:r>
      <w:r w:rsidRPr="00AE1CAD">
        <w:rPr>
          <w:rFonts w:ascii="Calibri" w:hAnsi="Calibri" w:cs="Calibri"/>
          <w:noProof/>
          <w:szCs w:val="24"/>
        </w:rPr>
        <w:t xml:space="preserve">, </w:t>
      </w:r>
      <w:r w:rsidRPr="00AE1CAD">
        <w:rPr>
          <w:rFonts w:ascii="Calibri" w:hAnsi="Calibri" w:cs="Calibri"/>
          <w:i/>
          <w:iCs/>
          <w:noProof/>
          <w:szCs w:val="24"/>
        </w:rPr>
        <w:t>2</w:t>
      </w:r>
      <w:r w:rsidRPr="00AE1CAD">
        <w:rPr>
          <w:rFonts w:ascii="Calibri" w:hAnsi="Calibri" w:cs="Calibri"/>
          <w:noProof/>
          <w:szCs w:val="24"/>
        </w:rPr>
        <w:t>(August), 581–586. https://doi.org/10.1038/NCLIMATE1506</w:t>
      </w:r>
    </w:p>
    <w:p w14:paraId="4C607A08"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Ross, M. L. (2015). What Have We Learned About the Resource Curse? </w:t>
      </w:r>
      <w:r w:rsidRPr="00AE1CAD">
        <w:rPr>
          <w:rFonts w:ascii="Calibri" w:hAnsi="Calibri" w:cs="Calibri"/>
          <w:i/>
          <w:iCs/>
          <w:noProof/>
          <w:szCs w:val="24"/>
        </w:rPr>
        <w:t>Annual Review of Political Science</w:t>
      </w:r>
      <w:r w:rsidRPr="00AE1CAD">
        <w:rPr>
          <w:rFonts w:ascii="Calibri" w:hAnsi="Calibri" w:cs="Calibri"/>
          <w:noProof/>
          <w:szCs w:val="24"/>
        </w:rPr>
        <w:t xml:space="preserve">, </w:t>
      </w:r>
      <w:r w:rsidRPr="00AE1CAD">
        <w:rPr>
          <w:rFonts w:ascii="Calibri" w:hAnsi="Calibri" w:cs="Calibri"/>
          <w:i/>
          <w:iCs/>
          <w:noProof/>
          <w:szCs w:val="24"/>
        </w:rPr>
        <w:t>18</w:t>
      </w:r>
      <w:r w:rsidRPr="00AE1CAD">
        <w:rPr>
          <w:rFonts w:ascii="Calibri" w:hAnsi="Calibri" w:cs="Calibri"/>
          <w:noProof/>
          <w:szCs w:val="24"/>
        </w:rPr>
        <w:t>, 239–261. https://doi.org/10.1146/annurev-polisci-052213-040359</w:t>
      </w:r>
    </w:p>
    <w:p w14:paraId="2C36553B"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Savoia, A., &amp; Sen, K. (2015). Measurement, evolution, determinants, and consequences of state capacity: A review of recent research. </w:t>
      </w:r>
      <w:r w:rsidRPr="00AE1CAD">
        <w:rPr>
          <w:rFonts w:ascii="Calibri" w:hAnsi="Calibri" w:cs="Calibri"/>
          <w:i/>
          <w:iCs/>
          <w:noProof/>
          <w:szCs w:val="24"/>
        </w:rPr>
        <w:t>Journal of Economic Surveys</w:t>
      </w:r>
      <w:r w:rsidRPr="00AE1CAD">
        <w:rPr>
          <w:rFonts w:ascii="Calibri" w:hAnsi="Calibri" w:cs="Calibri"/>
          <w:noProof/>
          <w:szCs w:val="24"/>
        </w:rPr>
        <w:t xml:space="preserve">, </w:t>
      </w:r>
      <w:r w:rsidRPr="00AE1CAD">
        <w:rPr>
          <w:rFonts w:ascii="Calibri" w:hAnsi="Calibri" w:cs="Calibri"/>
          <w:i/>
          <w:iCs/>
          <w:noProof/>
          <w:szCs w:val="24"/>
        </w:rPr>
        <w:t>29</w:t>
      </w:r>
      <w:r w:rsidRPr="00AE1CAD">
        <w:rPr>
          <w:rFonts w:ascii="Calibri" w:hAnsi="Calibri" w:cs="Calibri"/>
          <w:noProof/>
          <w:szCs w:val="24"/>
        </w:rPr>
        <w:t>(3), 441–458. https://doi.org/10.1111/joes.12065</w:t>
      </w:r>
    </w:p>
    <w:p w14:paraId="3B70877C"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Schmidt, N. M., &amp; Fleig, A. (2018). Global patterns of national climate policies: Analyzing 171 country portfolios on climate policy integration. </w:t>
      </w:r>
      <w:r w:rsidRPr="00AE1CAD">
        <w:rPr>
          <w:rFonts w:ascii="Calibri" w:hAnsi="Calibri" w:cs="Calibri"/>
          <w:i/>
          <w:iCs/>
          <w:noProof/>
          <w:szCs w:val="24"/>
        </w:rPr>
        <w:t>Environmental Science and Policy</w:t>
      </w:r>
      <w:r w:rsidRPr="00AE1CAD">
        <w:rPr>
          <w:rFonts w:ascii="Calibri" w:hAnsi="Calibri" w:cs="Calibri"/>
          <w:noProof/>
          <w:szCs w:val="24"/>
        </w:rPr>
        <w:t xml:space="preserve">, </w:t>
      </w:r>
      <w:r w:rsidRPr="00AE1CAD">
        <w:rPr>
          <w:rFonts w:ascii="Calibri" w:hAnsi="Calibri" w:cs="Calibri"/>
          <w:i/>
          <w:iCs/>
          <w:noProof/>
          <w:szCs w:val="24"/>
        </w:rPr>
        <w:t>84</w:t>
      </w:r>
      <w:r w:rsidRPr="00AE1CAD">
        <w:rPr>
          <w:rFonts w:ascii="Calibri" w:hAnsi="Calibri" w:cs="Calibri"/>
          <w:noProof/>
          <w:szCs w:val="24"/>
        </w:rPr>
        <w:t>(February), 177–185. https://doi.org/10.1016/j.envsci.2018.03.003</w:t>
      </w:r>
    </w:p>
    <w:p w14:paraId="670A6BB9"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Segal, P. (2012). How to spend it: Resource wealth and the distribution of resource rents. </w:t>
      </w:r>
      <w:r w:rsidRPr="00AE1CAD">
        <w:rPr>
          <w:rFonts w:ascii="Calibri" w:hAnsi="Calibri" w:cs="Calibri"/>
          <w:i/>
          <w:iCs/>
          <w:noProof/>
          <w:szCs w:val="24"/>
        </w:rPr>
        <w:t>Energy Policy</w:t>
      </w:r>
      <w:r w:rsidRPr="00AE1CAD">
        <w:rPr>
          <w:rFonts w:ascii="Calibri" w:hAnsi="Calibri" w:cs="Calibri"/>
          <w:noProof/>
          <w:szCs w:val="24"/>
        </w:rPr>
        <w:t xml:space="preserve">, </w:t>
      </w:r>
      <w:r w:rsidRPr="00AE1CAD">
        <w:rPr>
          <w:rFonts w:ascii="Calibri" w:hAnsi="Calibri" w:cs="Calibri"/>
          <w:i/>
          <w:iCs/>
          <w:noProof/>
          <w:szCs w:val="24"/>
        </w:rPr>
        <w:t>51</w:t>
      </w:r>
      <w:r w:rsidRPr="00AE1CAD">
        <w:rPr>
          <w:rFonts w:ascii="Calibri" w:hAnsi="Calibri" w:cs="Calibri"/>
          <w:noProof/>
          <w:szCs w:val="24"/>
        </w:rPr>
        <w:t>, 340–348. https://doi.org/10.1016/j.enpol.2012.08.029</w:t>
      </w:r>
    </w:p>
    <w:p w14:paraId="15D38395"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Sen, A. (1999). </w:t>
      </w:r>
      <w:r w:rsidRPr="00AE1CAD">
        <w:rPr>
          <w:rFonts w:ascii="Calibri" w:hAnsi="Calibri" w:cs="Calibri"/>
          <w:i/>
          <w:iCs/>
          <w:noProof/>
          <w:szCs w:val="24"/>
        </w:rPr>
        <w:t>Development as Freedom</w:t>
      </w:r>
      <w:r w:rsidRPr="00AE1CAD">
        <w:rPr>
          <w:rFonts w:ascii="Calibri" w:hAnsi="Calibri" w:cs="Calibri"/>
          <w:noProof/>
          <w:szCs w:val="24"/>
        </w:rPr>
        <w:t>. Oxford: Oxford University Press.</w:t>
      </w:r>
    </w:p>
    <w:p w14:paraId="6E6BA9C4"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Seto, K. C., Davis, S. J., Mitchell, R. B., Stokes, E. C., Unruh, G., &amp; Ürge-Vorsatz, D. (2016). Carbon Lock-In: Types, Causes, and Policy Implications. </w:t>
      </w:r>
      <w:r w:rsidRPr="00AE1CAD">
        <w:rPr>
          <w:rFonts w:ascii="Calibri" w:hAnsi="Calibri" w:cs="Calibri"/>
          <w:i/>
          <w:iCs/>
          <w:noProof/>
          <w:szCs w:val="24"/>
        </w:rPr>
        <w:t>Annual Review of Environment and Resources</w:t>
      </w:r>
      <w:r w:rsidRPr="00AE1CAD">
        <w:rPr>
          <w:rFonts w:ascii="Calibri" w:hAnsi="Calibri" w:cs="Calibri"/>
          <w:noProof/>
          <w:szCs w:val="24"/>
        </w:rPr>
        <w:t xml:space="preserve">, </w:t>
      </w:r>
      <w:r w:rsidRPr="00AE1CAD">
        <w:rPr>
          <w:rFonts w:ascii="Calibri" w:hAnsi="Calibri" w:cs="Calibri"/>
          <w:i/>
          <w:iCs/>
          <w:noProof/>
          <w:szCs w:val="24"/>
        </w:rPr>
        <w:t>41</w:t>
      </w:r>
      <w:r w:rsidRPr="00AE1CAD">
        <w:rPr>
          <w:rFonts w:ascii="Calibri" w:hAnsi="Calibri" w:cs="Calibri"/>
          <w:noProof/>
          <w:szCs w:val="24"/>
        </w:rPr>
        <w:t>(1), 425–452. https://doi.org/10.1146/annurev-environ-110615-085934</w:t>
      </w:r>
    </w:p>
    <w:p w14:paraId="335CBEB6"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Shove, E., &amp; Walker, G. (2014). What Is Energy For? Social Practice and Energy Demand. </w:t>
      </w:r>
      <w:r w:rsidRPr="00AE1CAD">
        <w:rPr>
          <w:rFonts w:ascii="Calibri" w:hAnsi="Calibri" w:cs="Calibri"/>
          <w:i/>
          <w:iCs/>
          <w:noProof/>
          <w:szCs w:val="24"/>
        </w:rPr>
        <w:t>Theory, Culture &amp; Society</w:t>
      </w:r>
      <w:r w:rsidRPr="00AE1CAD">
        <w:rPr>
          <w:rFonts w:ascii="Calibri" w:hAnsi="Calibri" w:cs="Calibri"/>
          <w:noProof/>
          <w:szCs w:val="24"/>
        </w:rPr>
        <w:t xml:space="preserve">, </w:t>
      </w:r>
      <w:r w:rsidRPr="00AE1CAD">
        <w:rPr>
          <w:rFonts w:ascii="Calibri" w:hAnsi="Calibri" w:cs="Calibri"/>
          <w:i/>
          <w:iCs/>
          <w:noProof/>
          <w:szCs w:val="24"/>
        </w:rPr>
        <w:t>31</w:t>
      </w:r>
      <w:r w:rsidRPr="00AE1CAD">
        <w:rPr>
          <w:rFonts w:ascii="Calibri" w:hAnsi="Calibri" w:cs="Calibri"/>
          <w:noProof/>
          <w:szCs w:val="24"/>
        </w:rPr>
        <w:t>(5), 41–58. https://doi.org/10.1177/0263276414536746</w:t>
      </w:r>
    </w:p>
    <w:p w14:paraId="080D255C"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Smith, E. K., &amp; Mayer, A. (2018). A social trap for the climate? Collective action, trust and climate change risk perception in 35 countries. </w:t>
      </w:r>
      <w:r w:rsidRPr="00AE1CAD">
        <w:rPr>
          <w:rFonts w:ascii="Calibri" w:hAnsi="Calibri" w:cs="Calibri"/>
          <w:i/>
          <w:iCs/>
          <w:noProof/>
          <w:szCs w:val="24"/>
        </w:rPr>
        <w:t>Global Environmental Change</w:t>
      </w:r>
      <w:r w:rsidRPr="00AE1CAD">
        <w:rPr>
          <w:rFonts w:ascii="Calibri" w:hAnsi="Calibri" w:cs="Calibri"/>
          <w:noProof/>
          <w:szCs w:val="24"/>
        </w:rPr>
        <w:t xml:space="preserve">, </w:t>
      </w:r>
      <w:r w:rsidRPr="00AE1CAD">
        <w:rPr>
          <w:rFonts w:ascii="Calibri" w:hAnsi="Calibri" w:cs="Calibri"/>
          <w:i/>
          <w:iCs/>
          <w:noProof/>
          <w:szCs w:val="24"/>
        </w:rPr>
        <w:t>49</w:t>
      </w:r>
      <w:r w:rsidRPr="00AE1CAD">
        <w:rPr>
          <w:rFonts w:ascii="Calibri" w:hAnsi="Calibri" w:cs="Calibri"/>
          <w:noProof/>
          <w:szCs w:val="24"/>
        </w:rPr>
        <w:t>(February), 140–153. https://doi.org/10.1016/j.gloenvcha.2018.02.014</w:t>
      </w:r>
    </w:p>
    <w:p w14:paraId="7B5EFAB5"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Sovacool, B. K. (2017). Reviewing, Reforming, and Rethinking Global Energy Subsidies: Towards a Political Economy Research Agenda. </w:t>
      </w:r>
      <w:r w:rsidRPr="00AE1CAD">
        <w:rPr>
          <w:rFonts w:ascii="Calibri" w:hAnsi="Calibri" w:cs="Calibri"/>
          <w:i/>
          <w:iCs/>
          <w:noProof/>
          <w:szCs w:val="24"/>
        </w:rPr>
        <w:t>Ecological Economics</w:t>
      </w:r>
      <w:r w:rsidRPr="00AE1CAD">
        <w:rPr>
          <w:rFonts w:ascii="Calibri" w:hAnsi="Calibri" w:cs="Calibri"/>
          <w:noProof/>
          <w:szCs w:val="24"/>
        </w:rPr>
        <w:t xml:space="preserve">, </w:t>
      </w:r>
      <w:r w:rsidRPr="00AE1CAD">
        <w:rPr>
          <w:rFonts w:ascii="Calibri" w:hAnsi="Calibri" w:cs="Calibri"/>
          <w:i/>
          <w:iCs/>
          <w:noProof/>
          <w:szCs w:val="24"/>
        </w:rPr>
        <w:t>135</w:t>
      </w:r>
      <w:r w:rsidRPr="00AE1CAD">
        <w:rPr>
          <w:rFonts w:ascii="Calibri" w:hAnsi="Calibri" w:cs="Calibri"/>
          <w:noProof/>
          <w:szCs w:val="24"/>
        </w:rPr>
        <w:t>, 150–163. https://doi.org/10.1016/j.ecolecon.2016.12.009</w:t>
      </w:r>
    </w:p>
    <w:p w14:paraId="05C4EC1E"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Spencer, T., Colombier, M., Sartor, O., Garg, A., Tiwari, V., Burton, J., … Wiseman, J. (2018). The 1.5°C target and coal sector transition: at the limits of societal feasibility. </w:t>
      </w:r>
      <w:r w:rsidRPr="00AE1CAD">
        <w:rPr>
          <w:rFonts w:ascii="Calibri" w:hAnsi="Calibri" w:cs="Calibri"/>
          <w:i/>
          <w:iCs/>
          <w:noProof/>
          <w:szCs w:val="24"/>
        </w:rPr>
        <w:t>Climate Policy</w:t>
      </w:r>
      <w:r w:rsidRPr="00AE1CAD">
        <w:rPr>
          <w:rFonts w:ascii="Calibri" w:hAnsi="Calibri" w:cs="Calibri"/>
          <w:noProof/>
          <w:szCs w:val="24"/>
        </w:rPr>
        <w:t xml:space="preserve">, </w:t>
      </w:r>
      <w:r w:rsidRPr="00AE1CAD">
        <w:rPr>
          <w:rFonts w:ascii="Calibri" w:hAnsi="Calibri" w:cs="Calibri"/>
          <w:i/>
          <w:iCs/>
          <w:noProof/>
          <w:szCs w:val="24"/>
        </w:rPr>
        <w:t>18</w:t>
      </w:r>
      <w:r w:rsidRPr="00AE1CAD">
        <w:rPr>
          <w:rFonts w:ascii="Calibri" w:hAnsi="Calibri" w:cs="Calibri"/>
          <w:noProof/>
          <w:szCs w:val="24"/>
        </w:rPr>
        <w:t>(3), 335–351. https://doi.org/10.1080/14693062.2017.1386540</w:t>
      </w:r>
    </w:p>
    <w:p w14:paraId="6EA2DFD6"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Steckel, J. C., Edenhofer, O., &amp; Jakob, M. (2015). Drivers for the renaissance of coal. </w:t>
      </w:r>
      <w:r w:rsidRPr="00AE1CAD">
        <w:rPr>
          <w:rFonts w:ascii="Calibri" w:hAnsi="Calibri" w:cs="Calibri"/>
          <w:i/>
          <w:iCs/>
          <w:noProof/>
          <w:szCs w:val="24"/>
        </w:rPr>
        <w:t xml:space="preserve">Proceedings of </w:t>
      </w:r>
      <w:r w:rsidRPr="00AE1CAD">
        <w:rPr>
          <w:rFonts w:ascii="Calibri" w:hAnsi="Calibri" w:cs="Calibri"/>
          <w:i/>
          <w:iCs/>
          <w:noProof/>
          <w:szCs w:val="24"/>
        </w:rPr>
        <w:lastRenderedPageBreak/>
        <w:t>the National Academy of Sciences of the United States of America</w:t>
      </w:r>
      <w:r w:rsidRPr="00AE1CAD">
        <w:rPr>
          <w:rFonts w:ascii="Calibri" w:hAnsi="Calibri" w:cs="Calibri"/>
          <w:noProof/>
          <w:szCs w:val="24"/>
        </w:rPr>
        <w:t xml:space="preserve">, </w:t>
      </w:r>
      <w:r w:rsidRPr="00AE1CAD">
        <w:rPr>
          <w:rFonts w:ascii="Calibri" w:hAnsi="Calibri" w:cs="Calibri"/>
          <w:i/>
          <w:iCs/>
          <w:noProof/>
          <w:szCs w:val="24"/>
        </w:rPr>
        <w:t>112</w:t>
      </w:r>
      <w:r w:rsidRPr="00AE1CAD">
        <w:rPr>
          <w:rFonts w:ascii="Calibri" w:hAnsi="Calibri" w:cs="Calibri"/>
          <w:noProof/>
          <w:szCs w:val="24"/>
        </w:rPr>
        <w:t>(29), E3775–E3781. https://doi.org/10.1073/pnas.1422722112</w:t>
      </w:r>
    </w:p>
    <w:p w14:paraId="797203A2"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Steves, F., &amp; Teytelboym, A. (2013). </w:t>
      </w:r>
      <w:r w:rsidRPr="00AE1CAD">
        <w:rPr>
          <w:rFonts w:ascii="Calibri" w:hAnsi="Calibri" w:cs="Calibri"/>
          <w:i/>
          <w:iCs/>
          <w:noProof/>
          <w:szCs w:val="24"/>
        </w:rPr>
        <w:t>Political Economy of Climate Change Policy</w:t>
      </w:r>
      <w:r w:rsidRPr="00AE1CAD">
        <w:rPr>
          <w:rFonts w:ascii="Calibri" w:hAnsi="Calibri" w:cs="Calibri"/>
          <w:noProof/>
          <w:szCs w:val="24"/>
        </w:rPr>
        <w:t xml:space="preserve">. </w:t>
      </w:r>
      <w:r w:rsidRPr="00AE1CAD">
        <w:rPr>
          <w:rFonts w:ascii="Calibri" w:hAnsi="Calibri" w:cs="Calibri"/>
          <w:i/>
          <w:iCs/>
          <w:noProof/>
          <w:szCs w:val="24"/>
        </w:rPr>
        <w:t>Smith School of Enterprise and the Environment</w:t>
      </w:r>
      <w:r w:rsidRPr="00AE1CAD">
        <w:rPr>
          <w:rFonts w:ascii="Calibri" w:hAnsi="Calibri" w:cs="Calibri"/>
          <w:noProof/>
          <w:szCs w:val="24"/>
        </w:rPr>
        <w:t xml:space="preserve"> (Vol. 13–06). Oxford. https://doi.org/10.2139/ssrn.2456538</w:t>
      </w:r>
    </w:p>
    <w:p w14:paraId="26025776"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Tjernström, E., &amp; Tietenberg, T. (2008). Do differences in attitudes explain differences in national climate change policies? </w:t>
      </w:r>
      <w:r w:rsidRPr="00AE1CAD">
        <w:rPr>
          <w:rFonts w:ascii="Calibri" w:hAnsi="Calibri" w:cs="Calibri"/>
          <w:i/>
          <w:iCs/>
          <w:noProof/>
          <w:szCs w:val="24"/>
        </w:rPr>
        <w:t>Ecological Economics</w:t>
      </w:r>
      <w:r w:rsidRPr="00AE1CAD">
        <w:rPr>
          <w:rFonts w:ascii="Calibri" w:hAnsi="Calibri" w:cs="Calibri"/>
          <w:noProof/>
          <w:szCs w:val="24"/>
        </w:rPr>
        <w:t xml:space="preserve">, </w:t>
      </w:r>
      <w:r w:rsidRPr="00AE1CAD">
        <w:rPr>
          <w:rFonts w:ascii="Calibri" w:hAnsi="Calibri" w:cs="Calibri"/>
          <w:i/>
          <w:iCs/>
          <w:noProof/>
          <w:szCs w:val="24"/>
        </w:rPr>
        <w:t>65</w:t>
      </w:r>
      <w:r w:rsidRPr="00AE1CAD">
        <w:rPr>
          <w:rFonts w:ascii="Calibri" w:hAnsi="Calibri" w:cs="Calibri"/>
          <w:noProof/>
          <w:szCs w:val="24"/>
        </w:rPr>
        <w:t>(2), 315–324. https://doi.org/10.1016/j.ecolecon.2007.06.019</w:t>
      </w:r>
    </w:p>
    <w:p w14:paraId="42E21C37"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UNEP. (2018). </w:t>
      </w:r>
      <w:r w:rsidRPr="00AE1CAD">
        <w:rPr>
          <w:rFonts w:ascii="Calibri" w:hAnsi="Calibri" w:cs="Calibri"/>
          <w:i/>
          <w:iCs/>
          <w:noProof/>
          <w:szCs w:val="24"/>
        </w:rPr>
        <w:t>The Emissions Gap Report 2018</w:t>
      </w:r>
      <w:r w:rsidRPr="00AE1CAD">
        <w:rPr>
          <w:rFonts w:ascii="Calibri" w:hAnsi="Calibri" w:cs="Calibri"/>
          <w:noProof/>
          <w:szCs w:val="24"/>
        </w:rPr>
        <w:t>. Nairobi: United Nations Environment Program. Retrieved from http://www.un.org/Depts/Cartographic/english/htmain.htm</w:t>
      </w:r>
    </w:p>
    <w:p w14:paraId="7761355B"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V-DEM. (2018). </w:t>
      </w:r>
      <w:r w:rsidRPr="00AE1CAD">
        <w:rPr>
          <w:rFonts w:ascii="Calibri" w:hAnsi="Calibri" w:cs="Calibri"/>
          <w:i/>
          <w:iCs/>
          <w:noProof/>
          <w:szCs w:val="24"/>
        </w:rPr>
        <w:t>Democracy for All? V-Dem Annual Democracy Report 2018</w:t>
      </w:r>
      <w:r w:rsidRPr="00AE1CAD">
        <w:rPr>
          <w:rFonts w:ascii="Calibri" w:hAnsi="Calibri" w:cs="Calibri"/>
          <w:noProof/>
          <w:szCs w:val="24"/>
        </w:rPr>
        <w:t>. Gothenburg. Retrieved from https://www.v-dem.net/en/news-publications/democracy-reports/</w:t>
      </w:r>
    </w:p>
    <w:p w14:paraId="6748D9EB"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van Beers, C., &amp; Strand, J. (2013). </w:t>
      </w:r>
      <w:r w:rsidRPr="00AE1CAD">
        <w:rPr>
          <w:rFonts w:ascii="Calibri" w:hAnsi="Calibri" w:cs="Calibri"/>
          <w:i/>
          <w:iCs/>
          <w:noProof/>
          <w:szCs w:val="24"/>
        </w:rPr>
        <w:t>Political determinants of fossil fuel pricing</w:t>
      </w:r>
      <w:r w:rsidRPr="00AE1CAD">
        <w:rPr>
          <w:rFonts w:ascii="Calibri" w:hAnsi="Calibri" w:cs="Calibri"/>
          <w:noProof/>
          <w:szCs w:val="24"/>
        </w:rPr>
        <w:t xml:space="preserve"> (Policy Research Working Paper No. 6470). https://doi.org/doi:10.1596/1813-9450-6470</w:t>
      </w:r>
    </w:p>
    <w:p w14:paraId="70DD01EE"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van der Ploeg, F. (2011). Natural Resources: Curse or Blessing? </w:t>
      </w:r>
      <w:r w:rsidRPr="00AE1CAD">
        <w:rPr>
          <w:rFonts w:ascii="Calibri" w:hAnsi="Calibri" w:cs="Calibri"/>
          <w:i/>
          <w:iCs/>
          <w:noProof/>
          <w:szCs w:val="24"/>
        </w:rPr>
        <w:t>Journal of Economic Literature</w:t>
      </w:r>
      <w:r w:rsidRPr="00AE1CAD">
        <w:rPr>
          <w:rFonts w:ascii="Calibri" w:hAnsi="Calibri" w:cs="Calibri"/>
          <w:noProof/>
          <w:szCs w:val="24"/>
        </w:rPr>
        <w:t xml:space="preserve">, </w:t>
      </w:r>
      <w:r w:rsidRPr="00AE1CAD">
        <w:rPr>
          <w:rFonts w:ascii="Calibri" w:hAnsi="Calibri" w:cs="Calibri"/>
          <w:i/>
          <w:iCs/>
          <w:noProof/>
          <w:szCs w:val="24"/>
        </w:rPr>
        <w:t>49</w:t>
      </w:r>
      <w:r w:rsidRPr="00AE1CAD">
        <w:rPr>
          <w:rFonts w:ascii="Calibri" w:hAnsi="Calibri" w:cs="Calibri"/>
          <w:noProof/>
          <w:szCs w:val="24"/>
        </w:rPr>
        <w:t>(2), 366–420. https://doi.org/10.1257/jel.49.2.366</w:t>
      </w:r>
    </w:p>
    <w:p w14:paraId="69A00770"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Victor, D. G. (2009). </w:t>
      </w:r>
      <w:r w:rsidRPr="00AE1CAD">
        <w:rPr>
          <w:rFonts w:ascii="Calibri" w:hAnsi="Calibri" w:cs="Calibri"/>
          <w:i/>
          <w:iCs/>
          <w:noProof/>
          <w:szCs w:val="24"/>
        </w:rPr>
        <w:t>The Politics of Fossil-Fuel Subsidies</w:t>
      </w:r>
      <w:r w:rsidRPr="00AE1CAD">
        <w:rPr>
          <w:rFonts w:ascii="Calibri" w:hAnsi="Calibri" w:cs="Calibri"/>
          <w:noProof/>
          <w:szCs w:val="24"/>
        </w:rPr>
        <w:t>. Geneva, Switzerland. https://doi.org/10.2139/ssrn.1520984</w:t>
      </w:r>
    </w:p>
    <w:p w14:paraId="3B4A36D1"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Vogt-Schilb, A., &amp; Hallegatte, S. (2017). Climate policies and nationally determined contributions: reconciling the needed ambition with the political economy. </w:t>
      </w:r>
      <w:r w:rsidRPr="00AE1CAD">
        <w:rPr>
          <w:rFonts w:ascii="Calibri" w:hAnsi="Calibri" w:cs="Calibri"/>
          <w:i/>
          <w:iCs/>
          <w:noProof/>
          <w:szCs w:val="24"/>
        </w:rPr>
        <w:t>Wiley Interdisciplinary Reviews: Energy and Environment</w:t>
      </w:r>
      <w:r w:rsidRPr="00AE1CAD">
        <w:rPr>
          <w:rFonts w:ascii="Calibri" w:hAnsi="Calibri" w:cs="Calibri"/>
          <w:noProof/>
          <w:szCs w:val="24"/>
        </w:rPr>
        <w:t xml:space="preserve">, </w:t>
      </w:r>
      <w:r w:rsidRPr="00AE1CAD">
        <w:rPr>
          <w:rFonts w:ascii="Calibri" w:hAnsi="Calibri" w:cs="Calibri"/>
          <w:i/>
          <w:iCs/>
          <w:noProof/>
          <w:szCs w:val="24"/>
        </w:rPr>
        <w:t>e256</w:t>
      </w:r>
      <w:r w:rsidRPr="00AE1CAD">
        <w:rPr>
          <w:rFonts w:ascii="Calibri" w:hAnsi="Calibri" w:cs="Calibri"/>
          <w:noProof/>
          <w:szCs w:val="24"/>
        </w:rPr>
        <w:t>. https://doi.org/10.1002/wene.256</w:t>
      </w:r>
    </w:p>
    <w:p w14:paraId="2925D5AE"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 xml:space="preserve">Workman, A., Blashki, G., Bowen, K. J., Karoly, D. J., &amp; Wiseman, J. (2018). The Political Economy of Health Co-Benefits: Embedding Health in the Climate Change Agenda. </w:t>
      </w:r>
      <w:r w:rsidRPr="00AE1CAD">
        <w:rPr>
          <w:rFonts w:ascii="Calibri" w:hAnsi="Calibri" w:cs="Calibri"/>
          <w:i/>
          <w:iCs/>
          <w:noProof/>
          <w:szCs w:val="24"/>
        </w:rPr>
        <w:t>International Journal of Environmental Research and Public Health</w:t>
      </w:r>
      <w:r w:rsidRPr="00AE1CAD">
        <w:rPr>
          <w:rFonts w:ascii="Calibri" w:hAnsi="Calibri" w:cs="Calibri"/>
          <w:noProof/>
          <w:szCs w:val="24"/>
        </w:rPr>
        <w:t xml:space="preserve">, </w:t>
      </w:r>
      <w:r w:rsidRPr="00AE1CAD">
        <w:rPr>
          <w:rFonts w:ascii="Calibri" w:hAnsi="Calibri" w:cs="Calibri"/>
          <w:i/>
          <w:iCs/>
          <w:noProof/>
          <w:szCs w:val="24"/>
        </w:rPr>
        <w:t>15</w:t>
      </w:r>
      <w:r w:rsidRPr="00AE1CAD">
        <w:rPr>
          <w:rFonts w:ascii="Calibri" w:hAnsi="Calibri" w:cs="Calibri"/>
          <w:noProof/>
          <w:szCs w:val="24"/>
        </w:rPr>
        <w:t>(4), 1–18. https://doi.org/10.3390/ijerph15040674</w:t>
      </w:r>
    </w:p>
    <w:p w14:paraId="2B834150"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World Bank. (2017). World Bank Development Indicators. Retrieved November 22, 2016, from http://data.worldbank.org/</w:t>
      </w:r>
    </w:p>
    <w:p w14:paraId="656D7061"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World Bank. (2019). World Bank Carbon Pricing Dashboard. Retrieved January 9, 2019, from https://carbonpricingdashboard.worldbank.org/</w:t>
      </w:r>
    </w:p>
    <w:p w14:paraId="327D1CAB"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szCs w:val="24"/>
        </w:rPr>
      </w:pPr>
      <w:r w:rsidRPr="00AE1CAD">
        <w:rPr>
          <w:rFonts w:ascii="Calibri" w:hAnsi="Calibri" w:cs="Calibri"/>
          <w:noProof/>
          <w:szCs w:val="24"/>
        </w:rPr>
        <w:t>WVS. (2014). WORLD VALUES SURVEY Wave 6 2010-2014 OFFICIAL AGGREGATE v.20150418. Retrieved October 10, 2016, from www.worldvaluessurvey.org</w:t>
      </w:r>
    </w:p>
    <w:p w14:paraId="04C1A763" w14:textId="77777777" w:rsidR="00AE1CAD" w:rsidRPr="00AE1CAD" w:rsidRDefault="00AE1CAD" w:rsidP="00AE1CAD">
      <w:pPr>
        <w:widowControl w:val="0"/>
        <w:autoSpaceDE w:val="0"/>
        <w:autoSpaceDN w:val="0"/>
        <w:adjustRightInd w:val="0"/>
        <w:spacing w:line="360" w:lineRule="auto"/>
        <w:ind w:left="480" w:hanging="480"/>
        <w:rPr>
          <w:rFonts w:ascii="Calibri" w:hAnsi="Calibri" w:cs="Calibri"/>
          <w:noProof/>
        </w:rPr>
      </w:pPr>
      <w:r w:rsidRPr="00AE1CAD">
        <w:rPr>
          <w:rFonts w:ascii="Calibri" w:hAnsi="Calibri" w:cs="Calibri"/>
          <w:noProof/>
          <w:szCs w:val="24"/>
        </w:rPr>
        <w:lastRenderedPageBreak/>
        <w:t xml:space="preserve">Ziegler, A. (2017). Political orientation, environmental values, and climate change beliefs and attitudes: An empirical cross country analysis. </w:t>
      </w:r>
      <w:r w:rsidRPr="00AE1CAD">
        <w:rPr>
          <w:rFonts w:ascii="Calibri" w:hAnsi="Calibri" w:cs="Calibri"/>
          <w:i/>
          <w:iCs/>
          <w:noProof/>
          <w:szCs w:val="24"/>
        </w:rPr>
        <w:t>Energy Economics</w:t>
      </w:r>
      <w:r w:rsidRPr="00AE1CAD">
        <w:rPr>
          <w:rFonts w:ascii="Calibri" w:hAnsi="Calibri" w:cs="Calibri"/>
          <w:noProof/>
          <w:szCs w:val="24"/>
        </w:rPr>
        <w:t xml:space="preserve">, </w:t>
      </w:r>
      <w:r w:rsidRPr="00AE1CAD">
        <w:rPr>
          <w:rFonts w:ascii="Calibri" w:hAnsi="Calibri" w:cs="Calibri"/>
          <w:i/>
          <w:iCs/>
          <w:noProof/>
          <w:szCs w:val="24"/>
        </w:rPr>
        <w:t>63</w:t>
      </w:r>
      <w:r w:rsidRPr="00AE1CAD">
        <w:rPr>
          <w:rFonts w:ascii="Calibri" w:hAnsi="Calibri" w:cs="Calibri"/>
          <w:noProof/>
          <w:szCs w:val="24"/>
        </w:rPr>
        <w:t>, 144–153. https://doi.org/10.1016/j.eneco.2017.01.022</w:t>
      </w:r>
    </w:p>
    <w:p w14:paraId="71E62BCE" w14:textId="7BE22243" w:rsidR="00CA62C1" w:rsidRPr="00CA62C1" w:rsidRDefault="00426F7E" w:rsidP="005E170B">
      <w:pPr>
        <w:spacing w:line="360" w:lineRule="auto"/>
      </w:pPr>
      <w:r>
        <w:fldChar w:fldCharType="end"/>
      </w:r>
    </w:p>
    <w:sectPr w:rsidR="00CA62C1" w:rsidRPr="00CA62C1" w:rsidSect="00713B11">
      <w:pgSz w:w="11906" w:h="16838" w:code="9"/>
      <w:pgMar w:top="1418" w:right="1418" w:bottom="1134"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ACD783" w14:textId="77777777" w:rsidR="0074468E" w:rsidRDefault="0074468E" w:rsidP="008A7B7D">
      <w:pPr>
        <w:spacing w:after="0" w:line="240" w:lineRule="auto"/>
      </w:pPr>
      <w:r>
        <w:separator/>
      </w:r>
    </w:p>
  </w:endnote>
  <w:endnote w:type="continuationSeparator" w:id="0">
    <w:p w14:paraId="5D577CC6" w14:textId="77777777" w:rsidR="0074468E" w:rsidRDefault="0074468E" w:rsidP="008A7B7D">
      <w:pPr>
        <w:spacing w:after="0" w:line="240" w:lineRule="auto"/>
      </w:pPr>
      <w:r>
        <w:continuationSeparator/>
      </w:r>
    </w:p>
  </w:endnote>
  <w:endnote w:type="continuationNotice" w:id="1">
    <w:p w14:paraId="323D0EB3" w14:textId="77777777" w:rsidR="0074468E" w:rsidRDefault="007446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789882"/>
      <w:docPartObj>
        <w:docPartGallery w:val="Page Numbers (Bottom of Page)"/>
        <w:docPartUnique/>
      </w:docPartObj>
    </w:sdtPr>
    <w:sdtEndPr>
      <w:rPr>
        <w:noProof/>
      </w:rPr>
    </w:sdtEndPr>
    <w:sdtContent>
      <w:p w14:paraId="63327CE7" w14:textId="35582318" w:rsidR="00C41826" w:rsidRDefault="00C41826">
        <w:pPr>
          <w:pStyle w:val="Footer"/>
          <w:jc w:val="center"/>
        </w:pPr>
        <w:r>
          <w:fldChar w:fldCharType="begin"/>
        </w:r>
        <w:r>
          <w:instrText xml:space="preserve"> PAGE   \* MERGEFORMAT </w:instrText>
        </w:r>
        <w:r>
          <w:fldChar w:fldCharType="separate"/>
        </w:r>
        <w:r w:rsidR="00C90BD6">
          <w:rPr>
            <w:noProof/>
          </w:rPr>
          <w:t>4</w:t>
        </w:r>
        <w:r>
          <w:rPr>
            <w:noProof/>
          </w:rPr>
          <w:fldChar w:fldCharType="end"/>
        </w:r>
      </w:p>
    </w:sdtContent>
  </w:sdt>
  <w:p w14:paraId="1EF409DC" w14:textId="77777777" w:rsidR="00C41826" w:rsidRDefault="00C41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898106" w14:textId="77777777" w:rsidR="0074468E" w:rsidRDefault="0074468E" w:rsidP="008A7B7D">
      <w:pPr>
        <w:spacing w:after="0" w:line="240" w:lineRule="auto"/>
      </w:pPr>
      <w:r>
        <w:separator/>
      </w:r>
    </w:p>
  </w:footnote>
  <w:footnote w:type="continuationSeparator" w:id="0">
    <w:p w14:paraId="0A48BABC" w14:textId="77777777" w:rsidR="0074468E" w:rsidRDefault="0074468E" w:rsidP="008A7B7D">
      <w:pPr>
        <w:spacing w:after="0" w:line="240" w:lineRule="auto"/>
      </w:pPr>
      <w:r>
        <w:continuationSeparator/>
      </w:r>
    </w:p>
  </w:footnote>
  <w:footnote w:type="continuationNotice" w:id="1">
    <w:p w14:paraId="14B4A8AA" w14:textId="77777777" w:rsidR="0074468E" w:rsidRDefault="0074468E">
      <w:pPr>
        <w:spacing w:after="0" w:line="240" w:lineRule="auto"/>
      </w:pPr>
    </w:p>
  </w:footnote>
  <w:footnote w:id="2">
    <w:p w14:paraId="4D46ED72" w14:textId="26EB910F" w:rsidR="00E25ED8" w:rsidRDefault="00E25ED8">
      <w:pPr>
        <w:pStyle w:val="FootnoteText"/>
      </w:pPr>
      <w:r>
        <w:rPr>
          <w:rStyle w:val="FootnoteReference"/>
        </w:rPr>
        <w:footnoteRef/>
      </w:r>
      <w:r>
        <w:t xml:space="preserve"> Thanks to Giulio Mattioli for this insight</w:t>
      </w:r>
    </w:p>
  </w:footnote>
  <w:footnote w:id="3">
    <w:p w14:paraId="16D57229" w14:textId="772B6A8F" w:rsidR="00E25ED8" w:rsidRDefault="00E25ED8" w:rsidP="00452139">
      <w:pPr>
        <w:pStyle w:val="FootnoteText"/>
      </w:pPr>
      <w:r w:rsidRPr="00452139">
        <w:rPr>
          <w:rStyle w:val="FootnoteReference"/>
        </w:rPr>
        <w:footnoteRef/>
      </w:r>
      <w:r w:rsidRPr="00452139">
        <w:t xml:space="preserve"> TS</w:t>
      </w:r>
      <w:r>
        <w:t xml:space="preserve"> = (("political </w:t>
      </w:r>
      <w:proofErr w:type="spellStart"/>
      <w:r>
        <w:t>econom</w:t>
      </w:r>
      <w:proofErr w:type="spellEnd"/>
      <w:r>
        <w:t>*" OR "constraint*" OR "driver" OR "determinant*") AND ("climate" OR "fossil") AND ("</w:t>
      </w:r>
      <w:proofErr w:type="spellStart"/>
      <w:r>
        <w:t>polic</w:t>
      </w:r>
      <w:proofErr w:type="spellEnd"/>
      <w:r>
        <w:t>*" OR "subsid*" OR "legislation" OR “tax”)) NOT TS = ("adaptation" OR "agriculture" OR "land use")</w:t>
      </w:r>
    </w:p>
  </w:footnote>
  <w:footnote w:id="4">
    <w:p w14:paraId="5B5C5727" w14:textId="70F07B45" w:rsidR="00E25ED8" w:rsidRDefault="00E25ED8" w:rsidP="00471563">
      <w:pPr>
        <w:pStyle w:val="FootnoteText"/>
      </w:pPr>
      <w:r>
        <w:rPr>
          <w:rStyle w:val="FootnoteReference"/>
        </w:rPr>
        <w:footnoteRef/>
      </w:r>
      <w:r>
        <w:t xml:space="preserve"> </w:t>
      </w:r>
      <w:proofErr w:type="spellStart"/>
      <w:r>
        <w:t>Dophin</w:t>
      </w:r>
      <w:proofErr w:type="spellEnd"/>
      <w:r>
        <w:t xml:space="preserve"> et al. </w:t>
      </w:r>
      <w:r>
        <w:fldChar w:fldCharType="begin" w:fldLock="1"/>
      </w:r>
      <w:r>
        <w:instrText>ADDIN CSL_CITATION {"citationItems":[{"id":"ITEM-1","itemData":{"DOI":"10.17863/CAM.7825","abstract":"In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 Abstract In virtually all countries that explicitly price carbon, its effective price, i.e. the emissions-weighted price, remains low. Our analysis focuses on the political economy of this effective price, using data on an international panel of jurisdictions over the period 1990-2012. First, we examine the decision to introduce a carbon pricing policy. Second, we shed light on its stringency. Results show that both the odds of the implementation and the stringency of the carbon pricing policy are negatively affected by the share of electricity coming from coal and the relative share of industry in the economy. The results also broadly support an environmental Kuznets curve hypothesis as gross domestic product increases both the odds of the implementation and the policy stringency. Institutional and political factors are found to influence the implementation but not the stringency of carbon pricing schemes.","author":[{"dropping-particle":"","family":"Dolphin","given":"G. G.","non-dropping-particle":"","parse-names":false,"suffix":""},{"dropping-particle":"","family":"Pollitt","given":"M. G.","non-dropping-particle":"","parse-names":false,"suffix":""},{"dropping-particle":"","family":"Newbery","given":"D. G.","non-dropping-particle":"","parse-names":false,"suffix":""}],"collection-title":"Cambridge Working Paper Economics","id":"ITEM-1","issued":{"date-parts":[["2016"]]},"number":"1663","number-of-pages":"1-45","publisher-place":"Cambrdige, UK","title":"The Political Economy of Carbon Pricing: a Panel Analysis","type":"report"},"suppress-author":1,"uris":["http://www.mendeley.com/documents/?uuid=6e269377-11ab-4240-a1eb-07b94f1ee52b"]}],"mendeley":{"formattedCitation":"(2016)","plainTextFormattedCitation":"(2016)","previouslyFormattedCitation":"(2016)"},"properties":{"noteIndex":0},"schema":"https://github.com/citation-style-language/schema/raw/master/csl-citation.json"}</w:instrText>
      </w:r>
      <w:r>
        <w:fldChar w:fldCharType="separate"/>
      </w:r>
      <w:r w:rsidRPr="00B53BF6">
        <w:rPr>
          <w:noProof/>
        </w:rPr>
        <w:t>(2016)</w:t>
      </w:r>
      <w:r>
        <w:fldChar w:fldCharType="end"/>
      </w:r>
      <w:r>
        <w:t xml:space="preserve"> do not find a significant effect of these indicators on carbon price adoption or stringency. However, their study is based on a smaller sample of mostly wealthier states with strong institutions.</w:t>
      </w:r>
    </w:p>
  </w:footnote>
  <w:footnote w:id="5">
    <w:p w14:paraId="2331E670" w14:textId="37473676" w:rsidR="00E25ED8" w:rsidRDefault="00E25ED8">
      <w:pPr>
        <w:pStyle w:val="FootnoteText"/>
      </w:pPr>
      <w:r>
        <w:rPr>
          <w:rStyle w:val="FootnoteReference"/>
        </w:rPr>
        <w:footnoteRef/>
      </w:r>
      <w:r>
        <w:t xml:space="preserve"> </w:t>
      </w:r>
      <w:r w:rsidRPr="008F69FF">
        <w:t>http://www.worldbank.org/en/topic/fragilityconflictviolence/brief/harmonized-list-of-fragile-situations</w:t>
      </w:r>
    </w:p>
  </w:footnote>
  <w:footnote w:id="6">
    <w:p w14:paraId="1594DD55" w14:textId="4CB7AB50" w:rsidR="00E25ED8" w:rsidRDefault="00E25ED8">
      <w:pPr>
        <w:pStyle w:val="FootnoteText"/>
      </w:pPr>
      <w:r>
        <w:rPr>
          <w:rStyle w:val="FootnoteReference"/>
        </w:rPr>
        <w:footnoteRef/>
      </w:r>
      <w:r>
        <w:t xml:space="preserve"> One country with no oil &amp; gas rents is included in this cluster – Zimbabwe – due to its extremely low scores on the institutional variables.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D6C4F" w14:textId="77C0E440" w:rsidR="00C41826" w:rsidRDefault="00C41826">
    <w:pPr>
      <w:pStyle w:val="Header"/>
      <w:jc w:val="center"/>
    </w:pPr>
  </w:p>
  <w:p w14:paraId="3EC64680" w14:textId="77777777" w:rsidR="00C41826" w:rsidRDefault="00C418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53D70"/>
    <w:multiLevelType w:val="hybridMultilevel"/>
    <w:tmpl w:val="AC48F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0A5E3F"/>
    <w:multiLevelType w:val="hybridMultilevel"/>
    <w:tmpl w:val="D61200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933740"/>
    <w:multiLevelType w:val="hybridMultilevel"/>
    <w:tmpl w:val="B4BE92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BC275DE"/>
    <w:multiLevelType w:val="hybridMultilevel"/>
    <w:tmpl w:val="22DCC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6B081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F33AB1"/>
    <w:multiLevelType w:val="hybridMultilevel"/>
    <w:tmpl w:val="1A0824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CB95CCC"/>
    <w:multiLevelType w:val="hybridMultilevel"/>
    <w:tmpl w:val="F5B279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3C251C3"/>
    <w:multiLevelType w:val="hybridMultilevel"/>
    <w:tmpl w:val="2A2E86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D157E3C"/>
    <w:multiLevelType w:val="hybridMultilevel"/>
    <w:tmpl w:val="25E88A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48B57D6"/>
    <w:multiLevelType w:val="hybridMultilevel"/>
    <w:tmpl w:val="F9B8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F75B48"/>
    <w:multiLevelType w:val="hybridMultilevel"/>
    <w:tmpl w:val="35264C9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8"/>
  </w:num>
  <w:num w:numId="3">
    <w:abstractNumId w:val="3"/>
  </w:num>
  <w:num w:numId="4">
    <w:abstractNumId w:val="0"/>
  </w:num>
  <w:num w:numId="5">
    <w:abstractNumId w:val="6"/>
  </w:num>
  <w:num w:numId="6">
    <w:abstractNumId w:val="7"/>
  </w:num>
  <w:num w:numId="7">
    <w:abstractNumId w:val="9"/>
  </w:num>
  <w:num w:numId="8">
    <w:abstractNumId w:val="5"/>
  </w:num>
  <w:num w:numId="9">
    <w:abstractNumId w:val="1"/>
  </w:num>
  <w:num w:numId="10">
    <w:abstractNumId w:val="2"/>
  </w:num>
  <w:num w:numId="11">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86D"/>
    <w:rsid w:val="00002678"/>
    <w:rsid w:val="00002C8E"/>
    <w:rsid w:val="000032E4"/>
    <w:rsid w:val="00003733"/>
    <w:rsid w:val="00007CAA"/>
    <w:rsid w:val="00011045"/>
    <w:rsid w:val="00011C4A"/>
    <w:rsid w:val="000125E6"/>
    <w:rsid w:val="00022CB8"/>
    <w:rsid w:val="0002339E"/>
    <w:rsid w:val="0002451A"/>
    <w:rsid w:val="000253AB"/>
    <w:rsid w:val="000255A9"/>
    <w:rsid w:val="0002633C"/>
    <w:rsid w:val="0002664B"/>
    <w:rsid w:val="00026BBD"/>
    <w:rsid w:val="00031BD4"/>
    <w:rsid w:val="00033403"/>
    <w:rsid w:val="000335FF"/>
    <w:rsid w:val="0003438E"/>
    <w:rsid w:val="00034851"/>
    <w:rsid w:val="00035BA8"/>
    <w:rsid w:val="00037DCA"/>
    <w:rsid w:val="00041C4D"/>
    <w:rsid w:val="000435D5"/>
    <w:rsid w:val="000435F0"/>
    <w:rsid w:val="00045F25"/>
    <w:rsid w:val="000461FB"/>
    <w:rsid w:val="0004751E"/>
    <w:rsid w:val="00047E5B"/>
    <w:rsid w:val="0005057E"/>
    <w:rsid w:val="00051A6F"/>
    <w:rsid w:val="000532BD"/>
    <w:rsid w:val="00053C72"/>
    <w:rsid w:val="000551A8"/>
    <w:rsid w:val="00055591"/>
    <w:rsid w:val="00055C36"/>
    <w:rsid w:val="00060E2E"/>
    <w:rsid w:val="00061A34"/>
    <w:rsid w:val="00062ECB"/>
    <w:rsid w:val="0006317F"/>
    <w:rsid w:val="000644A0"/>
    <w:rsid w:val="0006679A"/>
    <w:rsid w:val="00070A4D"/>
    <w:rsid w:val="00071284"/>
    <w:rsid w:val="00071546"/>
    <w:rsid w:val="000720ED"/>
    <w:rsid w:val="00074236"/>
    <w:rsid w:val="00076507"/>
    <w:rsid w:val="000810CE"/>
    <w:rsid w:val="00083EC2"/>
    <w:rsid w:val="00084252"/>
    <w:rsid w:val="0008452B"/>
    <w:rsid w:val="0009242D"/>
    <w:rsid w:val="00093982"/>
    <w:rsid w:val="00093C59"/>
    <w:rsid w:val="00094DA6"/>
    <w:rsid w:val="00096CFB"/>
    <w:rsid w:val="000A0E09"/>
    <w:rsid w:val="000A5362"/>
    <w:rsid w:val="000A663E"/>
    <w:rsid w:val="000A6713"/>
    <w:rsid w:val="000A6D9F"/>
    <w:rsid w:val="000B5348"/>
    <w:rsid w:val="000C079F"/>
    <w:rsid w:val="000C0D50"/>
    <w:rsid w:val="000C231C"/>
    <w:rsid w:val="000C4F8E"/>
    <w:rsid w:val="000C5910"/>
    <w:rsid w:val="000C6212"/>
    <w:rsid w:val="000C69FF"/>
    <w:rsid w:val="000D0F95"/>
    <w:rsid w:val="000D11F0"/>
    <w:rsid w:val="000D2BF1"/>
    <w:rsid w:val="000D515A"/>
    <w:rsid w:val="000D5C16"/>
    <w:rsid w:val="000D5CD4"/>
    <w:rsid w:val="000D7E5A"/>
    <w:rsid w:val="000E1FA8"/>
    <w:rsid w:val="000E2329"/>
    <w:rsid w:val="000E2596"/>
    <w:rsid w:val="000E3AB7"/>
    <w:rsid w:val="000E3EB1"/>
    <w:rsid w:val="000E4F21"/>
    <w:rsid w:val="000E78F6"/>
    <w:rsid w:val="000E7F39"/>
    <w:rsid w:val="000F06FC"/>
    <w:rsid w:val="000F0E7C"/>
    <w:rsid w:val="000F1BB9"/>
    <w:rsid w:val="000F77F3"/>
    <w:rsid w:val="000F791D"/>
    <w:rsid w:val="000F7CBD"/>
    <w:rsid w:val="000F7D64"/>
    <w:rsid w:val="00101382"/>
    <w:rsid w:val="0010228D"/>
    <w:rsid w:val="00104BD6"/>
    <w:rsid w:val="00105ED9"/>
    <w:rsid w:val="00106326"/>
    <w:rsid w:val="0010632C"/>
    <w:rsid w:val="00106487"/>
    <w:rsid w:val="00111120"/>
    <w:rsid w:val="001139AD"/>
    <w:rsid w:val="00113D51"/>
    <w:rsid w:val="001215B4"/>
    <w:rsid w:val="00121CD6"/>
    <w:rsid w:val="00123F65"/>
    <w:rsid w:val="001271A5"/>
    <w:rsid w:val="0013440A"/>
    <w:rsid w:val="00134CF1"/>
    <w:rsid w:val="0013511E"/>
    <w:rsid w:val="00135F15"/>
    <w:rsid w:val="00137674"/>
    <w:rsid w:val="001402D9"/>
    <w:rsid w:val="001407F2"/>
    <w:rsid w:val="00141552"/>
    <w:rsid w:val="00142FF3"/>
    <w:rsid w:val="001437A7"/>
    <w:rsid w:val="00143BF0"/>
    <w:rsid w:val="001446C1"/>
    <w:rsid w:val="00144DD8"/>
    <w:rsid w:val="00145B4E"/>
    <w:rsid w:val="00146501"/>
    <w:rsid w:val="00151650"/>
    <w:rsid w:val="00151855"/>
    <w:rsid w:val="001525A3"/>
    <w:rsid w:val="0015622A"/>
    <w:rsid w:val="00156D8A"/>
    <w:rsid w:val="00157886"/>
    <w:rsid w:val="00161D05"/>
    <w:rsid w:val="0016211A"/>
    <w:rsid w:val="0016219E"/>
    <w:rsid w:val="0016403F"/>
    <w:rsid w:val="001644D4"/>
    <w:rsid w:val="00167896"/>
    <w:rsid w:val="00170154"/>
    <w:rsid w:val="001716D7"/>
    <w:rsid w:val="00171F95"/>
    <w:rsid w:val="001768FB"/>
    <w:rsid w:val="00177C0C"/>
    <w:rsid w:val="0018086D"/>
    <w:rsid w:val="00187769"/>
    <w:rsid w:val="00190926"/>
    <w:rsid w:val="001948A8"/>
    <w:rsid w:val="001970AE"/>
    <w:rsid w:val="001A091F"/>
    <w:rsid w:val="001A0F73"/>
    <w:rsid w:val="001A19E0"/>
    <w:rsid w:val="001A1B6B"/>
    <w:rsid w:val="001A558D"/>
    <w:rsid w:val="001A7132"/>
    <w:rsid w:val="001B38E8"/>
    <w:rsid w:val="001B7FCE"/>
    <w:rsid w:val="001C1556"/>
    <w:rsid w:val="001C1BF4"/>
    <w:rsid w:val="001C2247"/>
    <w:rsid w:val="001C2B13"/>
    <w:rsid w:val="001C2FBD"/>
    <w:rsid w:val="001C305A"/>
    <w:rsid w:val="001C5DF9"/>
    <w:rsid w:val="001C725E"/>
    <w:rsid w:val="001C7A27"/>
    <w:rsid w:val="001C7D4F"/>
    <w:rsid w:val="001D0956"/>
    <w:rsid w:val="001D1AE9"/>
    <w:rsid w:val="001D32C5"/>
    <w:rsid w:val="001D6A61"/>
    <w:rsid w:val="001D7979"/>
    <w:rsid w:val="001E106F"/>
    <w:rsid w:val="001E1DCD"/>
    <w:rsid w:val="001E259A"/>
    <w:rsid w:val="001E6ED1"/>
    <w:rsid w:val="001F0803"/>
    <w:rsid w:val="001F0A1B"/>
    <w:rsid w:val="001F0F6D"/>
    <w:rsid w:val="001F1623"/>
    <w:rsid w:val="001F1FBA"/>
    <w:rsid w:val="001F33D4"/>
    <w:rsid w:val="001F4AB2"/>
    <w:rsid w:val="001F4F21"/>
    <w:rsid w:val="001F516B"/>
    <w:rsid w:val="001F52E3"/>
    <w:rsid w:val="001F6792"/>
    <w:rsid w:val="00200D68"/>
    <w:rsid w:val="002010D9"/>
    <w:rsid w:val="0021156C"/>
    <w:rsid w:val="002117B0"/>
    <w:rsid w:val="00211F78"/>
    <w:rsid w:val="0021445B"/>
    <w:rsid w:val="00215485"/>
    <w:rsid w:val="0021679D"/>
    <w:rsid w:val="00217E30"/>
    <w:rsid w:val="00220736"/>
    <w:rsid w:val="00220DE8"/>
    <w:rsid w:val="00221243"/>
    <w:rsid w:val="0022134B"/>
    <w:rsid w:val="00221D4F"/>
    <w:rsid w:val="00222D68"/>
    <w:rsid w:val="00224300"/>
    <w:rsid w:val="002262F4"/>
    <w:rsid w:val="00227B35"/>
    <w:rsid w:val="002324EF"/>
    <w:rsid w:val="00234711"/>
    <w:rsid w:val="00235743"/>
    <w:rsid w:val="00235AAC"/>
    <w:rsid w:val="00235AFC"/>
    <w:rsid w:val="00235CEA"/>
    <w:rsid w:val="002378E5"/>
    <w:rsid w:val="00237C89"/>
    <w:rsid w:val="002400B4"/>
    <w:rsid w:val="00240607"/>
    <w:rsid w:val="00240F6D"/>
    <w:rsid w:val="0024124B"/>
    <w:rsid w:val="00241287"/>
    <w:rsid w:val="00241395"/>
    <w:rsid w:val="00244B27"/>
    <w:rsid w:val="002464FB"/>
    <w:rsid w:val="00247132"/>
    <w:rsid w:val="00247ACF"/>
    <w:rsid w:val="00247F1E"/>
    <w:rsid w:val="0025000B"/>
    <w:rsid w:val="002507F8"/>
    <w:rsid w:val="00250B1C"/>
    <w:rsid w:val="002513C7"/>
    <w:rsid w:val="00252038"/>
    <w:rsid w:val="00255554"/>
    <w:rsid w:val="00256ED8"/>
    <w:rsid w:val="00256FA4"/>
    <w:rsid w:val="00256FE2"/>
    <w:rsid w:val="0026092C"/>
    <w:rsid w:val="002657D1"/>
    <w:rsid w:val="00267753"/>
    <w:rsid w:val="00267D72"/>
    <w:rsid w:val="002702C0"/>
    <w:rsid w:val="00273D1D"/>
    <w:rsid w:val="00273F42"/>
    <w:rsid w:val="002748F0"/>
    <w:rsid w:val="00280D3E"/>
    <w:rsid w:val="00281CD9"/>
    <w:rsid w:val="00283404"/>
    <w:rsid w:val="00286A5F"/>
    <w:rsid w:val="0028744D"/>
    <w:rsid w:val="00292558"/>
    <w:rsid w:val="00292708"/>
    <w:rsid w:val="00292E0C"/>
    <w:rsid w:val="00294EC3"/>
    <w:rsid w:val="002A0C8F"/>
    <w:rsid w:val="002A126A"/>
    <w:rsid w:val="002A4697"/>
    <w:rsid w:val="002A55DB"/>
    <w:rsid w:val="002A6501"/>
    <w:rsid w:val="002A7940"/>
    <w:rsid w:val="002B13F9"/>
    <w:rsid w:val="002B2436"/>
    <w:rsid w:val="002B3ABC"/>
    <w:rsid w:val="002B62C4"/>
    <w:rsid w:val="002B6A86"/>
    <w:rsid w:val="002B7F18"/>
    <w:rsid w:val="002B7F84"/>
    <w:rsid w:val="002C031B"/>
    <w:rsid w:val="002C36B0"/>
    <w:rsid w:val="002C3A90"/>
    <w:rsid w:val="002C518B"/>
    <w:rsid w:val="002D08C3"/>
    <w:rsid w:val="002D0FCA"/>
    <w:rsid w:val="002D47C2"/>
    <w:rsid w:val="002D4A34"/>
    <w:rsid w:val="002E0D12"/>
    <w:rsid w:val="002E435B"/>
    <w:rsid w:val="002E54BE"/>
    <w:rsid w:val="002E7047"/>
    <w:rsid w:val="002E73D4"/>
    <w:rsid w:val="002E7B4B"/>
    <w:rsid w:val="002F0B71"/>
    <w:rsid w:val="002F0DA1"/>
    <w:rsid w:val="002F3282"/>
    <w:rsid w:val="002F365B"/>
    <w:rsid w:val="002F36DE"/>
    <w:rsid w:val="002F677C"/>
    <w:rsid w:val="002F7822"/>
    <w:rsid w:val="00301208"/>
    <w:rsid w:val="003016D8"/>
    <w:rsid w:val="003018CA"/>
    <w:rsid w:val="00302E45"/>
    <w:rsid w:val="0030416C"/>
    <w:rsid w:val="00304708"/>
    <w:rsid w:val="00312030"/>
    <w:rsid w:val="00313FDD"/>
    <w:rsid w:val="0031471A"/>
    <w:rsid w:val="00314B2C"/>
    <w:rsid w:val="00315C16"/>
    <w:rsid w:val="00315C57"/>
    <w:rsid w:val="003163CC"/>
    <w:rsid w:val="00317524"/>
    <w:rsid w:val="00317A28"/>
    <w:rsid w:val="0032147A"/>
    <w:rsid w:val="003218A4"/>
    <w:rsid w:val="00322AE6"/>
    <w:rsid w:val="00323D12"/>
    <w:rsid w:val="003247A2"/>
    <w:rsid w:val="0032506B"/>
    <w:rsid w:val="00325F9B"/>
    <w:rsid w:val="003268B6"/>
    <w:rsid w:val="00326F9C"/>
    <w:rsid w:val="003272BD"/>
    <w:rsid w:val="003333CA"/>
    <w:rsid w:val="00333CF1"/>
    <w:rsid w:val="00334132"/>
    <w:rsid w:val="00335539"/>
    <w:rsid w:val="00335769"/>
    <w:rsid w:val="003403CE"/>
    <w:rsid w:val="0034237B"/>
    <w:rsid w:val="003436AC"/>
    <w:rsid w:val="003448D2"/>
    <w:rsid w:val="003460CE"/>
    <w:rsid w:val="003461D2"/>
    <w:rsid w:val="00346933"/>
    <w:rsid w:val="00350509"/>
    <w:rsid w:val="00351568"/>
    <w:rsid w:val="00353B91"/>
    <w:rsid w:val="003549F2"/>
    <w:rsid w:val="00355664"/>
    <w:rsid w:val="00356638"/>
    <w:rsid w:val="00356B49"/>
    <w:rsid w:val="003603BC"/>
    <w:rsid w:val="00360F9E"/>
    <w:rsid w:val="003612CE"/>
    <w:rsid w:val="00361899"/>
    <w:rsid w:val="0036212B"/>
    <w:rsid w:val="003621C1"/>
    <w:rsid w:val="00362F9B"/>
    <w:rsid w:val="003671BD"/>
    <w:rsid w:val="003672A4"/>
    <w:rsid w:val="00375FCE"/>
    <w:rsid w:val="00376C8D"/>
    <w:rsid w:val="00380D75"/>
    <w:rsid w:val="00382595"/>
    <w:rsid w:val="00385B19"/>
    <w:rsid w:val="003870A3"/>
    <w:rsid w:val="0038777F"/>
    <w:rsid w:val="003921CF"/>
    <w:rsid w:val="00392773"/>
    <w:rsid w:val="0039298C"/>
    <w:rsid w:val="00395A12"/>
    <w:rsid w:val="00396E6A"/>
    <w:rsid w:val="00397BAB"/>
    <w:rsid w:val="003A16B2"/>
    <w:rsid w:val="003A2097"/>
    <w:rsid w:val="003A4D0C"/>
    <w:rsid w:val="003B16C0"/>
    <w:rsid w:val="003B2738"/>
    <w:rsid w:val="003B3554"/>
    <w:rsid w:val="003B4124"/>
    <w:rsid w:val="003B4A78"/>
    <w:rsid w:val="003B4BEC"/>
    <w:rsid w:val="003B4E8D"/>
    <w:rsid w:val="003B568E"/>
    <w:rsid w:val="003C3565"/>
    <w:rsid w:val="003C3750"/>
    <w:rsid w:val="003C4F5B"/>
    <w:rsid w:val="003C594C"/>
    <w:rsid w:val="003C6AA2"/>
    <w:rsid w:val="003D0B47"/>
    <w:rsid w:val="003D71F9"/>
    <w:rsid w:val="003E15F6"/>
    <w:rsid w:val="003E1A62"/>
    <w:rsid w:val="003E21B3"/>
    <w:rsid w:val="003E4DAF"/>
    <w:rsid w:val="003F017E"/>
    <w:rsid w:val="003F1784"/>
    <w:rsid w:val="003F1EF5"/>
    <w:rsid w:val="003F1F37"/>
    <w:rsid w:val="003F3E95"/>
    <w:rsid w:val="003F4BF7"/>
    <w:rsid w:val="003F6C5C"/>
    <w:rsid w:val="003F7F56"/>
    <w:rsid w:val="00400BA3"/>
    <w:rsid w:val="00400F99"/>
    <w:rsid w:val="004025B2"/>
    <w:rsid w:val="00402C95"/>
    <w:rsid w:val="00403128"/>
    <w:rsid w:val="00403190"/>
    <w:rsid w:val="00403392"/>
    <w:rsid w:val="00404EF1"/>
    <w:rsid w:val="00405D76"/>
    <w:rsid w:val="00415CA4"/>
    <w:rsid w:val="004161D7"/>
    <w:rsid w:val="00416475"/>
    <w:rsid w:val="00416A8A"/>
    <w:rsid w:val="00416C2C"/>
    <w:rsid w:val="00417A4F"/>
    <w:rsid w:val="00417B46"/>
    <w:rsid w:val="00417F46"/>
    <w:rsid w:val="004207C7"/>
    <w:rsid w:val="00421F30"/>
    <w:rsid w:val="0042211B"/>
    <w:rsid w:val="00422E88"/>
    <w:rsid w:val="0042363F"/>
    <w:rsid w:val="00426990"/>
    <w:rsid w:val="00426F51"/>
    <w:rsid w:val="00426F7E"/>
    <w:rsid w:val="004310CF"/>
    <w:rsid w:val="004329F2"/>
    <w:rsid w:val="0043530F"/>
    <w:rsid w:val="004400B6"/>
    <w:rsid w:val="00441C6C"/>
    <w:rsid w:val="00443CBE"/>
    <w:rsid w:val="0044778D"/>
    <w:rsid w:val="00452139"/>
    <w:rsid w:val="00453D50"/>
    <w:rsid w:val="00453F01"/>
    <w:rsid w:val="004545C8"/>
    <w:rsid w:val="004573DE"/>
    <w:rsid w:val="00457C91"/>
    <w:rsid w:val="0046283C"/>
    <w:rsid w:val="00464D44"/>
    <w:rsid w:val="004657D9"/>
    <w:rsid w:val="00467AD0"/>
    <w:rsid w:val="00471563"/>
    <w:rsid w:val="00471AF7"/>
    <w:rsid w:val="00473801"/>
    <w:rsid w:val="00474A63"/>
    <w:rsid w:val="00474BDC"/>
    <w:rsid w:val="00475EF2"/>
    <w:rsid w:val="00477E8B"/>
    <w:rsid w:val="00477FBA"/>
    <w:rsid w:val="004805E3"/>
    <w:rsid w:val="004806FF"/>
    <w:rsid w:val="0048129B"/>
    <w:rsid w:val="004812FA"/>
    <w:rsid w:val="0048223A"/>
    <w:rsid w:val="00482DE8"/>
    <w:rsid w:val="004843B1"/>
    <w:rsid w:val="00485044"/>
    <w:rsid w:val="00485770"/>
    <w:rsid w:val="004859A2"/>
    <w:rsid w:val="0048725B"/>
    <w:rsid w:val="00487EF6"/>
    <w:rsid w:val="00494958"/>
    <w:rsid w:val="00494AC4"/>
    <w:rsid w:val="00495033"/>
    <w:rsid w:val="00495D21"/>
    <w:rsid w:val="004A0A09"/>
    <w:rsid w:val="004A2988"/>
    <w:rsid w:val="004A43F4"/>
    <w:rsid w:val="004A6780"/>
    <w:rsid w:val="004A6C2A"/>
    <w:rsid w:val="004A7D32"/>
    <w:rsid w:val="004B1209"/>
    <w:rsid w:val="004B12DA"/>
    <w:rsid w:val="004B588D"/>
    <w:rsid w:val="004C104D"/>
    <w:rsid w:val="004C2E09"/>
    <w:rsid w:val="004C3507"/>
    <w:rsid w:val="004C589C"/>
    <w:rsid w:val="004C6081"/>
    <w:rsid w:val="004C7894"/>
    <w:rsid w:val="004D0E24"/>
    <w:rsid w:val="004D248E"/>
    <w:rsid w:val="004D70AC"/>
    <w:rsid w:val="004D7599"/>
    <w:rsid w:val="004E1F98"/>
    <w:rsid w:val="004E27D2"/>
    <w:rsid w:val="004E4B09"/>
    <w:rsid w:val="004E4DC2"/>
    <w:rsid w:val="004E51DB"/>
    <w:rsid w:val="004E61B4"/>
    <w:rsid w:val="004E76A0"/>
    <w:rsid w:val="004F01C4"/>
    <w:rsid w:val="004F04B2"/>
    <w:rsid w:val="004F0FC0"/>
    <w:rsid w:val="004F3731"/>
    <w:rsid w:val="004F3784"/>
    <w:rsid w:val="004F407C"/>
    <w:rsid w:val="004F4EFD"/>
    <w:rsid w:val="004F621F"/>
    <w:rsid w:val="004F6AD5"/>
    <w:rsid w:val="0050039A"/>
    <w:rsid w:val="00501132"/>
    <w:rsid w:val="00501326"/>
    <w:rsid w:val="00503AA1"/>
    <w:rsid w:val="00506773"/>
    <w:rsid w:val="00506C8D"/>
    <w:rsid w:val="00506E27"/>
    <w:rsid w:val="00511ED6"/>
    <w:rsid w:val="00512380"/>
    <w:rsid w:val="00514835"/>
    <w:rsid w:val="00516013"/>
    <w:rsid w:val="00520658"/>
    <w:rsid w:val="005235D9"/>
    <w:rsid w:val="00524F19"/>
    <w:rsid w:val="0052585E"/>
    <w:rsid w:val="00525A1B"/>
    <w:rsid w:val="00534EFF"/>
    <w:rsid w:val="00541006"/>
    <w:rsid w:val="00541138"/>
    <w:rsid w:val="005411D1"/>
    <w:rsid w:val="00541B41"/>
    <w:rsid w:val="0054365F"/>
    <w:rsid w:val="00544C4C"/>
    <w:rsid w:val="00547B65"/>
    <w:rsid w:val="00550AAB"/>
    <w:rsid w:val="005512EA"/>
    <w:rsid w:val="00552DD9"/>
    <w:rsid w:val="005534C1"/>
    <w:rsid w:val="005534F5"/>
    <w:rsid w:val="00553DA0"/>
    <w:rsid w:val="0055617A"/>
    <w:rsid w:val="005568F7"/>
    <w:rsid w:val="00556932"/>
    <w:rsid w:val="005577EA"/>
    <w:rsid w:val="00557D69"/>
    <w:rsid w:val="00560189"/>
    <w:rsid w:val="00560936"/>
    <w:rsid w:val="005625B3"/>
    <w:rsid w:val="005636C1"/>
    <w:rsid w:val="00565647"/>
    <w:rsid w:val="005677FB"/>
    <w:rsid w:val="005700D8"/>
    <w:rsid w:val="00570D67"/>
    <w:rsid w:val="00571707"/>
    <w:rsid w:val="00572966"/>
    <w:rsid w:val="00573013"/>
    <w:rsid w:val="005741FE"/>
    <w:rsid w:val="005746CB"/>
    <w:rsid w:val="0057566A"/>
    <w:rsid w:val="00581750"/>
    <w:rsid w:val="00583241"/>
    <w:rsid w:val="00583518"/>
    <w:rsid w:val="0058551E"/>
    <w:rsid w:val="005862D2"/>
    <w:rsid w:val="005900A3"/>
    <w:rsid w:val="005910C9"/>
    <w:rsid w:val="0059376F"/>
    <w:rsid w:val="0059532E"/>
    <w:rsid w:val="00596745"/>
    <w:rsid w:val="00597728"/>
    <w:rsid w:val="005A218C"/>
    <w:rsid w:val="005A3340"/>
    <w:rsid w:val="005A3E77"/>
    <w:rsid w:val="005B1763"/>
    <w:rsid w:val="005B19F5"/>
    <w:rsid w:val="005B2421"/>
    <w:rsid w:val="005B302C"/>
    <w:rsid w:val="005B316C"/>
    <w:rsid w:val="005B5D98"/>
    <w:rsid w:val="005B7313"/>
    <w:rsid w:val="005C055F"/>
    <w:rsid w:val="005C3EE7"/>
    <w:rsid w:val="005C594D"/>
    <w:rsid w:val="005C5B5C"/>
    <w:rsid w:val="005C5B66"/>
    <w:rsid w:val="005C7CA4"/>
    <w:rsid w:val="005D0D27"/>
    <w:rsid w:val="005D3284"/>
    <w:rsid w:val="005D5689"/>
    <w:rsid w:val="005D571F"/>
    <w:rsid w:val="005D6023"/>
    <w:rsid w:val="005E0660"/>
    <w:rsid w:val="005E170B"/>
    <w:rsid w:val="005E204A"/>
    <w:rsid w:val="005E351E"/>
    <w:rsid w:val="005E47CA"/>
    <w:rsid w:val="005E47E4"/>
    <w:rsid w:val="005E4BB4"/>
    <w:rsid w:val="005E586B"/>
    <w:rsid w:val="005E6E6C"/>
    <w:rsid w:val="005E7840"/>
    <w:rsid w:val="005E7EDB"/>
    <w:rsid w:val="005F151D"/>
    <w:rsid w:val="005F23D8"/>
    <w:rsid w:val="005F2C86"/>
    <w:rsid w:val="005F4CFA"/>
    <w:rsid w:val="005F4ED4"/>
    <w:rsid w:val="00602406"/>
    <w:rsid w:val="0060651F"/>
    <w:rsid w:val="006105D6"/>
    <w:rsid w:val="00610BD9"/>
    <w:rsid w:val="00610E23"/>
    <w:rsid w:val="0061171F"/>
    <w:rsid w:val="00611747"/>
    <w:rsid w:val="006132C5"/>
    <w:rsid w:val="00615DF8"/>
    <w:rsid w:val="00616165"/>
    <w:rsid w:val="00616E60"/>
    <w:rsid w:val="006174EA"/>
    <w:rsid w:val="00620429"/>
    <w:rsid w:val="006216DB"/>
    <w:rsid w:val="00621B31"/>
    <w:rsid w:val="00623044"/>
    <w:rsid w:val="00623DD9"/>
    <w:rsid w:val="00624731"/>
    <w:rsid w:val="00626F9C"/>
    <w:rsid w:val="00627C97"/>
    <w:rsid w:val="006306DE"/>
    <w:rsid w:val="0063406B"/>
    <w:rsid w:val="00634CD4"/>
    <w:rsid w:val="006372D2"/>
    <w:rsid w:val="00641CF8"/>
    <w:rsid w:val="00647589"/>
    <w:rsid w:val="00651382"/>
    <w:rsid w:val="00651C15"/>
    <w:rsid w:val="006524A7"/>
    <w:rsid w:val="00653458"/>
    <w:rsid w:val="00654656"/>
    <w:rsid w:val="00654FB9"/>
    <w:rsid w:val="006552A4"/>
    <w:rsid w:val="00655CB5"/>
    <w:rsid w:val="006568EF"/>
    <w:rsid w:val="00657005"/>
    <w:rsid w:val="00657868"/>
    <w:rsid w:val="00657F92"/>
    <w:rsid w:val="00660C16"/>
    <w:rsid w:val="0066774E"/>
    <w:rsid w:val="00671BFD"/>
    <w:rsid w:val="006742CD"/>
    <w:rsid w:val="0067471A"/>
    <w:rsid w:val="006755CE"/>
    <w:rsid w:val="00676B9A"/>
    <w:rsid w:val="006801CA"/>
    <w:rsid w:val="006812E8"/>
    <w:rsid w:val="0068158D"/>
    <w:rsid w:val="0068186A"/>
    <w:rsid w:val="0068382C"/>
    <w:rsid w:val="00683872"/>
    <w:rsid w:val="0068431C"/>
    <w:rsid w:val="00684739"/>
    <w:rsid w:val="00685A35"/>
    <w:rsid w:val="0068619D"/>
    <w:rsid w:val="00687DCD"/>
    <w:rsid w:val="0069009C"/>
    <w:rsid w:val="0069029C"/>
    <w:rsid w:val="0069289E"/>
    <w:rsid w:val="006931F5"/>
    <w:rsid w:val="00693EF0"/>
    <w:rsid w:val="00695F67"/>
    <w:rsid w:val="006978F6"/>
    <w:rsid w:val="00697949"/>
    <w:rsid w:val="006A4A23"/>
    <w:rsid w:val="006A7185"/>
    <w:rsid w:val="006B019A"/>
    <w:rsid w:val="006B29DA"/>
    <w:rsid w:val="006B58DE"/>
    <w:rsid w:val="006B66EC"/>
    <w:rsid w:val="006B7DA1"/>
    <w:rsid w:val="006C0A6E"/>
    <w:rsid w:val="006C0F59"/>
    <w:rsid w:val="006C1563"/>
    <w:rsid w:val="006C266C"/>
    <w:rsid w:val="006C2B2B"/>
    <w:rsid w:val="006C311C"/>
    <w:rsid w:val="006C3EC2"/>
    <w:rsid w:val="006D169B"/>
    <w:rsid w:val="006D3C01"/>
    <w:rsid w:val="006D4E86"/>
    <w:rsid w:val="006E0D11"/>
    <w:rsid w:val="006E1150"/>
    <w:rsid w:val="006E1B19"/>
    <w:rsid w:val="006E27CC"/>
    <w:rsid w:val="006E557C"/>
    <w:rsid w:val="006F24F7"/>
    <w:rsid w:val="006F2B03"/>
    <w:rsid w:val="006F36B1"/>
    <w:rsid w:val="006F43A3"/>
    <w:rsid w:val="006F45C6"/>
    <w:rsid w:val="006F5358"/>
    <w:rsid w:val="00701186"/>
    <w:rsid w:val="00705432"/>
    <w:rsid w:val="007115FA"/>
    <w:rsid w:val="00711722"/>
    <w:rsid w:val="00711BDC"/>
    <w:rsid w:val="00713B11"/>
    <w:rsid w:val="00713E41"/>
    <w:rsid w:val="007143B0"/>
    <w:rsid w:val="00716880"/>
    <w:rsid w:val="007219F3"/>
    <w:rsid w:val="00723177"/>
    <w:rsid w:val="007246EE"/>
    <w:rsid w:val="00725CBF"/>
    <w:rsid w:val="00727906"/>
    <w:rsid w:val="00731D5A"/>
    <w:rsid w:val="00740757"/>
    <w:rsid w:val="0074455C"/>
    <w:rsid w:val="0074468E"/>
    <w:rsid w:val="00744946"/>
    <w:rsid w:val="00744C9B"/>
    <w:rsid w:val="00746A47"/>
    <w:rsid w:val="0075109E"/>
    <w:rsid w:val="00754BC7"/>
    <w:rsid w:val="00755038"/>
    <w:rsid w:val="007550C5"/>
    <w:rsid w:val="0075551B"/>
    <w:rsid w:val="00755B63"/>
    <w:rsid w:val="0075659C"/>
    <w:rsid w:val="00756FFB"/>
    <w:rsid w:val="00761E04"/>
    <w:rsid w:val="00762E85"/>
    <w:rsid w:val="007635EA"/>
    <w:rsid w:val="007651C0"/>
    <w:rsid w:val="00765296"/>
    <w:rsid w:val="0076581B"/>
    <w:rsid w:val="007663CD"/>
    <w:rsid w:val="00766CCE"/>
    <w:rsid w:val="00776647"/>
    <w:rsid w:val="00777562"/>
    <w:rsid w:val="007805FB"/>
    <w:rsid w:val="00780761"/>
    <w:rsid w:val="007807F9"/>
    <w:rsid w:val="007824BF"/>
    <w:rsid w:val="00784330"/>
    <w:rsid w:val="007847EA"/>
    <w:rsid w:val="007854DD"/>
    <w:rsid w:val="007858F8"/>
    <w:rsid w:val="00786159"/>
    <w:rsid w:val="0078671C"/>
    <w:rsid w:val="007874F1"/>
    <w:rsid w:val="00787808"/>
    <w:rsid w:val="00790DCF"/>
    <w:rsid w:val="00791A9E"/>
    <w:rsid w:val="00792159"/>
    <w:rsid w:val="007929F1"/>
    <w:rsid w:val="007935CD"/>
    <w:rsid w:val="007954B9"/>
    <w:rsid w:val="007964A2"/>
    <w:rsid w:val="007A0732"/>
    <w:rsid w:val="007A0BDC"/>
    <w:rsid w:val="007A1363"/>
    <w:rsid w:val="007A252B"/>
    <w:rsid w:val="007A29B6"/>
    <w:rsid w:val="007A46F2"/>
    <w:rsid w:val="007A5E2C"/>
    <w:rsid w:val="007B1B4D"/>
    <w:rsid w:val="007B283E"/>
    <w:rsid w:val="007B2C32"/>
    <w:rsid w:val="007B6785"/>
    <w:rsid w:val="007B71E9"/>
    <w:rsid w:val="007C05F4"/>
    <w:rsid w:val="007C16F9"/>
    <w:rsid w:val="007C3A6E"/>
    <w:rsid w:val="007C3F36"/>
    <w:rsid w:val="007C505A"/>
    <w:rsid w:val="007D03A6"/>
    <w:rsid w:val="007D1E19"/>
    <w:rsid w:val="007D3495"/>
    <w:rsid w:val="007D65BE"/>
    <w:rsid w:val="007D6A99"/>
    <w:rsid w:val="007E1110"/>
    <w:rsid w:val="007E11E6"/>
    <w:rsid w:val="007E24F9"/>
    <w:rsid w:val="007E3362"/>
    <w:rsid w:val="007E65FA"/>
    <w:rsid w:val="007F0509"/>
    <w:rsid w:val="007F2187"/>
    <w:rsid w:val="007F26CE"/>
    <w:rsid w:val="007F3C5B"/>
    <w:rsid w:val="007F3D67"/>
    <w:rsid w:val="007F464F"/>
    <w:rsid w:val="007F4E7B"/>
    <w:rsid w:val="008014A1"/>
    <w:rsid w:val="00803830"/>
    <w:rsid w:val="00805CA0"/>
    <w:rsid w:val="00810B27"/>
    <w:rsid w:val="00812A3B"/>
    <w:rsid w:val="00812E7A"/>
    <w:rsid w:val="00814536"/>
    <w:rsid w:val="00814FD1"/>
    <w:rsid w:val="00816229"/>
    <w:rsid w:val="0081672C"/>
    <w:rsid w:val="00817B52"/>
    <w:rsid w:val="00821FAF"/>
    <w:rsid w:val="0082247F"/>
    <w:rsid w:val="008227C0"/>
    <w:rsid w:val="00823361"/>
    <w:rsid w:val="0082390F"/>
    <w:rsid w:val="00823918"/>
    <w:rsid w:val="00823AE0"/>
    <w:rsid w:val="0082590F"/>
    <w:rsid w:val="00825A0A"/>
    <w:rsid w:val="00826DE8"/>
    <w:rsid w:val="00827DB6"/>
    <w:rsid w:val="00831238"/>
    <w:rsid w:val="008313C0"/>
    <w:rsid w:val="008341E6"/>
    <w:rsid w:val="00834683"/>
    <w:rsid w:val="0083577A"/>
    <w:rsid w:val="00835A4A"/>
    <w:rsid w:val="00835B17"/>
    <w:rsid w:val="00835CA0"/>
    <w:rsid w:val="008368F8"/>
    <w:rsid w:val="00840AB1"/>
    <w:rsid w:val="00842BEE"/>
    <w:rsid w:val="00842D93"/>
    <w:rsid w:val="00843218"/>
    <w:rsid w:val="008436D7"/>
    <w:rsid w:val="008441A5"/>
    <w:rsid w:val="00847453"/>
    <w:rsid w:val="00847825"/>
    <w:rsid w:val="0085068F"/>
    <w:rsid w:val="00853D43"/>
    <w:rsid w:val="00853EBB"/>
    <w:rsid w:val="00863A64"/>
    <w:rsid w:val="00866B91"/>
    <w:rsid w:val="00871319"/>
    <w:rsid w:val="008726A0"/>
    <w:rsid w:val="008744AF"/>
    <w:rsid w:val="008816B0"/>
    <w:rsid w:val="008841BE"/>
    <w:rsid w:val="008856BB"/>
    <w:rsid w:val="00887102"/>
    <w:rsid w:val="0089018A"/>
    <w:rsid w:val="008910F4"/>
    <w:rsid w:val="00891F1E"/>
    <w:rsid w:val="00891FF8"/>
    <w:rsid w:val="00892638"/>
    <w:rsid w:val="008946FA"/>
    <w:rsid w:val="00897148"/>
    <w:rsid w:val="008A0556"/>
    <w:rsid w:val="008A18DE"/>
    <w:rsid w:val="008A1ED6"/>
    <w:rsid w:val="008A788C"/>
    <w:rsid w:val="008A7B7D"/>
    <w:rsid w:val="008B0B8E"/>
    <w:rsid w:val="008B17E2"/>
    <w:rsid w:val="008B4E67"/>
    <w:rsid w:val="008B64BB"/>
    <w:rsid w:val="008B6FB9"/>
    <w:rsid w:val="008B7AFF"/>
    <w:rsid w:val="008C1644"/>
    <w:rsid w:val="008C2F7F"/>
    <w:rsid w:val="008C5E59"/>
    <w:rsid w:val="008D1DC2"/>
    <w:rsid w:val="008D36CC"/>
    <w:rsid w:val="008D68AC"/>
    <w:rsid w:val="008D6D8B"/>
    <w:rsid w:val="008E0CB8"/>
    <w:rsid w:val="008E6BC8"/>
    <w:rsid w:val="008F0606"/>
    <w:rsid w:val="008F0ADA"/>
    <w:rsid w:val="008F0E86"/>
    <w:rsid w:val="008F3B76"/>
    <w:rsid w:val="008F69FF"/>
    <w:rsid w:val="008F6D52"/>
    <w:rsid w:val="008F6D56"/>
    <w:rsid w:val="008F7F66"/>
    <w:rsid w:val="00903F3E"/>
    <w:rsid w:val="00904035"/>
    <w:rsid w:val="0090494F"/>
    <w:rsid w:val="00907460"/>
    <w:rsid w:val="00910265"/>
    <w:rsid w:val="009102E6"/>
    <w:rsid w:val="00910BF8"/>
    <w:rsid w:val="00911437"/>
    <w:rsid w:val="00911C57"/>
    <w:rsid w:val="00912797"/>
    <w:rsid w:val="0091398F"/>
    <w:rsid w:val="00915C50"/>
    <w:rsid w:val="00917454"/>
    <w:rsid w:val="00920087"/>
    <w:rsid w:val="00920FD5"/>
    <w:rsid w:val="0092103F"/>
    <w:rsid w:val="009216A2"/>
    <w:rsid w:val="009235FD"/>
    <w:rsid w:val="009252B0"/>
    <w:rsid w:val="00927C76"/>
    <w:rsid w:val="00927EBB"/>
    <w:rsid w:val="00930D81"/>
    <w:rsid w:val="00931F3A"/>
    <w:rsid w:val="00931F7B"/>
    <w:rsid w:val="009330BC"/>
    <w:rsid w:val="009346D3"/>
    <w:rsid w:val="009353F7"/>
    <w:rsid w:val="00935EED"/>
    <w:rsid w:val="0093697F"/>
    <w:rsid w:val="00936D99"/>
    <w:rsid w:val="0093772A"/>
    <w:rsid w:val="00942BCE"/>
    <w:rsid w:val="0094314C"/>
    <w:rsid w:val="0094408B"/>
    <w:rsid w:val="009446BE"/>
    <w:rsid w:val="00944831"/>
    <w:rsid w:val="00952034"/>
    <w:rsid w:val="009522C7"/>
    <w:rsid w:val="009525FB"/>
    <w:rsid w:val="00952D4D"/>
    <w:rsid w:val="00952DB6"/>
    <w:rsid w:val="009537B4"/>
    <w:rsid w:val="009539B7"/>
    <w:rsid w:val="00953AFE"/>
    <w:rsid w:val="00954285"/>
    <w:rsid w:val="00954D39"/>
    <w:rsid w:val="00955BAE"/>
    <w:rsid w:val="0096107D"/>
    <w:rsid w:val="009618FB"/>
    <w:rsid w:val="00961D64"/>
    <w:rsid w:val="00962CC9"/>
    <w:rsid w:val="00963E3F"/>
    <w:rsid w:val="009647B4"/>
    <w:rsid w:val="00974850"/>
    <w:rsid w:val="00975AD8"/>
    <w:rsid w:val="00975FFE"/>
    <w:rsid w:val="009760AA"/>
    <w:rsid w:val="009800CE"/>
    <w:rsid w:val="00982A90"/>
    <w:rsid w:val="00983A78"/>
    <w:rsid w:val="00983F79"/>
    <w:rsid w:val="00985C6D"/>
    <w:rsid w:val="00987088"/>
    <w:rsid w:val="00991149"/>
    <w:rsid w:val="00992972"/>
    <w:rsid w:val="00993821"/>
    <w:rsid w:val="00995B0A"/>
    <w:rsid w:val="00996061"/>
    <w:rsid w:val="0099609C"/>
    <w:rsid w:val="009978B8"/>
    <w:rsid w:val="009A2458"/>
    <w:rsid w:val="009A2FA3"/>
    <w:rsid w:val="009A3D7D"/>
    <w:rsid w:val="009A5830"/>
    <w:rsid w:val="009A786A"/>
    <w:rsid w:val="009B2248"/>
    <w:rsid w:val="009B4945"/>
    <w:rsid w:val="009B4B18"/>
    <w:rsid w:val="009B63B4"/>
    <w:rsid w:val="009C1B95"/>
    <w:rsid w:val="009C2B8D"/>
    <w:rsid w:val="009C4EAE"/>
    <w:rsid w:val="009C5C36"/>
    <w:rsid w:val="009C611A"/>
    <w:rsid w:val="009C6EE7"/>
    <w:rsid w:val="009C728A"/>
    <w:rsid w:val="009D03E3"/>
    <w:rsid w:val="009D27C9"/>
    <w:rsid w:val="009D369E"/>
    <w:rsid w:val="009D3D48"/>
    <w:rsid w:val="009D4CB6"/>
    <w:rsid w:val="009D700F"/>
    <w:rsid w:val="009E0730"/>
    <w:rsid w:val="009E19A7"/>
    <w:rsid w:val="009E1B48"/>
    <w:rsid w:val="009E26C0"/>
    <w:rsid w:val="009E2B40"/>
    <w:rsid w:val="009E32AC"/>
    <w:rsid w:val="009E38EC"/>
    <w:rsid w:val="009E496C"/>
    <w:rsid w:val="009E4A24"/>
    <w:rsid w:val="009E4C86"/>
    <w:rsid w:val="009F371C"/>
    <w:rsid w:val="009F3FFE"/>
    <w:rsid w:val="009F5373"/>
    <w:rsid w:val="009F537C"/>
    <w:rsid w:val="00A017E4"/>
    <w:rsid w:val="00A03457"/>
    <w:rsid w:val="00A0780A"/>
    <w:rsid w:val="00A12DAC"/>
    <w:rsid w:val="00A14DC1"/>
    <w:rsid w:val="00A151E2"/>
    <w:rsid w:val="00A1607B"/>
    <w:rsid w:val="00A16516"/>
    <w:rsid w:val="00A1695A"/>
    <w:rsid w:val="00A16F8F"/>
    <w:rsid w:val="00A25CC7"/>
    <w:rsid w:val="00A25E33"/>
    <w:rsid w:val="00A26099"/>
    <w:rsid w:val="00A2634C"/>
    <w:rsid w:val="00A27988"/>
    <w:rsid w:val="00A3093A"/>
    <w:rsid w:val="00A32060"/>
    <w:rsid w:val="00A326CF"/>
    <w:rsid w:val="00A331E1"/>
    <w:rsid w:val="00A3441E"/>
    <w:rsid w:val="00A34C68"/>
    <w:rsid w:val="00A357C6"/>
    <w:rsid w:val="00A373F6"/>
    <w:rsid w:val="00A37D5F"/>
    <w:rsid w:val="00A40265"/>
    <w:rsid w:val="00A4588A"/>
    <w:rsid w:val="00A46850"/>
    <w:rsid w:val="00A500B7"/>
    <w:rsid w:val="00A5053D"/>
    <w:rsid w:val="00A54917"/>
    <w:rsid w:val="00A5586A"/>
    <w:rsid w:val="00A603E1"/>
    <w:rsid w:val="00A62612"/>
    <w:rsid w:val="00A7154A"/>
    <w:rsid w:val="00A716AC"/>
    <w:rsid w:val="00A73969"/>
    <w:rsid w:val="00A75317"/>
    <w:rsid w:val="00A76B27"/>
    <w:rsid w:val="00A76D13"/>
    <w:rsid w:val="00A80E96"/>
    <w:rsid w:val="00A82904"/>
    <w:rsid w:val="00A86C0A"/>
    <w:rsid w:val="00A90790"/>
    <w:rsid w:val="00A9240A"/>
    <w:rsid w:val="00A94002"/>
    <w:rsid w:val="00AA2D51"/>
    <w:rsid w:val="00AA38BD"/>
    <w:rsid w:val="00AA445A"/>
    <w:rsid w:val="00AA4656"/>
    <w:rsid w:val="00AA57D1"/>
    <w:rsid w:val="00AA73AB"/>
    <w:rsid w:val="00AC34FA"/>
    <w:rsid w:val="00AC47C7"/>
    <w:rsid w:val="00AC5A5D"/>
    <w:rsid w:val="00AC60CD"/>
    <w:rsid w:val="00AC7C78"/>
    <w:rsid w:val="00AD1222"/>
    <w:rsid w:val="00AD2C9D"/>
    <w:rsid w:val="00AD47F1"/>
    <w:rsid w:val="00AD7420"/>
    <w:rsid w:val="00AE1284"/>
    <w:rsid w:val="00AE1981"/>
    <w:rsid w:val="00AE1CAD"/>
    <w:rsid w:val="00AE6167"/>
    <w:rsid w:val="00AE6548"/>
    <w:rsid w:val="00AE7E8A"/>
    <w:rsid w:val="00AF2AAF"/>
    <w:rsid w:val="00AF48FC"/>
    <w:rsid w:val="00AF7C9A"/>
    <w:rsid w:val="00B00074"/>
    <w:rsid w:val="00B00BBB"/>
    <w:rsid w:val="00B01481"/>
    <w:rsid w:val="00B030D7"/>
    <w:rsid w:val="00B048F8"/>
    <w:rsid w:val="00B06AE4"/>
    <w:rsid w:val="00B07D65"/>
    <w:rsid w:val="00B15999"/>
    <w:rsid w:val="00B15CC3"/>
    <w:rsid w:val="00B16787"/>
    <w:rsid w:val="00B20BC7"/>
    <w:rsid w:val="00B226D5"/>
    <w:rsid w:val="00B22962"/>
    <w:rsid w:val="00B22E5C"/>
    <w:rsid w:val="00B246EE"/>
    <w:rsid w:val="00B266AA"/>
    <w:rsid w:val="00B26F73"/>
    <w:rsid w:val="00B27730"/>
    <w:rsid w:val="00B30550"/>
    <w:rsid w:val="00B30CC7"/>
    <w:rsid w:val="00B32181"/>
    <w:rsid w:val="00B34144"/>
    <w:rsid w:val="00B34E6A"/>
    <w:rsid w:val="00B3545A"/>
    <w:rsid w:val="00B3557E"/>
    <w:rsid w:val="00B3595A"/>
    <w:rsid w:val="00B359B2"/>
    <w:rsid w:val="00B35CE9"/>
    <w:rsid w:val="00B368C8"/>
    <w:rsid w:val="00B36D8D"/>
    <w:rsid w:val="00B37140"/>
    <w:rsid w:val="00B40C57"/>
    <w:rsid w:val="00B40EE1"/>
    <w:rsid w:val="00B43FAB"/>
    <w:rsid w:val="00B4630E"/>
    <w:rsid w:val="00B474B9"/>
    <w:rsid w:val="00B4791D"/>
    <w:rsid w:val="00B50098"/>
    <w:rsid w:val="00B50F0A"/>
    <w:rsid w:val="00B51274"/>
    <w:rsid w:val="00B51EEC"/>
    <w:rsid w:val="00B53B65"/>
    <w:rsid w:val="00B53BF6"/>
    <w:rsid w:val="00B54092"/>
    <w:rsid w:val="00B56106"/>
    <w:rsid w:val="00B57B9D"/>
    <w:rsid w:val="00B606A7"/>
    <w:rsid w:val="00B60D6C"/>
    <w:rsid w:val="00B66435"/>
    <w:rsid w:val="00B667AF"/>
    <w:rsid w:val="00B71F74"/>
    <w:rsid w:val="00B76547"/>
    <w:rsid w:val="00B7681B"/>
    <w:rsid w:val="00B778D5"/>
    <w:rsid w:val="00B80C60"/>
    <w:rsid w:val="00B84954"/>
    <w:rsid w:val="00B86CF6"/>
    <w:rsid w:val="00B870F3"/>
    <w:rsid w:val="00B87B91"/>
    <w:rsid w:val="00B90134"/>
    <w:rsid w:val="00B9150F"/>
    <w:rsid w:val="00B92886"/>
    <w:rsid w:val="00BA20AD"/>
    <w:rsid w:val="00BA299D"/>
    <w:rsid w:val="00BA301F"/>
    <w:rsid w:val="00BA3D0E"/>
    <w:rsid w:val="00BA5A6E"/>
    <w:rsid w:val="00BA5B2D"/>
    <w:rsid w:val="00BA5D69"/>
    <w:rsid w:val="00BA60D7"/>
    <w:rsid w:val="00BA7FAF"/>
    <w:rsid w:val="00BB3860"/>
    <w:rsid w:val="00BB4B83"/>
    <w:rsid w:val="00BC15CD"/>
    <w:rsid w:val="00BC2AC1"/>
    <w:rsid w:val="00BC45E5"/>
    <w:rsid w:val="00BC6016"/>
    <w:rsid w:val="00BC77A4"/>
    <w:rsid w:val="00BC7C14"/>
    <w:rsid w:val="00BD2689"/>
    <w:rsid w:val="00BD4C91"/>
    <w:rsid w:val="00BD6AD4"/>
    <w:rsid w:val="00BE16F7"/>
    <w:rsid w:val="00BE2B31"/>
    <w:rsid w:val="00BE5BC7"/>
    <w:rsid w:val="00BF00A3"/>
    <w:rsid w:val="00BF7761"/>
    <w:rsid w:val="00BF7917"/>
    <w:rsid w:val="00C01562"/>
    <w:rsid w:val="00C03400"/>
    <w:rsid w:val="00C05841"/>
    <w:rsid w:val="00C05B3F"/>
    <w:rsid w:val="00C062F4"/>
    <w:rsid w:val="00C06A91"/>
    <w:rsid w:val="00C071A8"/>
    <w:rsid w:val="00C105F0"/>
    <w:rsid w:val="00C13753"/>
    <w:rsid w:val="00C1518A"/>
    <w:rsid w:val="00C15381"/>
    <w:rsid w:val="00C15386"/>
    <w:rsid w:val="00C15D5A"/>
    <w:rsid w:val="00C17099"/>
    <w:rsid w:val="00C2155F"/>
    <w:rsid w:val="00C23045"/>
    <w:rsid w:val="00C23B5C"/>
    <w:rsid w:val="00C246E8"/>
    <w:rsid w:val="00C25F05"/>
    <w:rsid w:val="00C26ADA"/>
    <w:rsid w:val="00C3047F"/>
    <w:rsid w:val="00C31193"/>
    <w:rsid w:val="00C33D9D"/>
    <w:rsid w:val="00C34B24"/>
    <w:rsid w:val="00C36449"/>
    <w:rsid w:val="00C36819"/>
    <w:rsid w:val="00C40B3A"/>
    <w:rsid w:val="00C41826"/>
    <w:rsid w:val="00C41A3A"/>
    <w:rsid w:val="00C42885"/>
    <w:rsid w:val="00C43D1A"/>
    <w:rsid w:val="00C44294"/>
    <w:rsid w:val="00C469C5"/>
    <w:rsid w:val="00C46B8D"/>
    <w:rsid w:val="00C51B64"/>
    <w:rsid w:val="00C51BFF"/>
    <w:rsid w:val="00C51CED"/>
    <w:rsid w:val="00C52415"/>
    <w:rsid w:val="00C52E8E"/>
    <w:rsid w:val="00C54867"/>
    <w:rsid w:val="00C55068"/>
    <w:rsid w:val="00C55A9C"/>
    <w:rsid w:val="00C56E2C"/>
    <w:rsid w:val="00C60F9A"/>
    <w:rsid w:val="00C61ACB"/>
    <w:rsid w:val="00C641B4"/>
    <w:rsid w:val="00C654FD"/>
    <w:rsid w:val="00C6727F"/>
    <w:rsid w:val="00C674DD"/>
    <w:rsid w:val="00C67C16"/>
    <w:rsid w:val="00C7244B"/>
    <w:rsid w:val="00C75D56"/>
    <w:rsid w:val="00C77E09"/>
    <w:rsid w:val="00C80768"/>
    <w:rsid w:val="00C80E97"/>
    <w:rsid w:val="00C81233"/>
    <w:rsid w:val="00C81967"/>
    <w:rsid w:val="00C82BB8"/>
    <w:rsid w:val="00C84265"/>
    <w:rsid w:val="00C84491"/>
    <w:rsid w:val="00C8650E"/>
    <w:rsid w:val="00C90BD6"/>
    <w:rsid w:val="00C924C8"/>
    <w:rsid w:val="00C944D5"/>
    <w:rsid w:val="00C95343"/>
    <w:rsid w:val="00C961F9"/>
    <w:rsid w:val="00C965D8"/>
    <w:rsid w:val="00C97A55"/>
    <w:rsid w:val="00CA4259"/>
    <w:rsid w:val="00CA62C1"/>
    <w:rsid w:val="00CA7D8D"/>
    <w:rsid w:val="00CB232A"/>
    <w:rsid w:val="00CB244F"/>
    <w:rsid w:val="00CB3643"/>
    <w:rsid w:val="00CB3A48"/>
    <w:rsid w:val="00CB3D05"/>
    <w:rsid w:val="00CB691F"/>
    <w:rsid w:val="00CB7B76"/>
    <w:rsid w:val="00CC0262"/>
    <w:rsid w:val="00CC29F6"/>
    <w:rsid w:val="00CC2DBF"/>
    <w:rsid w:val="00CC4543"/>
    <w:rsid w:val="00CC52CD"/>
    <w:rsid w:val="00CC5B1E"/>
    <w:rsid w:val="00CD05C7"/>
    <w:rsid w:val="00CD581C"/>
    <w:rsid w:val="00CD611C"/>
    <w:rsid w:val="00CD6141"/>
    <w:rsid w:val="00CD6585"/>
    <w:rsid w:val="00CD6957"/>
    <w:rsid w:val="00CD6FC6"/>
    <w:rsid w:val="00CE0E10"/>
    <w:rsid w:val="00CE61B9"/>
    <w:rsid w:val="00CF0A1A"/>
    <w:rsid w:val="00CF10E4"/>
    <w:rsid w:val="00CF4D3E"/>
    <w:rsid w:val="00CF687C"/>
    <w:rsid w:val="00CF79A8"/>
    <w:rsid w:val="00D019E4"/>
    <w:rsid w:val="00D0406F"/>
    <w:rsid w:val="00D0483D"/>
    <w:rsid w:val="00D056A0"/>
    <w:rsid w:val="00D06B54"/>
    <w:rsid w:val="00D07764"/>
    <w:rsid w:val="00D136F3"/>
    <w:rsid w:val="00D14D1D"/>
    <w:rsid w:val="00D161F7"/>
    <w:rsid w:val="00D20208"/>
    <w:rsid w:val="00D261E5"/>
    <w:rsid w:val="00D266BF"/>
    <w:rsid w:val="00D2695B"/>
    <w:rsid w:val="00D26FE3"/>
    <w:rsid w:val="00D310F1"/>
    <w:rsid w:val="00D31AAA"/>
    <w:rsid w:val="00D324D3"/>
    <w:rsid w:val="00D32DE3"/>
    <w:rsid w:val="00D35B6B"/>
    <w:rsid w:val="00D36A36"/>
    <w:rsid w:val="00D36AD1"/>
    <w:rsid w:val="00D402F7"/>
    <w:rsid w:val="00D40CB8"/>
    <w:rsid w:val="00D431C5"/>
    <w:rsid w:val="00D46062"/>
    <w:rsid w:val="00D47EA3"/>
    <w:rsid w:val="00D5094D"/>
    <w:rsid w:val="00D50BA8"/>
    <w:rsid w:val="00D514C8"/>
    <w:rsid w:val="00D51E1D"/>
    <w:rsid w:val="00D52B4B"/>
    <w:rsid w:val="00D536AD"/>
    <w:rsid w:val="00D54791"/>
    <w:rsid w:val="00D56676"/>
    <w:rsid w:val="00D56C6C"/>
    <w:rsid w:val="00D57418"/>
    <w:rsid w:val="00D60C87"/>
    <w:rsid w:val="00D61333"/>
    <w:rsid w:val="00D64C8E"/>
    <w:rsid w:val="00D656DD"/>
    <w:rsid w:val="00D74166"/>
    <w:rsid w:val="00D751D7"/>
    <w:rsid w:val="00D75563"/>
    <w:rsid w:val="00D75F10"/>
    <w:rsid w:val="00D76A74"/>
    <w:rsid w:val="00D82B23"/>
    <w:rsid w:val="00D83F97"/>
    <w:rsid w:val="00D84076"/>
    <w:rsid w:val="00D9200C"/>
    <w:rsid w:val="00D932AA"/>
    <w:rsid w:val="00D93727"/>
    <w:rsid w:val="00D954DB"/>
    <w:rsid w:val="00D95BF4"/>
    <w:rsid w:val="00D96DE3"/>
    <w:rsid w:val="00D96FDA"/>
    <w:rsid w:val="00DA00CF"/>
    <w:rsid w:val="00DA0648"/>
    <w:rsid w:val="00DA0DD4"/>
    <w:rsid w:val="00DA0E05"/>
    <w:rsid w:val="00DA0F9B"/>
    <w:rsid w:val="00DA2AD1"/>
    <w:rsid w:val="00DA2C4B"/>
    <w:rsid w:val="00DA4B47"/>
    <w:rsid w:val="00DA5000"/>
    <w:rsid w:val="00DA546F"/>
    <w:rsid w:val="00DA5E15"/>
    <w:rsid w:val="00DA611A"/>
    <w:rsid w:val="00DA71E7"/>
    <w:rsid w:val="00DB10FD"/>
    <w:rsid w:val="00DB2525"/>
    <w:rsid w:val="00DB2B79"/>
    <w:rsid w:val="00DB3892"/>
    <w:rsid w:val="00DB4091"/>
    <w:rsid w:val="00DC021B"/>
    <w:rsid w:val="00DC14E1"/>
    <w:rsid w:val="00DC22B3"/>
    <w:rsid w:val="00DC23A4"/>
    <w:rsid w:val="00DC2558"/>
    <w:rsid w:val="00DC2CDD"/>
    <w:rsid w:val="00DC3DAD"/>
    <w:rsid w:val="00DC561B"/>
    <w:rsid w:val="00DC6328"/>
    <w:rsid w:val="00DC7277"/>
    <w:rsid w:val="00DC77B4"/>
    <w:rsid w:val="00DD0131"/>
    <w:rsid w:val="00DD37AE"/>
    <w:rsid w:val="00DD72FF"/>
    <w:rsid w:val="00DE0DC3"/>
    <w:rsid w:val="00DE131C"/>
    <w:rsid w:val="00DE2CCD"/>
    <w:rsid w:val="00DE3726"/>
    <w:rsid w:val="00DE49A3"/>
    <w:rsid w:val="00DE6775"/>
    <w:rsid w:val="00DF0496"/>
    <w:rsid w:val="00DF10D7"/>
    <w:rsid w:val="00DF482A"/>
    <w:rsid w:val="00DF6B1D"/>
    <w:rsid w:val="00E0158A"/>
    <w:rsid w:val="00E02B92"/>
    <w:rsid w:val="00E02CDD"/>
    <w:rsid w:val="00E036A2"/>
    <w:rsid w:val="00E05A38"/>
    <w:rsid w:val="00E1020B"/>
    <w:rsid w:val="00E10EBB"/>
    <w:rsid w:val="00E11186"/>
    <w:rsid w:val="00E140F4"/>
    <w:rsid w:val="00E151B5"/>
    <w:rsid w:val="00E170F7"/>
    <w:rsid w:val="00E200DF"/>
    <w:rsid w:val="00E20268"/>
    <w:rsid w:val="00E2033A"/>
    <w:rsid w:val="00E2148D"/>
    <w:rsid w:val="00E216F9"/>
    <w:rsid w:val="00E2192D"/>
    <w:rsid w:val="00E21D87"/>
    <w:rsid w:val="00E25ED8"/>
    <w:rsid w:val="00E31068"/>
    <w:rsid w:val="00E3303C"/>
    <w:rsid w:val="00E34148"/>
    <w:rsid w:val="00E34187"/>
    <w:rsid w:val="00E43913"/>
    <w:rsid w:val="00E43A88"/>
    <w:rsid w:val="00E45179"/>
    <w:rsid w:val="00E47D4C"/>
    <w:rsid w:val="00E51682"/>
    <w:rsid w:val="00E52232"/>
    <w:rsid w:val="00E52A6F"/>
    <w:rsid w:val="00E54731"/>
    <w:rsid w:val="00E54F63"/>
    <w:rsid w:val="00E551C2"/>
    <w:rsid w:val="00E55ABE"/>
    <w:rsid w:val="00E56E8C"/>
    <w:rsid w:val="00E61B61"/>
    <w:rsid w:val="00E62C0D"/>
    <w:rsid w:val="00E64B96"/>
    <w:rsid w:val="00E6611F"/>
    <w:rsid w:val="00E701C0"/>
    <w:rsid w:val="00E70940"/>
    <w:rsid w:val="00E719D1"/>
    <w:rsid w:val="00E71C1D"/>
    <w:rsid w:val="00E76CB4"/>
    <w:rsid w:val="00E77203"/>
    <w:rsid w:val="00E808A5"/>
    <w:rsid w:val="00E83ACA"/>
    <w:rsid w:val="00E83E6C"/>
    <w:rsid w:val="00E85272"/>
    <w:rsid w:val="00E85817"/>
    <w:rsid w:val="00E85EF3"/>
    <w:rsid w:val="00E86148"/>
    <w:rsid w:val="00E87312"/>
    <w:rsid w:val="00E90D26"/>
    <w:rsid w:val="00E91A06"/>
    <w:rsid w:val="00E92ABD"/>
    <w:rsid w:val="00E931F1"/>
    <w:rsid w:val="00E93F16"/>
    <w:rsid w:val="00E94542"/>
    <w:rsid w:val="00E963C4"/>
    <w:rsid w:val="00EA08A0"/>
    <w:rsid w:val="00EA13A7"/>
    <w:rsid w:val="00EA1B4D"/>
    <w:rsid w:val="00EA2FC1"/>
    <w:rsid w:val="00EA67E1"/>
    <w:rsid w:val="00EA718D"/>
    <w:rsid w:val="00EA76DD"/>
    <w:rsid w:val="00EA7B0B"/>
    <w:rsid w:val="00EB5030"/>
    <w:rsid w:val="00EB7D62"/>
    <w:rsid w:val="00EC172E"/>
    <w:rsid w:val="00EC2958"/>
    <w:rsid w:val="00EC3234"/>
    <w:rsid w:val="00EC3CDD"/>
    <w:rsid w:val="00EC51E3"/>
    <w:rsid w:val="00EC596C"/>
    <w:rsid w:val="00EC6DA0"/>
    <w:rsid w:val="00EE1410"/>
    <w:rsid w:val="00EE2254"/>
    <w:rsid w:val="00EE2A6A"/>
    <w:rsid w:val="00EE4210"/>
    <w:rsid w:val="00EE5575"/>
    <w:rsid w:val="00EE5725"/>
    <w:rsid w:val="00EE5B83"/>
    <w:rsid w:val="00EE5CF6"/>
    <w:rsid w:val="00EE7FAE"/>
    <w:rsid w:val="00EF0E60"/>
    <w:rsid w:val="00EF1147"/>
    <w:rsid w:val="00EF21C4"/>
    <w:rsid w:val="00EF345F"/>
    <w:rsid w:val="00EF4598"/>
    <w:rsid w:val="00EF5B22"/>
    <w:rsid w:val="00EF5CAC"/>
    <w:rsid w:val="00EF648C"/>
    <w:rsid w:val="00EF671D"/>
    <w:rsid w:val="00EF6F8A"/>
    <w:rsid w:val="00F01AD7"/>
    <w:rsid w:val="00F03070"/>
    <w:rsid w:val="00F0358A"/>
    <w:rsid w:val="00F040B4"/>
    <w:rsid w:val="00F04BE9"/>
    <w:rsid w:val="00F06035"/>
    <w:rsid w:val="00F0607D"/>
    <w:rsid w:val="00F07D04"/>
    <w:rsid w:val="00F147C7"/>
    <w:rsid w:val="00F14903"/>
    <w:rsid w:val="00F1511A"/>
    <w:rsid w:val="00F20284"/>
    <w:rsid w:val="00F20C39"/>
    <w:rsid w:val="00F22A2C"/>
    <w:rsid w:val="00F24BB1"/>
    <w:rsid w:val="00F2579F"/>
    <w:rsid w:val="00F265BA"/>
    <w:rsid w:val="00F266B4"/>
    <w:rsid w:val="00F32C62"/>
    <w:rsid w:val="00F33553"/>
    <w:rsid w:val="00F34983"/>
    <w:rsid w:val="00F34E84"/>
    <w:rsid w:val="00F34FDA"/>
    <w:rsid w:val="00F4075B"/>
    <w:rsid w:val="00F409EC"/>
    <w:rsid w:val="00F44B1B"/>
    <w:rsid w:val="00F4512F"/>
    <w:rsid w:val="00F4606C"/>
    <w:rsid w:val="00F47CA3"/>
    <w:rsid w:val="00F51D59"/>
    <w:rsid w:val="00F5219E"/>
    <w:rsid w:val="00F5337B"/>
    <w:rsid w:val="00F541E5"/>
    <w:rsid w:val="00F54A2D"/>
    <w:rsid w:val="00F55526"/>
    <w:rsid w:val="00F63557"/>
    <w:rsid w:val="00F63AB1"/>
    <w:rsid w:val="00F6520C"/>
    <w:rsid w:val="00F653D5"/>
    <w:rsid w:val="00F728C0"/>
    <w:rsid w:val="00F729EB"/>
    <w:rsid w:val="00F7577D"/>
    <w:rsid w:val="00F818C9"/>
    <w:rsid w:val="00F8363D"/>
    <w:rsid w:val="00F83AEE"/>
    <w:rsid w:val="00F869B7"/>
    <w:rsid w:val="00F86C79"/>
    <w:rsid w:val="00F871A3"/>
    <w:rsid w:val="00F91256"/>
    <w:rsid w:val="00F9312B"/>
    <w:rsid w:val="00F9422D"/>
    <w:rsid w:val="00F94DFA"/>
    <w:rsid w:val="00F94FF6"/>
    <w:rsid w:val="00F95B6A"/>
    <w:rsid w:val="00F960DE"/>
    <w:rsid w:val="00F96BBF"/>
    <w:rsid w:val="00F97169"/>
    <w:rsid w:val="00FA0EFA"/>
    <w:rsid w:val="00FA0F2D"/>
    <w:rsid w:val="00FA0FF1"/>
    <w:rsid w:val="00FA1B61"/>
    <w:rsid w:val="00FA3921"/>
    <w:rsid w:val="00FA6139"/>
    <w:rsid w:val="00FB02AF"/>
    <w:rsid w:val="00FB0CFD"/>
    <w:rsid w:val="00FB1059"/>
    <w:rsid w:val="00FB2E38"/>
    <w:rsid w:val="00FB35C4"/>
    <w:rsid w:val="00FB3F47"/>
    <w:rsid w:val="00FB46D6"/>
    <w:rsid w:val="00FB482A"/>
    <w:rsid w:val="00FB5FF8"/>
    <w:rsid w:val="00FB64D7"/>
    <w:rsid w:val="00FB69AA"/>
    <w:rsid w:val="00FB7711"/>
    <w:rsid w:val="00FC0031"/>
    <w:rsid w:val="00FC16B3"/>
    <w:rsid w:val="00FC536C"/>
    <w:rsid w:val="00FD0C23"/>
    <w:rsid w:val="00FD3639"/>
    <w:rsid w:val="00FD36E7"/>
    <w:rsid w:val="00FD49B5"/>
    <w:rsid w:val="00FD5557"/>
    <w:rsid w:val="00FD63D8"/>
    <w:rsid w:val="00FE0604"/>
    <w:rsid w:val="00FE172D"/>
    <w:rsid w:val="00FE1BAD"/>
    <w:rsid w:val="00FE1DE0"/>
    <w:rsid w:val="00FE2FC6"/>
    <w:rsid w:val="00FE33AF"/>
    <w:rsid w:val="00FE4D7B"/>
    <w:rsid w:val="00FE4EDA"/>
    <w:rsid w:val="00FE5AD8"/>
    <w:rsid w:val="00FF0BCD"/>
    <w:rsid w:val="00FF1EAC"/>
    <w:rsid w:val="00FF32DF"/>
    <w:rsid w:val="00FF347E"/>
    <w:rsid w:val="00FF384A"/>
    <w:rsid w:val="00FF3CFA"/>
    <w:rsid w:val="00FF4D33"/>
    <w:rsid w:val="00FF5C16"/>
    <w:rsid w:val="00FF6F8F"/>
    <w:rsid w:val="00FF7F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BF447"/>
  <w15:chartTrackingRefBased/>
  <w15:docId w15:val="{961EDB36-8AF0-4F9F-BA7A-9A5321586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3B11"/>
  </w:style>
  <w:style w:type="paragraph" w:styleId="Heading1">
    <w:name w:val="heading 1"/>
    <w:basedOn w:val="Normal"/>
    <w:next w:val="Normal"/>
    <w:link w:val="Heading1Char"/>
    <w:uiPriority w:val="9"/>
    <w:qFormat/>
    <w:rsid w:val="00F521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1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21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A05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6355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53DA0"/>
    <w:pPr>
      <w:ind w:left="720"/>
      <w:contextualSpacing/>
    </w:pPr>
  </w:style>
  <w:style w:type="character" w:customStyle="1" w:styleId="messagehtml-01">
    <w:name w:val="messagehtml-01"/>
    <w:rsid w:val="00FD36E7"/>
    <w:rPr>
      <w:rFonts w:ascii="Arial" w:hAnsi="Arial" w:cs="Arial" w:hint="default"/>
      <w:b w:val="0"/>
      <w:bCs w:val="0"/>
      <w:sz w:val="18"/>
      <w:szCs w:val="18"/>
    </w:rPr>
  </w:style>
  <w:style w:type="table" w:styleId="TableGrid">
    <w:name w:val="Table Grid"/>
    <w:basedOn w:val="TableNormal"/>
    <w:uiPriority w:val="39"/>
    <w:rsid w:val="00D50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76CB4"/>
    <w:rPr>
      <w:sz w:val="16"/>
      <w:szCs w:val="16"/>
    </w:rPr>
  </w:style>
  <w:style w:type="paragraph" w:styleId="CommentText">
    <w:name w:val="annotation text"/>
    <w:basedOn w:val="Normal"/>
    <w:link w:val="CommentTextChar"/>
    <w:uiPriority w:val="99"/>
    <w:unhideWhenUsed/>
    <w:rsid w:val="00E76CB4"/>
    <w:pPr>
      <w:spacing w:line="240" w:lineRule="auto"/>
    </w:pPr>
    <w:rPr>
      <w:sz w:val="20"/>
      <w:szCs w:val="20"/>
    </w:rPr>
  </w:style>
  <w:style w:type="character" w:customStyle="1" w:styleId="CommentTextChar">
    <w:name w:val="Comment Text Char"/>
    <w:basedOn w:val="DefaultParagraphFont"/>
    <w:link w:val="CommentText"/>
    <w:uiPriority w:val="99"/>
    <w:rsid w:val="00E76CB4"/>
    <w:rPr>
      <w:sz w:val="20"/>
      <w:szCs w:val="20"/>
    </w:rPr>
  </w:style>
  <w:style w:type="paragraph" w:styleId="CommentSubject">
    <w:name w:val="annotation subject"/>
    <w:basedOn w:val="CommentText"/>
    <w:next w:val="CommentText"/>
    <w:link w:val="CommentSubjectChar"/>
    <w:uiPriority w:val="99"/>
    <w:semiHidden/>
    <w:unhideWhenUsed/>
    <w:rsid w:val="00E76CB4"/>
    <w:rPr>
      <w:b/>
      <w:bCs/>
    </w:rPr>
  </w:style>
  <w:style w:type="character" w:customStyle="1" w:styleId="CommentSubjectChar">
    <w:name w:val="Comment Subject Char"/>
    <w:basedOn w:val="CommentTextChar"/>
    <w:link w:val="CommentSubject"/>
    <w:uiPriority w:val="99"/>
    <w:semiHidden/>
    <w:rsid w:val="00E76CB4"/>
    <w:rPr>
      <w:b/>
      <w:bCs/>
      <w:sz w:val="20"/>
      <w:szCs w:val="20"/>
    </w:rPr>
  </w:style>
  <w:style w:type="paragraph" w:styleId="BalloonText">
    <w:name w:val="Balloon Text"/>
    <w:basedOn w:val="Normal"/>
    <w:link w:val="BalloonTextChar"/>
    <w:uiPriority w:val="99"/>
    <w:semiHidden/>
    <w:unhideWhenUsed/>
    <w:rsid w:val="00E76C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CB4"/>
    <w:rPr>
      <w:rFonts w:ascii="Segoe UI" w:hAnsi="Segoe UI" w:cs="Segoe UI"/>
      <w:sz w:val="18"/>
      <w:szCs w:val="18"/>
    </w:rPr>
  </w:style>
  <w:style w:type="character" w:styleId="Hyperlink">
    <w:name w:val="Hyperlink"/>
    <w:basedOn w:val="DefaultParagraphFont"/>
    <w:uiPriority w:val="99"/>
    <w:unhideWhenUsed/>
    <w:rsid w:val="004A7D32"/>
    <w:rPr>
      <w:color w:val="0563C1" w:themeColor="hyperlink"/>
      <w:u w:val="single"/>
    </w:rPr>
  </w:style>
  <w:style w:type="character" w:customStyle="1" w:styleId="Heading1Char">
    <w:name w:val="Heading 1 Char"/>
    <w:basedOn w:val="DefaultParagraphFont"/>
    <w:link w:val="Heading1"/>
    <w:uiPriority w:val="9"/>
    <w:rsid w:val="00F5219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19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521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A0556"/>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B43FAB"/>
    <w:rPr>
      <w:color w:val="954F72" w:themeColor="followedHyperlink"/>
      <w:u w:val="single"/>
    </w:rPr>
  </w:style>
  <w:style w:type="paragraph" w:styleId="Header">
    <w:name w:val="header"/>
    <w:basedOn w:val="Normal"/>
    <w:link w:val="HeaderChar"/>
    <w:uiPriority w:val="99"/>
    <w:unhideWhenUsed/>
    <w:rsid w:val="008A7B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7B7D"/>
  </w:style>
  <w:style w:type="paragraph" w:styleId="Footer">
    <w:name w:val="footer"/>
    <w:basedOn w:val="Normal"/>
    <w:link w:val="FooterChar"/>
    <w:uiPriority w:val="99"/>
    <w:unhideWhenUsed/>
    <w:rsid w:val="008A7B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7B7D"/>
  </w:style>
  <w:style w:type="paragraph" w:styleId="FootnoteText">
    <w:name w:val="footnote text"/>
    <w:basedOn w:val="Normal"/>
    <w:link w:val="FootnoteTextChar"/>
    <w:uiPriority w:val="99"/>
    <w:semiHidden/>
    <w:unhideWhenUsed/>
    <w:rsid w:val="00385B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5B19"/>
    <w:rPr>
      <w:sz w:val="20"/>
      <w:szCs w:val="20"/>
    </w:rPr>
  </w:style>
  <w:style w:type="character" w:styleId="FootnoteReference">
    <w:name w:val="footnote reference"/>
    <w:basedOn w:val="DefaultParagraphFont"/>
    <w:uiPriority w:val="99"/>
    <w:semiHidden/>
    <w:unhideWhenUsed/>
    <w:rsid w:val="00385B19"/>
    <w:rPr>
      <w:vertAlign w:val="superscript"/>
    </w:rPr>
  </w:style>
  <w:style w:type="paragraph" w:styleId="Caption">
    <w:name w:val="caption"/>
    <w:basedOn w:val="Normal"/>
    <w:next w:val="Normal"/>
    <w:uiPriority w:val="35"/>
    <w:unhideWhenUsed/>
    <w:qFormat/>
    <w:rsid w:val="005534C1"/>
    <w:pPr>
      <w:spacing w:after="200" w:line="240" w:lineRule="auto"/>
    </w:pPr>
    <w:rPr>
      <w:i/>
      <w:iCs/>
      <w:color w:val="44546A" w:themeColor="text2"/>
      <w:sz w:val="18"/>
      <w:szCs w:val="18"/>
    </w:rPr>
  </w:style>
  <w:style w:type="character" w:styleId="LineNumber">
    <w:name w:val="line number"/>
    <w:basedOn w:val="DefaultParagraphFont"/>
    <w:uiPriority w:val="99"/>
    <w:unhideWhenUsed/>
    <w:rsid w:val="00713B11"/>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13654">
      <w:bodyDiv w:val="1"/>
      <w:marLeft w:val="0"/>
      <w:marRight w:val="0"/>
      <w:marTop w:val="0"/>
      <w:marBottom w:val="0"/>
      <w:divBdr>
        <w:top w:val="none" w:sz="0" w:space="0" w:color="auto"/>
        <w:left w:val="none" w:sz="0" w:space="0" w:color="auto"/>
        <w:bottom w:val="none" w:sz="0" w:space="0" w:color="auto"/>
        <w:right w:val="none" w:sz="0" w:space="0" w:color="auto"/>
      </w:divBdr>
    </w:div>
    <w:div w:id="106390248">
      <w:bodyDiv w:val="1"/>
      <w:marLeft w:val="0"/>
      <w:marRight w:val="0"/>
      <w:marTop w:val="0"/>
      <w:marBottom w:val="0"/>
      <w:divBdr>
        <w:top w:val="none" w:sz="0" w:space="0" w:color="auto"/>
        <w:left w:val="none" w:sz="0" w:space="0" w:color="auto"/>
        <w:bottom w:val="none" w:sz="0" w:space="0" w:color="auto"/>
        <w:right w:val="none" w:sz="0" w:space="0" w:color="auto"/>
      </w:divBdr>
    </w:div>
    <w:div w:id="109521436">
      <w:bodyDiv w:val="1"/>
      <w:marLeft w:val="0"/>
      <w:marRight w:val="0"/>
      <w:marTop w:val="0"/>
      <w:marBottom w:val="0"/>
      <w:divBdr>
        <w:top w:val="none" w:sz="0" w:space="0" w:color="auto"/>
        <w:left w:val="none" w:sz="0" w:space="0" w:color="auto"/>
        <w:bottom w:val="none" w:sz="0" w:space="0" w:color="auto"/>
        <w:right w:val="none" w:sz="0" w:space="0" w:color="auto"/>
      </w:divBdr>
    </w:div>
    <w:div w:id="182788045">
      <w:bodyDiv w:val="1"/>
      <w:marLeft w:val="0"/>
      <w:marRight w:val="0"/>
      <w:marTop w:val="0"/>
      <w:marBottom w:val="0"/>
      <w:divBdr>
        <w:top w:val="none" w:sz="0" w:space="0" w:color="auto"/>
        <w:left w:val="none" w:sz="0" w:space="0" w:color="auto"/>
        <w:bottom w:val="none" w:sz="0" w:space="0" w:color="auto"/>
        <w:right w:val="none" w:sz="0" w:space="0" w:color="auto"/>
      </w:divBdr>
    </w:div>
    <w:div w:id="195001173">
      <w:bodyDiv w:val="1"/>
      <w:marLeft w:val="0"/>
      <w:marRight w:val="0"/>
      <w:marTop w:val="0"/>
      <w:marBottom w:val="0"/>
      <w:divBdr>
        <w:top w:val="none" w:sz="0" w:space="0" w:color="auto"/>
        <w:left w:val="none" w:sz="0" w:space="0" w:color="auto"/>
        <w:bottom w:val="none" w:sz="0" w:space="0" w:color="auto"/>
        <w:right w:val="none" w:sz="0" w:space="0" w:color="auto"/>
      </w:divBdr>
    </w:div>
    <w:div w:id="287050160">
      <w:bodyDiv w:val="1"/>
      <w:marLeft w:val="0"/>
      <w:marRight w:val="0"/>
      <w:marTop w:val="0"/>
      <w:marBottom w:val="0"/>
      <w:divBdr>
        <w:top w:val="none" w:sz="0" w:space="0" w:color="auto"/>
        <w:left w:val="none" w:sz="0" w:space="0" w:color="auto"/>
        <w:bottom w:val="none" w:sz="0" w:space="0" w:color="auto"/>
        <w:right w:val="none" w:sz="0" w:space="0" w:color="auto"/>
      </w:divBdr>
    </w:div>
    <w:div w:id="290941340">
      <w:bodyDiv w:val="1"/>
      <w:marLeft w:val="0"/>
      <w:marRight w:val="0"/>
      <w:marTop w:val="0"/>
      <w:marBottom w:val="0"/>
      <w:divBdr>
        <w:top w:val="none" w:sz="0" w:space="0" w:color="auto"/>
        <w:left w:val="none" w:sz="0" w:space="0" w:color="auto"/>
        <w:bottom w:val="none" w:sz="0" w:space="0" w:color="auto"/>
        <w:right w:val="none" w:sz="0" w:space="0" w:color="auto"/>
      </w:divBdr>
    </w:div>
    <w:div w:id="316305681">
      <w:bodyDiv w:val="1"/>
      <w:marLeft w:val="0"/>
      <w:marRight w:val="0"/>
      <w:marTop w:val="0"/>
      <w:marBottom w:val="0"/>
      <w:divBdr>
        <w:top w:val="none" w:sz="0" w:space="0" w:color="auto"/>
        <w:left w:val="none" w:sz="0" w:space="0" w:color="auto"/>
        <w:bottom w:val="none" w:sz="0" w:space="0" w:color="auto"/>
        <w:right w:val="none" w:sz="0" w:space="0" w:color="auto"/>
      </w:divBdr>
    </w:div>
    <w:div w:id="369915773">
      <w:bodyDiv w:val="1"/>
      <w:marLeft w:val="0"/>
      <w:marRight w:val="0"/>
      <w:marTop w:val="0"/>
      <w:marBottom w:val="0"/>
      <w:divBdr>
        <w:top w:val="none" w:sz="0" w:space="0" w:color="auto"/>
        <w:left w:val="none" w:sz="0" w:space="0" w:color="auto"/>
        <w:bottom w:val="none" w:sz="0" w:space="0" w:color="auto"/>
        <w:right w:val="none" w:sz="0" w:space="0" w:color="auto"/>
      </w:divBdr>
    </w:div>
    <w:div w:id="379788313">
      <w:bodyDiv w:val="1"/>
      <w:marLeft w:val="0"/>
      <w:marRight w:val="0"/>
      <w:marTop w:val="0"/>
      <w:marBottom w:val="0"/>
      <w:divBdr>
        <w:top w:val="none" w:sz="0" w:space="0" w:color="auto"/>
        <w:left w:val="none" w:sz="0" w:space="0" w:color="auto"/>
        <w:bottom w:val="none" w:sz="0" w:space="0" w:color="auto"/>
        <w:right w:val="none" w:sz="0" w:space="0" w:color="auto"/>
      </w:divBdr>
      <w:divsChild>
        <w:div w:id="1002659518">
          <w:marLeft w:val="0"/>
          <w:marRight w:val="0"/>
          <w:marTop w:val="0"/>
          <w:marBottom w:val="0"/>
          <w:divBdr>
            <w:top w:val="none" w:sz="0" w:space="0" w:color="auto"/>
            <w:left w:val="none" w:sz="0" w:space="0" w:color="auto"/>
            <w:bottom w:val="none" w:sz="0" w:space="0" w:color="auto"/>
            <w:right w:val="none" w:sz="0" w:space="0" w:color="auto"/>
          </w:divBdr>
        </w:div>
      </w:divsChild>
    </w:div>
    <w:div w:id="413209256">
      <w:bodyDiv w:val="1"/>
      <w:marLeft w:val="0"/>
      <w:marRight w:val="0"/>
      <w:marTop w:val="0"/>
      <w:marBottom w:val="0"/>
      <w:divBdr>
        <w:top w:val="none" w:sz="0" w:space="0" w:color="auto"/>
        <w:left w:val="none" w:sz="0" w:space="0" w:color="auto"/>
        <w:bottom w:val="none" w:sz="0" w:space="0" w:color="auto"/>
        <w:right w:val="none" w:sz="0" w:space="0" w:color="auto"/>
      </w:divBdr>
    </w:div>
    <w:div w:id="455215905">
      <w:bodyDiv w:val="1"/>
      <w:marLeft w:val="0"/>
      <w:marRight w:val="0"/>
      <w:marTop w:val="0"/>
      <w:marBottom w:val="0"/>
      <w:divBdr>
        <w:top w:val="none" w:sz="0" w:space="0" w:color="auto"/>
        <w:left w:val="none" w:sz="0" w:space="0" w:color="auto"/>
        <w:bottom w:val="none" w:sz="0" w:space="0" w:color="auto"/>
        <w:right w:val="none" w:sz="0" w:space="0" w:color="auto"/>
      </w:divBdr>
    </w:div>
    <w:div w:id="503978501">
      <w:bodyDiv w:val="1"/>
      <w:marLeft w:val="0"/>
      <w:marRight w:val="0"/>
      <w:marTop w:val="0"/>
      <w:marBottom w:val="0"/>
      <w:divBdr>
        <w:top w:val="none" w:sz="0" w:space="0" w:color="auto"/>
        <w:left w:val="none" w:sz="0" w:space="0" w:color="auto"/>
        <w:bottom w:val="none" w:sz="0" w:space="0" w:color="auto"/>
        <w:right w:val="none" w:sz="0" w:space="0" w:color="auto"/>
      </w:divBdr>
    </w:div>
    <w:div w:id="562570061">
      <w:bodyDiv w:val="1"/>
      <w:marLeft w:val="0"/>
      <w:marRight w:val="0"/>
      <w:marTop w:val="0"/>
      <w:marBottom w:val="0"/>
      <w:divBdr>
        <w:top w:val="none" w:sz="0" w:space="0" w:color="auto"/>
        <w:left w:val="none" w:sz="0" w:space="0" w:color="auto"/>
        <w:bottom w:val="none" w:sz="0" w:space="0" w:color="auto"/>
        <w:right w:val="none" w:sz="0" w:space="0" w:color="auto"/>
      </w:divBdr>
    </w:div>
    <w:div w:id="563637300">
      <w:bodyDiv w:val="1"/>
      <w:marLeft w:val="0"/>
      <w:marRight w:val="0"/>
      <w:marTop w:val="0"/>
      <w:marBottom w:val="0"/>
      <w:divBdr>
        <w:top w:val="none" w:sz="0" w:space="0" w:color="auto"/>
        <w:left w:val="none" w:sz="0" w:space="0" w:color="auto"/>
        <w:bottom w:val="none" w:sz="0" w:space="0" w:color="auto"/>
        <w:right w:val="none" w:sz="0" w:space="0" w:color="auto"/>
      </w:divBdr>
    </w:div>
    <w:div w:id="573711180">
      <w:bodyDiv w:val="1"/>
      <w:marLeft w:val="0"/>
      <w:marRight w:val="0"/>
      <w:marTop w:val="0"/>
      <w:marBottom w:val="0"/>
      <w:divBdr>
        <w:top w:val="none" w:sz="0" w:space="0" w:color="auto"/>
        <w:left w:val="none" w:sz="0" w:space="0" w:color="auto"/>
        <w:bottom w:val="none" w:sz="0" w:space="0" w:color="auto"/>
        <w:right w:val="none" w:sz="0" w:space="0" w:color="auto"/>
      </w:divBdr>
    </w:div>
    <w:div w:id="576550075">
      <w:bodyDiv w:val="1"/>
      <w:marLeft w:val="0"/>
      <w:marRight w:val="0"/>
      <w:marTop w:val="0"/>
      <w:marBottom w:val="0"/>
      <w:divBdr>
        <w:top w:val="none" w:sz="0" w:space="0" w:color="auto"/>
        <w:left w:val="none" w:sz="0" w:space="0" w:color="auto"/>
        <w:bottom w:val="none" w:sz="0" w:space="0" w:color="auto"/>
        <w:right w:val="none" w:sz="0" w:space="0" w:color="auto"/>
      </w:divBdr>
    </w:div>
    <w:div w:id="621426298">
      <w:bodyDiv w:val="1"/>
      <w:marLeft w:val="0"/>
      <w:marRight w:val="0"/>
      <w:marTop w:val="0"/>
      <w:marBottom w:val="0"/>
      <w:divBdr>
        <w:top w:val="none" w:sz="0" w:space="0" w:color="auto"/>
        <w:left w:val="none" w:sz="0" w:space="0" w:color="auto"/>
        <w:bottom w:val="none" w:sz="0" w:space="0" w:color="auto"/>
        <w:right w:val="none" w:sz="0" w:space="0" w:color="auto"/>
      </w:divBdr>
    </w:div>
    <w:div w:id="656343413">
      <w:bodyDiv w:val="1"/>
      <w:marLeft w:val="0"/>
      <w:marRight w:val="0"/>
      <w:marTop w:val="0"/>
      <w:marBottom w:val="0"/>
      <w:divBdr>
        <w:top w:val="none" w:sz="0" w:space="0" w:color="auto"/>
        <w:left w:val="none" w:sz="0" w:space="0" w:color="auto"/>
        <w:bottom w:val="none" w:sz="0" w:space="0" w:color="auto"/>
        <w:right w:val="none" w:sz="0" w:space="0" w:color="auto"/>
      </w:divBdr>
    </w:div>
    <w:div w:id="675502827">
      <w:bodyDiv w:val="1"/>
      <w:marLeft w:val="0"/>
      <w:marRight w:val="0"/>
      <w:marTop w:val="0"/>
      <w:marBottom w:val="0"/>
      <w:divBdr>
        <w:top w:val="none" w:sz="0" w:space="0" w:color="auto"/>
        <w:left w:val="none" w:sz="0" w:space="0" w:color="auto"/>
        <w:bottom w:val="none" w:sz="0" w:space="0" w:color="auto"/>
        <w:right w:val="none" w:sz="0" w:space="0" w:color="auto"/>
      </w:divBdr>
    </w:div>
    <w:div w:id="675839375">
      <w:bodyDiv w:val="1"/>
      <w:marLeft w:val="0"/>
      <w:marRight w:val="0"/>
      <w:marTop w:val="0"/>
      <w:marBottom w:val="0"/>
      <w:divBdr>
        <w:top w:val="none" w:sz="0" w:space="0" w:color="auto"/>
        <w:left w:val="none" w:sz="0" w:space="0" w:color="auto"/>
        <w:bottom w:val="none" w:sz="0" w:space="0" w:color="auto"/>
        <w:right w:val="none" w:sz="0" w:space="0" w:color="auto"/>
      </w:divBdr>
    </w:div>
    <w:div w:id="699622382">
      <w:bodyDiv w:val="1"/>
      <w:marLeft w:val="0"/>
      <w:marRight w:val="0"/>
      <w:marTop w:val="0"/>
      <w:marBottom w:val="0"/>
      <w:divBdr>
        <w:top w:val="none" w:sz="0" w:space="0" w:color="auto"/>
        <w:left w:val="none" w:sz="0" w:space="0" w:color="auto"/>
        <w:bottom w:val="none" w:sz="0" w:space="0" w:color="auto"/>
        <w:right w:val="none" w:sz="0" w:space="0" w:color="auto"/>
      </w:divBdr>
    </w:div>
    <w:div w:id="723679292">
      <w:bodyDiv w:val="1"/>
      <w:marLeft w:val="0"/>
      <w:marRight w:val="0"/>
      <w:marTop w:val="0"/>
      <w:marBottom w:val="0"/>
      <w:divBdr>
        <w:top w:val="none" w:sz="0" w:space="0" w:color="auto"/>
        <w:left w:val="none" w:sz="0" w:space="0" w:color="auto"/>
        <w:bottom w:val="none" w:sz="0" w:space="0" w:color="auto"/>
        <w:right w:val="none" w:sz="0" w:space="0" w:color="auto"/>
      </w:divBdr>
    </w:div>
    <w:div w:id="727533014">
      <w:bodyDiv w:val="1"/>
      <w:marLeft w:val="0"/>
      <w:marRight w:val="0"/>
      <w:marTop w:val="0"/>
      <w:marBottom w:val="0"/>
      <w:divBdr>
        <w:top w:val="none" w:sz="0" w:space="0" w:color="auto"/>
        <w:left w:val="none" w:sz="0" w:space="0" w:color="auto"/>
        <w:bottom w:val="none" w:sz="0" w:space="0" w:color="auto"/>
        <w:right w:val="none" w:sz="0" w:space="0" w:color="auto"/>
      </w:divBdr>
    </w:div>
    <w:div w:id="747573874">
      <w:bodyDiv w:val="1"/>
      <w:marLeft w:val="0"/>
      <w:marRight w:val="0"/>
      <w:marTop w:val="0"/>
      <w:marBottom w:val="0"/>
      <w:divBdr>
        <w:top w:val="none" w:sz="0" w:space="0" w:color="auto"/>
        <w:left w:val="none" w:sz="0" w:space="0" w:color="auto"/>
        <w:bottom w:val="none" w:sz="0" w:space="0" w:color="auto"/>
        <w:right w:val="none" w:sz="0" w:space="0" w:color="auto"/>
      </w:divBdr>
    </w:div>
    <w:div w:id="793522707">
      <w:bodyDiv w:val="1"/>
      <w:marLeft w:val="0"/>
      <w:marRight w:val="0"/>
      <w:marTop w:val="0"/>
      <w:marBottom w:val="0"/>
      <w:divBdr>
        <w:top w:val="none" w:sz="0" w:space="0" w:color="auto"/>
        <w:left w:val="none" w:sz="0" w:space="0" w:color="auto"/>
        <w:bottom w:val="none" w:sz="0" w:space="0" w:color="auto"/>
        <w:right w:val="none" w:sz="0" w:space="0" w:color="auto"/>
      </w:divBdr>
    </w:div>
    <w:div w:id="855922626">
      <w:bodyDiv w:val="1"/>
      <w:marLeft w:val="0"/>
      <w:marRight w:val="0"/>
      <w:marTop w:val="0"/>
      <w:marBottom w:val="0"/>
      <w:divBdr>
        <w:top w:val="none" w:sz="0" w:space="0" w:color="auto"/>
        <w:left w:val="none" w:sz="0" w:space="0" w:color="auto"/>
        <w:bottom w:val="none" w:sz="0" w:space="0" w:color="auto"/>
        <w:right w:val="none" w:sz="0" w:space="0" w:color="auto"/>
      </w:divBdr>
    </w:div>
    <w:div w:id="884097516">
      <w:bodyDiv w:val="1"/>
      <w:marLeft w:val="0"/>
      <w:marRight w:val="0"/>
      <w:marTop w:val="0"/>
      <w:marBottom w:val="0"/>
      <w:divBdr>
        <w:top w:val="none" w:sz="0" w:space="0" w:color="auto"/>
        <w:left w:val="none" w:sz="0" w:space="0" w:color="auto"/>
        <w:bottom w:val="none" w:sz="0" w:space="0" w:color="auto"/>
        <w:right w:val="none" w:sz="0" w:space="0" w:color="auto"/>
      </w:divBdr>
    </w:div>
    <w:div w:id="920869355">
      <w:bodyDiv w:val="1"/>
      <w:marLeft w:val="0"/>
      <w:marRight w:val="0"/>
      <w:marTop w:val="0"/>
      <w:marBottom w:val="0"/>
      <w:divBdr>
        <w:top w:val="none" w:sz="0" w:space="0" w:color="auto"/>
        <w:left w:val="none" w:sz="0" w:space="0" w:color="auto"/>
        <w:bottom w:val="none" w:sz="0" w:space="0" w:color="auto"/>
        <w:right w:val="none" w:sz="0" w:space="0" w:color="auto"/>
      </w:divBdr>
    </w:div>
    <w:div w:id="937327904">
      <w:bodyDiv w:val="1"/>
      <w:marLeft w:val="0"/>
      <w:marRight w:val="0"/>
      <w:marTop w:val="0"/>
      <w:marBottom w:val="0"/>
      <w:divBdr>
        <w:top w:val="none" w:sz="0" w:space="0" w:color="auto"/>
        <w:left w:val="none" w:sz="0" w:space="0" w:color="auto"/>
        <w:bottom w:val="none" w:sz="0" w:space="0" w:color="auto"/>
        <w:right w:val="none" w:sz="0" w:space="0" w:color="auto"/>
      </w:divBdr>
    </w:div>
    <w:div w:id="984552645">
      <w:bodyDiv w:val="1"/>
      <w:marLeft w:val="0"/>
      <w:marRight w:val="0"/>
      <w:marTop w:val="0"/>
      <w:marBottom w:val="0"/>
      <w:divBdr>
        <w:top w:val="none" w:sz="0" w:space="0" w:color="auto"/>
        <w:left w:val="none" w:sz="0" w:space="0" w:color="auto"/>
        <w:bottom w:val="none" w:sz="0" w:space="0" w:color="auto"/>
        <w:right w:val="none" w:sz="0" w:space="0" w:color="auto"/>
      </w:divBdr>
    </w:div>
    <w:div w:id="1034962288">
      <w:bodyDiv w:val="1"/>
      <w:marLeft w:val="0"/>
      <w:marRight w:val="0"/>
      <w:marTop w:val="0"/>
      <w:marBottom w:val="0"/>
      <w:divBdr>
        <w:top w:val="none" w:sz="0" w:space="0" w:color="auto"/>
        <w:left w:val="none" w:sz="0" w:space="0" w:color="auto"/>
        <w:bottom w:val="none" w:sz="0" w:space="0" w:color="auto"/>
        <w:right w:val="none" w:sz="0" w:space="0" w:color="auto"/>
      </w:divBdr>
    </w:div>
    <w:div w:id="1047484085">
      <w:bodyDiv w:val="1"/>
      <w:marLeft w:val="0"/>
      <w:marRight w:val="0"/>
      <w:marTop w:val="0"/>
      <w:marBottom w:val="0"/>
      <w:divBdr>
        <w:top w:val="none" w:sz="0" w:space="0" w:color="auto"/>
        <w:left w:val="none" w:sz="0" w:space="0" w:color="auto"/>
        <w:bottom w:val="none" w:sz="0" w:space="0" w:color="auto"/>
        <w:right w:val="none" w:sz="0" w:space="0" w:color="auto"/>
      </w:divBdr>
    </w:div>
    <w:div w:id="1155955638">
      <w:bodyDiv w:val="1"/>
      <w:marLeft w:val="0"/>
      <w:marRight w:val="0"/>
      <w:marTop w:val="0"/>
      <w:marBottom w:val="0"/>
      <w:divBdr>
        <w:top w:val="none" w:sz="0" w:space="0" w:color="auto"/>
        <w:left w:val="none" w:sz="0" w:space="0" w:color="auto"/>
        <w:bottom w:val="none" w:sz="0" w:space="0" w:color="auto"/>
        <w:right w:val="none" w:sz="0" w:space="0" w:color="auto"/>
      </w:divBdr>
    </w:div>
    <w:div w:id="1171798496">
      <w:bodyDiv w:val="1"/>
      <w:marLeft w:val="0"/>
      <w:marRight w:val="0"/>
      <w:marTop w:val="0"/>
      <w:marBottom w:val="0"/>
      <w:divBdr>
        <w:top w:val="none" w:sz="0" w:space="0" w:color="auto"/>
        <w:left w:val="none" w:sz="0" w:space="0" w:color="auto"/>
        <w:bottom w:val="none" w:sz="0" w:space="0" w:color="auto"/>
        <w:right w:val="none" w:sz="0" w:space="0" w:color="auto"/>
      </w:divBdr>
    </w:div>
    <w:div w:id="1222133747">
      <w:bodyDiv w:val="1"/>
      <w:marLeft w:val="0"/>
      <w:marRight w:val="0"/>
      <w:marTop w:val="0"/>
      <w:marBottom w:val="0"/>
      <w:divBdr>
        <w:top w:val="none" w:sz="0" w:space="0" w:color="auto"/>
        <w:left w:val="none" w:sz="0" w:space="0" w:color="auto"/>
        <w:bottom w:val="none" w:sz="0" w:space="0" w:color="auto"/>
        <w:right w:val="none" w:sz="0" w:space="0" w:color="auto"/>
      </w:divBdr>
    </w:div>
    <w:div w:id="1232305651">
      <w:bodyDiv w:val="1"/>
      <w:marLeft w:val="0"/>
      <w:marRight w:val="0"/>
      <w:marTop w:val="0"/>
      <w:marBottom w:val="0"/>
      <w:divBdr>
        <w:top w:val="none" w:sz="0" w:space="0" w:color="auto"/>
        <w:left w:val="none" w:sz="0" w:space="0" w:color="auto"/>
        <w:bottom w:val="none" w:sz="0" w:space="0" w:color="auto"/>
        <w:right w:val="none" w:sz="0" w:space="0" w:color="auto"/>
      </w:divBdr>
    </w:div>
    <w:div w:id="1394888216">
      <w:bodyDiv w:val="1"/>
      <w:marLeft w:val="0"/>
      <w:marRight w:val="0"/>
      <w:marTop w:val="0"/>
      <w:marBottom w:val="0"/>
      <w:divBdr>
        <w:top w:val="none" w:sz="0" w:space="0" w:color="auto"/>
        <w:left w:val="none" w:sz="0" w:space="0" w:color="auto"/>
        <w:bottom w:val="none" w:sz="0" w:space="0" w:color="auto"/>
        <w:right w:val="none" w:sz="0" w:space="0" w:color="auto"/>
      </w:divBdr>
    </w:div>
    <w:div w:id="1469010545">
      <w:bodyDiv w:val="1"/>
      <w:marLeft w:val="0"/>
      <w:marRight w:val="0"/>
      <w:marTop w:val="0"/>
      <w:marBottom w:val="0"/>
      <w:divBdr>
        <w:top w:val="none" w:sz="0" w:space="0" w:color="auto"/>
        <w:left w:val="none" w:sz="0" w:space="0" w:color="auto"/>
        <w:bottom w:val="none" w:sz="0" w:space="0" w:color="auto"/>
        <w:right w:val="none" w:sz="0" w:space="0" w:color="auto"/>
      </w:divBdr>
    </w:div>
    <w:div w:id="1668097463">
      <w:bodyDiv w:val="1"/>
      <w:marLeft w:val="0"/>
      <w:marRight w:val="0"/>
      <w:marTop w:val="0"/>
      <w:marBottom w:val="0"/>
      <w:divBdr>
        <w:top w:val="none" w:sz="0" w:space="0" w:color="auto"/>
        <w:left w:val="none" w:sz="0" w:space="0" w:color="auto"/>
        <w:bottom w:val="none" w:sz="0" w:space="0" w:color="auto"/>
        <w:right w:val="none" w:sz="0" w:space="0" w:color="auto"/>
      </w:divBdr>
    </w:div>
    <w:div w:id="1724478164">
      <w:bodyDiv w:val="1"/>
      <w:marLeft w:val="0"/>
      <w:marRight w:val="0"/>
      <w:marTop w:val="0"/>
      <w:marBottom w:val="0"/>
      <w:divBdr>
        <w:top w:val="none" w:sz="0" w:space="0" w:color="auto"/>
        <w:left w:val="none" w:sz="0" w:space="0" w:color="auto"/>
        <w:bottom w:val="none" w:sz="0" w:space="0" w:color="auto"/>
        <w:right w:val="none" w:sz="0" w:space="0" w:color="auto"/>
      </w:divBdr>
    </w:div>
    <w:div w:id="1754354265">
      <w:bodyDiv w:val="1"/>
      <w:marLeft w:val="0"/>
      <w:marRight w:val="0"/>
      <w:marTop w:val="0"/>
      <w:marBottom w:val="0"/>
      <w:divBdr>
        <w:top w:val="none" w:sz="0" w:space="0" w:color="auto"/>
        <w:left w:val="none" w:sz="0" w:space="0" w:color="auto"/>
        <w:bottom w:val="none" w:sz="0" w:space="0" w:color="auto"/>
        <w:right w:val="none" w:sz="0" w:space="0" w:color="auto"/>
      </w:divBdr>
    </w:div>
    <w:div w:id="1828128153">
      <w:bodyDiv w:val="1"/>
      <w:marLeft w:val="0"/>
      <w:marRight w:val="0"/>
      <w:marTop w:val="0"/>
      <w:marBottom w:val="0"/>
      <w:divBdr>
        <w:top w:val="none" w:sz="0" w:space="0" w:color="auto"/>
        <w:left w:val="none" w:sz="0" w:space="0" w:color="auto"/>
        <w:bottom w:val="none" w:sz="0" w:space="0" w:color="auto"/>
        <w:right w:val="none" w:sz="0" w:space="0" w:color="auto"/>
      </w:divBdr>
    </w:div>
    <w:div w:id="1833251583">
      <w:bodyDiv w:val="1"/>
      <w:marLeft w:val="0"/>
      <w:marRight w:val="0"/>
      <w:marTop w:val="0"/>
      <w:marBottom w:val="0"/>
      <w:divBdr>
        <w:top w:val="none" w:sz="0" w:space="0" w:color="auto"/>
        <w:left w:val="none" w:sz="0" w:space="0" w:color="auto"/>
        <w:bottom w:val="none" w:sz="0" w:space="0" w:color="auto"/>
        <w:right w:val="none" w:sz="0" w:space="0" w:color="auto"/>
      </w:divBdr>
    </w:div>
    <w:div w:id="1893080997">
      <w:bodyDiv w:val="1"/>
      <w:marLeft w:val="0"/>
      <w:marRight w:val="0"/>
      <w:marTop w:val="0"/>
      <w:marBottom w:val="0"/>
      <w:divBdr>
        <w:top w:val="none" w:sz="0" w:space="0" w:color="auto"/>
        <w:left w:val="none" w:sz="0" w:space="0" w:color="auto"/>
        <w:bottom w:val="none" w:sz="0" w:space="0" w:color="auto"/>
        <w:right w:val="none" w:sz="0" w:space="0" w:color="auto"/>
      </w:divBdr>
    </w:div>
    <w:div w:id="1910455886">
      <w:bodyDiv w:val="1"/>
      <w:marLeft w:val="0"/>
      <w:marRight w:val="0"/>
      <w:marTop w:val="0"/>
      <w:marBottom w:val="0"/>
      <w:divBdr>
        <w:top w:val="none" w:sz="0" w:space="0" w:color="auto"/>
        <w:left w:val="none" w:sz="0" w:space="0" w:color="auto"/>
        <w:bottom w:val="none" w:sz="0" w:space="0" w:color="auto"/>
        <w:right w:val="none" w:sz="0" w:space="0" w:color="auto"/>
      </w:divBdr>
    </w:div>
    <w:div w:id="1986735353">
      <w:bodyDiv w:val="1"/>
      <w:marLeft w:val="0"/>
      <w:marRight w:val="0"/>
      <w:marTop w:val="0"/>
      <w:marBottom w:val="0"/>
      <w:divBdr>
        <w:top w:val="none" w:sz="0" w:space="0" w:color="auto"/>
        <w:left w:val="none" w:sz="0" w:space="0" w:color="auto"/>
        <w:bottom w:val="none" w:sz="0" w:space="0" w:color="auto"/>
        <w:right w:val="none" w:sz="0" w:space="0" w:color="auto"/>
      </w:divBdr>
    </w:div>
    <w:div w:id="2080705623">
      <w:bodyDiv w:val="1"/>
      <w:marLeft w:val="0"/>
      <w:marRight w:val="0"/>
      <w:marTop w:val="0"/>
      <w:marBottom w:val="0"/>
      <w:divBdr>
        <w:top w:val="none" w:sz="0" w:space="0" w:color="auto"/>
        <w:left w:val="none" w:sz="0" w:space="0" w:color="auto"/>
        <w:bottom w:val="none" w:sz="0" w:space="0" w:color="auto"/>
        <w:right w:val="none" w:sz="0" w:space="0" w:color="auto"/>
      </w:divBdr>
    </w:div>
    <w:div w:id="212418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705C9-4391-4C35-A1F6-93FF098FF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72860</Words>
  <Characters>415305</Characters>
  <Application>Microsoft Office Word</Application>
  <DocSecurity>0</DocSecurity>
  <Lines>3460</Lines>
  <Paragraphs>974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487191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Lamb</dc:creator>
  <cp:keywords/>
  <dc:description/>
  <cp:lastModifiedBy>William Lamb</cp:lastModifiedBy>
  <cp:revision>52</cp:revision>
  <cp:lastPrinted>2019-04-24T08:52:00Z</cp:lastPrinted>
  <dcterms:created xsi:type="dcterms:W3CDTF">2019-07-11T08:41:00Z</dcterms:created>
  <dcterms:modified xsi:type="dcterms:W3CDTF">2019-07-12T11:43:00Z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http://www.zotero.org/styles/energy-research-and-social-science</vt:lpwstr>
  </property>
  <property fmtid="{D5CDD505-2E9C-101B-9397-08002B2CF9AE}" pid="7" name="Mendeley Recent Style Name 2_1">
    <vt:lpwstr>Energy Research &amp; Social Science</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http://www.zotero.org/styles/energy-research-and-social-science</vt:lpwstr>
  </property>
</Properties>
</file>