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F21" w:rsidRPr="00CC52CD" w:rsidRDefault="006D169B">
      <w:pPr>
        <w:rPr>
          <w:b/>
        </w:rPr>
      </w:pPr>
      <w:r>
        <w:rPr>
          <w:b/>
        </w:rPr>
        <w:t>Political economy r</w:t>
      </w:r>
      <w:r w:rsidR="00D2695B">
        <w:rPr>
          <w:b/>
        </w:rPr>
        <w:t>egime</w:t>
      </w:r>
      <w:r>
        <w:rPr>
          <w:b/>
        </w:rPr>
        <w:t>s</w:t>
      </w:r>
      <w:r w:rsidR="00D2695B">
        <w:rPr>
          <w:b/>
        </w:rPr>
        <w:t xml:space="preserve"> and the decarbonisation challenge</w:t>
      </w:r>
    </w:p>
    <w:p w:rsidR="007954B9" w:rsidRDefault="00621B31">
      <w:r>
        <w:t>Journal</w:t>
      </w:r>
      <w:r w:rsidR="00791A9E">
        <w:t>s</w:t>
      </w:r>
      <w:r>
        <w:t xml:space="preserve">: </w:t>
      </w:r>
      <w:r w:rsidR="00D2695B">
        <w:t xml:space="preserve">Nature </w:t>
      </w:r>
      <w:r w:rsidR="006D3C01">
        <w:t>sustainability</w:t>
      </w:r>
      <w:r w:rsidR="00224300">
        <w:t xml:space="preserve"> (perspective?)</w:t>
      </w:r>
      <w:r w:rsidR="00D2695B">
        <w:t xml:space="preserve">, </w:t>
      </w:r>
      <w:r>
        <w:t>Global Sustainability</w:t>
      </w:r>
      <w:r w:rsidR="00791A9E">
        <w:t>, World Development</w:t>
      </w:r>
      <w:proofErr w:type="gramStart"/>
      <w:r w:rsidR="00791A9E">
        <w:t>, ?</w:t>
      </w:r>
      <w:proofErr w:type="gramEnd"/>
    </w:p>
    <w:p w:rsidR="00503AA1" w:rsidRDefault="00503AA1"/>
    <w:p w:rsidR="00553DA0" w:rsidRDefault="00553DA0"/>
    <w:p w:rsidR="006931F5" w:rsidRDefault="00C062F4" w:rsidP="00CB691F">
      <w:pPr>
        <w:pStyle w:val="ListParagraph"/>
        <w:numPr>
          <w:ilvl w:val="0"/>
          <w:numId w:val="5"/>
        </w:numPr>
        <w:rPr>
          <w:b/>
        </w:rPr>
      </w:pPr>
      <w:r w:rsidRPr="00CB691F">
        <w:rPr>
          <w:b/>
        </w:rPr>
        <w:t>Introduction</w:t>
      </w:r>
    </w:p>
    <w:p w:rsidR="00D40CB8" w:rsidRDefault="00D40CB8"/>
    <w:p w:rsidR="00A326CF" w:rsidRDefault="00D2695B">
      <w:r>
        <w:t>Pre-amble</w:t>
      </w:r>
    </w:p>
    <w:p w:rsidR="00DB3892" w:rsidRDefault="00E85817" w:rsidP="0024040B">
      <w:pPr>
        <w:pStyle w:val="ListParagraph"/>
        <w:numPr>
          <w:ilvl w:val="0"/>
          <w:numId w:val="7"/>
        </w:numPr>
      </w:pPr>
      <w:r>
        <w:t>Deep decarbonisation</w:t>
      </w:r>
      <w:r w:rsidRPr="00E85817">
        <w:t xml:space="preserve"> depends on various endogenous social, political and institutional factors.</w:t>
      </w:r>
      <w:r>
        <w:t xml:space="preserve"> [</w:t>
      </w:r>
      <w:proofErr w:type="gramStart"/>
      <w:r>
        <w:t>cite</w:t>
      </w:r>
      <w:proofErr w:type="gramEnd"/>
      <w:r>
        <w:t xml:space="preserve"> </w:t>
      </w:r>
      <w:r w:rsidR="00C26ADA">
        <w:t xml:space="preserve">examples, </w:t>
      </w:r>
      <w:r>
        <w:t>recognition in the literature]</w:t>
      </w:r>
      <w:r w:rsidR="00FF6F8F">
        <w:t>.</w:t>
      </w:r>
      <w:r>
        <w:t xml:space="preserve"> </w:t>
      </w:r>
      <w:r w:rsidR="000F7CBD">
        <w:t xml:space="preserve">Naturally, </w:t>
      </w:r>
      <w:r w:rsidR="00C36819">
        <w:t xml:space="preserve">suggestions </w:t>
      </w:r>
      <w:r w:rsidR="00DB3892">
        <w:t>to muster political will, strengthen institutions</w:t>
      </w:r>
      <w:r w:rsidR="000F7CBD">
        <w:t>,</w:t>
      </w:r>
      <w:r w:rsidR="00DB3892">
        <w:t xml:space="preserve"> and train technocratic capabilities follow. </w:t>
      </w:r>
    </w:p>
    <w:p w:rsidR="00FF6F8F" w:rsidRDefault="00FF6F8F" w:rsidP="0024040B">
      <w:pPr>
        <w:pStyle w:val="ListParagraph"/>
        <w:numPr>
          <w:ilvl w:val="0"/>
          <w:numId w:val="7"/>
        </w:numPr>
      </w:pPr>
      <w:r>
        <w:t>Yet, it is important to recognise these as factors</w:t>
      </w:r>
      <w:r w:rsidR="00C36819">
        <w:t xml:space="preserve"> that may be highly resistant to change</w:t>
      </w:r>
      <w:r>
        <w:t xml:space="preserve">. </w:t>
      </w:r>
      <w:r w:rsidR="000F7CBD">
        <w:t xml:space="preserve">In some cases, institutions have been deliberately hamstrung … </w:t>
      </w:r>
      <w:r>
        <w:t xml:space="preserve">Examples: </w:t>
      </w:r>
      <w:proofErr w:type="spellStart"/>
      <w:r>
        <w:t>kleptocracies</w:t>
      </w:r>
      <w:proofErr w:type="spellEnd"/>
      <w:r>
        <w:t xml:space="preserve">, rentier states. </w:t>
      </w:r>
      <w:r w:rsidR="00D2695B">
        <w:t>These</w:t>
      </w:r>
      <w:r w:rsidR="000F7CBD">
        <w:t xml:space="preserve"> regime</w:t>
      </w:r>
      <w:r w:rsidR="00D2695B">
        <w:t xml:space="preserve"> architectures explain the</w:t>
      </w:r>
      <w:r w:rsidR="000F7CBD">
        <w:t xml:space="preserve"> </w:t>
      </w:r>
      <w:r w:rsidR="00D2695B">
        <w:t>persistence</w:t>
      </w:r>
      <w:r w:rsidR="000F7CBD">
        <w:t xml:space="preserve"> of political economic challenges</w:t>
      </w:r>
      <w:r w:rsidR="00C26ADA">
        <w:t>, even in the face of concerted efforts at reform</w:t>
      </w:r>
      <w:r w:rsidR="000F7CBD">
        <w:t xml:space="preserve"> in specific problem areas</w:t>
      </w:r>
      <w:r w:rsidR="00C26ADA">
        <w:t xml:space="preserve"> (fossil fuel subsid</w:t>
      </w:r>
      <w:r w:rsidR="000F7CBD">
        <w:t>ies</w:t>
      </w:r>
      <w:r w:rsidR="00C26ADA">
        <w:t xml:space="preserve">?) </w:t>
      </w:r>
    </w:p>
    <w:p w:rsidR="00FF6F8F" w:rsidRDefault="004D7599" w:rsidP="00E85817">
      <w:pPr>
        <w:pStyle w:val="ListParagraph"/>
        <w:numPr>
          <w:ilvl w:val="0"/>
          <w:numId w:val="7"/>
        </w:numPr>
      </w:pPr>
      <w:r>
        <w:t>Shouldn’t misunderstand the</w:t>
      </w:r>
      <w:r w:rsidR="00DB3892">
        <w:t xml:space="preserve"> development process … </w:t>
      </w:r>
      <w:r w:rsidR="000F7CBD">
        <w:t xml:space="preserve">democratic bias… </w:t>
      </w:r>
      <w:r w:rsidR="00DB3892">
        <w:t>no slow progress towards d</w:t>
      </w:r>
      <w:r w:rsidR="00FF6F8F">
        <w:t xml:space="preserve">emocracy, capable institutions and climate-aware citizens … but a landscape of </w:t>
      </w:r>
      <w:r w:rsidR="000F7CBD">
        <w:t xml:space="preserve">distinct </w:t>
      </w:r>
      <w:r w:rsidR="00FF6F8F">
        <w:t>regime types</w:t>
      </w:r>
      <w:r w:rsidR="000F7CBD">
        <w:t xml:space="preserve"> (</w:t>
      </w:r>
      <w:proofErr w:type="spellStart"/>
      <w:r w:rsidR="000F7CBD">
        <w:t>Levitsky</w:t>
      </w:r>
      <w:proofErr w:type="spellEnd"/>
      <w:r w:rsidR="000F7CBD">
        <w:t xml:space="preserve"> and Way 2002)</w:t>
      </w:r>
      <w:r w:rsidR="00FF6F8F">
        <w:t>… punctuated by periodic upheavals, but otherwise quite stable.</w:t>
      </w:r>
    </w:p>
    <w:p w:rsidR="00D2695B" w:rsidRDefault="00D2695B">
      <w:r>
        <w:t>Relevance for climate research</w:t>
      </w:r>
    </w:p>
    <w:p w:rsidR="004D7599" w:rsidRDefault="000F7CBD" w:rsidP="00055C36">
      <w:pPr>
        <w:pStyle w:val="ListParagraph"/>
        <w:numPr>
          <w:ilvl w:val="0"/>
          <w:numId w:val="9"/>
        </w:numPr>
      </w:pPr>
      <w:r>
        <w:t>Important to understand these regimes</w:t>
      </w:r>
      <w:r w:rsidR="004D7599">
        <w:t xml:space="preserve"> and the landscape of risks they pose to a global energy transition</w:t>
      </w:r>
      <w:r>
        <w:t>. In the post-Paris period, targets must now be substantiated with action, and some regimes will be more prone to action than others.</w:t>
      </w:r>
      <w:r w:rsidR="00055C36">
        <w:t xml:space="preserve"> </w:t>
      </w:r>
    </w:p>
    <w:p w:rsidR="00055C36" w:rsidRDefault="00055C36" w:rsidP="004D7599">
      <w:pPr>
        <w:pStyle w:val="ListParagraph"/>
        <w:numPr>
          <w:ilvl w:val="0"/>
          <w:numId w:val="9"/>
        </w:numPr>
      </w:pPr>
      <w:r>
        <w:t>SSPs</w:t>
      </w:r>
      <w:r w:rsidR="007964A2">
        <w:t xml:space="preserve"> suggest quite a few things matter – fossil fuels, delay, cooperation, rivalry. But scenarios</w:t>
      </w:r>
      <w:r>
        <w:t xml:space="preserve"> are not enough, </w:t>
      </w:r>
      <w:r w:rsidR="00C36819">
        <w:t xml:space="preserve">we should seek to </w:t>
      </w:r>
      <w:r>
        <w:t>should understand which worlds are more likely and how we can shift between them.</w:t>
      </w:r>
    </w:p>
    <w:p w:rsidR="004D7599" w:rsidRDefault="00224300" w:rsidP="004D7599">
      <w:r>
        <w:t>Outline</w:t>
      </w:r>
      <w:r w:rsidR="004D7599">
        <w:t xml:space="preserve"> approach</w:t>
      </w:r>
    </w:p>
    <w:p w:rsidR="00E808A5" w:rsidRDefault="004D7599" w:rsidP="00D2695B">
      <w:pPr>
        <w:pStyle w:val="ListParagraph"/>
        <w:numPr>
          <w:ilvl w:val="0"/>
          <w:numId w:val="9"/>
        </w:numPr>
      </w:pPr>
      <w:r>
        <w:t xml:space="preserve">In this paper </w:t>
      </w:r>
      <w:r w:rsidR="00C36819">
        <w:t xml:space="preserve">we focus on </w:t>
      </w:r>
      <w:r>
        <w:t xml:space="preserve">three </w:t>
      </w:r>
      <w:r w:rsidR="00C36819">
        <w:t>overarching state conditions</w:t>
      </w:r>
      <w:r>
        <w:t xml:space="preserve">: vested interests, state capacities, and social cohesion. These are </w:t>
      </w:r>
      <w:r w:rsidR="00C36819">
        <w:t>things that matter for a world in which major investments and potenti</w:t>
      </w:r>
      <w:r>
        <w:t>al revenues have to be foregone</w:t>
      </w:r>
      <w:r w:rsidR="00224300">
        <w:t>, with a major disruption to the status quo, and where long-term perspective and integrative approaches are needed to deal with trade-offs</w:t>
      </w:r>
      <w:r>
        <w:t xml:space="preserve"> (willingness, ability, and consequences).</w:t>
      </w:r>
      <w:r w:rsidR="00224300">
        <w:t xml:space="preserve"> Complexity and trade-offs increase with </w:t>
      </w:r>
      <w:r w:rsidR="00224300" w:rsidRPr="00224300">
        <w:rPr>
          <w:b/>
        </w:rPr>
        <w:t>ambition</w:t>
      </w:r>
      <w:r w:rsidR="00224300">
        <w:t xml:space="preserve"> and </w:t>
      </w:r>
      <w:r w:rsidR="00224300" w:rsidRPr="00224300">
        <w:rPr>
          <w:b/>
        </w:rPr>
        <w:t>delay</w:t>
      </w:r>
      <w:r w:rsidR="00224300">
        <w:t>.</w:t>
      </w:r>
      <w:r>
        <w:t xml:space="preserve"> Link to SDG literature…</w:t>
      </w:r>
    </w:p>
    <w:p w:rsidR="004D7599" w:rsidRDefault="004D7599" w:rsidP="00D2695B">
      <w:pPr>
        <w:pStyle w:val="ListParagraph"/>
        <w:numPr>
          <w:ilvl w:val="0"/>
          <w:numId w:val="9"/>
        </w:numPr>
      </w:pPr>
      <w:r>
        <w:t xml:space="preserve">Examine the distribution of these factors, overlap with </w:t>
      </w:r>
      <w:r w:rsidR="0046283C">
        <w:t>mitigation bottlenecks</w:t>
      </w:r>
      <w:proofErr w:type="gramStart"/>
      <w:r>
        <w:t>, ..</w:t>
      </w:r>
      <w:proofErr w:type="gramEnd"/>
      <w:r>
        <w:t xml:space="preserve"> etc.</w:t>
      </w:r>
    </w:p>
    <w:p w:rsidR="00762E85" w:rsidRDefault="004D7599" w:rsidP="00D56687">
      <w:pPr>
        <w:pStyle w:val="ListParagraph"/>
        <w:numPr>
          <w:ilvl w:val="0"/>
          <w:numId w:val="9"/>
        </w:numPr>
      </w:pPr>
      <w:r>
        <w:t>Aim towards a typology of mitigation risk, in contrast to the dominant focus of country groupings on income, development status and drivers of carbon emissions</w:t>
      </w:r>
      <w:r w:rsidR="00C26ADA">
        <w:t xml:space="preserve"> </w:t>
      </w:r>
      <w:r w:rsidR="00C26ADA">
        <w:fldChar w:fldCharType="begin" w:fldLock="1"/>
      </w:r>
      <w:r w:rsidR="003403CE">
        <w:instrText>ADDIN CSL_CITATION {"citationItems":[{"id":"ITEM-1","itemData":{"DOI":"10.1126/science.1255302","PMID":"24994638","author":[{"dropping-particle":"","family":"Victor","given":"David G.","non-dropping-particle":"","parse-names":false,"suffix":""},{"dropping-particle":"","family":"Gerlagh","given":"Reyer","non-dropping-particle":"","parse-names":false,"suffix":""},{"dropping-particle":"","family":"Baiocchi","given":"Giovanni","non-dropping-particle":"","parse-names":false,"suffix":""}],"container-title":"Science","id":"ITEM-1","issue":"6192","issued":{"date-parts":[["2014"]]},"page":"34-36","title":"Getting serious about categorizing countries","type":"article-journal","volume":"345"},"uris":["http://www.mendeley.com/documents/?uuid=58d8d9fc-1977-4a64-836f-54f1dd5b0e72"]}],"mendeley":{"formattedCitation":"(Victor, Gerlagh, &amp; Baiocchi, 2014)","plainTextFormattedCitation":"(Victor, Gerlagh, &amp; Baiocchi, 2014)","previouslyFormattedCitation":"(Victor, Gerlagh, &amp; Baiocchi, 2014)"},"properties":{"noteIndex":0},"schema":"https://github.com/citation-style-language/schema/raw/master/csl-citation.json"}</w:instrText>
      </w:r>
      <w:r w:rsidR="00C26ADA">
        <w:fldChar w:fldCharType="separate"/>
      </w:r>
      <w:r w:rsidR="00C26ADA" w:rsidRPr="00C26ADA">
        <w:rPr>
          <w:noProof/>
        </w:rPr>
        <w:t>(Victor, Gerlagh, &amp; Baiocchi, 2014)</w:t>
      </w:r>
      <w:r w:rsidR="00C26ADA">
        <w:fldChar w:fldCharType="end"/>
      </w:r>
      <w:r w:rsidR="00C26ADA">
        <w:t xml:space="preserve">. </w:t>
      </w:r>
      <w:r w:rsidR="00A1695A">
        <w:t>Such a map of political economic challenges to mitigation would be useful to inform policy strategies,</w:t>
      </w:r>
      <w:r w:rsidR="00952034">
        <w:t xml:space="preserve"> </w:t>
      </w:r>
      <w:r w:rsidR="00835B17">
        <w:t>sense-check scenario designs,</w:t>
      </w:r>
      <w:r w:rsidR="00952034">
        <w:t xml:space="preserve"> contextualise</w:t>
      </w:r>
      <w:r w:rsidR="00835B17">
        <w:t xml:space="preserve"> case study research, and so forth</w:t>
      </w:r>
      <w:r w:rsidR="00952034">
        <w:t>.</w:t>
      </w:r>
    </w:p>
    <w:p w:rsidR="00C13753" w:rsidRDefault="00C13753" w:rsidP="00C13753"/>
    <w:p w:rsidR="00224300" w:rsidRDefault="00224300" w:rsidP="00C13753"/>
    <w:p w:rsidR="00DD37AE" w:rsidRDefault="00DD37AE" w:rsidP="00C13753"/>
    <w:p w:rsidR="00224300" w:rsidRDefault="00983F79" w:rsidP="00224300">
      <w:pPr>
        <w:pStyle w:val="ListParagraph"/>
        <w:numPr>
          <w:ilvl w:val="0"/>
          <w:numId w:val="5"/>
        </w:numPr>
        <w:rPr>
          <w:b/>
        </w:rPr>
      </w:pPr>
      <w:r>
        <w:rPr>
          <w:b/>
        </w:rPr>
        <w:lastRenderedPageBreak/>
        <w:t>S</w:t>
      </w:r>
      <w:r w:rsidR="00224300" w:rsidRPr="00224300">
        <w:rPr>
          <w:b/>
        </w:rPr>
        <w:t xml:space="preserve">tructural </w:t>
      </w:r>
      <w:r>
        <w:rPr>
          <w:b/>
        </w:rPr>
        <w:t xml:space="preserve">barriers to </w:t>
      </w:r>
      <w:r w:rsidR="00141552">
        <w:rPr>
          <w:b/>
        </w:rPr>
        <w:t>deep decarbonisation</w:t>
      </w:r>
    </w:p>
    <w:p w:rsidR="00224300" w:rsidRDefault="00224300" w:rsidP="00C13753"/>
    <w:p w:rsidR="003218A4" w:rsidRDefault="00227B35" w:rsidP="0097680F">
      <w:pPr>
        <w:pStyle w:val="ListParagraph"/>
        <w:numPr>
          <w:ilvl w:val="0"/>
          <w:numId w:val="10"/>
        </w:numPr>
      </w:pPr>
      <w:r>
        <w:t>Political economic analysis of climate mitigation barrier</w:t>
      </w:r>
      <w:r w:rsidR="000E78F6">
        <w:t>s is a growing field of inquiry</w:t>
      </w:r>
      <w:r w:rsidR="003218A4">
        <w:t>. Emphasis is on vested interests and institutions.</w:t>
      </w:r>
      <w:r w:rsidR="000E78F6">
        <w:t xml:space="preserve"> [cite and summarise major overview papers: </w:t>
      </w:r>
      <w:r w:rsidR="000E78F6">
        <w:fldChar w:fldCharType="begin" w:fldLock="1"/>
      </w:r>
      <w:r w:rsidR="003403CE">
        <w:instrText>ADDIN CSL_CITATION {"citationItems":[{"id":"ITEM-1","itemData":{"DOI":"10.1016/j.ecolecon.2009.09.015","ISSN":"09218009","author":[{"dropping-particle":"","family":"O'Hara","given":"Phillip Anthony","non-dropping-particle":"","parse-names":false,"suffix":""}],"container-title":"Ecological Economics","id":"ITEM-1","issue":"2","issued":{"date-parts":[["2009","12"]]},"page":"223-234","publisher":"Elsevier B.V.","title":"Political economy of climate change, ecological destruction and uneven development","type":"article-journal","volume":"69"},"uris":["http://www.mendeley.com/documents/?uuid=624ad11e-5559-4676-8854-f72877cdec45"]},{"id":"ITEM-2","itemData":{"DOI":"10.1002/wene.256","ISSN":"20418396","abstract":"Adrien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Environment","id":"ITEM-2","issued":{"date-parts":[["2017"]]},"title":"Climate policies and nationally determined contributions: reconciling the needed ambition with the political economy","type":"article-journal","volume":"e256"},"uris":["http://www.mendeley.com/documents/?uuid=53353736-258a-4980-afad-6f632f9c6d80"]},{"id":"ITEM-3","itemData":{"DOI":"10.1002/WCC.506","ISSN":"1757-7799","author":[{"dropping-particle":"","family":"Paterson","given":"Matthew","non-dropping-particle":"","parse-names":false,"suffix":""},{"dropping-particle":"","family":"P‐Laberge","given":"Xavier","non-dropping-particle":"","parse-names":false,"suffix":""}],"container-title":"Wiley Interdisciplinary Reviews: Climate Change","id":"ITEM-3","issue":"November 2017","issued":{"date-parts":[["2018"]]},"page":"1-16","title":"Political economies of climate change","type":"article-journal"},"uris":["http://www.mendeley.com/documents/?uuid=89d72bd5-2f5b-4037-8978-7aee57bed12b"]},{"id":"ITEM-4","itemData":{"DOI":"10.1111/geoj.12008","ISBN":"9781847200839","ISSN":"00167398","PMID":"303597","abstract":"No abstract is available for this item.","author":[{"dropping-particle":"","family":"Newell","given":"Peter","non-dropping-particle":"","parse-names":false,"suffix":""},{"dropping-particle":"","family":"Mulvaney","given":"Dustin","non-dropping-particle":"","parse-names":false,"suffix":""}],"container-title":"Geographical Journal","id":"ITEM-4","issue":"2","issued":{"date-parts":[["2013"]]},"page":"132-140","title":"The political economy of the 'just transition'","type":"article-journal","volume":"179"},"uris":["http://www.mendeley.com/documents/?uuid=60396bd0-888e-4681-913e-40202b911cda"]}],"mendeley":{"formattedCitation":"(Newell &amp; Mulvaney, 2013; O’Hara, 2009; Paterson &amp; P‐Laberge, 2018; Vogt-Schilb &amp; Hallegatte, 2017)","plainTextFormattedCitation":"(Newell &amp; Mulvaney, 2013; O’Hara, 2009; Paterson &amp; P‐Laberge, 2018; Vogt-Schilb &amp; Hallegatte, 2017)","previouslyFormattedCitation":"(Newell &amp; Mulvaney, 2013; O’Hara, 2009; Paterson &amp; P‐Laberge, 2018; Vogt-Schilb &amp; Hallegatte, 2017)"},"properties":{"noteIndex":0},"schema":"https://github.com/citation-style-language/schema/raw/master/csl-citation.json"}</w:instrText>
      </w:r>
      <w:r w:rsidR="000E78F6">
        <w:fldChar w:fldCharType="separate"/>
      </w:r>
      <w:r w:rsidR="000E78F6" w:rsidRPr="000E78F6">
        <w:rPr>
          <w:noProof/>
        </w:rPr>
        <w:t>(Newell &amp; Mulvaney, 2013; O’Hara, 2009; Paterson &amp; P‐Laberge, 2018; Vogt-Schilb &amp; Hallegatte, 2017)</w:t>
      </w:r>
      <w:r w:rsidR="000E78F6">
        <w:fldChar w:fldCharType="end"/>
      </w:r>
      <w:r w:rsidR="000E78F6">
        <w:t xml:space="preserve">]. </w:t>
      </w:r>
    </w:p>
    <w:p w:rsidR="00141552" w:rsidRDefault="003218A4" w:rsidP="00141552">
      <w:pPr>
        <w:pStyle w:val="ListParagraph"/>
        <w:numPr>
          <w:ilvl w:val="0"/>
          <w:numId w:val="10"/>
        </w:numPr>
      </w:pPr>
      <w:r>
        <w:t>Different lenses needed</w:t>
      </w:r>
      <w:r w:rsidR="00141552">
        <w:t xml:space="preserve"> (</w:t>
      </w:r>
      <w:r>
        <w:t>transitions theory</w:t>
      </w:r>
      <w:r w:rsidR="00141552">
        <w:t>)</w:t>
      </w:r>
      <w:r>
        <w:t>…</w:t>
      </w:r>
      <w:r w:rsidR="00141552">
        <w:t xml:space="preserve"> global trends/national contexts/niche activities. Altogether this makes it a difficult task to track empirical effects…</w:t>
      </w:r>
    </w:p>
    <w:p w:rsidR="00141552" w:rsidRDefault="00141552" w:rsidP="00141552">
      <w:pPr>
        <w:pStyle w:val="ListParagraph"/>
        <w:numPr>
          <w:ilvl w:val="0"/>
          <w:numId w:val="10"/>
        </w:numPr>
      </w:pPr>
      <w:r>
        <w:t>Fossil subsidy reform? (Victor)</w:t>
      </w:r>
    </w:p>
    <w:p w:rsidR="00141552" w:rsidRDefault="00141552" w:rsidP="00141552">
      <w:pPr>
        <w:pStyle w:val="ListParagraph"/>
        <w:ind w:left="360"/>
      </w:pPr>
    </w:p>
    <w:p w:rsidR="00141552" w:rsidRDefault="00141552" w:rsidP="00141552">
      <w:r>
        <w:t xml:space="preserve">Hammond, G. P., &amp; Pearson, P. J. G. (2012). Challenges of the transition to a low carbon, more electric future: From here to 2050. </w:t>
      </w:r>
      <w:r>
        <w:rPr>
          <w:i/>
          <w:iCs/>
        </w:rPr>
        <w:t>Energy Policy</w:t>
      </w:r>
      <w:r>
        <w:t xml:space="preserve">, </w:t>
      </w:r>
      <w:r>
        <w:rPr>
          <w:i/>
          <w:iCs/>
        </w:rPr>
        <w:t>52</w:t>
      </w:r>
      <w:r>
        <w:t>, 1–9. http://doi.org/10.1016/j.enpol.2012.10.052</w:t>
      </w:r>
    </w:p>
    <w:p w:rsidR="00141552" w:rsidRDefault="00141552" w:rsidP="00141552">
      <w:proofErr w:type="spellStart"/>
      <w:r>
        <w:t>Sovacool</w:t>
      </w:r>
      <w:proofErr w:type="spellEnd"/>
      <w:r>
        <w:t xml:space="preserve">, B. K. (2012). The political economy of energy poverty: A review of key challenges. </w:t>
      </w:r>
      <w:r>
        <w:rPr>
          <w:i/>
          <w:iCs/>
        </w:rPr>
        <w:t>Energy for Sustainable Development</w:t>
      </w:r>
      <w:r>
        <w:t xml:space="preserve">, </w:t>
      </w:r>
      <w:r>
        <w:rPr>
          <w:i/>
          <w:iCs/>
        </w:rPr>
        <w:t>16</w:t>
      </w:r>
      <w:r>
        <w:t>(3), 272–282. http://doi.org/10.1016/j.esd.2012.05.006</w:t>
      </w:r>
    </w:p>
    <w:p w:rsidR="00141552" w:rsidRDefault="00141552" w:rsidP="00141552">
      <w:pPr>
        <w:pStyle w:val="ListParagraph"/>
        <w:ind w:left="360"/>
      </w:pPr>
    </w:p>
    <w:p w:rsidR="00141552" w:rsidRDefault="00141552" w:rsidP="00141552">
      <w:pPr>
        <w:pStyle w:val="ListParagraph"/>
        <w:ind w:left="360"/>
      </w:pPr>
    </w:p>
    <w:p w:rsidR="003218A4" w:rsidRPr="00141552" w:rsidRDefault="003218A4" w:rsidP="00141552">
      <w:pPr>
        <w:pStyle w:val="ListParagraph"/>
        <w:numPr>
          <w:ilvl w:val="1"/>
          <w:numId w:val="5"/>
        </w:numPr>
        <w:ind w:left="431" w:hanging="431"/>
        <w:rPr>
          <w:i/>
        </w:rPr>
      </w:pPr>
      <w:r w:rsidRPr="00141552">
        <w:rPr>
          <w:i/>
        </w:rPr>
        <w:t>Vested interests</w:t>
      </w:r>
    </w:p>
    <w:p w:rsidR="003218A4" w:rsidRDefault="003218A4" w:rsidP="003218A4"/>
    <w:p w:rsidR="00141552" w:rsidRPr="00141552" w:rsidRDefault="00141552" w:rsidP="00141552">
      <w:pPr>
        <w:spacing w:before="100" w:beforeAutospacing="1" w:after="100" w:afterAutospacing="1" w:line="240" w:lineRule="auto"/>
        <w:ind w:left="480" w:hanging="480"/>
        <w:rPr>
          <w:rFonts w:ascii="Times New Roman" w:eastAsia="Times New Roman" w:hAnsi="Times New Roman" w:cs="Times New Roman"/>
          <w:sz w:val="20"/>
          <w:szCs w:val="24"/>
          <w:lang w:eastAsia="en-GB"/>
        </w:rPr>
      </w:pPr>
      <w:proofErr w:type="spellStart"/>
      <w:r w:rsidRPr="00141552">
        <w:rPr>
          <w:rFonts w:ascii="Times New Roman" w:eastAsia="Times New Roman" w:hAnsi="Times New Roman" w:cs="Times New Roman"/>
          <w:sz w:val="20"/>
          <w:szCs w:val="24"/>
          <w:lang w:eastAsia="en-GB"/>
        </w:rPr>
        <w:t>Sovacool</w:t>
      </w:r>
      <w:proofErr w:type="spellEnd"/>
      <w:r w:rsidRPr="00141552">
        <w:rPr>
          <w:rFonts w:ascii="Times New Roman" w:eastAsia="Times New Roman" w:hAnsi="Times New Roman" w:cs="Times New Roman"/>
          <w:sz w:val="20"/>
          <w:szCs w:val="24"/>
          <w:lang w:eastAsia="en-GB"/>
        </w:rPr>
        <w:t xml:space="preserve">, B. K. (2014). What are we doing here? </w:t>
      </w:r>
      <w:proofErr w:type="spellStart"/>
      <w:r w:rsidRPr="00141552">
        <w:rPr>
          <w:rFonts w:ascii="Times New Roman" w:eastAsia="Times New Roman" w:hAnsi="Times New Roman" w:cs="Times New Roman"/>
          <w:sz w:val="20"/>
          <w:szCs w:val="24"/>
          <w:lang w:eastAsia="en-GB"/>
        </w:rPr>
        <w:t>Analyzing</w:t>
      </w:r>
      <w:proofErr w:type="spellEnd"/>
      <w:r w:rsidRPr="00141552">
        <w:rPr>
          <w:rFonts w:ascii="Times New Roman" w:eastAsia="Times New Roman" w:hAnsi="Times New Roman" w:cs="Times New Roman"/>
          <w:sz w:val="20"/>
          <w:szCs w:val="24"/>
          <w:lang w:eastAsia="en-GB"/>
        </w:rPr>
        <w:t xml:space="preserve"> fifteen years of energy scholarship and proposing a social science research agenda. </w:t>
      </w:r>
      <w:r w:rsidRPr="00141552">
        <w:rPr>
          <w:rFonts w:ascii="Times New Roman" w:eastAsia="Times New Roman" w:hAnsi="Times New Roman" w:cs="Times New Roman"/>
          <w:i/>
          <w:iCs/>
          <w:sz w:val="20"/>
          <w:szCs w:val="24"/>
          <w:lang w:eastAsia="en-GB"/>
        </w:rPr>
        <w:t>Energy Research and Social Science</w:t>
      </w:r>
      <w:r w:rsidRPr="00141552">
        <w:rPr>
          <w:rFonts w:ascii="Times New Roman" w:eastAsia="Times New Roman" w:hAnsi="Times New Roman" w:cs="Times New Roman"/>
          <w:sz w:val="20"/>
          <w:szCs w:val="24"/>
          <w:lang w:eastAsia="en-GB"/>
        </w:rPr>
        <w:t xml:space="preserve">, </w:t>
      </w:r>
      <w:r w:rsidRPr="00141552">
        <w:rPr>
          <w:rFonts w:ascii="Times New Roman" w:eastAsia="Times New Roman" w:hAnsi="Times New Roman" w:cs="Times New Roman"/>
          <w:i/>
          <w:iCs/>
          <w:sz w:val="20"/>
          <w:szCs w:val="24"/>
          <w:lang w:eastAsia="en-GB"/>
        </w:rPr>
        <w:t>1</w:t>
      </w:r>
      <w:r w:rsidRPr="00141552">
        <w:rPr>
          <w:rFonts w:ascii="Times New Roman" w:eastAsia="Times New Roman" w:hAnsi="Times New Roman" w:cs="Times New Roman"/>
          <w:sz w:val="20"/>
          <w:szCs w:val="24"/>
          <w:lang w:eastAsia="en-GB"/>
        </w:rPr>
        <w:t>, 1–29. http://doi.org/10.1016/j.erss.2014.02.00</w:t>
      </w:r>
    </w:p>
    <w:p w:rsidR="00141552" w:rsidRPr="00141552" w:rsidRDefault="00141552" w:rsidP="00141552">
      <w:pPr>
        <w:spacing w:before="100" w:beforeAutospacing="1" w:after="100" w:afterAutospacing="1" w:line="240" w:lineRule="auto"/>
        <w:ind w:left="480" w:hanging="480"/>
        <w:rPr>
          <w:rFonts w:ascii="Times New Roman" w:eastAsia="Times New Roman" w:hAnsi="Times New Roman" w:cs="Times New Roman"/>
          <w:sz w:val="20"/>
          <w:szCs w:val="24"/>
          <w:lang w:eastAsia="en-GB"/>
        </w:rPr>
      </w:pPr>
      <w:r w:rsidRPr="00141552">
        <w:rPr>
          <w:rFonts w:ascii="Times New Roman" w:eastAsia="Times New Roman" w:hAnsi="Times New Roman" w:cs="Times New Roman"/>
          <w:sz w:val="20"/>
          <w:szCs w:val="24"/>
          <w:lang w:val="de-DE" w:eastAsia="en-GB"/>
        </w:rPr>
        <w:t>Vogt-</w:t>
      </w:r>
      <w:proofErr w:type="spellStart"/>
      <w:r w:rsidRPr="00141552">
        <w:rPr>
          <w:rFonts w:ascii="Times New Roman" w:eastAsia="Times New Roman" w:hAnsi="Times New Roman" w:cs="Times New Roman"/>
          <w:sz w:val="20"/>
          <w:szCs w:val="24"/>
          <w:lang w:val="de-DE" w:eastAsia="en-GB"/>
        </w:rPr>
        <w:t>Schilb</w:t>
      </w:r>
      <w:proofErr w:type="spellEnd"/>
      <w:r w:rsidRPr="00141552">
        <w:rPr>
          <w:rFonts w:ascii="Times New Roman" w:eastAsia="Times New Roman" w:hAnsi="Times New Roman" w:cs="Times New Roman"/>
          <w:sz w:val="20"/>
          <w:szCs w:val="24"/>
          <w:lang w:val="de-DE" w:eastAsia="en-GB"/>
        </w:rPr>
        <w:t xml:space="preserve">, A., &amp; </w:t>
      </w:r>
      <w:proofErr w:type="spellStart"/>
      <w:r w:rsidRPr="00141552">
        <w:rPr>
          <w:rFonts w:ascii="Times New Roman" w:eastAsia="Times New Roman" w:hAnsi="Times New Roman" w:cs="Times New Roman"/>
          <w:sz w:val="20"/>
          <w:szCs w:val="24"/>
          <w:lang w:val="de-DE" w:eastAsia="en-GB"/>
        </w:rPr>
        <w:t>Hallegatte</w:t>
      </w:r>
      <w:proofErr w:type="spellEnd"/>
      <w:r w:rsidRPr="00141552">
        <w:rPr>
          <w:rFonts w:ascii="Times New Roman" w:eastAsia="Times New Roman" w:hAnsi="Times New Roman" w:cs="Times New Roman"/>
          <w:sz w:val="20"/>
          <w:szCs w:val="24"/>
          <w:lang w:val="de-DE" w:eastAsia="en-GB"/>
        </w:rPr>
        <w:t xml:space="preserve">, S. (2017). </w:t>
      </w:r>
      <w:r w:rsidRPr="00141552">
        <w:rPr>
          <w:rFonts w:ascii="Times New Roman" w:eastAsia="Times New Roman" w:hAnsi="Times New Roman" w:cs="Times New Roman"/>
          <w:sz w:val="20"/>
          <w:szCs w:val="24"/>
          <w:lang w:eastAsia="en-GB"/>
        </w:rPr>
        <w:t xml:space="preserve">Climate policies and nationally determined contributions: reconciling the needed ambition with the political economy. </w:t>
      </w:r>
      <w:r w:rsidRPr="00141552">
        <w:rPr>
          <w:rFonts w:ascii="Times New Roman" w:eastAsia="Times New Roman" w:hAnsi="Times New Roman" w:cs="Times New Roman"/>
          <w:i/>
          <w:iCs/>
          <w:sz w:val="20"/>
          <w:szCs w:val="24"/>
          <w:lang w:eastAsia="en-GB"/>
        </w:rPr>
        <w:t>Wiley Interdisciplinary Reviews: Energy and Environment</w:t>
      </w:r>
      <w:r w:rsidRPr="00141552">
        <w:rPr>
          <w:rFonts w:ascii="Times New Roman" w:eastAsia="Times New Roman" w:hAnsi="Times New Roman" w:cs="Times New Roman"/>
          <w:sz w:val="20"/>
          <w:szCs w:val="24"/>
          <w:lang w:eastAsia="en-GB"/>
        </w:rPr>
        <w:t xml:space="preserve">, </w:t>
      </w:r>
      <w:r w:rsidRPr="00141552">
        <w:rPr>
          <w:rFonts w:ascii="Times New Roman" w:eastAsia="Times New Roman" w:hAnsi="Times New Roman" w:cs="Times New Roman"/>
          <w:i/>
          <w:iCs/>
          <w:sz w:val="20"/>
          <w:szCs w:val="24"/>
          <w:lang w:eastAsia="en-GB"/>
        </w:rPr>
        <w:t>e256</w:t>
      </w:r>
      <w:r w:rsidRPr="00141552">
        <w:rPr>
          <w:rFonts w:ascii="Times New Roman" w:eastAsia="Times New Roman" w:hAnsi="Times New Roman" w:cs="Times New Roman"/>
          <w:sz w:val="20"/>
          <w:szCs w:val="24"/>
          <w:lang w:eastAsia="en-GB"/>
        </w:rPr>
        <w:t>. http://doi.org/10.1002/wene.256</w:t>
      </w:r>
    </w:p>
    <w:p w:rsidR="00141552" w:rsidRPr="00141552" w:rsidRDefault="00141552" w:rsidP="00141552">
      <w:pPr>
        <w:spacing w:before="100" w:beforeAutospacing="1" w:after="100" w:afterAutospacing="1" w:line="240" w:lineRule="auto"/>
        <w:ind w:left="480" w:hanging="480"/>
        <w:rPr>
          <w:rFonts w:ascii="Times New Roman" w:eastAsia="Times New Roman" w:hAnsi="Times New Roman" w:cs="Times New Roman"/>
          <w:sz w:val="20"/>
          <w:szCs w:val="24"/>
          <w:lang w:eastAsia="en-GB"/>
        </w:rPr>
      </w:pPr>
      <w:r w:rsidRPr="00141552">
        <w:rPr>
          <w:rFonts w:ascii="Times New Roman" w:eastAsia="Times New Roman" w:hAnsi="Times New Roman" w:cs="Times New Roman"/>
          <w:sz w:val="20"/>
          <w:szCs w:val="24"/>
          <w:lang w:val="de-DE" w:eastAsia="en-GB"/>
        </w:rPr>
        <w:t xml:space="preserve">Geels, F. W., </w:t>
      </w:r>
      <w:proofErr w:type="spellStart"/>
      <w:r w:rsidRPr="00141552">
        <w:rPr>
          <w:rFonts w:ascii="Times New Roman" w:eastAsia="Times New Roman" w:hAnsi="Times New Roman" w:cs="Times New Roman"/>
          <w:sz w:val="20"/>
          <w:szCs w:val="24"/>
          <w:lang w:val="de-DE" w:eastAsia="en-GB"/>
        </w:rPr>
        <w:t>Sovacool</w:t>
      </w:r>
      <w:proofErr w:type="spellEnd"/>
      <w:r w:rsidRPr="00141552">
        <w:rPr>
          <w:rFonts w:ascii="Times New Roman" w:eastAsia="Times New Roman" w:hAnsi="Times New Roman" w:cs="Times New Roman"/>
          <w:sz w:val="20"/>
          <w:szCs w:val="24"/>
          <w:lang w:val="de-DE" w:eastAsia="en-GB"/>
        </w:rPr>
        <w:t xml:space="preserve">, B. K., Schwanen, T., &amp; </w:t>
      </w:r>
      <w:proofErr w:type="spellStart"/>
      <w:r w:rsidRPr="00141552">
        <w:rPr>
          <w:rFonts w:ascii="Times New Roman" w:eastAsia="Times New Roman" w:hAnsi="Times New Roman" w:cs="Times New Roman"/>
          <w:sz w:val="20"/>
          <w:szCs w:val="24"/>
          <w:lang w:val="de-DE" w:eastAsia="en-GB"/>
        </w:rPr>
        <w:t>Sorrell</w:t>
      </w:r>
      <w:proofErr w:type="spellEnd"/>
      <w:r w:rsidRPr="00141552">
        <w:rPr>
          <w:rFonts w:ascii="Times New Roman" w:eastAsia="Times New Roman" w:hAnsi="Times New Roman" w:cs="Times New Roman"/>
          <w:sz w:val="20"/>
          <w:szCs w:val="24"/>
          <w:lang w:val="de-DE" w:eastAsia="en-GB"/>
        </w:rPr>
        <w:t xml:space="preserve">, S. (2017). </w:t>
      </w:r>
      <w:r w:rsidRPr="00141552">
        <w:rPr>
          <w:rFonts w:ascii="Times New Roman" w:eastAsia="Times New Roman" w:hAnsi="Times New Roman" w:cs="Times New Roman"/>
          <w:sz w:val="20"/>
          <w:szCs w:val="24"/>
          <w:lang w:eastAsia="en-GB"/>
        </w:rPr>
        <w:t xml:space="preserve">The Socio-Technical Dynamics of Low-Carbon Transitions. </w:t>
      </w:r>
      <w:r w:rsidRPr="00141552">
        <w:rPr>
          <w:rFonts w:ascii="Times New Roman" w:eastAsia="Times New Roman" w:hAnsi="Times New Roman" w:cs="Times New Roman"/>
          <w:i/>
          <w:iCs/>
          <w:sz w:val="20"/>
          <w:szCs w:val="24"/>
          <w:lang w:eastAsia="en-GB"/>
        </w:rPr>
        <w:t>Joule</w:t>
      </w:r>
      <w:r w:rsidRPr="00141552">
        <w:rPr>
          <w:rFonts w:ascii="Times New Roman" w:eastAsia="Times New Roman" w:hAnsi="Times New Roman" w:cs="Times New Roman"/>
          <w:sz w:val="20"/>
          <w:szCs w:val="24"/>
          <w:lang w:eastAsia="en-GB"/>
        </w:rPr>
        <w:t>, 1–17. http://doi.org/10.1016/j.joule.2017.09.018</w:t>
      </w:r>
    </w:p>
    <w:p w:rsidR="00141552" w:rsidRDefault="00141552" w:rsidP="003218A4">
      <w:r>
        <w:t>Moe</w:t>
      </w:r>
    </w:p>
    <w:p w:rsidR="000E3EB1" w:rsidRPr="00DE3726" w:rsidRDefault="000E3EB1" w:rsidP="000E3EB1">
      <w:pPr>
        <w:rPr>
          <w:noProof/>
          <w:sz w:val="20"/>
          <w:szCs w:val="24"/>
        </w:rPr>
      </w:pPr>
      <w:r w:rsidRPr="00DE3726">
        <w:rPr>
          <w:noProof/>
          <w:sz w:val="20"/>
          <w:szCs w:val="24"/>
        </w:rPr>
        <w:t xml:space="preserve">F. van der Ploeg, “Fossil fuel producers under threat,” </w:t>
      </w:r>
      <w:r w:rsidRPr="00DE3726">
        <w:rPr>
          <w:i/>
          <w:iCs/>
          <w:noProof/>
          <w:sz w:val="20"/>
          <w:szCs w:val="24"/>
        </w:rPr>
        <w:t>Oxford Rev. Econ. Policy</w:t>
      </w:r>
      <w:r w:rsidRPr="00DE3726">
        <w:rPr>
          <w:noProof/>
          <w:sz w:val="20"/>
          <w:szCs w:val="24"/>
        </w:rPr>
        <w:t>, vol. 32, no. 2, pp. 206–222, 2016.</w:t>
      </w:r>
    </w:p>
    <w:p w:rsidR="00141552" w:rsidRDefault="00141552" w:rsidP="003218A4"/>
    <w:p w:rsidR="009102E6" w:rsidRPr="00E05A38" w:rsidRDefault="009102E6" w:rsidP="009102E6">
      <w:pPr>
        <w:rPr>
          <w:i/>
        </w:rPr>
      </w:pPr>
    </w:p>
    <w:p w:rsidR="009102E6" w:rsidRDefault="009102E6" w:rsidP="009102E6">
      <w:pPr>
        <w:pStyle w:val="ListParagraph"/>
        <w:numPr>
          <w:ilvl w:val="1"/>
          <w:numId w:val="5"/>
        </w:numPr>
        <w:ind w:left="431" w:hanging="431"/>
        <w:rPr>
          <w:i/>
        </w:rPr>
      </w:pPr>
      <w:r>
        <w:rPr>
          <w:i/>
        </w:rPr>
        <w:t>Institutional capacity</w:t>
      </w:r>
    </w:p>
    <w:p w:rsidR="00141552" w:rsidRDefault="00141552" w:rsidP="003218A4"/>
    <w:p w:rsidR="005746CB" w:rsidRDefault="005746CB" w:rsidP="003218A4">
      <w:pPr>
        <w:pStyle w:val="ListParagraph"/>
        <w:numPr>
          <w:ilvl w:val="0"/>
          <w:numId w:val="10"/>
        </w:numPr>
      </w:pPr>
      <w:r>
        <w:t xml:space="preserve">Analogues to the development field: how to explain the slow pace of growth, infrastructure provisioning, and poverty alleviation? Institutions again have a central role … goes back to colonial history … </w:t>
      </w:r>
    </w:p>
    <w:p w:rsidR="007A0BDC" w:rsidRDefault="007A0BDC" w:rsidP="003218A4">
      <w:proofErr w:type="spellStart"/>
      <w:r>
        <w:t>Acemoglu</w:t>
      </w:r>
      <w:proofErr w:type="spellEnd"/>
      <w:r>
        <w:t xml:space="preserve"> &amp; colonial development</w:t>
      </w:r>
    </w:p>
    <w:p w:rsidR="009102E6" w:rsidRDefault="009102E6" w:rsidP="003218A4"/>
    <w:p w:rsidR="009102E6" w:rsidRDefault="009102E6" w:rsidP="009102E6">
      <w:pPr>
        <w:pStyle w:val="ListParagraph"/>
        <w:numPr>
          <w:ilvl w:val="1"/>
          <w:numId w:val="5"/>
        </w:numPr>
        <w:ind w:left="431" w:hanging="431"/>
        <w:rPr>
          <w:i/>
        </w:rPr>
      </w:pPr>
      <w:r>
        <w:rPr>
          <w:i/>
        </w:rPr>
        <w:lastRenderedPageBreak/>
        <w:t>Social cohesion</w:t>
      </w:r>
    </w:p>
    <w:p w:rsidR="009102E6" w:rsidRDefault="009102E6" w:rsidP="003218A4"/>
    <w:p w:rsidR="00FE33AF" w:rsidRPr="00FE33AF" w:rsidRDefault="00FE33AF" w:rsidP="00FE33AF">
      <w:pPr>
        <w:spacing w:before="100" w:beforeAutospacing="1" w:after="100" w:afterAutospacing="1" w:line="240" w:lineRule="auto"/>
        <w:ind w:left="480" w:hanging="480"/>
        <w:rPr>
          <w:rFonts w:ascii="Times New Roman" w:eastAsia="Times New Roman" w:hAnsi="Times New Roman" w:cs="Times New Roman"/>
          <w:sz w:val="20"/>
          <w:szCs w:val="24"/>
          <w:lang w:eastAsia="en-GB"/>
        </w:rPr>
      </w:pPr>
      <w:r w:rsidRPr="00FE33AF">
        <w:rPr>
          <w:rFonts w:ascii="Times New Roman" w:eastAsia="Times New Roman" w:hAnsi="Times New Roman" w:cs="Times New Roman"/>
          <w:sz w:val="20"/>
          <w:szCs w:val="24"/>
          <w:lang w:eastAsia="en-GB"/>
        </w:rPr>
        <w:t xml:space="preserve">Easterly, W., </w:t>
      </w:r>
      <w:proofErr w:type="spellStart"/>
      <w:r w:rsidRPr="00FE33AF">
        <w:rPr>
          <w:rFonts w:ascii="Times New Roman" w:eastAsia="Times New Roman" w:hAnsi="Times New Roman" w:cs="Times New Roman"/>
          <w:sz w:val="20"/>
          <w:szCs w:val="24"/>
          <w:lang w:eastAsia="en-GB"/>
        </w:rPr>
        <w:t>Ritzan</w:t>
      </w:r>
      <w:proofErr w:type="spellEnd"/>
      <w:r w:rsidRPr="00FE33AF">
        <w:rPr>
          <w:rFonts w:ascii="Times New Roman" w:eastAsia="Times New Roman" w:hAnsi="Times New Roman" w:cs="Times New Roman"/>
          <w:sz w:val="20"/>
          <w:szCs w:val="24"/>
          <w:lang w:eastAsia="en-GB"/>
        </w:rPr>
        <w:t xml:space="preserve">, J., &amp; </w:t>
      </w:r>
      <w:proofErr w:type="spellStart"/>
      <w:r w:rsidRPr="00FE33AF">
        <w:rPr>
          <w:rFonts w:ascii="Times New Roman" w:eastAsia="Times New Roman" w:hAnsi="Times New Roman" w:cs="Times New Roman"/>
          <w:sz w:val="20"/>
          <w:szCs w:val="24"/>
          <w:lang w:eastAsia="en-GB"/>
        </w:rPr>
        <w:t>Woolcock</w:t>
      </w:r>
      <w:proofErr w:type="spellEnd"/>
      <w:r w:rsidRPr="00FE33AF">
        <w:rPr>
          <w:rFonts w:ascii="Times New Roman" w:eastAsia="Times New Roman" w:hAnsi="Times New Roman" w:cs="Times New Roman"/>
          <w:sz w:val="20"/>
          <w:szCs w:val="24"/>
          <w:lang w:eastAsia="en-GB"/>
        </w:rPr>
        <w:t xml:space="preserve">, M. (2006). </w:t>
      </w:r>
      <w:r w:rsidRPr="00FE33AF">
        <w:rPr>
          <w:rFonts w:ascii="Times New Roman" w:eastAsia="Times New Roman" w:hAnsi="Times New Roman" w:cs="Times New Roman"/>
          <w:i/>
          <w:iCs/>
          <w:sz w:val="20"/>
          <w:szCs w:val="24"/>
          <w:lang w:eastAsia="en-GB"/>
        </w:rPr>
        <w:t>Social Cohesion, Institutions, and Growth</w:t>
      </w:r>
      <w:r w:rsidRPr="00FE33AF">
        <w:rPr>
          <w:rFonts w:ascii="Times New Roman" w:eastAsia="Times New Roman" w:hAnsi="Times New Roman" w:cs="Times New Roman"/>
          <w:sz w:val="20"/>
          <w:szCs w:val="24"/>
          <w:lang w:eastAsia="en-GB"/>
        </w:rPr>
        <w:t xml:space="preserve"> (No. 94).</w:t>
      </w:r>
    </w:p>
    <w:p w:rsidR="00FE33AF" w:rsidRDefault="00FE33AF" w:rsidP="003218A4"/>
    <w:p w:rsidR="00E151B5" w:rsidRDefault="00E151B5" w:rsidP="00E151B5">
      <w:pPr>
        <w:rPr>
          <w:i/>
        </w:rPr>
      </w:pPr>
      <w:r>
        <w:rPr>
          <w:i/>
        </w:rPr>
        <w:t xml:space="preserve">Definition: “the nature and extent of social and economic divisions within a society (income, ethnicity, political party, caste, </w:t>
      </w:r>
      <w:proofErr w:type="gramStart"/>
      <w:r>
        <w:rPr>
          <w:i/>
        </w:rPr>
        <w:t>language, …)</w:t>
      </w:r>
      <w:proofErr w:type="gramEnd"/>
      <w:r>
        <w:rPr>
          <w:i/>
        </w:rPr>
        <w:t>”. Fewer divisions = fewer “leverage points for individuals, groups, or events to expose and exacerbate social fault lines”</w:t>
      </w:r>
    </w:p>
    <w:p w:rsidR="00E151B5" w:rsidRDefault="00E151B5" w:rsidP="00E151B5">
      <w:pPr>
        <w:rPr>
          <w:i/>
        </w:rPr>
      </w:pPr>
    </w:p>
    <w:p w:rsidR="00E151B5" w:rsidRDefault="00E151B5" w:rsidP="00E151B5">
      <w:pPr>
        <w:rPr>
          <w:i/>
        </w:rPr>
      </w:pPr>
    </w:p>
    <w:p w:rsidR="00E151B5" w:rsidRDefault="00E151B5" w:rsidP="00E151B5">
      <w:pPr>
        <w:rPr>
          <w:i/>
        </w:rPr>
      </w:pPr>
      <w:r>
        <w:rPr>
          <w:i/>
        </w:rPr>
        <w:t>Example: right-wing populism and climate change (Lockwood 2018), manifesting in Trump’s withdrawal from the Paris Agreement</w:t>
      </w:r>
    </w:p>
    <w:p w:rsidR="00E151B5" w:rsidRDefault="00E151B5" w:rsidP="003218A4"/>
    <w:p w:rsidR="007A252B" w:rsidRDefault="007A252B" w:rsidP="003218A4"/>
    <w:p w:rsidR="007A252B" w:rsidRDefault="00FE33AF" w:rsidP="007A252B">
      <w:pPr>
        <w:pStyle w:val="ListParagraph"/>
        <w:numPr>
          <w:ilvl w:val="1"/>
          <w:numId w:val="5"/>
        </w:numPr>
        <w:ind w:left="431" w:hanging="431"/>
        <w:rPr>
          <w:i/>
        </w:rPr>
      </w:pPr>
      <w:r>
        <w:rPr>
          <w:i/>
        </w:rPr>
        <w:t>Others</w:t>
      </w:r>
    </w:p>
    <w:p w:rsidR="002A126A" w:rsidRPr="002A126A" w:rsidRDefault="002A126A" w:rsidP="002A126A">
      <w:pPr>
        <w:rPr>
          <w:i/>
        </w:rPr>
      </w:pPr>
    </w:p>
    <w:p w:rsidR="00FE33AF" w:rsidRPr="002A126A" w:rsidRDefault="002A126A" w:rsidP="002A126A">
      <w:pPr>
        <w:pStyle w:val="ListParagraph"/>
        <w:numPr>
          <w:ilvl w:val="0"/>
          <w:numId w:val="10"/>
        </w:numPr>
      </w:pPr>
      <w:r w:rsidRPr="002A126A">
        <w:t>Ideology/ideas. External conflicts. Democracy.</w:t>
      </w:r>
    </w:p>
    <w:p w:rsidR="002A126A" w:rsidRDefault="002A126A" w:rsidP="00FE33AF">
      <w:pPr>
        <w:rPr>
          <w:i/>
        </w:rPr>
      </w:pPr>
    </w:p>
    <w:p w:rsidR="00FE33AF" w:rsidRPr="00FE33AF" w:rsidRDefault="00FE33AF" w:rsidP="00FE33AF">
      <w:pPr>
        <w:pStyle w:val="ListParagraph"/>
        <w:numPr>
          <w:ilvl w:val="0"/>
          <w:numId w:val="5"/>
        </w:numPr>
        <w:rPr>
          <w:b/>
        </w:rPr>
      </w:pPr>
      <w:r w:rsidRPr="00FE33AF">
        <w:rPr>
          <w:b/>
        </w:rPr>
        <w:t>Regime types</w:t>
      </w:r>
    </w:p>
    <w:p w:rsidR="00E151B5" w:rsidRDefault="00E151B5" w:rsidP="00E151B5"/>
    <w:p w:rsidR="007A252B" w:rsidRDefault="00FE33AF" w:rsidP="00FE33AF">
      <w:pPr>
        <w:pStyle w:val="ListParagraph"/>
        <w:numPr>
          <w:ilvl w:val="0"/>
          <w:numId w:val="10"/>
        </w:numPr>
      </w:pPr>
      <w:r>
        <w:t>What seems to be missing from these discussions is assessments of how</w:t>
      </w:r>
      <w:r w:rsidR="002A126A">
        <w:t xml:space="preserve"> these problems are interlinked – Geels.</w:t>
      </w:r>
    </w:p>
    <w:p w:rsidR="007A252B" w:rsidRDefault="007A252B" w:rsidP="00C97A55">
      <w:pPr>
        <w:pStyle w:val="ListParagraph"/>
        <w:numPr>
          <w:ilvl w:val="0"/>
          <w:numId w:val="10"/>
        </w:numPr>
      </w:pPr>
      <w:r>
        <w:t>D</w:t>
      </w:r>
      <w:r w:rsidR="00B27730">
        <w:t>evelopmental states, welfare states, fragile states.</w:t>
      </w:r>
      <w:r w:rsidR="00B34144">
        <w:t xml:space="preserve"> (similar effort for adaptation: Barnett &amp; </w:t>
      </w:r>
      <w:proofErr w:type="spellStart"/>
      <w:r w:rsidR="00B34144">
        <w:t>Adger</w:t>
      </w:r>
      <w:proofErr w:type="spellEnd"/>
      <w:r w:rsidR="00B34144">
        <w:t xml:space="preserve"> 2007)</w:t>
      </w:r>
      <w:r w:rsidR="00E85817">
        <w:t xml:space="preserve"> </w:t>
      </w:r>
    </w:p>
    <w:p w:rsidR="00C97A55" w:rsidRPr="00C97A55" w:rsidRDefault="00C97A55" w:rsidP="00C97A55">
      <w:pPr>
        <w:pStyle w:val="ListParagraph"/>
        <w:numPr>
          <w:ilvl w:val="0"/>
          <w:numId w:val="10"/>
        </w:numPr>
        <w:rPr>
          <w:i/>
        </w:rPr>
      </w:pPr>
      <w:r w:rsidRPr="00C97A55">
        <w:rPr>
          <w:i/>
        </w:rPr>
        <w:t xml:space="preserve">Sen Development as freedom (p40): interlocking role </w:t>
      </w:r>
      <w:r>
        <w:rPr>
          <w:i/>
        </w:rPr>
        <w:t>of institutions, social cohesion, social provisioning</w:t>
      </w:r>
    </w:p>
    <w:p w:rsidR="00E85817" w:rsidRDefault="00E85817" w:rsidP="00B27730"/>
    <w:p w:rsidR="00C97A55" w:rsidRDefault="00C97A55" w:rsidP="00B27730"/>
    <w:p w:rsidR="00E85817" w:rsidRDefault="00E85817" w:rsidP="00B27730">
      <w:r>
        <w:t>“The assumption that hybrid regimes [partial democracies] are (or should be) moving in a democratic direction lacks empirical foundation… these cases should be conceptualized for what they are: a distinct, nondemocratic regime type.” (</w:t>
      </w:r>
      <w:proofErr w:type="spellStart"/>
      <w:r>
        <w:t>Levitsky</w:t>
      </w:r>
      <w:proofErr w:type="spellEnd"/>
      <w:r>
        <w:t xml:space="preserve"> and Way 2002)</w:t>
      </w:r>
    </w:p>
    <w:p w:rsidR="00B80C60" w:rsidRDefault="00B80C60" w:rsidP="00CB691F"/>
    <w:p w:rsidR="000720ED" w:rsidRDefault="00B80C60" w:rsidP="00D431C5">
      <w:pPr>
        <w:rPr>
          <w:b/>
        </w:rPr>
      </w:pPr>
      <w:r>
        <w:rPr>
          <w:b/>
        </w:rPr>
        <w:t xml:space="preserve">Also: that provisioning, institutions and cohesion are seen here in an instrumental fashion should not reduce their intrinsic importance as public goods (Sen </w:t>
      </w:r>
      <w:proofErr w:type="gramStart"/>
      <w:r>
        <w:rPr>
          <w:b/>
        </w:rPr>
        <w:t>p37</w:t>
      </w:r>
      <w:proofErr w:type="gramEnd"/>
      <w:r>
        <w:rPr>
          <w:b/>
        </w:rPr>
        <w:t>)</w:t>
      </w:r>
    </w:p>
    <w:p w:rsidR="00D431C5" w:rsidRPr="00D431C5" w:rsidRDefault="00D431C5" w:rsidP="00D431C5">
      <w:pPr>
        <w:rPr>
          <w:b/>
        </w:rPr>
      </w:pPr>
    </w:p>
    <w:p w:rsidR="00835B17" w:rsidRDefault="00835B17" w:rsidP="002A126A">
      <w:pPr>
        <w:pStyle w:val="ListParagraph"/>
        <w:numPr>
          <w:ilvl w:val="0"/>
          <w:numId w:val="5"/>
        </w:numPr>
        <w:rPr>
          <w:b/>
        </w:rPr>
      </w:pPr>
      <w:r w:rsidRPr="00835B17">
        <w:rPr>
          <w:b/>
        </w:rPr>
        <w:t>Method</w:t>
      </w:r>
      <w:r w:rsidR="00267753">
        <w:rPr>
          <w:b/>
        </w:rPr>
        <w:t>s</w:t>
      </w:r>
    </w:p>
    <w:p w:rsidR="00267753" w:rsidRPr="00323D12" w:rsidRDefault="00267753" w:rsidP="002A126A">
      <w:pPr>
        <w:pStyle w:val="ListParagraph"/>
        <w:numPr>
          <w:ilvl w:val="1"/>
          <w:numId w:val="5"/>
        </w:numPr>
        <w:ind w:left="431" w:hanging="431"/>
        <w:rPr>
          <w:i/>
        </w:rPr>
      </w:pPr>
      <w:r w:rsidRPr="00323D12">
        <w:rPr>
          <w:i/>
        </w:rPr>
        <w:lastRenderedPageBreak/>
        <w:t>Data</w:t>
      </w:r>
    </w:p>
    <w:p w:rsidR="00D5094D" w:rsidRDefault="00D5094D" w:rsidP="00D5094D">
      <w:pPr>
        <w:rPr>
          <w:i/>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35"/>
        <w:gridCol w:w="4148"/>
        <w:gridCol w:w="709"/>
        <w:gridCol w:w="1275"/>
      </w:tblGrid>
      <w:tr w:rsidR="0082390F" w:rsidTr="009E4A24">
        <w:tc>
          <w:tcPr>
            <w:tcW w:w="2935" w:type="dxa"/>
            <w:tcBorders>
              <w:top w:val="single" w:sz="4" w:space="0" w:color="auto"/>
              <w:bottom w:val="single" w:sz="4" w:space="0" w:color="auto"/>
            </w:tcBorders>
          </w:tcPr>
          <w:p w:rsidR="0082390F" w:rsidRPr="007935CD" w:rsidRDefault="0082390F" w:rsidP="00D5094D">
            <w:r w:rsidRPr="007935CD">
              <w:t>Indicator</w:t>
            </w:r>
          </w:p>
        </w:tc>
        <w:tc>
          <w:tcPr>
            <w:tcW w:w="4148" w:type="dxa"/>
            <w:tcBorders>
              <w:top w:val="single" w:sz="4" w:space="0" w:color="auto"/>
              <w:bottom w:val="single" w:sz="4" w:space="0" w:color="auto"/>
            </w:tcBorders>
          </w:tcPr>
          <w:p w:rsidR="0082390F" w:rsidRPr="007935CD" w:rsidRDefault="007935CD" w:rsidP="00D5094D">
            <w:r w:rsidRPr="007935CD">
              <w:t>Description</w:t>
            </w:r>
          </w:p>
        </w:tc>
        <w:tc>
          <w:tcPr>
            <w:tcW w:w="709" w:type="dxa"/>
            <w:tcBorders>
              <w:top w:val="single" w:sz="4" w:space="0" w:color="auto"/>
              <w:bottom w:val="single" w:sz="4" w:space="0" w:color="auto"/>
            </w:tcBorders>
          </w:tcPr>
          <w:p w:rsidR="0082390F" w:rsidRPr="007935CD" w:rsidRDefault="0082390F" w:rsidP="00D5094D">
            <w:r w:rsidRPr="007935CD">
              <w:t>n</w:t>
            </w:r>
          </w:p>
        </w:tc>
        <w:tc>
          <w:tcPr>
            <w:tcW w:w="1275" w:type="dxa"/>
            <w:tcBorders>
              <w:top w:val="single" w:sz="4" w:space="0" w:color="auto"/>
              <w:bottom w:val="single" w:sz="4" w:space="0" w:color="auto"/>
            </w:tcBorders>
          </w:tcPr>
          <w:p w:rsidR="0082390F" w:rsidRPr="007935CD" w:rsidRDefault="0082390F" w:rsidP="00D5094D">
            <w:r w:rsidRPr="007935CD">
              <w:t>Source</w:t>
            </w:r>
          </w:p>
        </w:tc>
      </w:tr>
      <w:tr w:rsidR="0082390F" w:rsidTr="009E4A24">
        <w:trPr>
          <w:trHeight w:val="4482"/>
        </w:trPr>
        <w:tc>
          <w:tcPr>
            <w:tcW w:w="2935" w:type="dxa"/>
            <w:tcBorders>
              <w:top w:val="single" w:sz="4" w:space="0" w:color="auto"/>
              <w:bottom w:val="single" w:sz="4" w:space="0" w:color="auto"/>
            </w:tcBorders>
          </w:tcPr>
          <w:p w:rsidR="0082390F" w:rsidRPr="007935CD" w:rsidRDefault="0082390F" w:rsidP="00D5094D">
            <w:pPr>
              <w:rPr>
                <w:b/>
              </w:rPr>
            </w:pPr>
            <w:r w:rsidRPr="007935CD">
              <w:rPr>
                <w:b/>
              </w:rPr>
              <w:t>Vested interests</w:t>
            </w:r>
          </w:p>
          <w:p w:rsidR="0082390F" w:rsidRPr="007935CD" w:rsidRDefault="0082390F" w:rsidP="00D5094D">
            <w:r w:rsidRPr="007935CD">
              <w:t xml:space="preserve"> Total natural resources rents </w:t>
            </w:r>
          </w:p>
          <w:p w:rsidR="0082390F" w:rsidRDefault="0082390F" w:rsidP="00D5094D"/>
          <w:p w:rsidR="007935CD" w:rsidRDefault="007935CD" w:rsidP="00D5094D"/>
          <w:p w:rsidR="007935CD" w:rsidRDefault="007935CD" w:rsidP="00D5094D"/>
          <w:p w:rsidR="009E4A24" w:rsidRPr="007935CD" w:rsidRDefault="009E4A24" w:rsidP="00D5094D"/>
          <w:p w:rsidR="0082390F" w:rsidRPr="007935CD" w:rsidRDefault="0082390F" w:rsidP="00D5094D">
            <w:pPr>
              <w:rPr>
                <w:b/>
              </w:rPr>
            </w:pPr>
            <w:r w:rsidRPr="007935CD">
              <w:rPr>
                <w:b/>
              </w:rPr>
              <w:t>State capacities</w:t>
            </w:r>
          </w:p>
          <w:p w:rsidR="0082390F" w:rsidRPr="007935CD" w:rsidRDefault="0082390F" w:rsidP="00D5094D">
            <w:r w:rsidRPr="007935CD">
              <w:t xml:space="preserve"> Government corruption</w:t>
            </w:r>
          </w:p>
          <w:p w:rsidR="0082390F" w:rsidRPr="007935CD" w:rsidRDefault="0082390F" w:rsidP="00D5094D">
            <w:r w:rsidRPr="007935CD">
              <w:t xml:space="preserve"> Government effectiveness</w:t>
            </w:r>
          </w:p>
          <w:p w:rsidR="0082390F" w:rsidRDefault="0082390F" w:rsidP="00D5094D"/>
          <w:p w:rsidR="009E4A24" w:rsidRPr="007935CD" w:rsidRDefault="009E4A24" w:rsidP="00D5094D"/>
          <w:p w:rsidR="0082390F" w:rsidRPr="007935CD" w:rsidRDefault="0082390F" w:rsidP="00D5094D">
            <w:pPr>
              <w:rPr>
                <w:b/>
              </w:rPr>
            </w:pPr>
            <w:r w:rsidRPr="007935CD">
              <w:rPr>
                <w:b/>
              </w:rPr>
              <w:t>Social cohesion</w:t>
            </w:r>
          </w:p>
          <w:p w:rsidR="0082390F" w:rsidRDefault="0082390F" w:rsidP="00D5094D">
            <w:r w:rsidRPr="007935CD">
              <w:t xml:space="preserve"> Gini index</w:t>
            </w:r>
          </w:p>
          <w:p w:rsidR="007935CD" w:rsidRPr="007935CD" w:rsidRDefault="007935CD" w:rsidP="00D5094D"/>
          <w:p w:rsidR="0082390F" w:rsidRPr="007935CD" w:rsidRDefault="0082390F" w:rsidP="00D5094D">
            <w:r w:rsidRPr="007935CD">
              <w:t xml:space="preserve"> Fractionalisation</w:t>
            </w:r>
          </w:p>
        </w:tc>
        <w:tc>
          <w:tcPr>
            <w:tcW w:w="4148" w:type="dxa"/>
            <w:tcBorders>
              <w:top w:val="single" w:sz="4" w:space="0" w:color="auto"/>
              <w:bottom w:val="single" w:sz="4" w:space="0" w:color="auto"/>
            </w:tcBorders>
          </w:tcPr>
          <w:p w:rsidR="0082390F" w:rsidRPr="007935CD" w:rsidRDefault="0082390F" w:rsidP="00D5094D"/>
          <w:p w:rsidR="0082390F" w:rsidRPr="007935CD" w:rsidRDefault="007935CD" w:rsidP="00D5094D">
            <w:r w:rsidRPr="007935CD">
              <w:t>Difference between the value of resource production (coal, oil, gas, forestry, minerals) and total costs of production, as a % of GDP.</w:t>
            </w:r>
          </w:p>
          <w:p w:rsidR="007935CD" w:rsidRDefault="007935CD" w:rsidP="00D5094D"/>
          <w:p w:rsidR="009E4A24" w:rsidRPr="007935CD" w:rsidRDefault="009E4A24" w:rsidP="00D5094D"/>
          <w:p w:rsidR="0082390F" w:rsidRPr="007935CD" w:rsidRDefault="0082390F" w:rsidP="00D5094D">
            <w:r w:rsidRPr="007935CD">
              <w:t xml:space="preserve">Standardised </w:t>
            </w:r>
            <w:r w:rsidR="007935CD" w:rsidRPr="007935CD">
              <w:t>estimates of governance, from multiple qualitative sources</w:t>
            </w:r>
          </w:p>
          <w:p w:rsidR="0082390F" w:rsidRPr="007935CD" w:rsidRDefault="0082390F" w:rsidP="00D5094D"/>
          <w:p w:rsidR="0082390F" w:rsidRDefault="0082390F" w:rsidP="00D5094D"/>
          <w:p w:rsidR="009E4A24" w:rsidRPr="007935CD" w:rsidRDefault="009E4A24" w:rsidP="00D5094D"/>
          <w:p w:rsidR="0082390F" w:rsidRPr="007935CD" w:rsidRDefault="007935CD" w:rsidP="00D5094D">
            <w:r>
              <w:t>Deviation of income distribution from an equal distribution</w:t>
            </w:r>
          </w:p>
          <w:p w:rsidR="0082390F" w:rsidRPr="007935CD" w:rsidRDefault="007935CD" w:rsidP="0082390F">
            <w:r w:rsidRPr="007935CD">
              <w:t>P</w:t>
            </w:r>
            <w:r w:rsidR="0082390F" w:rsidRPr="007935CD">
              <w:t>robability of two random individuals belonging to different ethnic groups</w:t>
            </w:r>
          </w:p>
        </w:tc>
        <w:tc>
          <w:tcPr>
            <w:tcW w:w="709" w:type="dxa"/>
            <w:tcBorders>
              <w:top w:val="single" w:sz="4" w:space="0" w:color="auto"/>
              <w:bottom w:val="single" w:sz="4" w:space="0" w:color="auto"/>
            </w:tcBorders>
          </w:tcPr>
          <w:p w:rsidR="0082390F" w:rsidRPr="007935CD" w:rsidRDefault="0082390F" w:rsidP="00D5094D"/>
          <w:p w:rsidR="0082390F" w:rsidRPr="007935CD" w:rsidRDefault="0082390F" w:rsidP="00D5094D">
            <w:r w:rsidRPr="007935CD">
              <w:t>187</w:t>
            </w:r>
          </w:p>
          <w:p w:rsidR="0082390F" w:rsidRPr="007935CD" w:rsidRDefault="0082390F" w:rsidP="00D5094D"/>
          <w:p w:rsidR="0082390F" w:rsidRDefault="0082390F" w:rsidP="00D5094D"/>
          <w:p w:rsidR="007935CD" w:rsidRDefault="007935CD" w:rsidP="00D5094D"/>
          <w:p w:rsidR="007935CD" w:rsidRDefault="007935CD" w:rsidP="00D5094D"/>
          <w:p w:rsidR="009E4A24" w:rsidRPr="007935CD" w:rsidRDefault="009E4A24" w:rsidP="00D5094D"/>
          <w:p w:rsidR="0082390F" w:rsidRPr="007935CD" w:rsidRDefault="0082390F" w:rsidP="00D5094D">
            <w:r w:rsidRPr="007935CD">
              <w:t>206</w:t>
            </w:r>
          </w:p>
          <w:p w:rsidR="0082390F" w:rsidRPr="007935CD" w:rsidRDefault="0082390F" w:rsidP="00D5094D">
            <w:r w:rsidRPr="007935CD">
              <w:t>206</w:t>
            </w:r>
          </w:p>
          <w:p w:rsidR="0082390F" w:rsidRPr="007935CD" w:rsidRDefault="0082390F" w:rsidP="00D5094D"/>
          <w:p w:rsidR="0082390F" w:rsidRDefault="0082390F" w:rsidP="00D5094D"/>
          <w:p w:rsidR="009E4A24" w:rsidRPr="007935CD" w:rsidRDefault="009E4A24" w:rsidP="00D5094D"/>
          <w:p w:rsidR="0082390F" w:rsidRPr="007935CD" w:rsidRDefault="0082390F" w:rsidP="00D5094D">
            <w:r w:rsidRPr="007935CD">
              <w:t>184</w:t>
            </w:r>
          </w:p>
          <w:p w:rsidR="008856BB" w:rsidRDefault="008856BB" w:rsidP="00D5094D"/>
          <w:p w:rsidR="0082390F" w:rsidRPr="007935CD" w:rsidRDefault="0082390F" w:rsidP="00D5094D">
            <w:r w:rsidRPr="007935CD">
              <w:t>186</w:t>
            </w:r>
          </w:p>
        </w:tc>
        <w:tc>
          <w:tcPr>
            <w:tcW w:w="1275" w:type="dxa"/>
            <w:tcBorders>
              <w:top w:val="single" w:sz="4" w:space="0" w:color="auto"/>
              <w:bottom w:val="single" w:sz="4" w:space="0" w:color="auto"/>
            </w:tcBorders>
          </w:tcPr>
          <w:p w:rsidR="0082390F" w:rsidRPr="007935CD" w:rsidRDefault="0082390F" w:rsidP="00D5094D"/>
          <w:p w:rsidR="0082390F" w:rsidRPr="007935CD" w:rsidRDefault="0082390F" w:rsidP="00D5094D">
            <w:r w:rsidRPr="007935CD">
              <w:t>World Bank</w:t>
            </w:r>
          </w:p>
          <w:p w:rsidR="0082390F" w:rsidRPr="007935CD" w:rsidRDefault="0082390F" w:rsidP="00D5094D"/>
          <w:p w:rsidR="0082390F" w:rsidRDefault="0082390F" w:rsidP="00D5094D"/>
          <w:p w:rsidR="007935CD" w:rsidRDefault="007935CD" w:rsidP="00D5094D"/>
          <w:p w:rsidR="007935CD" w:rsidRDefault="007935CD" w:rsidP="00D5094D"/>
          <w:p w:rsidR="009E4A24" w:rsidRPr="007935CD" w:rsidRDefault="009E4A24" w:rsidP="00D5094D"/>
          <w:p w:rsidR="0082390F" w:rsidRPr="007935CD" w:rsidRDefault="0082390F" w:rsidP="001C7A27">
            <w:r w:rsidRPr="007935CD">
              <w:t>WGI</w:t>
            </w:r>
          </w:p>
          <w:p w:rsidR="0082390F" w:rsidRPr="007935CD" w:rsidRDefault="0082390F" w:rsidP="001C7A27">
            <w:r w:rsidRPr="007935CD">
              <w:t>WGI</w:t>
            </w:r>
          </w:p>
          <w:p w:rsidR="0082390F" w:rsidRPr="007935CD" w:rsidRDefault="0082390F" w:rsidP="001C7A27"/>
          <w:p w:rsidR="0082390F" w:rsidRDefault="0082390F" w:rsidP="001C7A27"/>
          <w:p w:rsidR="009E4A24" w:rsidRPr="007935CD" w:rsidRDefault="009E4A24" w:rsidP="001C7A27"/>
          <w:p w:rsidR="0082390F" w:rsidRPr="007935CD" w:rsidRDefault="0082390F" w:rsidP="001C7A27">
            <w:r w:rsidRPr="007935CD">
              <w:t>SWIID</w:t>
            </w:r>
          </w:p>
          <w:p w:rsidR="0082390F" w:rsidRDefault="0082390F" w:rsidP="001C7A27"/>
          <w:p w:rsidR="0082390F" w:rsidRPr="007935CD" w:rsidRDefault="008856BB" w:rsidP="001C7A27">
            <w:proofErr w:type="spellStart"/>
            <w:r>
              <w:t>Alesina</w:t>
            </w:r>
            <w:proofErr w:type="spellEnd"/>
            <w:r>
              <w:t xml:space="preserve"> et al. 2003</w:t>
            </w:r>
          </w:p>
        </w:tc>
      </w:tr>
    </w:tbl>
    <w:p w:rsidR="00D5094D" w:rsidRDefault="00D5094D" w:rsidP="00D5094D">
      <w:pPr>
        <w:rPr>
          <w:i/>
        </w:rPr>
      </w:pPr>
    </w:p>
    <w:p w:rsidR="00A1695A" w:rsidRDefault="00267753" w:rsidP="002A126A">
      <w:pPr>
        <w:pStyle w:val="ListParagraph"/>
        <w:numPr>
          <w:ilvl w:val="1"/>
          <w:numId w:val="5"/>
        </w:numPr>
        <w:ind w:left="431" w:hanging="431"/>
        <w:rPr>
          <w:i/>
        </w:rPr>
      </w:pPr>
      <w:r w:rsidRPr="00323D12">
        <w:rPr>
          <w:i/>
        </w:rPr>
        <w:t>Cluster analysis</w:t>
      </w:r>
    </w:p>
    <w:p w:rsidR="003403CE" w:rsidRDefault="003403CE" w:rsidP="003403CE">
      <w:pPr>
        <w:rPr>
          <w:i/>
        </w:rPr>
      </w:pPr>
    </w:p>
    <w:p w:rsidR="003403CE" w:rsidRPr="003403CE" w:rsidRDefault="003403CE" w:rsidP="003403CE">
      <w:r w:rsidRPr="003403CE">
        <w:t xml:space="preserve">Correspondence analysis </w:t>
      </w:r>
      <w:r>
        <w:fldChar w:fldCharType="begin" w:fldLock="1"/>
      </w:r>
      <w:r>
        <w:instrText>ADDIN CSL_CITATION {"citationItems":[{"id":"ITEM-1","itemData":{"DOI":"10.1017/S004727941400035X","ISSN":"14697823","abstract":"Authors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Policy","id":"ITEM-1","issue":"4","issued":{"date-parts":[["2014"]]},"page":"679-703","title":"Building the eco-social state: Do welfare regimes matter?","type":"article-journal","volume":"43"},"uris":["http://www.mendeley.com/documents/?uuid=3a076e0c-4603-45b4-b475-68b24141b259"]}],"mendeley":{"formattedCitation":"(Koch &amp; Fritz, 2014)","plainTextFormattedCitation":"(Koch &amp; Fritz, 2014)","previouslyFormattedCitation":"(Koch &amp; Fritz, 2014)"},"properties":{"noteIndex":0},"schema":"https://github.com/citation-style-language/schema/raw/master/csl-citation.json"}</w:instrText>
      </w:r>
      <w:r>
        <w:fldChar w:fldCharType="separate"/>
      </w:r>
      <w:r w:rsidRPr="003403CE">
        <w:rPr>
          <w:noProof/>
        </w:rPr>
        <w:t>(Koch &amp; Fritz, 2014)</w:t>
      </w:r>
      <w:r>
        <w:fldChar w:fldCharType="end"/>
      </w:r>
    </w:p>
    <w:p w:rsidR="003403CE" w:rsidRPr="003403CE" w:rsidRDefault="003403CE" w:rsidP="003403CE">
      <w:r>
        <w:t xml:space="preserve">DFMA?? </w:t>
      </w:r>
      <w:r>
        <w:fldChar w:fldCharType="begin" w:fldLock="1"/>
      </w:r>
      <w:r>
        <w:instrText>ADDIN CSL_CITATION {"citationItems":[{"id":"ITEM-1","itemData":{"DOI":"10.1016/j.gloenvcha.2016.02.007","ISBN":"0959-3780","ISSN":"09593780","abstract":"Taking a global perspective this paper sets out to theoretically and empirically identify prosperity patterns for four groups of countries at different levels of economic development. It conceptualizes 'prosperity' in terms of ecological sustainability, social inclusion, and the quality of life and contextualizes this definition in global perspective. Subsequently, it operationalizes and measures these dimensions on the basis of data from sources such as the World Bank, the Global Footprint Network and the OECD for 138 countries and by applying dual multiple factor analysis. Building on earlier research that suggested that higher development levels in terms of GDP per capita are capable of providing social and individual prosperity but at the expense of environmental sustainability, we ask whether other interrelations between prosperity indicators exist on other levels of economic development. Empirically distinguishing between 'rich', 'emerging', 'developing' and 'poor countries' the paper finds that social and individual prosperity indicators largely increase with economic development while ecological sustainability indicators worsen. Our analyses further reveal that 'social cohesion' can be established under different economic and institutional conditions, that subjective wellbeing increases with income rises at all levels of economic development and that a decoupling of carbon emissions from the provision of prosperity is, in principle, achievable, while a reduction of the global matter and energy throughput poses a much greater challenge. The paper concludes by highlighting the repercussions of these findings for the trajectories that countries at different levels of economic development would need to undertake.","author":[{"dropping-particle":"","family":"Fritz","given":"Martin","non-dropping-particle":"","parse-names":false,"suffix":""},{"dropping-particle":"","family":"Koch","given":"Max","non-dropping-particle":"","parse-names":false,"suffix":""}],"container-title":"Global Environmental Change","id":"ITEM-1","issued":{"date-parts":[["2016"]]},"page":"41-48","publisher":"Elsevier Ltd","title":"Economic development and prosperity patterns around the world: Structural challenges for a global steady-state economy","type":"article-journal","volume":"38"},"uris":["http://www.mendeley.com/documents/?uuid=b9aca65d-be81-4c32-86ad-0722c022e9ef"]}],"mendeley":{"formattedCitation":"(Fritz &amp; Koch, 2016)","plainTextFormattedCitation":"(Fritz &amp; Koch, 2016)"},"properties":{"noteIndex":0},"schema":"https://github.com/citation-style-language/schema/raw/master/csl-citation.json"}</w:instrText>
      </w:r>
      <w:r>
        <w:fldChar w:fldCharType="separate"/>
      </w:r>
      <w:r w:rsidRPr="003403CE">
        <w:rPr>
          <w:noProof/>
        </w:rPr>
        <w:t>(Fritz &amp; Koch, 2016)</w:t>
      </w:r>
      <w:r>
        <w:fldChar w:fldCharType="end"/>
      </w:r>
      <w:bookmarkStart w:id="0" w:name="_GoBack"/>
      <w:bookmarkEnd w:id="0"/>
    </w:p>
    <w:p w:rsidR="003403CE" w:rsidRPr="003403CE" w:rsidRDefault="003403CE" w:rsidP="003403CE">
      <w:pPr>
        <w:rPr>
          <w:i/>
        </w:rPr>
      </w:pPr>
    </w:p>
    <w:p w:rsidR="002A126A" w:rsidRPr="00323D12" w:rsidRDefault="002A126A" w:rsidP="002A126A">
      <w:pPr>
        <w:pStyle w:val="ListParagraph"/>
        <w:numPr>
          <w:ilvl w:val="1"/>
          <w:numId w:val="5"/>
        </w:numPr>
        <w:ind w:left="431" w:hanging="431"/>
        <w:rPr>
          <w:i/>
        </w:rPr>
      </w:pPr>
      <w:r>
        <w:rPr>
          <w:i/>
        </w:rPr>
        <w:t>Stylized facts</w:t>
      </w:r>
    </w:p>
    <w:p w:rsidR="002A126A" w:rsidRDefault="002A126A" w:rsidP="00D431C5">
      <w:pPr>
        <w:pStyle w:val="ListParagraph"/>
        <w:ind w:left="360"/>
        <w:rPr>
          <w:b/>
        </w:rPr>
      </w:pPr>
    </w:p>
    <w:p w:rsidR="002A126A" w:rsidRPr="00CB691F" w:rsidRDefault="002A126A" w:rsidP="00D431C5">
      <w:pPr>
        <w:pStyle w:val="ListParagraph"/>
        <w:ind w:left="360"/>
        <w:rPr>
          <w:b/>
        </w:rPr>
      </w:pPr>
    </w:p>
    <w:p w:rsidR="00267753" w:rsidRDefault="00267753" w:rsidP="002A126A">
      <w:pPr>
        <w:pStyle w:val="ListParagraph"/>
        <w:numPr>
          <w:ilvl w:val="0"/>
          <w:numId w:val="5"/>
        </w:numPr>
        <w:rPr>
          <w:b/>
        </w:rPr>
      </w:pPr>
      <w:r w:rsidRPr="00267753">
        <w:rPr>
          <w:b/>
        </w:rPr>
        <w:t>Results</w:t>
      </w:r>
    </w:p>
    <w:p w:rsidR="00267753" w:rsidRDefault="00267753" w:rsidP="00A1695A"/>
    <w:p w:rsidR="00653458" w:rsidRPr="00323D12" w:rsidRDefault="00B20BC7" w:rsidP="000E3EB1">
      <w:pPr>
        <w:pStyle w:val="ListParagraph"/>
        <w:numPr>
          <w:ilvl w:val="1"/>
          <w:numId w:val="5"/>
        </w:numPr>
        <w:ind w:left="431" w:hanging="431"/>
        <w:rPr>
          <w:i/>
        </w:rPr>
      </w:pPr>
      <w:r>
        <w:rPr>
          <w:i/>
        </w:rPr>
        <w:t>Correlations</w:t>
      </w:r>
    </w:p>
    <w:p w:rsidR="007F3C5B" w:rsidRDefault="00D656DD" w:rsidP="00A1695A">
      <w:r>
        <w:rPr>
          <w:noProof/>
          <w:lang w:eastAsia="en-GB"/>
        </w:rPr>
        <w:lastRenderedPageBreak/>
        <w:drawing>
          <wp:inline distT="0" distB="0" distL="0" distR="0">
            <wp:extent cx="3687930" cy="262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2.png"/>
                    <pic:cNvPicPr/>
                  </pic:nvPicPr>
                  <pic:blipFill rotWithShape="1">
                    <a:blip r:embed="rId6" cstate="print">
                      <a:extLst>
                        <a:ext uri="{28A0092B-C50C-407E-A947-70E740481C1C}">
                          <a14:useLocalDpi xmlns:a14="http://schemas.microsoft.com/office/drawing/2010/main" val="0"/>
                        </a:ext>
                      </a:extLst>
                    </a:blip>
                    <a:srcRect l="18353" t="23975" b="17824"/>
                    <a:stretch/>
                  </pic:blipFill>
                  <pic:spPr bwMode="auto">
                    <a:xfrm>
                      <a:off x="0" y="0"/>
                      <a:ext cx="3690216" cy="2630530"/>
                    </a:xfrm>
                    <a:prstGeom prst="rect">
                      <a:avLst/>
                    </a:prstGeom>
                    <a:ln>
                      <a:noFill/>
                    </a:ln>
                    <a:extLst>
                      <a:ext uri="{53640926-AAD7-44D8-BBD7-CCE9431645EC}">
                        <a14:shadowObscured xmlns:a14="http://schemas.microsoft.com/office/drawing/2010/main"/>
                      </a:ext>
                    </a:extLst>
                  </pic:spPr>
                </pic:pic>
              </a:graphicData>
            </a:graphic>
          </wp:inline>
        </w:drawing>
      </w:r>
    </w:p>
    <w:p w:rsidR="00DE49A3" w:rsidRDefault="00DE49A3" w:rsidP="00A1695A"/>
    <w:p w:rsidR="00DE49A3" w:rsidRDefault="00D656DD" w:rsidP="002F3282">
      <w:pPr>
        <w:spacing w:after="0"/>
      </w:pPr>
      <w:r>
        <w:rPr>
          <w:noProof/>
          <w:lang w:eastAsia="en-GB"/>
        </w:rPr>
        <w:drawing>
          <wp:inline distT="0" distB="0" distL="0" distR="0">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D656DD" w:rsidRDefault="00D656DD" w:rsidP="002F3282">
      <w:pPr>
        <w:spacing w:after="0"/>
      </w:pP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94"/>
        <w:gridCol w:w="1048"/>
        <w:gridCol w:w="1049"/>
        <w:gridCol w:w="1049"/>
        <w:gridCol w:w="1049"/>
        <w:gridCol w:w="1049"/>
      </w:tblGrid>
      <w:tr w:rsidR="002F3282" w:rsidRPr="009E4A24" w:rsidTr="002F3282">
        <w:trPr>
          <w:trHeight w:val="20"/>
          <w:tblHeader/>
          <w:jc w:val="center"/>
        </w:trPr>
        <w:tc>
          <w:tcPr>
            <w:tcW w:w="2694"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lang w:eastAsia="en-GB"/>
              </w:rPr>
            </w:pPr>
          </w:p>
        </w:tc>
        <w:tc>
          <w:tcPr>
            <w:tcW w:w="1048"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b/>
                <w:bCs/>
                <w:color w:val="333333"/>
                <w:lang w:eastAsia="en-GB"/>
              </w:rPr>
            </w:pPr>
            <w:r w:rsidRPr="009E4A24">
              <w:rPr>
                <w:b/>
                <w:bCs/>
                <w:color w:val="333333"/>
                <w:lang w:eastAsia="en-GB"/>
              </w:rPr>
              <w:t>PC1</w:t>
            </w:r>
          </w:p>
        </w:tc>
        <w:tc>
          <w:tcPr>
            <w:tcW w:w="1049"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b/>
                <w:bCs/>
                <w:color w:val="333333"/>
                <w:lang w:eastAsia="en-GB"/>
              </w:rPr>
            </w:pPr>
            <w:r w:rsidRPr="009E4A24">
              <w:rPr>
                <w:b/>
                <w:bCs/>
                <w:color w:val="333333"/>
                <w:lang w:eastAsia="en-GB"/>
              </w:rPr>
              <w:t>PC2</w:t>
            </w:r>
          </w:p>
        </w:tc>
        <w:tc>
          <w:tcPr>
            <w:tcW w:w="1049"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b/>
                <w:bCs/>
                <w:color w:val="333333"/>
                <w:lang w:eastAsia="en-GB"/>
              </w:rPr>
            </w:pPr>
            <w:r w:rsidRPr="009E4A24">
              <w:rPr>
                <w:b/>
                <w:bCs/>
                <w:color w:val="333333"/>
                <w:lang w:eastAsia="en-GB"/>
              </w:rPr>
              <w:t>PC3</w:t>
            </w:r>
          </w:p>
        </w:tc>
        <w:tc>
          <w:tcPr>
            <w:tcW w:w="1049"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b/>
                <w:bCs/>
                <w:color w:val="333333"/>
                <w:lang w:eastAsia="en-GB"/>
              </w:rPr>
            </w:pPr>
            <w:r w:rsidRPr="009E4A24">
              <w:rPr>
                <w:b/>
                <w:bCs/>
                <w:color w:val="333333"/>
                <w:lang w:eastAsia="en-GB"/>
              </w:rPr>
              <w:t>PC4</w:t>
            </w:r>
          </w:p>
        </w:tc>
        <w:tc>
          <w:tcPr>
            <w:tcW w:w="1049"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rsidR="009E4A24" w:rsidRPr="009E4A24" w:rsidRDefault="009E4A24" w:rsidP="002F3282">
            <w:pPr>
              <w:spacing w:after="0"/>
              <w:rPr>
                <w:b/>
                <w:bCs/>
                <w:color w:val="333333"/>
                <w:lang w:eastAsia="en-GB"/>
              </w:rPr>
            </w:pPr>
            <w:r w:rsidRPr="009E4A24">
              <w:rPr>
                <w:b/>
                <w:bCs/>
                <w:color w:val="333333"/>
                <w:lang w:eastAsia="en-GB"/>
              </w:rPr>
              <w:t>PC5</w:t>
            </w:r>
          </w:p>
        </w:tc>
      </w:tr>
      <w:tr w:rsidR="002F3282" w:rsidRPr="009E4A24" w:rsidTr="002F3282">
        <w:trPr>
          <w:trHeight w:val="20"/>
          <w:jc w:val="center"/>
        </w:trPr>
        <w:tc>
          <w:tcPr>
            <w:tcW w:w="2694"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t>Standard deviation</w:t>
            </w:r>
          </w:p>
        </w:tc>
        <w:tc>
          <w:tcPr>
            <w:tcW w:w="1048"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1.64</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0.98</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0.82</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0.76</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0.30</w:t>
            </w:r>
          </w:p>
        </w:tc>
      </w:tr>
      <w:tr w:rsidR="002F3282" w:rsidRPr="009E4A24" w:rsidTr="002F3282">
        <w:trPr>
          <w:trHeight w:val="20"/>
          <w:jc w:val="center"/>
        </w:trPr>
        <w:tc>
          <w:tcPr>
            <w:tcW w:w="2694"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Proportion</w:t>
            </w:r>
            <w:r>
              <w:rPr>
                <w:color w:val="333333"/>
                <w:lang w:eastAsia="en-GB"/>
              </w:rPr>
              <w:t xml:space="preserve"> of variance</w:t>
            </w:r>
          </w:p>
        </w:tc>
        <w:tc>
          <w:tcPr>
            <w:tcW w:w="1048"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0.54</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0.19</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0.13</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0.12</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0.02</w:t>
            </w:r>
          </w:p>
        </w:tc>
      </w:tr>
      <w:tr w:rsidR="002F3282" w:rsidRPr="009E4A24" w:rsidTr="002F3282">
        <w:trPr>
          <w:trHeight w:val="20"/>
          <w:jc w:val="center"/>
        </w:trPr>
        <w:tc>
          <w:tcPr>
            <w:tcW w:w="2694"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Cumulative</w:t>
            </w:r>
            <w:r>
              <w:rPr>
                <w:color w:val="333333"/>
                <w:lang w:eastAsia="en-GB"/>
              </w:rPr>
              <w:t xml:space="preserve"> proportion</w:t>
            </w:r>
          </w:p>
        </w:tc>
        <w:tc>
          <w:tcPr>
            <w:tcW w:w="1048"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0.54</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0.73</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0.87</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0.98</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1.00</w:t>
            </w:r>
          </w:p>
        </w:tc>
      </w:tr>
      <w:tr w:rsidR="002F3282" w:rsidRPr="009E4A24" w:rsidTr="002F3282">
        <w:trPr>
          <w:trHeight w:val="20"/>
          <w:jc w:val="center"/>
        </w:trPr>
        <w:tc>
          <w:tcPr>
            <w:tcW w:w="2694"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t>Resource rents</w:t>
            </w:r>
          </w:p>
        </w:tc>
        <w:tc>
          <w:tcPr>
            <w:tcW w:w="1048"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0.40</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-0.43</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0.33</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0.74</w:t>
            </w:r>
          </w:p>
        </w:tc>
        <w:tc>
          <w:tcPr>
            <w:tcW w:w="1049" w:type="dxa"/>
            <w:tcBorders>
              <w:top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-0.02</w:t>
            </w:r>
          </w:p>
        </w:tc>
      </w:tr>
      <w:tr w:rsidR="002F3282" w:rsidRPr="009E4A24" w:rsidTr="002F3282">
        <w:trPr>
          <w:trHeight w:val="20"/>
          <w:jc w:val="center"/>
        </w:trPr>
        <w:tc>
          <w:tcPr>
            <w:tcW w:w="2694"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t>Government corruption</w:t>
            </w:r>
          </w:p>
        </w:tc>
        <w:tc>
          <w:tcPr>
            <w:tcW w:w="1048"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-0.55</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-0.04</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0.44</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0.09</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0.70</w:t>
            </w:r>
          </w:p>
        </w:tc>
      </w:tr>
      <w:tr w:rsidR="002F3282" w:rsidRPr="009E4A24" w:rsidTr="002F3282">
        <w:trPr>
          <w:trHeight w:val="20"/>
          <w:jc w:val="center"/>
        </w:trPr>
        <w:tc>
          <w:tcPr>
            <w:tcW w:w="2694"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t>Government effectiveness</w:t>
            </w:r>
          </w:p>
        </w:tc>
        <w:tc>
          <w:tcPr>
            <w:tcW w:w="1048"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-0.55</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-0.06</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0.42</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0.06</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-0.71</w:t>
            </w:r>
          </w:p>
        </w:tc>
      </w:tr>
      <w:tr w:rsidR="002F3282" w:rsidRPr="009E4A24" w:rsidTr="002F3282">
        <w:trPr>
          <w:trHeight w:val="20"/>
          <w:jc w:val="center"/>
        </w:trPr>
        <w:tc>
          <w:tcPr>
            <w:tcW w:w="2694"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t>Gini index</w:t>
            </w:r>
          </w:p>
        </w:tc>
        <w:tc>
          <w:tcPr>
            <w:tcW w:w="1048"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0.24</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0.87</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0.36</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0.21</w:t>
            </w:r>
          </w:p>
        </w:tc>
        <w:tc>
          <w:tcPr>
            <w:tcW w:w="1049" w:type="dxa"/>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-0.02</w:t>
            </w:r>
          </w:p>
        </w:tc>
      </w:tr>
      <w:tr w:rsidR="002F3282" w:rsidRPr="009E4A24" w:rsidTr="002F3282">
        <w:trPr>
          <w:trHeight w:val="20"/>
          <w:jc w:val="center"/>
        </w:trPr>
        <w:tc>
          <w:tcPr>
            <w:tcW w:w="2694"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Pr>
                <w:color w:val="333333"/>
                <w:lang w:eastAsia="en-GB"/>
              </w:rPr>
              <w:lastRenderedPageBreak/>
              <w:t>Fractionalisation</w:t>
            </w:r>
          </w:p>
        </w:tc>
        <w:tc>
          <w:tcPr>
            <w:tcW w:w="1048"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0.42</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-0.22</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0.62</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-0.63</w:t>
            </w:r>
          </w:p>
        </w:tc>
        <w:tc>
          <w:tcPr>
            <w:tcW w:w="1049" w:type="dxa"/>
            <w:tcBorders>
              <w:bottom w:val="single" w:sz="4" w:space="0" w:color="auto"/>
            </w:tcBorders>
            <w:shd w:val="clear" w:color="auto" w:fill="FFFFFF"/>
            <w:tcMar>
              <w:top w:w="120" w:type="dxa"/>
              <w:left w:w="120" w:type="dxa"/>
              <w:bottom w:w="120" w:type="dxa"/>
              <w:right w:w="120" w:type="dxa"/>
            </w:tcMar>
            <w:hideMark/>
          </w:tcPr>
          <w:p w:rsidR="009E4A24" w:rsidRPr="009E4A24" w:rsidRDefault="009E4A24" w:rsidP="002F3282">
            <w:pPr>
              <w:spacing w:after="0"/>
              <w:rPr>
                <w:color w:val="333333"/>
                <w:lang w:eastAsia="en-GB"/>
              </w:rPr>
            </w:pPr>
            <w:r w:rsidRPr="009E4A24">
              <w:rPr>
                <w:color w:val="333333"/>
                <w:lang w:eastAsia="en-GB"/>
              </w:rPr>
              <w:t>0.01</w:t>
            </w:r>
          </w:p>
        </w:tc>
      </w:tr>
    </w:tbl>
    <w:p w:rsidR="009E4A24" w:rsidRDefault="009E4A24" w:rsidP="002F3282">
      <w:pPr>
        <w:spacing w:after="0"/>
      </w:pPr>
    </w:p>
    <w:p w:rsidR="009E4A24" w:rsidRDefault="009E4A24" w:rsidP="00A1695A"/>
    <w:p w:rsidR="009E4A24" w:rsidRDefault="009E4A24" w:rsidP="00A1695A"/>
    <w:p w:rsidR="00D431C5" w:rsidRPr="00323D12" w:rsidRDefault="00E6611F" w:rsidP="000E3EB1">
      <w:pPr>
        <w:pStyle w:val="ListParagraph"/>
        <w:numPr>
          <w:ilvl w:val="1"/>
          <w:numId w:val="5"/>
        </w:numPr>
        <w:ind w:left="431" w:hanging="431"/>
        <w:rPr>
          <w:i/>
        </w:rPr>
      </w:pPr>
      <w:r>
        <w:rPr>
          <w:i/>
        </w:rPr>
        <w:t>R</w:t>
      </w:r>
      <w:r w:rsidR="00CB3D05">
        <w:rPr>
          <w:i/>
        </w:rPr>
        <w:t>egime types</w:t>
      </w:r>
    </w:p>
    <w:p w:rsidR="00D431C5" w:rsidRDefault="00D431C5" w:rsidP="00D431C5"/>
    <w:p w:rsidR="00D656DD" w:rsidRDefault="00D656DD" w:rsidP="00D431C5">
      <w:r>
        <w:rPr>
          <w:noProof/>
          <w:lang w:eastAsia="en-GB"/>
        </w:rPr>
        <w:drawing>
          <wp:inline distT="0" distB="0" distL="0" distR="0">
            <wp:extent cx="576072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s-2.png"/>
                    <pic:cNvPicPr/>
                  </pic:nvPicPr>
                  <pic:blipFill rotWithShape="1">
                    <a:blip r:embed="rId8" cstate="print">
                      <a:extLst>
                        <a:ext uri="{28A0092B-C50C-407E-A947-70E740481C1C}">
                          <a14:useLocalDpi xmlns:a14="http://schemas.microsoft.com/office/drawing/2010/main" val="0"/>
                        </a:ext>
                      </a:extLst>
                    </a:blip>
                    <a:srcRect t="17526" b="13690"/>
                    <a:stretch/>
                  </pic:blipFill>
                  <pic:spPr bwMode="auto">
                    <a:xfrm>
                      <a:off x="0" y="0"/>
                      <a:ext cx="5760720" cy="1981200"/>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D431C5"/>
    <w:p w:rsidR="00D656DD" w:rsidRDefault="00D656DD" w:rsidP="002F3282">
      <w:pPr>
        <w:spacing w:after="0"/>
      </w:pPr>
    </w:p>
    <w:tbl>
      <w:tblPr>
        <w:tblW w:w="99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1843"/>
        <w:gridCol w:w="1559"/>
        <w:gridCol w:w="1276"/>
        <w:gridCol w:w="1276"/>
      </w:tblGrid>
      <w:tr w:rsidR="002F3282" w:rsidRPr="00CB3D05"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20"/>
                <w:szCs w:val="21"/>
                <w:lang w:eastAsia="en-GB"/>
              </w:rPr>
            </w:pPr>
            <w:r w:rsidRPr="00CB3D05">
              <w:rPr>
                <w:rFonts w:ascii="Helvetica" w:eastAsia="Times New Roman" w:hAnsi="Helvetica" w:cs="Helvetica"/>
                <w:color w:val="333333"/>
                <w:sz w:val="20"/>
                <w:szCs w:val="21"/>
                <w:lang w:eastAsia="en-GB"/>
              </w:rPr>
              <w:t>cluster</w:t>
            </w:r>
          </w:p>
        </w:tc>
        <w:tc>
          <w:tcPr>
            <w:tcW w:w="212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1</w:t>
            </w:r>
          </w:p>
        </w:tc>
        <w:tc>
          <w:tcPr>
            <w:tcW w:w="1843"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2</w:t>
            </w:r>
          </w:p>
        </w:tc>
        <w:tc>
          <w:tcPr>
            <w:tcW w:w="1559"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3</w:t>
            </w:r>
          </w:p>
        </w:tc>
        <w:tc>
          <w:tcPr>
            <w:tcW w:w="127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4</w:t>
            </w:r>
          </w:p>
        </w:tc>
        <w:tc>
          <w:tcPr>
            <w:tcW w:w="127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5</w:t>
            </w:r>
          </w:p>
        </w:tc>
      </w:tr>
      <w:tr w:rsidR="002F3282" w:rsidRPr="003F4D11"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proofErr w:type="spellStart"/>
            <w:r w:rsidRPr="003F4D11">
              <w:t>rrents_tot_WB</w:t>
            </w:r>
            <w:proofErr w:type="spellEnd"/>
          </w:p>
        </w:tc>
        <w:tc>
          <w:tcPr>
            <w:tcW w:w="212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11.44</w:t>
            </w:r>
          </w:p>
        </w:tc>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3.74</w:t>
            </w:r>
          </w:p>
        </w:tc>
        <w:tc>
          <w:tcPr>
            <w:tcW w:w="1559"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34.24</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1.30</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2.73</w:t>
            </w:r>
          </w:p>
        </w:tc>
      </w:tr>
      <w:tr w:rsidR="002F3282" w:rsidRPr="003F4D11"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proofErr w:type="spellStart"/>
            <w:r w:rsidRPr="003F4D11">
              <w:t>gov_corrupt_WGI</w:t>
            </w:r>
            <w:proofErr w:type="spellEnd"/>
          </w:p>
        </w:tc>
        <w:tc>
          <w:tcPr>
            <w:tcW w:w="212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-0.74</w:t>
            </w:r>
          </w:p>
        </w:tc>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-0.15</w:t>
            </w:r>
          </w:p>
        </w:tc>
        <w:tc>
          <w:tcPr>
            <w:tcW w:w="1559"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-1.03</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1.81</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0.48</w:t>
            </w:r>
          </w:p>
        </w:tc>
      </w:tr>
      <w:tr w:rsidR="002F3282" w:rsidRPr="003F4D11"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proofErr w:type="spellStart"/>
            <w:r w:rsidRPr="003F4D11">
              <w:t>gov_effect_WGI</w:t>
            </w:r>
            <w:proofErr w:type="spellEnd"/>
          </w:p>
        </w:tc>
        <w:tc>
          <w:tcPr>
            <w:tcW w:w="212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-0.69</w:t>
            </w:r>
          </w:p>
        </w:tc>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-0.12</w:t>
            </w:r>
          </w:p>
        </w:tc>
        <w:tc>
          <w:tcPr>
            <w:tcW w:w="1559"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-0.98</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1.69</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0.76</w:t>
            </w:r>
          </w:p>
        </w:tc>
      </w:tr>
      <w:tr w:rsidR="002F3282" w:rsidRPr="003F4D11"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proofErr w:type="spellStart"/>
            <w:r w:rsidRPr="003F4D11">
              <w:t>gini_disp</w:t>
            </w:r>
            <w:proofErr w:type="spellEnd"/>
          </w:p>
        </w:tc>
        <w:tc>
          <w:tcPr>
            <w:tcW w:w="212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39.51</w:t>
            </w:r>
          </w:p>
        </w:tc>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44.89</w:t>
            </w:r>
          </w:p>
        </w:tc>
        <w:tc>
          <w:tcPr>
            <w:tcW w:w="1559"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35.67</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29.73</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33.77</w:t>
            </w:r>
          </w:p>
        </w:tc>
      </w:tr>
      <w:tr w:rsidR="002F3282"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proofErr w:type="spellStart"/>
            <w:r w:rsidRPr="003F4D11">
              <w:t>frac_ethnic</w:t>
            </w:r>
            <w:proofErr w:type="spellEnd"/>
          </w:p>
        </w:tc>
        <w:tc>
          <w:tcPr>
            <w:tcW w:w="212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0.67</w:t>
            </w:r>
          </w:p>
        </w:tc>
        <w:tc>
          <w:tcPr>
            <w:tcW w:w="1843"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0.28</w:t>
            </w:r>
          </w:p>
        </w:tc>
        <w:tc>
          <w:tcPr>
            <w:tcW w:w="1559"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0.60</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Pr="003F4D11" w:rsidRDefault="002F3282" w:rsidP="002F3282">
            <w:pPr>
              <w:spacing w:after="0"/>
            </w:pPr>
            <w:r w:rsidRPr="003F4D11">
              <w:t xml:space="preserve"> 0.21</w:t>
            </w:r>
          </w:p>
        </w:tc>
        <w:tc>
          <w:tcPr>
            <w:tcW w:w="1276" w:type="dxa"/>
            <w:tcBorders>
              <w:top w:val="single" w:sz="6" w:space="0" w:color="DDDDDD"/>
            </w:tcBorders>
            <w:shd w:val="clear" w:color="auto" w:fill="FFFFFF"/>
            <w:tcMar>
              <w:top w:w="120" w:type="dxa"/>
              <w:left w:w="120" w:type="dxa"/>
              <w:bottom w:w="120" w:type="dxa"/>
              <w:right w:w="120" w:type="dxa"/>
            </w:tcMar>
            <w:hideMark/>
          </w:tcPr>
          <w:p w:rsidR="002F3282" w:rsidRDefault="002F3282" w:rsidP="002F3282">
            <w:pPr>
              <w:spacing w:after="0"/>
            </w:pPr>
            <w:r w:rsidRPr="003F4D11">
              <w:t xml:space="preserve"> 0.34</w:t>
            </w:r>
          </w:p>
        </w:tc>
      </w:tr>
      <w:tr w:rsidR="002F3282" w:rsidRPr="00CB3D05"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20"/>
                <w:szCs w:val="21"/>
                <w:lang w:eastAsia="en-GB"/>
              </w:rPr>
            </w:pPr>
            <w:r w:rsidRPr="00CB3D05">
              <w:rPr>
                <w:rFonts w:ascii="Helvetica" w:eastAsia="Times New Roman" w:hAnsi="Helvetica" w:cs="Helvetica"/>
                <w:color w:val="333333"/>
                <w:sz w:val="20"/>
                <w:szCs w:val="21"/>
                <w:lang w:eastAsia="en-GB"/>
              </w:rPr>
              <w:t>countries</w:t>
            </w:r>
          </w:p>
        </w:tc>
        <w:tc>
          <w:tcPr>
            <w:tcW w:w="212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t>Afghanistan, Belize, Benin, Bhutan, Bolivia (</w:t>
            </w:r>
            <w:proofErr w:type="spellStart"/>
            <w:r w:rsidRPr="00CB3D05">
              <w:rPr>
                <w:rFonts w:ascii="Helvetica" w:eastAsia="Times New Roman" w:hAnsi="Helvetica" w:cs="Helvetica"/>
                <w:color w:val="333333"/>
                <w:sz w:val="18"/>
                <w:szCs w:val="21"/>
                <w:lang w:eastAsia="en-GB"/>
              </w:rPr>
              <w:t>Plurinational</w:t>
            </w:r>
            <w:proofErr w:type="spellEnd"/>
            <w:r w:rsidRPr="00CB3D05">
              <w:rPr>
                <w:rFonts w:ascii="Helvetica" w:eastAsia="Times New Roman" w:hAnsi="Helvetica" w:cs="Helvetica"/>
                <w:color w:val="333333"/>
                <w:sz w:val="18"/>
                <w:szCs w:val="21"/>
                <w:lang w:eastAsia="en-GB"/>
              </w:rPr>
              <w:t xml:space="preserve"> State of), Bosnia and Herzegovina, Burkina Faso, Burundi, Cameroon, Central African Republic, Chad, Colombia, </w:t>
            </w:r>
            <w:proofErr w:type="spellStart"/>
            <w:r w:rsidRPr="00CB3D05">
              <w:rPr>
                <w:rFonts w:ascii="Helvetica" w:eastAsia="Times New Roman" w:hAnsi="Helvetica" w:cs="Helvetica"/>
                <w:color w:val="333333"/>
                <w:sz w:val="18"/>
                <w:szCs w:val="21"/>
                <w:lang w:eastAsia="en-GB"/>
              </w:rPr>
              <w:t>CÃ´te</w:t>
            </w:r>
            <w:proofErr w:type="spellEnd"/>
            <w:r w:rsidRPr="00CB3D05">
              <w:rPr>
                <w:rFonts w:ascii="Helvetica" w:eastAsia="Times New Roman" w:hAnsi="Helvetica" w:cs="Helvetica"/>
                <w:color w:val="333333"/>
                <w:sz w:val="18"/>
                <w:szCs w:val="21"/>
                <w:lang w:eastAsia="en-GB"/>
              </w:rPr>
              <w:t xml:space="preserve"> d’Ivoire, Djibouti, Ecuador, Ethiopia, Gambia, Ghana, Guatemala, Guinea-Bissau, Guyana, Indonesia, Kenya, Kyrgyzstan, Lao People’s Democratic </w:t>
            </w:r>
            <w:r w:rsidRPr="00CB3D05">
              <w:rPr>
                <w:rFonts w:ascii="Helvetica" w:eastAsia="Times New Roman" w:hAnsi="Helvetica" w:cs="Helvetica"/>
                <w:color w:val="333333"/>
                <w:sz w:val="18"/>
                <w:szCs w:val="21"/>
                <w:lang w:eastAsia="en-GB"/>
              </w:rPr>
              <w:lastRenderedPageBreak/>
              <w:t>Republic, Madagascar, Malawi, Mali, Mongolia, Mozambique, Myanmar, Nepal, Nicaragua, Niger, Nigeria, Pakistan, Papua New Guinea, Peru, Qatar, Republic of Moldova, Senegal, Sierra Leone, Somalia, Sudan, Suriname, Tajikistan, Thailand, Togo, Trinidad and Tobago, Turkmenistan, Uganda, Ukraine, United Republic of Tanzania, Uzbekistan, Zambia, Zimbabwe</w:t>
            </w:r>
          </w:p>
        </w:tc>
        <w:tc>
          <w:tcPr>
            <w:tcW w:w="1843"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lastRenderedPageBreak/>
              <w:t xml:space="preserve">Albania, Argentina, Armenia, Bahamas, Bangladesh, Barbados, Botswana, Brazil, Brunei Darussalam, Cabo Verde, Cambodia, China, Comoros, Costa Rica, Dominican Republic, Egypt, El Salvador, Fiji, Haiti, Honduras, India, Jamaica, Kiribati, Lebanon, Lesotho, Mexico, Morocco, Namibia, Panama, </w:t>
            </w:r>
            <w:r w:rsidRPr="00CB3D05">
              <w:rPr>
                <w:rFonts w:ascii="Helvetica" w:eastAsia="Times New Roman" w:hAnsi="Helvetica" w:cs="Helvetica"/>
                <w:color w:val="333333"/>
                <w:sz w:val="18"/>
                <w:szCs w:val="21"/>
                <w:lang w:eastAsia="en-GB"/>
              </w:rPr>
              <w:lastRenderedPageBreak/>
              <w:t>Paraguay, Philippines, Russian Federation, Rwanda, Saint Lucia, Saint Vincent and the Grenadines, Samoa, Seychelles, South Africa, Sri Lanka, Swaziland, Tonga, Tunisia, Turkey, Vanuatu, Viet Nam</w:t>
            </w:r>
          </w:p>
        </w:tc>
        <w:tc>
          <w:tcPr>
            <w:tcW w:w="1559"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lastRenderedPageBreak/>
              <w:t xml:space="preserve">Algeria, Angola, Azerbaijan, Congo, Democratic Republic of the Congo, Equatorial Guinea, Gabon, Guinea, Iran (Islamic Republic of), Iraq, Kazakhstan, Kuwait, Liberia, Libya, Mauritania, Solomon </w:t>
            </w:r>
            <w:r w:rsidRPr="00CB3D05">
              <w:rPr>
                <w:rFonts w:ascii="Helvetica" w:eastAsia="Times New Roman" w:hAnsi="Helvetica" w:cs="Helvetica"/>
                <w:color w:val="333333"/>
                <w:sz w:val="18"/>
                <w:szCs w:val="21"/>
                <w:lang w:eastAsia="en-GB"/>
              </w:rPr>
              <w:lastRenderedPageBreak/>
              <w:t>Islands, Syrian Arab Republic, Venezuela (Bolivarian Republic of)</w:t>
            </w:r>
          </w:p>
        </w:tc>
        <w:tc>
          <w:tcPr>
            <w:tcW w:w="127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lastRenderedPageBreak/>
              <w:t xml:space="preserve">Australia, Austria, Belgium, Canada, China (Hong Kong SAR), Cyprus, Denmark, Finland, France, Germany, Iceland, Ireland, Japan, Luxembourg, Malta, Netherlands, </w:t>
            </w:r>
            <w:r w:rsidRPr="00CB3D05">
              <w:rPr>
                <w:rFonts w:ascii="Helvetica" w:eastAsia="Times New Roman" w:hAnsi="Helvetica" w:cs="Helvetica"/>
                <w:color w:val="333333"/>
                <w:sz w:val="18"/>
                <w:szCs w:val="21"/>
                <w:lang w:eastAsia="en-GB"/>
              </w:rPr>
              <w:lastRenderedPageBreak/>
              <w:t>New Zealand, Norway, Singapore, Sweden, Switzerland, United Kingdom</w:t>
            </w:r>
          </w:p>
        </w:tc>
        <w:tc>
          <w:tcPr>
            <w:tcW w:w="1276" w:type="dxa"/>
            <w:tcBorders>
              <w:top w:val="single" w:sz="6" w:space="0" w:color="DDDDDD"/>
            </w:tcBorders>
            <w:shd w:val="clear" w:color="auto" w:fill="FFFFFF"/>
            <w:tcMar>
              <w:top w:w="120" w:type="dxa"/>
              <w:left w:w="120" w:type="dxa"/>
              <w:bottom w:w="120" w:type="dxa"/>
              <w:right w:w="120" w:type="dxa"/>
            </w:tcMar>
            <w:hideMark/>
          </w:tcPr>
          <w:p w:rsidR="00CB3D05" w:rsidRPr="00CB3D05" w:rsidRDefault="00CB3D05" w:rsidP="002F3282">
            <w:pPr>
              <w:spacing w:after="0" w:line="240" w:lineRule="auto"/>
              <w:rPr>
                <w:rFonts w:ascii="Helvetica" w:eastAsia="Times New Roman" w:hAnsi="Helvetica" w:cs="Helvetica"/>
                <w:color w:val="333333"/>
                <w:sz w:val="18"/>
                <w:szCs w:val="21"/>
                <w:lang w:eastAsia="en-GB"/>
              </w:rPr>
            </w:pPr>
            <w:r w:rsidRPr="00CB3D05">
              <w:rPr>
                <w:rFonts w:ascii="Helvetica" w:eastAsia="Times New Roman" w:hAnsi="Helvetica" w:cs="Helvetica"/>
                <w:color w:val="333333"/>
                <w:sz w:val="18"/>
                <w:szCs w:val="21"/>
                <w:lang w:eastAsia="en-GB"/>
              </w:rPr>
              <w:lastRenderedPageBreak/>
              <w:t xml:space="preserve">Belarus, Bulgaria, Chile, Croatia, </w:t>
            </w:r>
            <w:proofErr w:type="spellStart"/>
            <w:r w:rsidRPr="00CB3D05">
              <w:rPr>
                <w:rFonts w:ascii="Helvetica" w:eastAsia="Times New Roman" w:hAnsi="Helvetica" w:cs="Helvetica"/>
                <w:color w:val="333333"/>
                <w:sz w:val="18"/>
                <w:szCs w:val="21"/>
                <w:lang w:eastAsia="en-GB"/>
              </w:rPr>
              <w:t>Czechia</w:t>
            </w:r>
            <w:proofErr w:type="spellEnd"/>
            <w:r w:rsidRPr="00CB3D05">
              <w:rPr>
                <w:rFonts w:ascii="Helvetica" w:eastAsia="Times New Roman" w:hAnsi="Helvetica" w:cs="Helvetica"/>
                <w:color w:val="333333"/>
                <w:sz w:val="18"/>
                <w:szCs w:val="21"/>
                <w:lang w:eastAsia="en-GB"/>
              </w:rPr>
              <w:t xml:space="preserve">, Estonia, Georgia, Greece, Hungary, Israel, Italy, Jordan, Latvia, Lithuania, Malaysia, Mauritius, Poland, Portugal, </w:t>
            </w:r>
            <w:r w:rsidRPr="00CB3D05">
              <w:rPr>
                <w:rFonts w:ascii="Helvetica" w:eastAsia="Times New Roman" w:hAnsi="Helvetica" w:cs="Helvetica"/>
                <w:color w:val="333333"/>
                <w:sz w:val="18"/>
                <w:szCs w:val="21"/>
                <w:lang w:eastAsia="en-GB"/>
              </w:rPr>
              <w:lastRenderedPageBreak/>
              <w:t>Republic of Korea, Romania, Slovakia, Slovenia, Spain, TFYR Macedonia, United Arab Emirates, United States of America, Uruguay</w:t>
            </w:r>
          </w:p>
        </w:tc>
      </w:tr>
      <w:tr w:rsidR="002F3282" w:rsidRPr="00CB3D05" w:rsidTr="002F3282">
        <w:trPr>
          <w:trHeight w:val="20"/>
        </w:trPr>
        <w:tc>
          <w:tcPr>
            <w:tcW w:w="1843" w:type="dxa"/>
            <w:tcBorders>
              <w:top w:val="single" w:sz="6" w:space="0" w:color="DDDDDD"/>
            </w:tcBorders>
            <w:shd w:val="clear" w:color="auto" w:fill="FFFFFF"/>
            <w:tcMar>
              <w:top w:w="120" w:type="dxa"/>
              <w:left w:w="120" w:type="dxa"/>
              <w:bottom w:w="120" w:type="dxa"/>
              <w:right w:w="120" w:type="dxa"/>
            </w:tcMar>
          </w:tcPr>
          <w:p w:rsidR="002F3282" w:rsidRPr="003F4D11" w:rsidRDefault="002F3282" w:rsidP="002F3282">
            <w:pPr>
              <w:spacing w:after="0"/>
            </w:pPr>
          </w:p>
        </w:tc>
        <w:tc>
          <w:tcPr>
            <w:tcW w:w="2126" w:type="dxa"/>
            <w:tcBorders>
              <w:top w:val="single" w:sz="6" w:space="0" w:color="DDDDDD"/>
            </w:tcBorders>
            <w:shd w:val="clear" w:color="auto" w:fill="FFFFFF"/>
            <w:tcMar>
              <w:top w:w="120" w:type="dxa"/>
              <w:left w:w="120" w:type="dxa"/>
              <w:bottom w:w="120" w:type="dxa"/>
              <w:right w:w="120" w:type="dxa"/>
            </w:tcMar>
          </w:tcPr>
          <w:p w:rsidR="002F3282" w:rsidRPr="003F4D11" w:rsidRDefault="002F3282" w:rsidP="002F3282">
            <w:pPr>
              <w:spacing w:after="0"/>
            </w:pPr>
          </w:p>
        </w:tc>
        <w:tc>
          <w:tcPr>
            <w:tcW w:w="1843" w:type="dxa"/>
            <w:tcBorders>
              <w:top w:val="single" w:sz="6" w:space="0" w:color="DDDDDD"/>
            </w:tcBorders>
            <w:shd w:val="clear" w:color="auto" w:fill="FFFFFF"/>
            <w:tcMar>
              <w:top w:w="120" w:type="dxa"/>
              <w:left w:w="120" w:type="dxa"/>
              <w:bottom w:w="120" w:type="dxa"/>
              <w:right w:w="120" w:type="dxa"/>
            </w:tcMar>
          </w:tcPr>
          <w:p w:rsidR="002F3282" w:rsidRPr="003F4D11" w:rsidRDefault="002F3282" w:rsidP="002F3282">
            <w:pPr>
              <w:spacing w:after="0"/>
            </w:pPr>
          </w:p>
        </w:tc>
        <w:tc>
          <w:tcPr>
            <w:tcW w:w="1559" w:type="dxa"/>
            <w:tcBorders>
              <w:top w:val="single" w:sz="6" w:space="0" w:color="DDDDDD"/>
            </w:tcBorders>
            <w:shd w:val="clear" w:color="auto" w:fill="FFFFFF"/>
            <w:tcMar>
              <w:top w:w="120" w:type="dxa"/>
              <w:left w:w="120" w:type="dxa"/>
              <w:bottom w:w="120" w:type="dxa"/>
              <w:right w:w="120" w:type="dxa"/>
            </w:tcMar>
          </w:tcPr>
          <w:p w:rsidR="002F3282" w:rsidRPr="003F4D11" w:rsidRDefault="002F3282" w:rsidP="002F3282">
            <w:pPr>
              <w:spacing w:after="0"/>
            </w:pPr>
          </w:p>
        </w:tc>
        <w:tc>
          <w:tcPr>
            <w:tcW w:w="1276" w:type="dxa"/>
            <w:tcBorders>
              <w:top w:val="single" w:sz="6" w:space="0" w:color="DDDDDD"/>
            </w:tcBorders>
            <w:shd w:val="clear" w:color="auto" w:fill="FFFFFF"/>
            <w:tcMar>
              <w:top w:w="120" w:type="dxa"/>
              <w:left w:w="120" w:type="dxa"/>
              <w:bottom w:w="120" w:type="dxa"/>
              <w:right w:w="120" w:type="dxa"/>
            </w:tcMar>
          </w:tcPr>
          <w:p w:rsidR="002F3282" w:rsidRPr="003F4D11" w:rsidRDefault="002F3282" w:rsidP="002F3282">
            <w:pPr>
              <w:spacing w:after="0"/>
            </w:pPr>
          </w:p>
        </w:tc>
        <w:tc>
          <w:tcPr>
            <w:tcW w:w="1276" w:type="dxa"/>
            <w:tcBorders>
              <w:top w:val="single" w:sz="6" w:space="0" w:color="DDDDDD"/>
            </w:tcBorders>
            <w:shd w:val="clear" w:color="auto" w:fill="FFFFFF"/>
            <w:tcMar>
              <w:top w:w="120" w:type="dxa"/>
              <w:left w:w="120" w:type="dxa"/>
              <w:bottom w:w="120" w:type="dxa"/>
              <w:right w:w="120" w:type="dxa"/>
            </w:tcMar>
          </w:tcPr>
          <w:p w:rsidR="002F3282" w:rsidRDefault="002F3282" w:rsidP="002F3282">
            <w:pPr>
              <w:spacing w:after="0"/>
            </w:pPr>
          </w:p>
        </w:tc>
      </w:tr>
    </w:tbl>
    <w:p w:rsidR="00D656DD" w:rsidRDefault="00D656DD" w:rsidP="00D431C5"/>
    <w:p w:rsidR="003B16C0" w:rsidRDefault="003B16C0" w:rsidP="00D431C5">
      <w:r>
        <w:rPr>
          <w:noProof/>
          <w:lang w:eastAsia="en-GB"/>
        </w:rPr>
        <w:drawing>
          <wp:inline distT="0" distB="0" distL="0" distR="0">
            <wp:extent cx="5760720" cy="576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_trend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3B16C0" w:rsidRPr="00D431C5" w:rsidRDefault="003B16C0" w:rsidP="00D431C5"/>
    <w:p w:rsidR="00D431C5" w:rsidRDefault="002F3282" w:rsidP="000E3EB1">
      <w:pPr>
        <w:pStyle w:val="ListParagraph"/>
        <w:numPr>
          <w:ilvl w:val="1"/>
          <w:numId w:val="5"/>
        </w:numPr>
        <w:ind w:left="431" w:hanging="431"/>
        <w:rPr>
          <w:i/>
        </w:rPr>
      </w:pPr>
      <w:r>
        <w:rPr>
          <w:i/>
        </w:rPr>
        <w:t>Regime types and climate mitigation bottlenecks</w:t>
      </w:r>
    </w:p>
    <w:p w:rsidR="003B16C0" w:rsidRDefault="003B16C0" w:rsidP="003B16C0">
      <w:pPr>
        <w:rPr>
          <w:i/>
        </w:rPr>
      </w:pPr>
    </w:p>
    <w:p w:rsidR="003B16C0" w:rsidRPr="003B16C0" w:rsidRDefault="00335539" w:rsidP="003B16C0">
      <w:pPr>
        <w:rPr>
          <w:i/>
        </w:rPr>
      </w:pPr>
      <w:r>
        <w:rPr>
          <w:i/>
          <w:noProof/>
          <w:lang w:eastAsia="en-GB"/>
        </w:rPr>
        <w:drawing>
          <wp:inline distT="0" distB="0" distL="0" distR="0">
            <wp:extent cx="576072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_risk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2F3282" w:rsidRPr="002F3282" w:rsidRDefault="002F3282" w:rsidP="002F3282">
      <w:pPr>
        <w:rPr>
          <w:i/>
        </w:rPr>
      </w:pPr>
    </w:p>
    <w:p w:rsidR="00CB691F" w:rsidRDefault="00CB691F" w:rsidP="00A1695A"/>
    <w:p w:rsidR="009E4A24" w:rsidRDefault="009E4A24" w:rsidP="00A1695A"/>
    <w:p w:rsidR="009E4A24" w:rsidRDefault="009E4A24" w:rsidP="00A1695A"/>
    <w:p w:rsidR="00A1695A" w:rsidRPr="00A1695A" w:rsidRDefault="00A1695A" w:rsidP="00A1695A"/>
    <w:p w:rsidR="00A1695A" w:rsidRDefault="00A1695A" w:rsidP="00A1695A"/>
    <w:p w:rsidR="00F63557" w:rsidRPr="000E3EB1" w:rsidRDefault="00F63AB1" w:rsidP="000E3EB1">
      <w:pPr>
        <w:pStyle w:val="ListParagraph"/>
        <w:numPr>
          <w:ilvl w:val="0"/>
          <w:numId w:val="5"/>
        </w:numPr>
        <w:rPr>
          <w:b/>
        </w:rPr>
      </w:pPr>
      <w:r w:rsidRPr="00F63AB1">
        <w:rPr>
          <w:b/>
        </w:rPr>
        <w:t>Conclusion</w:t>
      </w:r>
    </w:p>
    <w:p w:rsidR="008F7F66" w:rsidRDefault="008F7F66" w:rsidP="00A1695A"/>
    <w:p w:rsidR="00621B31" w:rsidRDefault="00621B31" w:rsidP="00A1695A">
      <w:pPr>
        <w:rPr>
          <w:noProof/>
          <w:szCs w:val="24"/>
        </w:rPr>
      </w:pPr>
      <w:r w:rsidRPr="00547319">
        <w:rPr>
          <w:noProof/>
          <w:szCs w:val="24"/>
        </w:rPr>
        <w:t xml:space="preserve">S. J. Davis and R. H. Socolow, “Commitment accounting of CO2 emissions,” </w:t>
      </w:r>
      <w:r w:rsidRPr="00547319">
        <w:rPr>
          <w:i/>
          <w:iCs/>
          <w:noProof/>
          <w:szCs w:val="24"/>
        </w:rPr>
        <w:t>Environ. Res. Lett.</w:t>
      </w:r>
      <w:r w:rsidRPr="00547319">
        <w:rPr>
          <w:noProof/>
          <w:szCs w:val="24"/>
        </w:rPr>
        <w:t>, vol. 9, no. 8, p. 84018, Aug. 2014.</w:t>
      </w:r>
    </w:p>
    <w:p w:rsidR="002507F8" w:rsidRDefault="00FA3921" w:rsidP="00A1695A">
      <w:pPr>
        <w:rPr>
          <w:noProof/>
          <w:szCs w:val="24"/>
        </w:rPr>
      </w:pPr>
      <w:r w:rsidRPr="00547319">
        <w:rPr>
          <w:noProof/>
          <w:szCs w:val="24"/>
        </w:rPr>
        <w:t xml:space="preserve">C. McGlade and P. Ekins, “The geographical distribution of fossil fuels unused when limiting global warming to 2 °C,” </w:t>
      </w:r>
      <w:r w:rsidRPr="00547319">
        <w:rPr>
          <w:i/>
          <w:iCs/>
          <w:noProof/>
          <w:szCs w:val="24"/>
        </w:rPr>
        <w:t>Nature</w:t>
      </w:r>
      <w:r w:rsidRPr="00547319">
        <w:rPr>
          <w:noProof/>
          <w:szCs w:val="24"/>
        </w:rPr>
        <w:t>, vol. 517, no. 7533, pp. 187–190, Jan. 2015.</w:t>
      </w:r>
    </w:p>
    <w:p w:rsidR="00FA3921" w:rsidRDefault="00FA3921" w:rsidP="00A1695A"/>
    <w:p w:rsidR="002507F8" w:rsidRDefault="002507F8" w:rsidP="00A1695A"/>
    <w:sectPr w:rsidR="002507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095"/>
    <w:multiLevelType w:val="hybridMultilevel"/>
    <w:tmpl w:val="4048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723"/>
    <w:multiLevelType w:val="hybridMultilevel"/>
    <w:tmpl w:val="36526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7532E9"/>
    <w:multiLevelType w:val="hybridMultilevel"/>
    <w:tmpl w:val="A570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46A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23064"/>
    <w:multiLevelType w:val="hybridMultilevel"/>
    <w:tmpl w:val="4ED6C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792D33"/>
    <w:multiLevelType w:val="hybridMultilevel"/>
    <w:tmpl w:val="8026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382B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011DCD"/>
    <w:multiLevelType w:val="hybridMultilevel"/>
    <w:tmpl w:val="1A488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BE1D84"/>
    <w:multiLevelType w:val="hybridMultilevel"/>
    <w:tmpl w:val="0F98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1144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596B47"/>
    <w:multiLevelType w:val="hybridMultilevel"/>
    <w:tmpl w:val="B9F2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3"/>
  </w:num>
  <w:num w:numId="6">
    <w:abstractNumId w:val="6"/>
  </w:num>
  <w:num w:numId="7">
    <w:abstractNumId w:val="4"/>
  </w:num>
  <w:num w:numId="8">
    <w:abstractNumId w:val="5"/>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255A9"/>
    <w:rsid w:val="00055C36"/>
    <w:rsid w:val="00060E2E"/>
    <w:rsid w:val="000720ED"/>
    <w:rsid w:val="000E3EB1"/>
    <w:rsid w:val="000E4F21"/>
    <w:rsid w:val="000E78F6"/>
    <w:rsid w:val="000F7CBD"/>
    <w:rsid w:val="001215B4"/>
    <w:rsid w:val="00141552"/>
    <w:rsid w:val="0016219E"/>
    <w:rsid w:val="0018086D"/>
    <w:rsid w:val="001C7A27"/>
    <w:rsid w:val="001E6ED1"/>
    <w:rsid w:val="001F1623"/>
    <w:rsid w:val="00224300"/>
    <w:rsid w:val="00227B35"/>
    <w:rsid w:val="002400B4"/>
    <w:rsid w:val="002507F8"/>
    <w:rsid w:val="00252038"/>
    <w:rsid w:val="00267753"/>
    <w:rsid w:val="002A126A"/>
    <w:rsid w:val="002B7F84"/>
    <w:rsid w:val="002E7047"/>
    <w:rsid w:val="002F3282"/>
    <w:rsid w:val="003163CC"/>
    <w:rsid w:val="003218A4"/>
    <w:rsid w:val="00323D12"/>
    <w:rsid w:val="0032506B"/>
    <w:rsid w:val="00335539"/>
    <w:rsid w:val="003403CE"/>
    <w:rsid w:val="003436AC"/>
    <w:rsid w:val="003921CF"/>
    <w:rsid w:val="003B16C0"/>
    <w:rsid w:val="003C3750"/>
    <w:rsid w:val="003F3E95"/>
    <w:rsid w:val="003F6C5C"/>
    <w:rsid w:val="0046283C"/>
    <w:rsid w:val="00485770"/>
    <w:rsid w:val="004C6081"/>
    <w:rsid w:val="004D7599"/>
    <w:rsid w:val="00503AA1"/>
    <w:rsid w:val="00553DA0"/>
    <w:rsid w:val="005746CB"/>
    <w:rsid w:val="00583241"/>
    <w:rsid w:val="005B316C"/>
    <w:rsid w:val="005D3284"/>
    <w:rsid w:val="00610BD9"/>
    <w:rsid w:val="00621B31"/>
    <w:rsid w:val="00653458"/>
    <w:rsid w:val="00654656"/>
    <w:rsid w:val="0067471A"/>
    <w:rsid w:val="006931F5"/>
    <w:rsid w:val="00695F67"/>
    <w:rsid w:val="006B58DE"/>
    <w:rsid w:val="006C2B2B"/>
    <w:rsid w:val="006D169B"/>
    <w:rsid w:val="006D3C01"/>
    <w:rsid w:val="006E27CC"/>
    <w:rsid w:val="00701186"/>
    <w:rsid w:val="00762E85"/>
    <w:rsid w:val="00784330"/>
    <w:rsid w:val="00791A9E"/>
    <w:rsid w:val="007935CD"/>
    <w:rsid w:val="007954B9"/>
    <w:rsid w:val="007964A2"/>
    <w:rsid w:val="007A0BDC"/>
    <w:rsid w:val="007A252B"/>
    <w:rsid w:val="007D65BE"/>
    <w:rsid w:val="007F3C5B"/>
    <w:rsid w:val="00812E7A"/>
    <w:rsid w:val="00814FD1"/>
    <w:rsid w:val="0082390F"/>
    <w:rsid w:val="00835B17"/>
    <w:rsid w:val="00853EBB"/>
    <w:rsid w:val="008856BB"/>
    <w:rsid w:val="008C2F7F"/>
    <w:rsid w:val="008F7F66"/>
    <w:rsid w:val="009102E6"/>
    <w:rsid w:val="009252B0"/>
    <w:rsid w:val="00952034"/>
    <w:rsid w:val="00953AFE"/>
    <w:rsid w:val="00983F79"/>
    <w:rsid w:val="0099609C"/>
    <w:rsid w:val="009D03E3"/>
    <w:rsid w:val="009E496C"/>
    <w:rsid w:val="009E4A24"/>
    <w:rsid w:val="00A1695A"/>
    <w:rsid w:val="00A27988"/>
    <w:rsid w:val="00A326CF"/>
    <w:rsid w:val="00A331E1"/>
    <w:rsid w:val="00A3441E"/>
    <w:rsid w:val="00B15999"/>
    <w:rsid w:val="00B20BC7"/>
    <w:rsid w:val="00B27730"/>
    <w:rsid w:val="00B34144"/>
    <w:rsid w:val="00B667AF"/>
    <w:rsid w:val="00B80C60"/>
    <w:rsid w:val="00BE2B31"/>
    <w:rsid w:val="00C062F4"/>
    <w:rsid w:val="00C13753"/>
    <w:rsid w:val="00C26ADA"/>
    <w:rsid w:val="00C36819"/>
    <w:rsid w:val="00C46B8D"/>
    <w:rsid w:val="00C6727F"/>
    <w:rsid w:val="00C97A55"/>
    <w:rsid w:val="00CA7D8D"/>
    <w:rsid w:val="00CB3D05"/>
    <w:rsid w:val="00CB691F"/>
    <w:rsid w:val="00CC52CD"/>
    <w:rsid w:val="00D06B54"/>
    <w:rsid w:val="00D136F3"/>
    <w:rsid w:val="00D2695B"/>
    <w:rsid w:val="00D40CB8"/>
    <w:rsid w:val="00D431C5"/>
    <w:rsid w:val="00D5094D"/>
    <w:rsid w:val="00D656DD"/>
    <w:rsid w:val="00DB10FD"/>
    <w:rsid w:val="00DB3892"/>
    <w:rsid w:val="00DB4091"/>
    <w:rsid w:val="00DD37AE"/>
    <w:rsid w:val="00DE3726"/>
    <w:rsid w:val="00DE49A3"/>
    <w:rsid w:val="00E05A38"/>
    <w:rsid w:val="00E151B5"/>
    <w:rsid w:val="00E47D4C"/>
    <w:rsid w:val="00E6611F"/>
    <w:rsid w:val="00E808A5"/>
    <w:rsid w:val="00E85817"/>
    <w:rsid w:val="00E86148"/>
    <w:rsid w:val="00EE2A6A"/>
    <w:rsid w:val="00EF6F8A"/>
    <w:rsid w:val="00F32C62"/>
    <w:rsid w:val="00F63557"/>
    <w:rsid w:val="00F63AB1"/>
    <w:rsid w:val="00FA3921"/>
    <w:rsid w:val="00FD36E7"/>
    <w:rsid w:val="00FE33AF"/>
    <w:rsid w:val="00FF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87206-DBAE-4C9B-A4D7-3F342828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leGrid">
    <w:name w:val="Table Grid"/>
    <w:basedOn w:val="TableNormal"/>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FE439-CCA2-47EE-B364-9959D261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79</cp:revision>
  <dcterms:created xsi:type="dcterms:W3CDTF">2017-12-19T13:39:00Z</dcterms:created>
  <dcterms:modified xsi:type="dcterms:W3CDTF">2018-09-21T08:40:00Z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http://www.zotero.org/styles/apa</vt:lpwstr>
  </property>
</Properties>
</file>