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F103F" w14:textId="50A4BE1D" w:rsidR="000E4F21" w:rsidRPr="00CC52CD" w:rsidRDefault="00C15386" w:rsidP="00E77203">
      <w:pPr>
        <w:spacing w:line="360" w:lineRule="auto"/>
        <w:rPr>
          <w:b/>
        </w:rPr>
      </w:pPr>
      <w:r>
        <w:rPr>
          <w:b/>
        </w:rPr>
        <w:t xml:space="preserve">Political economic </w:t>
      </w:r>
      <w:r w:rsidR="008A7B7D">
        <w:rPr>
          <w:b/>
        </w:rPr>
        <w:t xml:space="preserve">constraints </w:t>
      </w:r>
      <w:r>
        <w:rPr>
          <w:b/>
        </w:rPr>
        <w:t>to</w:t>
      </w:r>
      <w:r w:rsidR="00D310F1">
        <w:rPr>
          <w:b/>
        </w:rPr>
        <w:t xml:space="preserve"> </w:t>
      </w:r>
      <w:r w:rsidR="00D07764">
        <w:rPr>
          <w:b/>
        </w:rPr>
        <w:t xml:space="preserve">climate policy: </w:t>
      </w:r>
      <w:r w:rsidR="00D82B23">
        <w:rPr>
          <w:b/>
        </w:rPr>
        <w:t>literature,</w:t>
      </w:r>
      <w:r w:rsidR="00BA7FAF">
        <w:rPr>
          <w:b/>
        </w:rPr>
        <w:t xml:space="preserve"> a</w:t>
      </w:r>
      <w:r w:rsidR="00BF7761">
        <w:rPr>
          <w:b/>
        </w:rPr>
        <w:t xml:space="preserve"> framework</w:t>
      </w:r>
      <w:r w:rsidR="00DA4B47">
        <w:rPr>
          <w:b/>
        </w:rPr>
        <w:t xml:space="preserve"> and</w:t>
      </w:r>
      <w:r w:rsidR="00D07764">
        <w:rPr>
          <w:b/>
        </w:rPr>
        <w:t xml:space="preserve"> stylized facts</w:t>
      </w:r>
    </w:p>
    <w:p w14:paraId="3013BA70" w14:textId="1B6A3BF7" w:rsidR="00396E6A" w:rsidRDefault="00396E6A" w:rsidP="00E77203">
      <w:pPr>
        <w:spacing w:line="360" w:lineRule="auto"/>
      </w:pPr>
      <w:r>
        <w:t>William F. Lamb</w:t>
      </w:r>
    </w:p>
    <w:p w14:paraId="78AF1853" w14:textId="68F864AC" w:rsidR="007954B9" w:rsidRDefault="00621B31" w:rsidP="00E77203">
      <w:pPr>
        <w:spacing w:line="360" w:lineRule="auto"/>
      </w:pPr>
      <w:r>
        <w:t>Journal:</w:t>
      </w:r>
      <w:r w:rsidR="00791A9E">
        <w:t xml:space="preserve"> </w:t>
      </w:r>
      <w:r w:rsidR="00F0607D">
        <w:t>Energy Research and Social Science</w:t>
      </w:r>
    </w:p>
    <w:p w14:paraId="116DF80E" w14:textId="77777777" w:rsidR="00BA7FAF" w:rsidRDefault="00BA7FAF" w:rsidP="00E77203">
      <w:pPr>
        <w:spacing w:line="360" w:lineRule="auto"/>
      </w:pPr>
    </w:p>
    <w:p w14:paraId="1BC851A1" w14:textId="54B6261D" w:rsidR="00BA7FAF" w:rsidRDefault="00BA7FAF" w:rsidP="00E77203">
      <w:pPr>
        <w:spacing w:line="360" w:lineRule="auto"/>
      </w:pPr>
      <w:r>
        <w:t xml:space="preserve">Policy prescriptions for climate change mitigation often overlook fundamental constraints to their promotion and adoption. Institutions can lack the capabilities to formulate and apply regulations. </w:t>
      </w:r>
      <w:r w:rsidR="00EC596C">
        <w:t xml:space="preserve">Social and cultural ideas can lower trust in public policy making, or disregard the impacts and proximity of climate change, severely limiting opportunities for change. Above all, interest groups actively deploy financial and political power to minimise compliance costs, while shaping ideas and institutions to further consolidate their position. These complex political economic constraints to climate policy have to date been scarce researched. In this paper we review the empirical and theoretical literature relevant for understanding cross-national differences in the adoption and outcomes of climate legislation and policies. </w:t>
      </w:r>
      <w:r w:rsidR="0094408B">
        <w:t xml:space="preserve">We then present a series of stylized facts in order to answer the question - </w:t>
      </w:r>
      <w:r w:rsidR="0094408B">
        <w:rPr>
          <w:i/>
        </w:rPr>
        <w:t>which countries are severely exposed to political economic constraints</w:t>
      </w:r>
      <w:r w:rsidR="0094408B" w:rsidRPr="00EE1410">
        <w:rPr>
          <w:i/>
        </w:rPr>
        <w:t xml:space="preserve"> to climate policy</w:t>
      </w:r>
      <w:r w:rsidR="0094408B">
        <w:rPr>
          <w:i/>
        </w:rPr>
        <w:t>, and do they matter for global climate mitigation?</w:t>
      </w:r>
    </w:p>
    <w:p w14:paraId="6EF054AB" w14:textId="77777777" w:rsidR="00BA7FAF" w:rsidRDefault="00BA7FAF" w:rsidP="00E77203">
      <w:pPr>
        <w:spacing w:line="360" w:lineRule="auto"/>
      </w:pPr>
    </w:p>
    <w:p w14:paraId="28049E90" w14:textId="77777777" w:rsidR="006931F5" w:rsidRDefault="00C062F4" w:rsidP="00E77203">
      <w:pPr>
        <w:pStyle w:val="Heading2"/>
        <w:numPr>
          <w:ilvl w:val="0"/>
          <w:numId w:val="19"/>
        </w:numPr>
        <w:spacing w:line="360" w:lineRule="auto"/>
      </w:pPr>
      <w:r w:rsidRPr="00CB691F">
        <w:t>Introduction</w:t>
      </w:r>
    </w:p>
    <w:p w14:paraId="47BEBE65" w14:textId="3C5A53D2" w:rsidR="00E34187" w:rsidRDefault="00F20284" w:rsidP="00E77203">
      <w:pPr>
        <w:spacing w:line="360" w:lineRule="auto"/>
      </w:pPr>
      <w:r>
        <w:t xml:space="preserve">It is largely acknowledged that countries are not on track to meet the </w:t>
      </w:r>
      <w:r w:rsidR="00D82B23">
        <w:t xml:space="preserve">climate mitigation </w:t>
      </w:r>
      <w:r>
        <w:t>goals of the Paris Agreement.</w:t>
      </w:r>
      <w:r w:rsidR="00847453">
        <w:t xml:space="preserve"> Assessments of </w:t>
      </w:r>
      <w:r w:rsidR="008841BE">
        <w:t xml:space="preserve">the Nationally Determined Contributions (NDCs) </w:t>
      </w:r>
      <w:r w:rsidR="00E77203">
        <w:t>point to</w:t>
      </w:r>
      <w:r w:rsidR="00BC45E5">
        <w:t xml:space="preserve"> a</w:t>
      </w:r>
      <w:r w:rsidR="00847453">
        <w:t xml:space="preserve"> global emissions pathway that far exceed</w:t>
      </w:r>
      <w:r>
        <w:t>s</w:t>
      </w:r>
      <w:r w:rsidR="00847453">
        <w:t xml:space="preserve"> the cumulative emi</w:t>
      </w:r>
      <w:r w:rsidR="008841BE">
        <w:t>ssions budget of the 2</w:t>
      </w:r>
      <w:r w:rsidR="008841BE">
        <w:rPr>
          <w:rFonts w:cstheme="minorHAnsi"/>
        </w:rPr>
        <w:t>°</w:t>
      </w:r>
      <w:r w:rsidR="00847453">
        <w:t>C goal</w:t>
      </w:r>
      <w:r>
        <w:t xml:space="preserve">, </w:t>
      </w:r>
      <w:r w:rsidR="00D82B23">
        <w:t>let alone</w:t>
      </w:r>
      <w:r>
        <w:t xml:space="preserve"> 1.5</w:t>
      </w:r>
      <w:r w:rsidR="00D82B23">
        <w:rPr>
          <w:rFonts w:cstheme="minorHAnsi"/>
        </w:rPr>
        <w:t>°</w:t>
      </w:r>
      <w:r>
        <w:t>C</w:t>
      </w:r>
      <w:r w:rsidR="008841BE">
        <w:t xml:space="preserve"> </w:t>
      </w:r>
      <w:r w:rsidR="008841BE">
        <w:fldChar w:fldCharType="begin" w:fldLock="1"/>
      </w:r>
      <w:r w:rsidR="008A1ED6">
        <w:instrText>ADDIN CSL_CITATION {"citationItems":[{"id":"ITEM-1","itemData":{"ISBN":"978-92-807-3726-4","author":[{"dropping-particle":"","family":"UNEP","given":"","non-dropping-particle":"","parse-names":false,"suffix":""}],"id":"ITEM-1","issued":{"date-parts":[["2018"]]},"publisher":"United Nations Environment Program","publisher-place":"Nairobi","title":"The Emissions Gap Report 2018","type":"book"},"uris":["http://www.mendeley.com/documents/?uuid=d2c072e7-66c7-491f-9ab2-4cb7e6bcf892"]}],"mendeley":{"formattedCitation":"(UNEP, 2018)","plainTextFormattedCitation":"(UNEP, 2018)","previouslyFormattedCitation":"(UNEP, 2018)"},"properties":{"noteIndex":0},"schema":"https://github.com/citation-style-language/schema/raw/master/csl-citation.json"}</w:instrText>
      </w:r>
      <w:r w:rsidR="008841BE">
        <w:fldChar w:fldCharType="separate"/>
      </w:r>
      <w:r w:rsidR="00E92ABD" w:rsidRPr="00E92ABD">
        <w:rPr>
          <w:noProof/>
        </w:rPr>
        <w:t>(UNEP, 2018)</w:t>
      </w:r>
      <w:r w:rsidR="008841BE">
        <w:fldChar w:fldCharType="end"/>
      </w:r>
      <w:r w:rsidR="00847453">
        <w:t xml:space="preserve">. </w:t>
      </w:r>
      <w:r>
        <w:t xml:space="preserve">A </w:t>
      </w:r>
      <w:r w:rsidR="00143BF0">
        <w:t>majority of countries have put into place climate targets and legislative measures</w:t>
      </w:r>
      <w:r w:rsidR="00F5337B">
        <w:t xml:space="preserve"> </w:t>
      </w:r>
      <w:r w:rsidR="00F5337B">
        <w:fldChar w:fldCharType="begin" w:fldLock="1"/>
      </w:r>
      <w:r w:rsidR="00F5337B">
        <w:instrText>ADDIN CSL_CITATION {"citationItems":[{"id":"ITEM-1","itemData":{"DOI":"10.1080/14693062.2018.1489772","ISSN":"17527457","abstract":"Global climate change governance has changed substantially in the last decade, with a shift in focus from negotiating globally agreed greenhouse gas (GHG) reduction targets to nationally determined contributions, as enshrined in the 2015 Paris Agreement. This paper analyses trends in adoption of national climate legislation and strategies, GHG targets, and renewable and energy efficiency targets in almost all UNFCCC Parties, focusing on the period from 2007 to 2017. The uniqueness and added value of this paper reside in its broad sweep of countries, the more than decade-long coverage and the use of objective metrics rather than normative judgements. Key results show that national climate legislation and strategies witnessed a strong increase in the first half of the assessed decade, likely due to the political lead up to the Copenhagen Climate Conference in 2009, but have somewhat stagnated in recent years, currently covering 70% of global GHG emissions (almost 50% of countries). In comparison, the coverage of GHG targets increased considerably in the run up to adoption of the Paris Agreement and 89% of global GHG emissions are currently covered by such targets. Renewable energy targets saw a steady spread, with 79% of the global GHG emissions covered in 2017 compared to 45% in 2007, with a steep increase in developing countries. Key policy insights The number of countries that have national legislation and strategies in place increased strongly up to 2012, but the increase has levelled off in recent years, now covering 70% of global emissions by 2017 (48% of countries and 76% of global population). Economy-wide GHG reduction targets witnessed a strong increase in the build up to 2015 and are adopted by countries covering 89% of global GHG emissions (76% not counting USA) and 90% of global population (86% not counting USA) in 2017. Renewable energy targets saw a steady increase throughout the last decade with coverage of countries in 2017 comparable to that of GHG targets. Key shifts in national measures coincide with landmark international events – an increase in legislation and strategy in the build-up to the Copenhagen Climate Conference and an increase in targets around the Paris Agreement – emphasizing the importance of the international process to maintaining national momentum.","author":[{"dropping-particle":"","family":"Iacobuta","given":"Gabriela","non-dropping-particle":"","parse-names":false,"suffix":""},{"dropping-particle":"","family":"Dubash","given":"Navroz K.","non-dropping-particle":"","parse-names":false,"suffix":""},{"dropping-particle":"","family":"Upadhyaya","given":"Prabhat","non-dropping-particle":"","parse-names":false,"suffix":""},{"dropping-particle":"","family":"Deribe","given":"Mekdelawit","non-dropping-particle":"","parse-names":false,"suffix":""},{"dropping-particle":"","family":"Höhne","given":"Niklas","non-dropping-particle":"","parse-names":false,"suffix":""}],"container-title":"Climate Policy","id":"ITEM-1","issued":{"date-parts":[["2018"]]},"page":"1-19","title":"National climate change mitigation legislation, strategy and targets: a global update","type":"article-journal","volume":"3062"},"uris":["http://www.mendeley.com/documents/?uuid=10e0db5d-7d29-46d9-870a-4351a4d4c6f2"]}],"mendeley":{"formattedCitation":"(Iacobuta, Dubash, Upadhyaya, Deribe, &amp; Höhne, 2018)","plainTextFormattedCitation":"(Iacobuta, Dubash, Upadhyaya, Deribe, &amp; Höhne, 2018)","previouslyFormattedCitation":"(Iacobuta, Dubash, Upadhyaya, Deribe, &amp; Höhne, 2018)"},"properties":{"noteIndex":0},"schema":"https://github.com/citation-style-language/schema/raw/master/csl-citation.json"}</w:instrText>
      </w:r>
      <w:r w:rsidR="00F5337B">
        <w:fldChar w:fldCharType="separate"/>
      </w:r>
      <w:r w:rsidR="00F5337B" w:rsidRPr="00E92ABD">
        <w:rPr>
          <w:noProof/>
        </w:rPr>
        <w:t>(Iacobuta, Dubash, Upadhyaya, Deribe, &amp; Höhne, 2018)</w:t>
      </w:r>
      <w:r w:rsidR="00F5337B">
        <w:fldChar w:fldCharType="end"/>
      </w:r>
      <w:r w:rsidR="00143BF0">
        <w:t xml:space="preserve">, </w:t>
      </w:r>
      <w:r>
        <w:t xml:space="preserve">but </w:t>
      </w:r>
      <w:r w:rsidR="005534F5">
        <w:t xml:space="preserve">the implementation of </w:t>
      </w:r>
      <w:r>
        <w:t>effective and stringent policies</w:t>
      </w:r>
      <w:r w:rsidR="00BC45E5">
        <w:t xml:space="preserve"> </w:t>
      </w:r>
      <w:r w:rsidR="005534F5">
        <w:t xml:space="preserve">is still lacking </w:t>
      </w:r>
      <w:r w:rsidR="00F5337B">
        <w:fldChar w:fldCharType="begin" w:fldLock="1"/>
      </w:r>
      <w:r w:rsidR="00BC45E5">
        <w:instrText>ADDIN CSL_CITATION {"citationItems":[{"id":"ITEM-1","itemData":{"author":[{"dropping-particle":"","family":"Carbon Pricing Leadership Coalition","given":"","non-dropping-particle":"","parse-names":false,"suffix":""}],"id":"ITEM-1","issued":{"date-parts":[["2017"]]},"title":"Report of the High-Level Commission on Carbon Prices","type":"report"},"uris":["http://www.mendeley.com/documents/?uuid=a6a55c58-a507-49d7-81b5-e81d6097859a"]}],"mendeley":{"formattedCitation":"(Carbon Pricing Leadership Coalition, 2017)","plainTextFormattedCitation":"(Carbon Pricing Leadership Coalition, 2017)","previouslyFormattedCitation":"(Carbon Pricing Leadership Coalition, 2017)"},"properties":{"noteIndex":0},"schema":"https://github.com/citation-style-language/schema/raw/master/csl-citation.json"}</w:instrText>
      </w:r>
      <w:r w:rsidR="00F5337B">
        <w:fldChar w:fldCharType="separate"/>
      </w:r>
      <w:r w:rsidR="00F5337B" w:rsidRPr="00F5337B">
        <w:rPr>
          <w:noProof/>
        </w:rPr>
        <w:t>(Carbon Pricing Leadership Coalition, 2017)</w:t>
      </w:r>
      <w:r w:rsidR="00F5337B">
        <w:fldChar w:fldCharType="end"/>
      </w:r>
      <w:r w:rsidR="00F5337B">
        <w:t xml:space="preserve">. Fossil fuels </w:t>
      </w:r>
      <w:r w:rsidR="005B7313">
        <w:t xml:space="preserve">remain </w:t>
      </w:r>
      <w:r w:rsidR="00F5337B">
        <w:t xml:space="preserve">a </w:t>
      </w:r>
      <w:r w:rsidR="00BC45E5">
        <w:t xml:space="preserve">mainstay of the global economy </w:t>
      </w:r>
      <w:r w:rsidR="00F5337B">
        <w:t xml:space="preserve">and </w:t>
      </w:r>
      <w:r w:rsidR="00143BF0">
        <w:t>emissions are</w:t>
      </w:r>
      <w:r w:rsidR="008841BE">
        <w:t xml:space="preserve"> </w:t>
      </w:r>
      <w:r w:rsidR="00BC45E5">
        <w:t xml:space="preserve">once again </w:t>
      </w:r>
      <w:r w:rsidR="00143BF0">
        <w:t xml:space="preserve">on the rise </w:t>
      </w:r>
      <w:r w:rsidR="00143BF0">
        <w:fldChar w:fldCharType="begin" w:fldLock="1"/>
      </w:r>
      <w:r w:rsidR="008A1ED6">
        <w:instrText>ADDIN CSL_CITATION {"citationItems":[{"id":"ITEM-1","itemData":{"DOI":"10.5194/essd-8-605-2016","author":[{"dropping-particle":"Le","family":"Quéré","given":"Corinne","non-dropping-particle":"","parse-names":false,"suffix":""},{"dropping-particle":"","family":"Andrew","given":"Robbie M","non-dropping-particle":"","parse-names":false,"suffix":""},{"dropping-particle":"","family":"Friedlingstein","given":"Pierre","non-dropping-particle":"","parse-names":false,"suffix":""},{"dropping-particle":"","family":"Sitch","given":"Stephen","non-dropping-particle":"","parse-names":false,"suffix":""},{"dropping-particle":"","family":"Hauck","given":"Judith","non-dropping-particle":"","parse-names":false,"suffix":""},{"dropping-particle":"","family":"Pongratz","given":"Julia","non-dropping-particle":"","parse-names":false,"suffix":""},{"dropping-particle":"","family":"Pickers","given":"Penelope A.","non-dropping-particle":"","parse-names":false,"suffix":""},{"dropping-particle":"","family":"Canadell","given":"Josep G","non-dropping-particle":"","parse-names":false,"suffix":""},{"dropping-particle":"","family":"Korsbakken","given":"Jan Ivar","non-dropping-particle":"","parse-names":false,"suffix":""},{"dropping-particle":"","family":"Peters","given":"Glen P.","non-dropping-particle":"","parse-names":false,"suffix":""},{"dropping-particle":"","family":"Canadell","given":"Josep G.","non-dropping-particle":"","parse-names":false,"suffix":""},{"dropping-particle":"","family":"Arneth","given":"Almut","non-dropping-particle":"","parse-names":false,"suffix":""},{"dropping-particle":"","family":"Arora","given":"Vivek K.","non-dropping-particle":"","parse-names":false,"suffix":""},{"dropping-particle":"","family":"Barbero","given":"Leticia","non-dropping-particle":"","parse-names":false,"suffix":""},{"dropping-particle":"","family":"Bastos","given":"Ana","non-dropping-particle":"","parse-names":false,"suffix":""},{"dropping-particle":"","family":"Bopp","given":"Laurent","non-dropping-particle":"","parse-names":false,"suffix":""},{"dropping-particle":"","family":"Chevallier","given":"Frederick","non-dropping-particle":"","parse-names":false,"suffix":""},{"dropping-particle":"","family":"Chini","given":"Louise P.","non-dropping-particle":"","parse-names":false,"suffix":""},{"dropping-particle":"","family":"Ciais","given":"Philippe","non-dropping-particle":"","parse-names":false,"suffix":""},{"dropping-particle":"","family":"Doney","given":"Scott C.","non-dropping-particle":"","parse-names":false,"suffix":""},{"dropping-particle":"","family":"Gkritzalis","given":"Thanos","non-dropping-particle":"","parse-names":false,"suffix":""},{"dropping-particle":"","family":"Goll","given":"Daniel S.","non-dropping-particle":"","parse-names":false,"suffix":""},{"dropping-particle":"","family":"Harris","given":"Ian","non-dropping-particle":"","parse-names":false,"suffix":""},{"dropping-particle":"","family":"Haverd","given":"Vanessa","non-dropping-particle":"","parse-names":false,"suffix":""},{"dropping-particle":"","family":"Hoffman","given":"Forrest M.","non-dropping-particle":"","parse-names":false,"suffix":""},{"dropping-particle":"","family":"Hoppema","given":"Mario","non-dropping-particle":"","parse-names":false,"suffix":""},{"dropping-particle":"","family":"Houghton","given":"Richard A.","non-dropping-particle":"","parse-names":false,"suffix":""},{"dropping-particle":"","family":"Hurtt","given":"George","non-dropping-particle":"","parse-names":false,"suffix":""},{"dropping-particle":"","family":"Ilyina","given":"Tatiana","non-dropping-particle":"","parse-names":false,"suffix":""},{"dropping-particle":"","family":"Jain","given":"Atul K.","non-dropping-particle":"","parse-names":false,"suffix":""},{"dropping-particle":"","family":"Johannessen","given":"Truls","non-dropping-particle":"","parse-names":false,"suffix":""},{"dropping-particle":"","family":"Jones","given":"Chris D.","non-dropping-particle":"","parse-names":false,"suffix":""},{"dropping-particle":"","family":"Kato","given":"Etsushi","non-dropping-particle":"","parse-names":false,"suffix":""},{"dropping-particle":"","family":"Keeling","given":"Ralph F.","non-dropping-particle":"","parse-names":false,"suffix":""},{"dropping-particle":"","family":"Goldewijk","given":"Kees Kelin","non-dropping-particle":"","parse-names":false,"suffix":""},{"dropping-particle":"","family":"Landschützer","given":"Peter","non-dropping-particle":"","parse-names":false,"suffix":""},{"dropping-particle":"","family":"Lefèvre","given":"Nathalie","non-dropping-particle":"","parse-names":false,"suffix":""},{"dropping-particle":"","family":"Lienert","given":"Sebastian","non-dropping-particle":"","parse-names":false,"suffix":""},{"dropping-particle":"","family":"Liu","given":"Zhu","non-dropping-particle":"","parse-names":false,"suffix":""},{"dropping-particle":"","family":"Lombardozzi","given":"Danica","non-dropping-particle":"","parse-names":false,"suffix":""},{"dropping-particle":"","family":"Metzl","given":"Nicolas","non-dropping-particle":"","parse-names":false,"suffix":""},{"dropping-particle":"","family":"Munro","given":"David R.","non-dropping-particle":"","parse-names":false,"suffix":""},{"dropping-particle":"","family":"Nabel","given":"Julia E.M.S.","non-dropping-particle":"","parse-names":false,"suffix":""},{"dropping-particle":"","family":"Nakaoka","given":"Shin-ichiro","non-dropping-particle":"","parse-names":false,"suffix":""},{"dropping-particle":"","family":"Neill","given":"Craig","non-dropping-particle":"","parse-names":false,"suffix":""},{"dropping-particle":"","family":"Olsen","given":"Are","non-dropping-particle":"","parse-names":false,"suffix":""},{"dropping-particle":"","family":"Ono","given":"Tsueno","non-dropping-particle":"","parse-names":false,"suffix":""},{"dropping-particle":"","family":"Patra","given":"Prabir","non-dropping-particle":"","parse-names":false,"suffix":""},{"dropping-particle":"","family":"Peregon","given":"Anna","non-dropping-particle":"","parse-names":false,"suffix":""},{"dropping-particle":"","family":"Peters","given":"Wouter","non-dropping-particle":"","parse-names":false,"suffix":""},{"dropping-particle":"","family":"Peylin","given":"Philippe","non-dropping-particle":"","parse-names":false,"suffix":""},{"dropping-particle":"","family":"Pfeil","given":"Benjamin","non-dropping-particle":"","parse-names":false,"suffix":""},{"dropping-particle":"","family":"Pierrot","given":"Denis","non-dropping-particle":"","parse-names":false,"suffix":""},{"dropping-particle":"","family":"Poulter","given":"Benjamin","non-dropping-particle":"","parse-names":false,"suffix":""},{"dropping-particle":"","family":"Rehder","given":"Gregor","non-dropping-particle":"","parse-names":false,"suffix":""},{"dropping-particle":"","family":"Resplandy","given":"Laure","non-dropping-particle":"","parse-names":false,"suffix":""},{"dropping-particle":"","family":"Robertson","given":"Eddy","non-dropping-particle":"","parse-names":false,"suffix":""},{"dropping-particle":"","family":"Rocher","given":"Matthias","non-dropping-particle":"","parse-names":false,"suffix":""},{"dropping-particle":"","family":"Rödenbeck","given":"Christian","non-dropping-particle":"","parse-names":false,"suffix":""},{"dropping-particle":"","family":"Schuster","given":"Ute","non-dropping-particle":"","parse-names":false,"suffix":""},{"dropping-particle":"","family":"Schwinger","given":"Jörg","non-dropping-particle":"","parse-names":false,"suffix":""},{"dropping-particle":"","family":"Séférian","given":"Roland","non-dropping-particle":"","parse-names":false,"suffix":""},{"dropping-particle":"","family":"Skjelvan","given":"Ingunn","non-dropping-particle":"","parse-names":false,"suffix":""},{"dropping-particle":"","family":"Steinhoff","given":"Tobias","non-dropping-particle":"","parse-names":false,"suffix":""},{"dropping-particle":"","family":"Sutton","given":"Adrienne","non-dropping-particle":"","parse-names":false,"suffix":""},{"dropping-particle":"","family":"Tans","given":"Pieter P.","non-dropping-particle":"","parse-names":false,"suffix":""},{"dropping-particle":"","family":"Tian","given":"Hanqin","non-dropping-particle":"","parse-names":false,"suffix":""},{"dropping-particle":"","family":"Tilbrook","given":"Bronte","non-dropping-particle":"","parse-names":false,"suffix":""},{"dropping-particle":"","family":"Tubiello","given":"Francesco N.","non-dropping-particle":"","parse-names":false,"suffix":""},{"dropping-particle":"van der","family":"Laan-Luijkx","given":"Ingrid T.","non-dropping-particle":"","parse-names":false,"suffix":""},{"dropping-particle":"van der","family":"Werf","given":"Guido R.","non-dropping-particle":"","parse-names":false,"suffix":""},{"dropping-particle":"","family":"Viovy","given":"Nicolas","non-dropping-particle":"","parse-names":false,"suffix":""},{"dropping-particle":"","family":"Walker","given":"Anthony P.","non-dropping-particle":"","parse-names":false,"suffix":""},{"dropping-particle":"","family":"Wiltshire","given":"Andrew J.","non-dropping-particle":"","parse-names":false,"suffix":""},{"dropping-particle":"","family":"Wright","given":"Rebecca","non-dropping-particle":"","parse-names":false,"suffix":""},{"dropping-particle":"","family":"Zaehle","given":"Sönke","non-dropping-particle":"","parse-names":false,"suffix":""},{"dropping-particle":"","family":"Zheng","given":"Bo","non-dropping-particle":"","parse-names":false,"suffix":""}],"container-title":"Earth System Science Data","id":"ITEM-1","issued":{"date-parts":[["2018"]]},"page":"2141-2194","title":"Global Carbon Budget 2018","type":"article-journal","volume":"10"},"uris":["http://www.mendeley.com/documents/?uuid=6a008701-4a90-4d43-9d3c-d708afcc9928"]}],"mendeley":{"formattedCitation":"(Quéré et al., 2018)","plainTextFormattedCitation":"(Quéré et al., 2018)","previouslyFormattedCitation":"(Quéré et al., 2018)"},"properties":{"noteIndex":0},"schema":"https://github.com/citation-style-language/schema/raw/master/csl-citation.json"}</w:instrText>
      </w:r>
      <w:r w:rsidR="00143BF0">
        <w:fldChar w:fldCharType="separate"/>
      </w:r>
      <w:r w:rsidR="00E92ABD" w:rsidRPr="00E92ABD">
        <w:rPr>
          <w:noProof/>
        </w:rPr>
        <w:t>(Quéré et al., 2018)</w:t>
      </w:r>
      <w:r w:rsidR="00143BF0">
        <w:fldChar w:fldCharType="end"/>
      </w:r>
      <w:r w:rsidR="00143BF0">
        <w:t>.</w:t>
      </w:r>
    </w:p>
    <w:p w14:paraId="30C88865" w14:textId="1F8D8E8E" w:rsidR="00E77203" w:rsidRDefault="004E1F98" w:rsidP="00E77203">
      <w:pPr>
        <w:spacing w:line="360" w:lineRule="auto"/>
      </w:pPr>
      <w:r>
        <w:t xml:space="preserve">One prominent </w:t>
      </w:r>
      <w:r w:rsidR="00F5337B">
        <w:t>explanation for the climate gridlock is that a top-down global agreement on burden sharing, technological transfers and</w:t>
      </w:r>
      <w:r w:rsidR="00A7154A">
        <w:t xml:space="preserve"> climate</w:t>
      </w:r>
      <w:r w:rsidR="00F5337B">
        <w:t xml:space="preserve"> finance is required</w:t>
      </w:r>
      <w:r w:rsidR="00765296">
        <w:t xml:space="preserve"> (</w:t>
      </w:r>
      <w:r w:rsidR="00765296" w:rsidRPr="00765296">
        <w:rPr>
          <w:highlight w:val="yellow"/>
        </w:rPr>
        <w:t>REFs?</w:t>
      </w:r>
      <w:r w:rsidR="00765296">
        <w:t>)</w:t>
      </w:r>
      <w:r w:rsidR="00E77203">
        <w:t xml:space="preserve">. In its absence, countries – motivated by their business communities and electorates – choose instead to minimise costs and </w:t>
      </w:r>
      <w:r>
        <w:t>‘freeride’ on the actions of others</w:t>
      </w:r>
      <w:r w:rsidR="00E77203">
        <w:t>, resulting in piecemeal actions that add up to little substantive effort.</w:t>
      </w:r>
      <w:r>
        <w:t xml:space="preserve"> </w:t>
      </w:r>
      <w:r w:rsidR="00C469C5">
        <w:t>E</w:t>
      </w:r>
      <w:r>
        <w:t xml:space="preserve">vidence </w:t>
      </w:r>
      <w:r w:rsidR="005B7313">
        <w:t xml:space="preserve">for these claims </w:t>
      </w:r>
      <w:r w:rsidR="00C469C5">
        <w:t xml:space="preserve">can be found </w:t>
      </w:r>
      <w:r>
        <w:t xml:space="preserve">in the consistent lack of progress </w:t>
      </w:r>
      <w:r w:rsidR="00C05B3F">
        <w:t xml:space="preserve">made </w:t>
      </w:r>
      <w:r>
        <w:t>in international climate negotiations</w:t>
      </w:r>
      <w:r w:rsidR="00C05B3F">
        <w:t>,</w:t>
      </w:r>
      <w:r w:rsidR="005B7313">
        <w:t xml:space="preserve"> up until the bottom-up voluntary pledge system manifested in Paris</w:t>
      </w:r>
      <w:r>
        <w:t>.</w:t>
      </w:r>
    </w:p>
    <w:p w14:paraId="431ABE95" w14:textId="41CAF1D8" w:rsidR="00E77203" w:rsidRDefault="00BC45E5" w:rsidP="007874F1">
      <w:pPr>
        <w:spacing w:line="360" w:lineRule="auto"/>
      </w:pPr>
      <w:r>
        <w:t>Another</w:t>
      </w:r>
      <w:r w:rsidR="00A7154A">
        <w:t xml:space="preserve"> common</w:t>
      </w:r>
      <w:r>
        <w:t xml:space="preserve"> line of explanation </w:t>
      </w:r>
      <w:r w:rsidR="005B7313">
        <w:t>puts the blame on</w:t>
      </w:r>
      <w:r>
        <w:t xml:space="preserve"> intrinsic </w:t>
      </w:r>
      <w:r w:rsidR="00C469C5">
        <w:t xml:space="preserve">human </w:t>
      </w:r>
      <w:r w:rsidR="004843B1">
        <w:t>characteristics</w:t>
      </w:r>
      <w:r w:rsidR="00E77203">
        <w:t xml:space="preserve">. It is argued that </w:t>
      </w:r>
      <w:r w:rsidR="00A7154A">
        <w:t xml:space="preserve">humans </w:t>
      </w:r>
      <w:r w:rsidR="00E77203">
        <w:t xml:space="preserve">are </w:t>
      </w:r>
      <w:r w:rsidR="005B7313">
        <w:t>uniquely unsuited to perceiving</w:t>
      </w:r>
      <w:r>
        <w:t xml:space="preserve"> the proximity </w:t>
      </w:r>
      <w:r w:rsidR="00E77203">
        <w:t>and severit</w:t>
      </w:r>
      <w:r w:rsidR="004843B1">
        <w:t xml:space="preserve">y of climate change </w:t>
      </w:r>
      <w:r w:rsidR="004843B1">
        <w:lastRenderedPageBreak/>
        <w:fldChar w:fldCharType="begin" w:fldLock="1"/>
      </w:r>
      <w:r w:rsidR="00E701C0">
        <w:instrText>ADDIN CSL_CITATION {"citationItems":[{"id":"ITEM-1","itemData":{"DOI":"10.1037/a0023566","ISBN":"1433810662","ISSN":"0003066X","PMID":"21553954","abstract":"Most people think climate change and sustainability are important problems, but too few global citizens engaged in high-greenhouse-gas-emitting behavior are engaged in enough mitigating behavior to stem the increasing flow of greenhouse gases and other environmental problems. Why is that? Structural barriers such as a climate-averse infrastructure are part of the answer, but psychological barriers also impede behavioral choices that would facilitate mitigation, adaptation, and environmental sustainability. Although many individuals are engaged in some ameliorative action, most could do more, but they are hindered by seven categories of psychological barriers, or \"dragons of inaction\": limited cognition about the problem, ideological world views that tend to preclude pro-environmental attitudes and behavior, comparisons with key other people, sunk costs and behavioral momentum, discredence toward experts and authorities, perceived risks of change, and positive but inadequate behavior change. Structural barriers must be removed wherever possible, but this is unlikely to be sufficient. Psychologists must work with other scientists, technical experts, and policymakers to help citizens overcome these psychological barriers.","author":[{"dropping-particle":"","family":"Gifford","given":"Robert","non-dropping-particle":"","parse-names":false,"suffix":""}],"container-title":"American Psychologist","id":"ITEM-1","issue":"4","issued":{"date-parts":[["2011"]]},"page":"290-302","title":"The Dragons of Inaction: Psychological Barriers That Limit Climate Change Mitigation and Adaptation","type":"article-journal","volume":"66"},"uris":["http://www.mendeley.com/documents/?uuid=a3afdd58-8827-4f9e-b802-92107df2d4c7"]}],"mendeley":{"formattedCitation":"(Gifford, 2011)","plainTextFormattedCitation":"(Gifford, 2011)","previouslyFormattedCitation":"(Gifford, 2011)"},"properties":{"noteIndex":0},"schema":"https://github.com/citation-style-language/schema/raw/master/csl-citation.json"}</w:instrText>
      </w:r>
      <w:r w:rsidR="004843B1">
        <w:fldChar w:fldCharType="separate"/>
      </w:r>
      <w:r w:rsidR="004843B1" w:rsidRPr="004843B1">
        <w:rPr>
          <w:noProof/>
        </w:rPr>
        <w:t>(Gifford, 2011)</w:t>
      </w:r>
      <w:r w:rsidR="004843B1">
        <w:fldChar w:fldCharType="end"/>
      </w:r>
      <w:r w:rsidR="00A7154A">
        <w:t xml:space="preserve">. We are also not good at addressing particular </w:t>
      </w:r>
      <w:r w:rsidR="007874F1">
        <w:t xml:space="preserve">ethical </w:t>
      </w:r>
      <w:r w:rsidR="00A7154A">
        <w:t>and socio-temporal difficulties</w:t>
      </w:r>
      <w:r w:rsidR="007874F1">
        <w:t xml:space="preserve">, </w:t>
      </w:r>
      <w:r w:rsidR="004843B1">
        <w:t xml:space="preserve">such as the need to </w:t>
      </w:r>
      <w:r w:rsidR="00E77203">
        <w:t xml:space="preserve">shoulder </w:t>
      </w:r>
      <w:r w:rsidR="007874F1">
        <w:t xml:space="preserve">the </w:t>
      </w:r>
      <w:r>
        <w:t>costs of mitigation</w:t>
      </w:r>
      <w:r w:rsidR="00C469C5">
        <w:t xml:space="preserve"> on behalf of </w:t>
      </w:r>
      <w:r w:rsidR="005534F5">
        <w:t xml:space="preserve">distant victims and </w:t>
      </w:r>
      <w:r w:rsidR="00C469C5">
        <w:t>future generations</w:t>
      </w:r>
      <w:r>
        <w:t xml:space="preserve"> </w:t>
      </w:r>
      <w:r>
        <w:fldChar w:fldCharType="begin" w:fldLock="1"/>
      </w:r>
      <w:r w:rsidR="00FD0C23">
        <w:instrText>ADDIN CSL_CITATION {"citationItems":[{"id":"ITEM-1","itemData":{"ISBN":"0199985146","author":[{"dropping-particle":"","family":"Gardiner","given":"Stephen M.","non-dropping-particle":"","parse-names":false,"suffix":""}],"id":"ITEM-1","issued":{"date-parts":[["2011"]]},"publisher":"Oxford University Press","publisher-place":"Oxford","title":"A Perfect Moral Storm: The Ethical Tragedy of Climate Change","type":"book"},"uris":["http://www.mendeley.com/documents/?uuid=bec9cf4a-7d4b-40db-a680-726c37d825f4"]}],"mendeley":{"formattedCitation":"(Gardiner, 2011)","plainTextFormattedCitation":"(Gardiner, 2011)","previouslyFormattedCitation":"(Gardiner, 2011)"},"properties":{"noteIndex":0},"schema":"https://github.com/citation-style-language/schema/raw/master/csl-citation.json"}</w:instrText>
      </w:r>
      <w:r>
        <w:fldChar w:fldCharType="separate"/>
      </w:r>
      <w:r w:rsidRPr="00BC45E5">
        <w:rPr>
          <w:noProof/>
        </w:rPr>
        <w:t>(Gardiner, 2011)</w:t>
      </w:r>
      <w:r>
        <w:fldChar w:fldCharType="end"/>
      </w:r>
      <w:r>
        <w:t>.</w:t>
      </w:r>
      <w:r w:rsidR="005B7313">
        <w:t xml:space="preserve"> </w:t>
      </w:r>
      <w:r w:rsidR="007874F1">
        <w:t>A ‘perfect moral storm’ locks society and its institutions into inaction.</w:t>
      </w:r>
    </w:p>
    <w:p w14:paraId="1B75D1CE" w14:textId="6223CA72" w:rsidR="00C05B3F" w:rsidRDefault="005B7313" w:rsidP="00E77203">
      <w:pPr>
        <w:spacing w:line="360" w:lineRule="auto"/>
      </w:pPr>
      <w:r>
        <w:t>A third avenue focuses on social and infrastructural sources of carbon ‘lock-in’</w:t>
      </w:r>
      <w:r w:rsidR="00C05B3F">
        <w:t>. Since</w:t>
      </w:r>
      <w:r>
        <w:t xml:space="preserve"> </w:t>
      </w:r>
      <w:r w:rsidR="00C05B3F">
        <w:t xml:space="preserve">most fossil emitting or </w:t>
      </w:r>
      <w:r w:rsidR="004843B1">
        <w:t>shaping</w:t>
      </w:r>
      <w:r w:rsidR="00C05B3F">
        <w:t xml:space="preserve"> infrastructures (e.g. power plants, urban form) have long lifetimes</w:t>
      </w:r>
      <w:r w:rsidR="004843B1">
        <w:t>, sunk costs,</w:t>
      </w:r>
      <w:r w:rsidR="00C05B3F">
        <w:t xml:space="preserve"> and socially embedded patterns of use that are by now ‘normal’, energy systems have built-in </w:t>
      </w:r>
      <w:r w:rsidR="00D82B23">
        <w:t xml:space="preserve">sources of </w:t>
      </w:r>
      <w:r w:rsidR="00C05B3F">
        <w:t>inertia</w:t>
      </w:r>
      <w:r w:rsidR="00765296">
        <w:t xml:space="preserve"> that severely constrain</w:t>
      </w:r>
      <w:r w:rsidR="00C05B3F">
        <w:t xml:space="preserve"> the speed </w:t>
      </w:r>
      <w:r w:rsidR="00FB35C4">
        <w:t xml:space="preserve">and ambition </w:t>
      </w:r>
      <w:r w:rsidR="00C05B3F">
        <w:t xml:space="preserve">of </w:t>
      </w:r>
      <w:r w:rsidR="00765296">
        <w:t>transition</w:t>
      </w:r>
      <w:r w:rsidR="00D82B23">
        <w:t>s</w:t>
      </w:r>
      <w:r w:rsidR="00C05B3F">
        <w:t xml:space="preserve"> </w:t>
      </w:r>
      <w:r w:rsidR="00C05B3F">
        <w:fldChar w:fldCharType="begin" w:fldLock="1"/>
      </w:r>
      <w:r w:rsidR="004A0A09">
        <w:instrText>ADDIN CSL_CITATION {"citationItems":[{"id":"ITEM-1","itemData":{"DOI":"10.1146/annurev-environ-110615-085934","ISBN":"1543-5938","ISSN":"1543-5938","abstract":"Existing technologies, institutions, and behavioral norms together act to con-strain the rate and magnitude of carbon emissions reductions in the coming decades. The inertia of carbon emissions due to such mutually reinforcing physical, economic, and social constraints is referred to as carbon lock-in. Carbon lock-in is a special case of path dependency, which is common in the evolution of complex systems. However, carbon lock-in is particularly prone to entrenchment given the large capital costs, long infrastructure lifetimes, and interrelationships between the socioeconomic and technical systems in-volved. Further, the urgency of efforts to avoid dangerous climate change exacerbates the liability of even small lock-in risks. Although carbon lock-in has been recognized for years, efforts to characterize the types and causes of carbon lock-in, or to quantitatively assess and evaluate its policy implications, have been limited and scattered across a number of different disciplines. This systematic review of the literature synthesizes what is known about the types and causes of carbon lock-in, including the scale, magnitude, and longevity of the effects, and policy implications. We identify three main types of carbon lock-in and describe how they coevolve: (a) infrastructural and technological, (b) institutional, and (c) behavioral. Although each type of lock-in has its own set of processes, all three are tightly intertwined and contribute to the inertia of carbon emissions. We outline the conditions, opportunities, and strategies for fostering transitions toward less-carbon-intensive emissions trajectories. We conclude by proposing a carbon lock-in research agenda that can help bridge the gaps between science, knowledge, and policy-making.","author":[{"dropping-particle":"","family":"Seto","given":"Karen C.","non-dropping-particle":"","parse-names":false,"suffix":""},{"dropping-particle":"","family":"Davis","given":"Steven J.","non-dropping-particle":"","parse-names":false,"suffix":""},{"dropping-particle":"","family":"Mitchell","given":"Ronald B.","non-dropping-particle":"","parse-names":false,"suffix":""},{"dropping-particle":"","family":"Stokes","given":"Eleanor C.","non-dropping-particle":"","parse-names":false,"suffix":""},{"dropping-particle":"","family":"Unruh","given":"Gregory","non-dropping-particle":"","parse-names":false,"suffix":""},{"dropping-particle":"","family":"Ürge-Vorsatz","given":"Diana","non-dropping-particle":"","parse-names":false,"suffix":""}],"container-title":"Annual Review of Environment and Resources","id":"ITEM-1","issue":"1","issued":{"date-parts":[["2016"]]},"page":"425-452","title":"Carbon Lock-In: Types, Causes, and Policy Implications","type":"article-journal","volume":"41"},"uris":["http://www.mendeley.com/documents/?uuid=5c2fedbd-51cf-49f6-8dba-401e274811b1"]},{"id":"ITEM-2","itemData":{"DOI":"10.1016/j.gloenvcha.2018.06.006","ISBN":"1851432515, 9781851432516","ISSN":"09593780","abstract":"As climate policy needs to address all feasible ways to reduce carbon emissions, there is an increasing focus on demand-side solutions. Studies of household carbon footprints have allocated emissions during production to the consumption of the produced goods, and provided an understanding of what products and consumer actions cause significant emissions. Social scientists have investigated how attitudes, social norms, and structural factors shape salient behavior. Yet, there is often a disconnect as emission reductions through individual actions in the important domains of housing and mobility are challenging to attain due to lock-ins and structural constraints. Furthermore, most behavioral research focuses on actions that are easy to trace but of limited consequence as a share of total emissions. Here we study specific alternative consumption patterns seeking both to understand the behavioral and structural factors that determine those patterns and to quantify their effect on carbon footprints. We do so utilizing a survey on consumer behavioral, attitudinal, contextual and socio-demographic factors in four different regions in the EU. Some differences occur in terms of the driving forces behind behaviors and their carbon intensities. Based on observed differences in mobility carbon footprints across households, we find that the key determining element to reduced emissions is settlement density, while car ownership, rising income and long distances are associated with higher mobility footprints. For housing, our results indicate that changes in dwelling standards and larger household sizes may reduce energy needs and the reliance on fossil fuels. However, there remains a strong need for incentives to reduce the carbon intensity of heating and air travel. We discuss combined effects and the role of policy in overcoming structural barriers in domains where consumers as individuals have limited agency.","author":[{"dropping-particle":"","family":"Ivanova","given":"Diana","non-dropping-particle":"","parse-names":false,"suffix":""},{"dropping-particle":"","family":"Vita","given":"Gibran","non-dropping-particle":"","parse-names":false,"suffix":""},{"dropping-particle":"","family":"Wood","given":"Richard","non-dropping-particle":"","parse-names":false,"suffix":""},{"dropping-particle":"","family":"Lausselet","given":"Carine","non-dropping-particle":"","parse-names":false,"suffix":""},{"dropping-particle":"","family":"Dumitru","given":"Adina","non-dropping-particle":"","parse-names":false,"suffix":""},{"dropping-particle":"","family":"Krause","given":"Karen","non-dropping-particle":"","parse-names":false,"suffix":""},{"dropping-particle":"","family":"Macsinga","given":"Irina","non-dropping-particle":"","parse-names":false,"suffix":""},{"dropping-particle":"","family":"Hertwich","given":"Edgar G.","non-dropping-particle":"","parse-names":false,"suffix":""}],"container-title":"Global Environmental Change","id":"ITEM-2","issued":{"date-parts":[["2018"]]},"page":"117-130","publisher":"Elsevier Ltd","title":"Carbon mitigation in domains of high consumer lock-in","type":"article-journal","volume":"52"},"uris":["http://www.mendeley.com/documents/?uuid=9d6730b7-b7f7-4e3d-8c64-ab43091dfd1d"]}],"mendeley":{"formattedCitation":"(Ivanova et al., 2018; Seto et al., 2016)","plainTextFormattedCitation":"(Ivanova et al., 2018; Seto et al., 2016)","previouslyFormattedCitation":"(Ivanova et al., 2018; Seto et al., 2016)"},"properties":{"noteIndex":0},"schema":"https://github.com/citation-style-language/schema/raw/master/csl-citation.json"}</w:instrText>
      </w:r>
      <w:r w:rsidR="00C05B3F">
        <w:fldChar w:fldCharType="separate"/>
      </w:r>
      <w:r w:rsidR="00C05B3F" w:rsidRPr="00C05B3F">
        <w:rPr>
          <w:noProof/>
        </w:rPr>
        <w:t>(Ivanova et al., 2018; Seto et al., 2016)</w:t>
      </w:r>
      <w:r w:rsidR="00C05B3F">
        <w:fldChar w:fldCharType="end"/>
      </w:r>
      <w:r w:rsidR="00C05B3F">
        <w:t>.</w:t>
      </w:r>
    </w:p>
    <w:p w14:paraId="565297CB" w14:textId="5EE35BC7" w:rsidR="001D0956" w:rsidRDefault="00AC7C78" w:rsidP="00AC7C78">
      <w:pPr>
        <w:spacing w:line="360" w:lineRule="auto"/>
      </w:pPr>
      <w:r>
        <w:t xml:space="preserve">A fourth explanation focuses on political economic causes of the climate gridlock. </w:t>
      </w:r>
      <w:r w:rsidR="00765296">
        <w:t xml:space="preserve">In </w:t>
      </w:r>
      <w:r w:rsidR="00D84076">
        <w:t xml:space="preserve">this </w:t>
      </w:r>
      <w:r w:rsidR="00765296">
        <w:t>view, shift</w:t>
      </w:r>
      <w:r w:rsidR="00FB35C4">
        <w:t>s</w:t>
      </w:r>
      <w:r w:rsidR="00765296">
        <w:t xml:space="preserve"> away from fossil fuels and energy-intensive activities </w:t>
      </w:r>
      <w:r w:rsidR="00FB35C4">
        <w:t xml:space="preserve">are </w:t>
      </w:r>
      <w:r w:rsidR="00765296">
        <w:t>seen through a lens of power and conflict between interest groups</w:t>
      </w:r>
      <w:r w:rsidR="004A0A09">
        <w:t xml:space="preserve"> </w:t>
      </w:r>
      <w:r w:rsidR="004A0A09">
        <w:fldChar w:fldCharType="begin" w:fldLock="1"/>
      </w:r>
      <w:r w:rsidR="00441C6C">
        <w:instrText>ADDIN CSL_CITATION {"citationItems":[{"id":"ITEM-1","itemData":{"DOI":"10.1016/j.energy.2009.12.026","ISBN":"0360-5442","ISSN":"03605442","abstract":"The article seeks to explicate a link between energy and long-term economic growth and development. While in many ways intuitive, attempts at sketching theoretical frameworks explicating this link have been few and simplistic, typically limited to technology and economics. This article emphasizes the importance of politics as well, fostering a symbiosis between the dominant industries of a historical epoch and the energy system that enabled them to flourish. The framework combines Joseph Schumpeter and Mancur Olson, emphasizing 1) the importance of structural economic change for long-term growth and development and 2) vested interests. The framework yields one theoretical proposition: In order to rise, states must prevent vested interests from blocking structural change. States that are unable to do this will get locked into yesterday's technologies, industries and energy systems, effectively consigning themselves to stagnation and decline. A brief empirical section provides historical data from 6 historical epochs (including present-day renewables) over a period of 250 years to demonstrate the usefulness of the approach. While no exhaustive test, the data suggests that countries that have prevented vested interests from blocking change have been far more successful in fostering a symbiosis between energy and industry than those countries that have not. © 2009 Elsevier Ltd. All rights reserved.","author":[{"dropping-particle":"","family":"Moe","given":"Espen","non-dropping-particle":"","parse-names":false,"suffix":""}],"container-title":"Energy","id":"ITEM-1","issue":"4","issued":{"date-parts":[["2010"]]},"page":"1730-1740","publisher":"Elsevier Ltd","title":"Energy, industry and politics: Energy, vested interests, and long-term economic growth and development","type":"article-journal","volume":"35"},"uris":["http://www.mendeley.com/documents/?uuid=3f7a8ad5-17fd-43b5-8c39-27b7d9e2f823"]},{"id":"ITEM-2","itemData":{"DOI":"10.1016/j.jclepro.2015.02.006","ISSN":"09596526","abstract":"In this essay, we aim to demonstrate the value of a power lens on consumption and absolute reductions. Specifically, we illuminate what we perceive to be a troublesome pattern of neglect of questions of power in research and action on sustainable consumption and absolute reductions. In pursuit of our objectives, we delineate how many of the informal and implicit “theories of social change” of scholars and activists in sustainable consumption and sustainable development fail to address power in a sufficiently explicit, comprehensive and differentiated manner and how that failure translates into insufficient understandings of the drivers of consumption and the potential for and barriers to absolute reductions. Second, we develop the contours of a power lens on sustainable consumption. Third, we illustrate the value of such a power lens, with a particular focus on the case of meat consumption.","author":[{"dropping-particle":"","family":"Fuchs","given":"Doris","non-dropping-particle":"","parse-names":false,"suffix":""},{"dropping-particle":"","family":"Giulio","given":"Antonietta","non-dropping-particle":"Di","parse-names":false,"suffix":""},{"dropping-particle":"","family":"Glaab","given":"Katharina","non-dropping-particle":"","parse-names":false,"suffix":""},{"dropping-particle":"","family":"Lorek","given":"Sylvia","non-dropping-particle":"","parse-names":false,"suffix":""},{"dropping-particle":"","family":"Maniates","given":"Michael","non-dropping-particle":"","parse-names":false,"suffix":""},{"dropping-particle":"","family":"Princen","given":"Tom","non-dropping-particle":"","parse-names":false,"suffix":""},{"dropping-particle":"","family":"Røpke","given":"Inge","non-dropping-particle":"","parse-names":false,"suffix":""}],"container-title":"Journal of Cleaner Production","id":"ITEM-2","issued":{"date-parts":[["2015"]]},"page":"298-307","publisher":"Elsevier Ltd","title":"Power: The missing element in sustainable consumption and absolute reductions research and action","type":"article-journal","volume":"132"},"uris":["http://www.mendeley.com/documents/?uuid=49f13009-0db9-4e2a-8b8f-7e16bea389e8"]},{"id":"ITEM-3","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Policy","id":"ITEM-3","issue":"0","issued":{"date-parts":[["2016"]]},"page":"1-22","title":"Historical institutionalism and the politics of sustainable energy transitions : A research agenda","type":"article-journal","volume":"0"},"uris":["http://www.mendeley.com/documents/?uuid=30e13820-471a-4c4f-8ac1-41fb6922c6ad"]},{"id":"ITEM-4","itemData":{"DOI":"10.1016/j.erss.2018.06.001","ISSN":"22146296","abstract":"Meeting the climate change targets in the Paris Agreement implies a substantial and rapid acceleration of low-carbon transitions. Combining insights from political science, policy analysis and socio-technical transition studies, this paper addresses the politics of deliberate acceleration by taking stock of emerging examples, mobilizing relevant theoretical approaches, and articulating a new research agenda. Going beyond routine appeals for more ‘political will’ it organises ideas and examples under three themes: 1) the role of coalitions in supporting and hindering acceleration; 2) the role of feedbacks, through which policies may shape actor preferences which, in turn, create stronger policies; and 3) the role of broader contexts (political economies, institutions, cultural norms, and technical systems) in creating more (or less) favourable conditions for deliberate acceleration. We discuss the importance of each theme, briefly review previous research and articulate new research questions. Our concluding section discusses the current and potential future relationship between transitions theory and political science.","author":[{"dropping-particle":"","family":"Roberts","given":"Cameron","non-dropping-particle":"","parse-names":false,"suffix":""},{"dropping-particle":"","family":"Geels","given":"Frank W.","non-dropping-particle":"","parse-names":false,"suffix":""},{"dropping-particle":"","family":"Lockwood","given":"Matthew","non-dropping-particle":"","parse-names":false,"suffix":""},{"dropping-particle":"","family":"Newell","given":"Peter","non-dropping-particle":"","parse-names":false,"suffix":""},{"dropping-particle":"","family":"Schmitz","given":"Hubert","non-dropping-particle":"","parse-names":false,"suffix":""},{"dropping-particle":"","family":"Turnheim","given":"Bruno","non-dropping-particle":"","parse-names":false,"suffix":""},{"dropping-particle":"","family":"Jordan","given":"Andy","non-dropping-particle":"","parse-names":false,"suffix":""}],"container-title":"Energy Research and Social Science","id":"ITEM-4","issue":"February","issued":{"date-parts":[["2018"]]},"page":"304-311","publisher":"Elsevier","title":"The politics of accelerating low-carbon transitions: Towards a new research agenda","type":"article-journal","volume":"44"},"uris":["http://www.mendeley.com/documents/?uuid=e2d15c03-55bb-49e4-b0bd-177fa28bc8fd"]},{"id":"ITEM-5","itemData":{"DOI":"10.1016/j.cosust.2017.12.002","ISSN":"18773435","author":[{"dropping-particle":"","family":"Grandin","given":"Jakob","non-dropping-particle":"","parse-names":false,"suffix":""},{"dropping-particle":"","family":"Haarstad","given":"Håvard","non-dropping-particle":"","parse-names":false,"suffix":""},{"dropping-particle":"","family":"Kjærås","given":"Kristin","non-dropping-particle":"","parse-names":false,"suffix":""},{"dropping-particle":"","family":"Bouzarovski","given":"Stefan","non-dropping-particle":"","parse-names":false,"suffix":""}],"container-title":"Current Opinion in Environmental Sustainability","id":"ITEM-5","issued":{"date-parts":[["2018"]]},"page":"16-22","title":"The politics of rapid urban transformation","type":"article-journal","volume":"31"},"uris":["http://www.mendeley.com/documents/?uuid=d99a888b-e902-45f3-bf81-eb06d4293424"]},{"id":"ITEM-6","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-6","issued":{"date-parts":[["2017"]]},"page":"1-17","publisher":"Elsevier Inc.","title":"The Socio-Technical Dynamics of Low-Carbon Transitions","type":"article-journal"},"uris":["http://www.mendeley.com/documents/?uuid=40b0562a-3d11-4ef9-99ae-fc67b5e900e4"]}],"mendeley":{"formattedCitation":"(Fuchs et al., 2015; Geels, Sovacool, Schwanen, &amp; Sorrell, 2017; Grandin, Haarstad, Kjærås, &amp; Bouzarovski, 2018; Lockwood, Kuzemko, Mitchell, &amp; Hoggett, 2016; Moe, 2010; Roberts et al., 2018)","plainTextFormattedCitation":"(Fuchs et al., 2015; Geels, Sovacool, Schwanen, &amp; Sorrell, 2017; Grandin, Haarstad, Kjærås, &amp; Bouzarovski, 2018; Lockwood, Kuzemko, Mitchell, &amp; Hoggett, 2016; Moe, 2010; Roberts et al., 2018)","previouslyFormattedCitation":"(Fuchs et al., 2015; Geels, Sovacool, Schwanen, &amp; Sorrell, 2017; Grandin, Haarstad, Kjærås, &amp; Bouzarovski, 2018; Lockwood, Kuzemko, Mitchell, &amp; Hoggett, 2016; Moe, 2010; Roberts et al., 2018)"},"properties":{"noteIndex":0},"schema":"https://github.com/citation-style-language/schema/raw/master/csl-citation.json"}</w:instrText>
      </w:r>
      <w:r w:rsidR="004A0A09">
        <w:fldChar w:fldCharType="separate"/>
      </w:r>
      <w:r w:rsidR="00441C6C" w:rsidRPr="00441C6C">
        <w:rPr>
          <w:noProof/>
        </w:rPr>
        <w:t>(Fuchs et al., 2015; Geels, Sovacool, Schwanen, &amp; Sorrell, 2017; Grandin, Haarstad, Kjærås, &amp; Bouzarovski, 2018; Lockwood, Kuzemko, Mitchell, &amp; Hoggett, 2016; Moe, 2010; Roberts et al., 2018)</w:t>
      </w:r>
      <w:r w:rsidR="004A0A09">
        <w:fldChar w:fldCharType="end"/>
      </w:r>
      <w:r w:rsidR="00765296">
        <w:t>.</w:t>
      </w:r>
      <w:r w:rsidR="00765296" w:rsidRPr="00765296">
        <w:t xml:space="preserve"> </w:t>
      </w:r>
      <w:r w:rsidR="00FB35C4">
        <w:t>F</w:t>
      </w:r>
      <w:r w:rsidR="00765296">
        <w:t xml:space="preserve">ossil fuel </w:t>
      </w:r>
      <w:r w:rsidR="00E54F63">
        <w:t>interests</w:t>
      </w:r>
      <w:r w:rsidR="00FB02AF">
        <w:t xml:space="preserve"> are central </w:t>
      </w:r>
      <w:r w:rsidR="00FB35C4">
        <w:t>to the analysis</w:t>
      </w:r>
      <w:r w:rsidR="00AD47F1">
        <w:t>: strong climate policy poses an existential threat to their standard operating practices, and they will mobilise vast financial and political resources to prevent it. Such strategies may include</w:t>
      </w:r>
      <w:r w:rsidR="00765296">
        <w:t xml:space="preserve"> </w:t>
      </w:r>
      <w:r w:rsidR="004A0A09">
        <w:t xml:space="preserve">political lobbying, </w:t>
      </w:r>
      <w:r w:rsidR="00FD0C23">
        <w:t>shaping public discourses</w:t>
      </w:r>
      <w:r w:rsidR="004A0A09">
        <w:t xml:space="preserve"> against</w:t>
      </w:r>
      <w:r w:rsidR="00AD47F1">
        <w:t xml:space="preserve"> climate action</w:t>
      </w:r>
      <w:r w:rsidR="00E54F63">
        <w:t xml:space="preserve">, </w:t>
      </w:r>
      <w:r w:rsidR="00AD47F1">
        <w:t>or ‘capturing’ the very</w:t>
      </w:r>
      <w:r w:rsidR="00D84076">
        <w:t xml:space="preserve"> government bodies</w:t>
      </w:r>
      <w:r w:rsidR="00AD47F1">
        <w:t xml:space="preserve"> that are tasked with their regulation. </w:t>
      </w:r>
      <w:r>
        <w:t xml:space="preserve">Incumbent interests are also situated within a history and trajectory of political institutions and societal norms – and often these passively reinforce and entrench their articulation of power. </w:t>
      </w:r>
      <w:r w:rsidR="00FB02AF">
        <w:t>For political economists</w:t>
      </w:r>
      <w:r w:rsidR="00E54F63" w:rsidRPr="00D82B23">
        <w:t xml:space="preserve">, </w:t>
      </w:r>
      <w:r w:rsidR="00FB35C4">
        <w:t xml:space="preserve">sources of </w:t>
      </w:r>
      <w:r>
        <w:t xml:space="preserve">carbon lock-in, </w:t>
      </w:r>
      <w:r w:rsidR="00FB35C4">
        <w:t xml:space="preserve">social inertia </w:t>
      </w:r>
      <w:r>
        <w:t xml:space="preserve">and moral failure </w:t>
      </w:r>
      <w:r w:rsidR="00FB35C4">
        <w:t>are n</w:t>
      </w:r>
      <w:r>
        <w:t xml:space="preserve">ot accidents of modern society, </w:t>
      </w:r>
      <w:r w:rsidR="00AD47F1">
        <w:t xml:space="preserve">they are </w:t>
      </w:r>
      <w:r w:rsidR="00292558" w:rsidRPr="00D82B23">
        <w:t>design feature</w:t>
      </w:r>
      <w:r w:rsidR="00FB35C4">
        <w:t>s of the fossil economy</w:t>
      </w:r>
      <w:r w:rsidR="00292558" w:rsidRPr="00D82B23">
        <w:t>.</w:t>
      </w:r>
    </w:p>
    <w:p w14:paraId="671D88D2" w14:textId="4B4C3A12" w:rsidR="00D82B23" w:rsidRDefault="00441C6C" w:rsidP="00E77203">
      <w:pPr>
        <w:spacing w:line="360" w:lineRule="auto"/>
      </w:pPr>
      <w:r>
        <w:t>T</w:t>
      </w:r>
      <w:r w:rsidR="00D82B23">
        <w:t>he political economy literature</w:t>
      </w:r>
      <w:r>
        <w:t xml:space="preserve"> on climate </w:t>
      </w:r>
      <w:r w:rsidR="00FA6139">
        <w:t xml:space="preserve">change mitigation takes many </w:t>
      </w:r>
      <w:r>
        <w:t xml:space="preserve">directions. Strands of theoretical literature have explored the conditions and contexts that support (or hinder) energy or climate transitions </w:t>
      </w:r>
      <w:r>
        <w:fldChar w:fldCharType="begin" w:fldLock="1"/>
      </w:r>
      <w:r>
        <w:instrText>ADDIN CSL_CITATION {"citationItems":[{"id":"ITEM-1","itemData":{"DOI":"10.1016/j.energy.2009.12.026","ISBN":"0360-5442","ISSN":"03605442","abstract":"The article seeks to explicate a link between energy and long-term economic growth and development. While in many ways intuitive, attempts at sketching theoretical frameworks explicating this link have been few and simplistic, typically limited to technology and economics. This article emphasizes the importance of politics as well, fostering a symbiosis between the dominant industries of a historical epoch and the energy system that enabled them to flourish. The framework combines Joseph Schumpeter and Mancur Olson, emphasizing 1) the importance of structural economic change for long-term growth and development and 2) vested interests. The framework yields one theoretical proposition: In order to rise, states must prevent vested interests from blocking structural change. States that are unable to do this will get locked into yesterday's technologies, industries and energy systems, effectively consigning themselves to stagnation and decline. A brief empirical section provides historical data from 6 historical epochs (including present-day renewables) over a period of 250 years to demonstrate the usefulness of the approach. While no exhaustive test, the data suggests that countries that have prevented vested interests from blocking change have been far more successful in fostering a symbiosis between energy and industry than those countries that have not. © 2009 Elsevier Ltd. All rights reserved.","author":[{"dropping-particle":"","family":"Moe","given":"Espen","non-dropping-particle":"","parse-names":false,"suffix":""}],"container-title":"Energy","id":"ITEM-1","issue":"4","issued":{"date-parts":[["2010"]]},"page":"1730-1740","publisher":"Elsevier Ltd","title":"Energy, industry and politics: Energy, vested interests, and long-term economic growth and development","type":"article-journal","volume":"35"},"uris":["http://www.mendeley.com/documents/?uuid=3f7a8ad5-17fd-43b5-8c39-27b7d9e2f823"]},{"id":"ITEM-2","itemData":{"DOI":"10.1080/09644016.2015.1074382","ISSN":"0964-4016","abstract":"A framework is presented for thinking about state intervention in developed capitalist economies in two domains: social policy and environmental policy (and, within that, climate-change policy). Five drivers of welfare state development are identified, the ‘five Is’ of Industrialisation: Interests, Institutions, Ideas/Ideologies, and International Influences. Research applying this framework to the postwar development of welfare states in the OECD is summarised, distinguishing two periods: up to 1980, and from 1980 to 2008. How far this framework can contribute to understanding the rise and differential patterns of environmental governance and intervention across advanced capitalist states since 1970 is explored, before briefly comparing and contrasting the determinants of welfare states and environmental states, identifying common drivers in both domains and regime-specific drivers in each. The same framework is then applied to developments since 2008 and into the near future, sketching two potential con...","author":[{"dropping-particle":"","family":"Gough","given":"Ian","non-dropping-particle":"","parse-names":false,"suffix":""}],"container-title":"Environmental Politics","id":"ITEM-2","issue":"1","issued":{"date-parts":[["2016"]]},"page":"24-47","publisher":"Routledge","title":"Welfare states and environmental states: a comparative analysis","type":"article-journal","volume":"25"},"uris":["http://www.mendeley.com/documents/?uuid=c5b49bf7-eb2f-48b4-aa43-f9a7ee3ac74d"]},{"id":"ITEM-3","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-3","issued":{"date-parts":[["2017"]]},"page":"1-17","publisher":"Elsevier Inc.","title":"The Socio-Technical Dynamics of Low-Carbon Transitions","type":"article-journal"},"uris":["http://www.mendeley.com/documents/?uuid=40b0562a-3d11-4ef9-99ae-fc67b5e900e4"]}],"mendeley":{"formattedCitation":"(Geels et al., 2017; Gough, 2016; Moe, 2010)","plainTextFormattedCitation":"(Geels et al., 2017; Gough, 2016; Moe, 2010)","previouslyFormattedCitation":"(Geels et al., 2017; Gough, 2016; Moe, 2010)"},"properties":{"noteIndex":0},"schema":"https://github.com/citation-style-language/schema/raw/master/csl-citation.json"}</w:instrText>
      </w:r>
      <w:r>
        <w:fldChar w:fldCharType="separate"/>
      </w:r>
      <w:r w:rsidRPr="00441C6C">
        <w:rPr>
          <w:noProof/>
        </w:rPr>
        <w:t>(Geels et al., 2017; Gough, 2016; Moe, 2010)</w:t>
      </w:r>
      <w:r>
        <w:fldChar w:fldCharType="end"/>
      </w:r>
      <w:r>
        <w:t xml:space="preserve">. </w:t>
      </w:r>
      <w:r w:rsidR="006B66EC">
        <w:t xml:space="preserve">Within these, </w:t>
      </w:r>
      <w:r>
        <w:t>institutions are argued to have a central role in mediating the power of interest groups and locking-in technology systems</w:t>
      </w:r>
      <w:r w:rsidR="001D7979">
        <w:t xml:space="preserve"> through sets of rules</w:t>
      </w:r>
      <w:r>
        <w:t xml:space="preserve"> </w:t>
      </w:r>
      <w:r>
        <w:fldChar w:fldCharType="begin" w:fldLock="1"/>
      </w:r>
      <w:r w:rsidR="00711BDC">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agenda","type":"article-journal","volume":"0"},"uris":["http://www.mendeley.com/documents/?uuid=30e13820-471a-4c4f-8ac1-41fb6922c6ad"]},{"id":"ITEM-2","itemData":{"DOI":"10.1111/gove.12338","ISSN":"14680491","abstract":"© 2018 Wiley Periodicals, Inc. State capacity is central to the provision of public goods, including environmental protection. Drawing on climate policy making, this article argues that the division of labor between the bureaucracy and legislature in policy formulation is a critical source of state capacity. In cases of bureaucratic policy design, the legislature sets policy goals and delegates policy design to bureaucracies. This division of labor shifts distributional conflict to autonomous bureaucracies, allowing for effective policy design. California followed this path in climate policy making, setting it on track to meet climate goals. In cases of legislative policy design, bureaucracies set goals and legislatures design policy measures. Since legislators have incentives to respond to vested interests, legislative policy design is vulnerable to regulatory capture. In Germany, legislative policy design in climate policy making is preventing attainment of emissions reduction goals, as industry interests succeeded in blocking key policy measures. Our findings highlight procedural sources of state capacity.","author":[{"dropping-particle":"","family":"Meckling","given":"Jonas","non-dropping-particle":"","parse-names":false,"suffix":""},{"dropping-particle":"","family":"Nahm","given":"Jonas","non-dropping-particle":"","parse-names":false,"suffix":""}],"container-title":"Governance","id":"ITEM-2","issue":"4","issued":{"date-parts":[["2018"]]},"page":"741-757","title":"The power of process: State capacity and climate policy","type":"article-journal","volume":"31"},"uris":["http://www.mendeley.com/documents/?uuid=0e29249a-891a-47de-8799-0b4d6c9e9f29"]}],"mendeley":{"formattedCitation":"(Lockwood et al., 2016; Meckling &amp; Nahm, 2018)","plainTextFormattedCitation":"(Lockwood et al., 2016; Meckling &amp; Nahm, 2018)","previouslyFormattedCitation":"(Lockwood et al., 2016; Meckling &amp; Nahm, 2018)"},"properties":{"noteIndex":0},"schema":"https://github.com/citation-style-language/schema/raw/master/csl-citation.json"}</w:instrText>
      </w:r>
      <w:r>
        <w:fldChar w:fldCharType="separate"/>
      </w:r>
      <w:r w:rsidR="00823361" w:rsidRPr="00823361">
        <w:rPr>
          <w:noProof/>
        </w:rPr>
        <w:t>(Lockwood et al., 2016; Meckling &amp; Nahm, 2018)</w:t>
      </w:r>
      <w:r>
        <w:fldChar w:fldCharType="end"/>
      </w:r>
      <w:r>
        <w:t xml:space="preserve">. There has been much attention on the appropriate design of climate policies </w:t>
      </w:r>
      <w:r w:rsidR="00823361">
        <w:t xml:space="preserve">to overcome political constraints, for instance by </w:t>
      </w:r>
      <w:r w:rsidR="001F516B">
        <w:t>compensating</w:t>
      </w:r>
      <w:r w:rsidR="00711BDC">
        <w:t xml:space="preserve"> interest groups</w:t>
      </w:r>
      <w:r w:rsidR="00823361">
        <w:t xml:space="preserve">, or </w:t>
      </w:r>
      <w:r w:rsidR="001F516B">
        <w:t xml:space="preserve">recycling carbon tax revenues into </w:t>
      </w:r>
      <w:r w:rsidR="00823361">
        <w:t>public goods</w:t>
      </w:r>
      <w:r w:rsidR="00FB35C4">
        <w:t xml:space="preserve"> to engineer social support</w:t>
      </w:r>
      <w:r w:rsidR="00823361">
        <w:t xml:space="preserve"> </w:t>
      </w:r>
      <w:r w:rsidR="00823361">
        <w:fldChar w:fldCharType="begin" w:fldLock="1"/>
      </w:r>
      <w:r w:rsidR="006B66EC">
        <w:instrText>ADDIN CSL_CITATION {"citationItems":[{"id":"ITEM-1","itemData":{"DOI":"10.1002/wene.256","ISSN":"20418396","abstract":"Adrien Vogt-Schilb, Inter-American Development Bank, avogtschilb@iadb.org Stephane Hallegatte, World Bank, shallegatte@worldbank.org Abstract Countries have pledged to stabilize global warming at a 1.5 to 2°C increase. Either target requires reaching net zero emissions before the end of the century, which implies a major transformation of the economic system. This paper reviews the literature on how policymakers can design climate policies and their Nationally Determined Contributions (NDCs) to reach zero-net emissions before the end of the century in a socially and politically-acceptable manner. To get the ambition right, policymakers can use sectoral roadmaps with targets and indicators that track progress towards zero emissions (e.g. regarding renewable power or reforestation). Indeed, monitoring economy-wide emissions reductions alone would not ensure that short-term action contributes meaningfully to the long-term decarbonization goal. To get the political economy right, climate policies can be designed so that they contribute to non-climate objectives and create coalitions of supporters. For instance, revenues from carbon taxes can fund social assistance and infrastructure investment, while reducing tax evasion and informality. To minimize social and economic disruptions and avoid stranded assets, policymakers can start with a low carbon price level and use complementary policies. Designed at the sector level, complementary policies such as performance standards or feebates for cars, building norms, or moratoriums on new coal power plants can be negotiated in partnership with local stakeholders and trigger a transition to zero carbon without creating disruptive stranded assets.","author":[{"dropping-particle":"","family":"Vogt-Schilb","given":"Adrien","non-dropping-particle":"","parse-names":false,"suffix":""},{"dropping-particle":"","family":"Hallegatte","given":"Stephane","non-dropping-particle":"","parse-names":false,"suffix":""}],"container-title":"Wiley Interdisciplinary Reviews: Energy and Environment","id":"ITEM-1","issued":{"date-parts":[["2017"]]},"title":"Climate policies and nationally determined contributions: reconciling the needed ambition with the political economy","type":"article-journal","volume":"e256"},"uris":["http://www.mendeley.com/documents/?uuid=53353736-258a-4980-afad-6f632f9c6d80"]},{"id":"ITEM-2","itemData":{"DOI":"10.1080/14693062.2017.1386540","ISSN":"17527457","abstract":"© 2017 Informa UK Limited, trading as Taylor  &amp;  Francis Group. National and global mitigation scenarios consistent with 1.5°C require an early phase-out of coal in major coal-dependent countries, compared to standard technical and economic lifetimes. This appears particularly apparent in the light of recent massive investments in coal power capacity, the significant pipeline of coal power capacity coming online, as well as upstream supporting infrastructure. This article analyses the existing and planned capital stock in the coal power sector in the light of scenarios consistent with 1.5°C. The article analyses the political economy and labour aspects of this abrupt and significant transition, in the light of domestic equity and development objectives. Firstly, the article examines employment issues and reviews the existing literature and practice with support schemes for regional and sectoral structural adjustment for the reduction of coal sector activity. Secondly, the paper surveys the domestic political economy of coal sector transition in major coal using countries, namely Australia, South Africa, China and India. A final section provides conclusions and policy recommendations. Key policy insights Achieving mitigation pathways in line with limiting warming to 1.5°C, or even well-below 2°C, would require the early retirement of coal sector assets in production and consumption. Historically, coal sector transition has often been associated with prolonged socio-economic dislocation in affected regions. Policies to accompany affected regions are thus a crucial part of policy mixes to limit warming to 1.5°C and even 2°C. Such policies should be anticipatory and long-term, as opposed to reactive policies focused on short-term measures to smooth the transition. A survey of major coal using countries shows that each is a long way from putting in place a long-term framework to transition the coal sector.","author":[{"dropping-particle":"","family":"Spencer","given":"Thomas","non-dropping-particle":"","parse-names":false,"suffix":""},{"dropping-particle":"","family":"Colombier","given":"Michel","non-dropping-particle":"","parse-names":false,"suffix":""},{"dropping-particle":"","family":"Sartor","given":"Oliver","non-dropping-particle":"","parse-names":false,"suffix":""},{"dropping-particle":"","family":"Garg","given":"Amit","non-dropping-particle":"","parse-names":false,"suffix":""},{"dropping-particle":"","family":"Tiwari","given":"Vineet","non-dropping-particle":"","parse-names":false,"suffix":""},{"dropping-particle":"","family":"Burton","given":"Jesse","non-dropping-particle":"","parse-names":false,"suffix":""},{"dropping-particle":"","family":"Caetano","given":"Tara","non-dropping-particle":"","parse-names":false,"suffix":""},{"dropping-particle":"","family":"Green","given":"Fergus","non-dropping-particle":"","parse-names":false,"suffix":""},{"dropping-particle":"","family":"Teng","given":"Fei","non-dropping-particle":"","parse-names":false,"suffix":""},{"dropping-particle":"","family":"Wiseman","given":"John","non-dropping-particle":"","parse-names":false,"suffix":""}],"container-title":"Climate Policy","id":"ITEM-2","issue":"3","issued":{"date-parts":[["2018"]]},"page":"335-351","title":"The 1.5°C target and coal sector transition: at the limits of societal feasibility","type":"article-journal","volume":"18"},"uris":["http://www.mendeley.com/documents/?uuid=fde14ecd-e7be-416b-82cc-705875781da3"]}],"mendeley":{"formattedCitation":"(Spencer et al., 2018; Vogt-Schilb &amp; Hallegatte, 2017)","plainTextFormattedCitation":"(Spencer et al., 2018; Vogt-Schilb &amp; Hallegatte, 2017)","previouslyFormattedCitation":"(Spencer et al., 2018; Vogt-Schilb &amp; Hallegatte, 2017)"},"properties":{"noteIndex":0},"schema":"https://github.com/citation-style-language/schema/raw/master/csl-citation.json"}</w:instrText>
      </w:r>
      <w:r w:rsidR="00823361">
        <w:fldChar w:fldCharType="separate"/>
      </w:r>
      <w:r w:rsidR="006B66EC" w:rsidRPr="006B66EC">
        <w:rPr>
          <w:noProof/>
        </w:rPr>
        <w:t>(Spencer et al., 2018; Vogt-Schilb &amp; Hallegatte, 2017)</w:t>
      </w:r>
      <w:r w:rsidR="00823361">
        <w:fldChar w:fldCharType="end"/>
      </w:r>
      <w:r w:rsidR="00823361">
        <w:t xml:space="preserve">. </w:t>
      </w:r>
      <w:r w:rsidR="00FA6139">
        <w:t xml:space="preserve">Marxian-inspired research has explored the structural factors underlying the dominance of fossil fuels in the global economy </w:t>
      </w:r>
      <w:r w:rsidR="00FA6139">
        <w:fldChar w:fldCharType="begin" w:fldLock="1"/>
      </w:r>
      <w:r w:rsidR="00244B27">
        <w:instrText>ADDIN CSL_CITATION {"citationItems":[{"id":"ITEM-1","itemData":{"ISBN":"9781784781293","author":[{"dropping-particle":"","family":"Malm","given":"Andreas","non-dropping-particle":"","parse-names":false,"suffix":""}],"id":"ITEM-1","issued":{"date-parts":[["2016"]]},"publisher":"Verso","publisher-place":"London","title":"Fossil Capital: The Rise of Steam Power and the Roots of Global Warming","type":"book"},"uris":["http://www.mendeley.com/documents/?uuid=981c0c89-6de3-4316-8a6e-e299abef04ea"]},{"id":"ITEM-2","itemData":{"DOI":"10.1002/WCC.506","ISSN":"1757-7799","author":[{"dropping-particle":"","family":"Paterson","given":"Matthew","non-dropping-particle":"","parse-names":false,"suffix":""},{"dropping-particle":"","family":"P‐Laberge","given":"Xavier","non-dropping-particle":"","parse-names":false,"suffix":""}],"container-title":"Wiley Interdisciplinary Reviews: Climate Change","id":"ITEM-2","issue":"November 2017","issued":{"date-parts":[["2018"]]},"page":"1-16","title":"Political economies of climate change","type":"article-journal"},"uris":["http://www.mendeley.com/documents/?uuid=89d72bd5-2f5b-4037-8978-7aee57bed12b"]}],"mendeley":{"formattedCitation":"(Malm, 2016; Paterson &amp; P‐Laberge, 2018)","plainTextFormattedCitation":"(Malm, 2016; Paterson &amp; P‐Laberge, 2018)","previouslyFormattedCitation":"(Malm, 2016; Paterson &amp; P‐Laberge, 2018)"},"properties":{"noteIndex":0},"schema":"https://github.com/citation-style-language/schema/raw/master/csl-citation.json"}</w:instrText>
      </w:r>
      <w:r w:rsidR="00FA6139">
        <w:fldChar w:fldCharType="separate"/>
      </w:r>
      <w:r w:rsidR="00FA6139" w:rsidRPr="00FA6139">
        <w:rPr>
          <w:noProof/>
        </w:rPr>
        <w:t>(Malm, 2016; Paterson &amp; P‐Laberge, 2018)</w:t>
      </w:r>
      <w:r w:rsidR="00FA6139">
        <w:fldChar w:fldCharType="end"/>
      </w:r>
      <w:r w:rsidR="00FA6139">
        <w:t xml:space="preserve">. And there has been </w:t>
      </w:r>
      <w:r w:rsidR="0026092C">
        <w:t xml:space="preserve">a series of studies on the cross-national political economic determinants of climate legislation and policy adoption </w:t>
      </w:r>
      <w:r w:rsidR="0026092C">
        <w:fldChar w:fldCharType="begin" w:fldLock="1"/>
      </w:r>
      <w:r w:rsidR="00051A6F">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uris":["http://www.mendeley.com/documents/?uuid=6e269377-11ab-4240-a1eb-07b94f1ee52b"]},{"id":"ITEM-2","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Change","id":"ITEM-2","issued":{"date-parts":[["2015"]]},"page":"52-61","publisher":"Elsevier Ltd","title":"The political economy of passing climate change legislation: evidence from a survey","type":"article-journal","volume":"35"},"uris":["http://www.mendeley.com/documents/?uuid=860f5671-59a0-4f8d-a7d7-b495238f5d28"]}],"mendeley":{"formattedCitation":"(Dolphin, Pollitt, &amp; Newbery, 2016; Fankhauser, Gennaioli, &amp; Collins, 2015)","plainTextFormattedCitation":"(Dolphin, Pollitt, &amp; Newbery, 2016; Fankhauser, Gennaioli, &amp; Collins, 2015)","previouslyFormattedCitation":"(Dolphin, Pollitt, &amp; Newbery, 2016; Fankhauser, Gennaioli, &amp; Collins, 2015)"},"properties":{"noteIndex":0},"schema":"https://github.com/citation-style-language/schema/raw/master/csl-citation.json"}</w:instrText>
      </w:r>
      <w:r w:rsidR="0026092C">
        <w:fldChar w:fldCharType="separate"/>
      </w:r>
      <w:r w:rsidR="0026092C" w:rsidRPr="0026092C">
        <w:rPr>
          <w:noProof/>
        </w:rPr>
        <w:t>(Dolphin, Pollitt, &amp; Newbery, 2016; Fankhauser, Gennaioli, &amp; Collins, 2015)</w:t>
      </w:r>
      <w:r w:rsidR="0026092C">
        <w:fldChar w:fldCharType="end"/>
      </w:r>
      <w:r w:rsidR="0026092C">
        <w:t>.</w:t>
      </w:r>
    </w:p>
    <w:p w14:paraId="7E6D4147" w14:textId="092A513E" w:rsidR="00FA6139" w:rsidRDefault="00051A6F" w:rsidP="00E77203">
      <w:pPr>
        <w:spacing w:line="360" w:lineRule="auto"/>
      </w:pPr>
      <w:r>
        <w:t xml:space="preserve">In this article we contribute to the latter stream of work, exploring </w:t>
      </w:r>
      <w:r w:rsidR="00FA6139">
        <w:t>political economic determinants</w:t>
      </w:r>
      <w:r>
        <w:t xml:space="preserve"> </w:t>
      </w:r>
      <w:r w:rsidR="00D84076">
        <w:t xml:space="preserve">that manifest </w:t>
      </w:r>
      <w:r w:rsidR="004A43F4">
        <w:t xml:space="preserve">at </w:t>
      </w:r>
      <w:r>
        <w:t>a</w:t>
      </w:r>
      <w:r w:rsidR="00D84076">
        <w:t xml:space="preserve"> national</w:t>
      </w:r>
      <w:r>
        <w:t xml:space="preserve"> level</w:t>
      </w:r>
      <w:r w:rsidR="00D84076">
        <w:t xml:space="preserve"> and point to substantive </w:t>
      </w:r>
      <w:r w:rsidR="00416A8A">
        <w:t xml:space="preserve">international divergences in the prospects </w:t>
      </w:r>
      <w:r w:rsidR="00416A8A">
        <w:lastRenderedPageBreak/>
        <w:t>for rapidly mitigating climate change.</w:t>
      </w:r>
      <w:r>
        <w:t xml:space="preserve"> </w:t>
      </w:r>
      <w:r w:rsidR="00167896">
        <w:t xml:space="preserve">We adopt the language of ‘constraints’ to describe social, political and institutional contexts that appear to hinder climate policy adoption. </w:t>
      </w:r>
      <w:r w:rsidR="00FA6139">
        <w:t xml:space="preserve">(One can argue that ‘constraints’ is the more appropriate terminology here, as it frames mechanisms that actively prevent mitigation, compared to more </w:t>
      </w:r>
      <w:r w:rsidR="00CA62C1">
        <w:t>passive and positive formulations</w:t>
      </w:r>
      <w:r w:rsidR="00FA6139">
        <w:t xml:space="preserve"> </w:t>
      </w:r>
      <w:r w:rsidR="00CA62C1">
        <w:t xml:space="preserve">such as climate policy </w:t>
      </w:r>
      <w:r w:rsidR="00FA6139">
        <w:t xml:space="preserve">‘determinants’ and ‘enablers’ that </w:t>
      </w:r>
      <w:r w:rsidR="00CA62C1">
        <w:t>are</w:t>
      </w:r>
      <w:r w:rsidR="00FA6139">
        <w:t xml:space="preserve"> common in the field).</w:t>
      </w:r>
    </w:p>
    <w:p w14:paraId="186DA18F" w14:textId="406E2A72" w:rsidR="00AC5A5D" w:rsidRDefault="00AC5A5D" w:rsidP="00E77203">
      <w:pPr>
        <w:spacing w:line="360" w:lineRule="auto"/>
      </w:pPr>
      <w:r>
        <w:t xml:space="preserve">We aim to answer the question – </w:t>
      </w:r>
      <w:r>
        <w:rPr>
          <w:i/>
        </w:rPr>
        <w:t xml:space="preserve">which countries are exposed to </w:t>
      </w:r>
      <w:r w:rsidR="003B4A78">
        <w:rPr>
          <w:i/>
        </w:rPr>
        <w:t>political economic constraints</w:t>
      </w:r>
      <w:r w:rsidRPr="00EE1410">
        <w:rPr>
          <w:i/>
        </w:rPr>
        <w:t xml:space="preserve"> to climate policy</w:t>
      </w:r>
      <w:r>
        <w:rPr>
          <w:i/>
        </w:rPr>
        <w:t>?</w:t>
      </w:r>
      <w:r>
        <w:t xml:space="preserve">  –</w:t>
      </w:r>
      <w:r w:rsidR="003B4A78">
        <w:t xml:space="preserve"> </w:t>
      </w:r>
      <w:proofErr w:type="gramStart"/>
      <w:r w:rsidR="003B4A78">
        <w:t>via</w:t>
      </w:r>
      <w:proofErr w:type="gramEnd"/>
      <w:r w:rsidR="003B4A78">
        <w:t xml:space="preserve"> </w:t>
      </w:r>
      <w:r>
        <w:t>the following four objectives:</w:t>
      </w:r>
    </w:p>
    <w:p w14:paraId="6C8D4ECC" w14:textId="27B62E63" w:rsidR="00AC5A5D" w:rsidRDefault="003B4A78" w:rsidP="00E77203">
      <w:pPr>
        <w:pStyle w:val="ListParagraph"/>
        <w:numPr>
          <w:ilvl w:val="0"/>
          <w:numId w:val="28"/>
        </w:numPr>
        <w:spacing w:line="360" w:lineRule="auto"/>
      </w:pPr>
      <w:r>
        <w:t xml:space="preserve">Review the </w:t>
      </w:r>
      <w:r w:rsidR="00495D21">
        <w:t xml:space="preserve">empirical </w:t>
      </w:r>
      <w:r>
        <w:t xml:space="preserve">literature </w:t>
      </w:r>
      <w:r w:rsidR="00495D21">
        <w:t>identifying political, social and institutional constraints to climate legislation and policy adoption</w:t>
      </w:r>
    </w:p>
    <w:p w14:paraId="6BD3C00F" w14:textId="272613F4" w:rsidR="00495D21" w:rsidRDefault="00495D21" w:rsidP="00E77203">
      <w:pPr>
        <w:pStyle w:val="ListParagraph"/>
        <w:numPr>
          <w:ilvl w:val="0"/>
          <w:numId w:val="28"/>
        </w:numPr>
        <w:spacing w:line="360" w:lineRule="auto"/>
      </w:pPr>
      <w:r>
        <w:t xml:space="preserve">Synthesise the empirical literature </w:t>
      </w:r>
      <w:r w:rsidR="0005057E">
        <w:t xml:space="preserve">under a </w:t>
      </w:r>
      <w:r>
        <w:t xml:space="preserve">political economic </w:t>
      </w:r>
      <w:r w:rsidR="0005057E">
        <w:t>framework</w:t>
      </w:r>
    </w:p>
    <w:p w14:paraId="7F3732F7" w14:textId="576839C3" w:rsidR="0005057E" w:rsidRDefault="00495D21" w:rsidP="007874F1">
      <w:pPr>
        <w:pStyle w:val="ListParagraph"/>
        <w:numPr>
          <w:ilvl w:val="0"/>
          <w:numId w:val="28"/>
        </w:numPr>
        <w:spacing w:line="360" w:lineRule="auto"/>
      </w:pPr>
      <w:r>
        <w:t>Construct a</w:t>
      </w:r>
      <w:r w:rsidR="00D0406F">
        <w:t>n international</w:t>
      </w:r>
      <w:r>
        <w:t xml:space="preserve"> dataset </w:t>
      </w:r>
      <w:r w:rsidR="00D0406F">
        <w:t>of indicators</w:t>
      </w:r>
      <w:r w:rsidR="0005057E">
        <w:t xml:space="preserve"> and r</w:t>
      </w:r>
      <w:r>
        <w:t xml:space="preserve">eport stylized facts on the international distribution of constraints, trends over time, </w:t>
      </w:r>
      <w:r w:rsidR="0005057E">
        <w:t xml:space="preserve">and </w:t>
      </w:r>
      <w:r w:rsidR="0016211A">
        <w:t>their structural</w:t>
      </w:r>
      <w:r w:rsidR="0005057E">
        <w:t xml:space="preserve"> </w:t>
      </w:r>
      <w:r w:rsidR="0016211A">
        <w:t>correlations</w:t>
      </w:r>
    </w:p>
    <w:p w14:paraId="395889C3" w14:textId="355ACF55" w:rsidR="00495D21" w:rsidRDefault="0005057E" w:rsidP="007874F1">
      <w:pPr>
        <w:pStyle w:val="ListParagraph"/>
        <w:numPr>
          <w:ilvl w:val="0"/>
          <w:numId w:val="28"/>
        </w:numPr>
        <w:spacing w:line="360" w:lineRule="auto"/>
      </w:pPr>
      <w:r>
        <w:t>Examine the overlap between constrained national contexts</w:t>
      </w:r>
      <w:r w:rsidR="00495D21">
        <w:t>, available fossil reserves and other bottlenecks in global climate mitigation</w:t>
      </w:r>
    </w:p>
    <w:p w14:paraId="4D1065BE" w14:textId="1D023752" w:rsidR="0005057E" w:rsidRDefault="001446C1" w:rsidP="00E77203">
      <w:pPr>
        <w:spacing w:line="360" w:lineRule="auto"/>
      </w:pPr>
      <w:commentRangeStart w:id="0"/>
      <w:r>
        <w:t>The primary</w:t>
      </w:r>
      <w:r w:rsidR="00495D21">
        <w:t xml:space="preserve"> focus </w:t>
      </w:r>
      <w:r>
        <w:t xml:space="preserve">of analysis </w:t>
      </w:r>
      <w:r w:rsidR="00495D21">
        <w:t xml:space="preserve">is on </w:t>
      </w:r>
      <w:r w:rsidR="006B66EC">
        <w:t xml:space="preserve">broadly </w:t>
      </w:r>
      <w:r w:rsidR="00AC5A5D">
        <w:t xml:space="preserve">acknowledged </w:t>
      </w:r>
      <w:r w:rsidR="00D0406F">
        <w:t xml:space="preserve">issues </w:t>
      </w:r>
      <w:r w:rsidR="006B66EC">
        <w:t>such as fossil rent seeking, poor institutional quality</w:t>
      </w:r>
      <w:r w:rsidR="00495D21">
        <w:t>,</w:t>
      </w:r>
      <w:r w:rsidR="006B66EC">
        <w:t xml:space="preserve"> and social fragmentation. Given the known geographic distribution of fossil fuel reserves </w:t>
      </w:r>
      <w:r w:rsidR="006B66EC">
        <w:fldChar w:fldCharType="begin" w:fldLock="1"/>
      </w:r>
      <w:r w:rsidR="006B66EC">
        <w:instrText>ADDIN CSL_CITATION {"citationItems":[{"id":"ITEM-1","itemData":{"DOI":"10.1038/nature14016","ISSN":"0028-0836","author":[{"dropping-particle":"","family":"McGlade","given":"Christophe","non-dropping-particle":"","parse-names":false,"suffix":""},{"dropping-particle":"","family":"Ekins","given":"Paul","non-dropping-particle":"","parse-names":false,"suffix":""}],"container-title":"Nature","id":"ITEM-1","issue":"7533","issued":{"date-parts":[["2015","1","7"]]},"page":"187-190","publisher":"Nature Publishing Group","title":"The geographical distribution of fossil fuels unused when limiting global warming to 2 °C","type":"article-journal","volume":"517"},"uris":["http://www.mendeley.com/documents/?uuid=e474839e-5521-4a00-80a3-53c776a5d248"]}],"mendeley":{"formattedCitation":"(McGlade &amp; Ekins, 2015)","plainTextFormattedCitation":"(McGlade &amp; Ekins, 2015)","previouslyFormattedCitation":"(McGlade &amp; Ekins, 2015)"},"properties":{"noteIndex":0},"schema":"https://github.com/citation-style-language/schema/raw/master/csl-citation.json"}</w:instrText>
      </w:r>
      <w:r w:rsidR="006B66EC">
        <w:fldChar w:fldCharType="separate"/>
      </w:r>
      <w:r w:rsidR="006B66EC" w:rsidRPr="00FE5AD8">
        <w:rPr>
          <w:noProof/>
        </w:rPr>
        <w:t>(McGlade &amp; Ekins, 2015)</w:t>
      </w:r>
      <w:r w:rsidR="006B66EC">
        <w:fldChar w:fldCharType="end"/>
      </w:r>
      <w:r w:rsidR="006B66EC">
        <w:t xml:space="preserve"> and planned carbon emitting infrastructures </w:t>
      </w:r>
      <w:r w:rsidR="006B66EC">
        <w:fldChar w:fldCharType="begin" w:fldLock="1"/>
      </w:r>
      <w:r w:rsidR="006B66EC">
        <w:instrText>ADDIN CSL_CITATION {"citationItems":[{"id":"ITEM-1","itemData":{"DOI":"10.1088/1748-9326/9/8/084018","ISSN":"1748-9326","author":[{"dropping-particle":"","family":"Davis","given":"Steven J","non-dropping-particle":"","parse-names":false,"suffix":""},{"dropping-particle":"","family":"Socolow","given":"Robert H","non-dropping-particle":"","parse-names":false,"suffix":""}],"container-title":"Environmental Research Letters","id":"ITEM-1","issue":"8","issued":{"date-parts":[["2014","8","1"]]},"page":"084018","publisher":"IOP Publishing","title":"Commitment accounting of CO2 emissions","type":"article-journal","volume":"9"},"uris":["http://www.mendeley.com/documents/?uuid=766dd9ae-73f8-4d43-9766-54173a7fd9cb"]},{"id":"ITEM-2","itemData":{"DOI":"10.1088/1748-9326/aaa3a2","author":[{"dropping-particle":"","family":"Edenhofer","given":"Ottmar","non-dropping-particle":"","parse-names":false,"suffix":""},{"dropping-particle":"","family":"Steckel","given":"Jan Christoph","non-dropping-particle":"","parse-names":false,"suffix":""},{"dropping-particle":"","family":"Jakob","given":"Michael","non-dropping-particle":"","parse-names":false,"suffix":""},{"dropping-particle":"","family":"Bertram","given":"Christoph","non-dropping-particle":"","parse-names":false,"suffix":""}],"container-title":"Environ. Res. Lett","id":"ITEM-2","issued":{"date-parts":[["2018"]]},"page":"1-9","title":"Reports of coal’s terminal decline may be exaggerated","type":"article-journal","volume":"13"},"uris":["http://www.mendeley.com/documents/?uuid=e41478c3-bd08-49e5-b206-dc57f1bb5716"]}],"mendeley":{"formattedCitation":"(Davis &amp; Socolow, 2014; Edenhofer, Steckel, Jakob, &amp; Bertram, 2018)","plainTextFormattedCitation":"(Davis &amp; Socolow, 2014; Edenhofer, Steckel, Jakob, &amp; Bertram, 2018)","previouslyFormattedCitation":"(Davis &amp; Socolow, 2014; Edenhofer, Steckel, Jakob, &amp; Bertram, 2018)"},"properties":{"noteIndex":0},"schema":"https://github.com/citation-style-language/schema/raw/master/csl-citation.json"}</w:instrText>
      </w:r>
      <w:r w:rsidR="006B66EC">
        <w:fldChar w:fldCharType="separate"/>
      </w:r>
      <w:r w:rsidR="006B66EC" w:rsidRPr="00FE5AD8">
        <w:rPr>
          <w:noProof/>
        </w:rPr>
        <w:t>(Davis &amp; Socolow, 2014; Edenhofer, Steckel, Jakob, &amp; Bertram, 2018)</w:t>
      </w:r>
      <w:r w:rsidR="006B66EC">
        <w:fldChar w:fldCharType="end"/>
      </w:r>
      <w:r w:rsidR="006B66EC">
        <w:t>, we argue that assessments of future climate mitigation prospects (or ‘feasibility’) shoul</w:t>
      </w:r>
      <w:r w:rsidR="00AC5A5D">
        <w:t>d begin with the stylized facts: what national-level constraints can be identified, where do they occur</w:t>
      </w:r>
      <w:r>
        <w:t>,</w:t>
      </w:r>
      <w:r w:rsidR="00AC5A5D">
        <w:t xml:space="preserve"> and how are they interrelated? Due to this broad scope, o</w:t>
      </w:r>
      <w:r w:rsidR="000F7D64">
        <w:t>ur approach</w:t>
      </w:r>
      <w:r w:rsidR="00495D21">
        <w:t xml:space="preserve"> is complementary to, but </w:t>
      </w:r>
      <w:r w:rsidR="000F7D64">
        <w:t xml:space="preserve">goes </w:t>
      </w:r>
      <w:r w:rsidR="006B66EC">
        <w:t xml:space="preserve">somewhat </w:t>
      </w:r>
      <w:r w:rsidR="000F7D64">
        <w:t>against the grain of political economic research</w:t>
      </w:r>
      <w:r w:rsidR="00AC5A5D">
        <w:t xml:space="preserve"> that has </w:t>
      </w:r>
      <w:r w:rsidR="00495D21">
        <w:t xml:space="preserve">thus </w:t>
      </w:r>
      <w:r w:rsidR="00AC5A5D">
        <w:t>far</w:t>
      </w:r>
      <w:r w:rsidR="000F7D64">
        <w:t xml:space="preserve"> tended to </w:t>
      </w:r>
      <w:r w:rsidR="00051A6F">
        <w:t xml:space="preserve">work with </w:t>
      </w:r>
      <w:r w:rsidR="0044778D">
        <w:t xml:space="preserve">detailed </w:t>
      </w:r>
      <w:r w:rsidR="00051A6F">
        <w:t xml:space="preserve">case studies, or mid-range theories in a small number of comparative settings </w:t>
      </w:r>
      <w:r w:rsidR="00051A6F">
        <w:fldChar w:fldCharType="begin" w:fldLock="1"/>
      </w:r>
      <w:r w:rsidR="006B66EC">
        <w:instrText>ADDIN CSL_CITATION {"citationItems":[{"id":"ITEM-1","itemData":{"DOI":"10.1016/j.erss.2018.06.020","ISSN":"22146296","abstract":"Why do some countries enact more ambitious climate change policies than others? Macro level economic and political structures, such as the economic weight of fossil fuel industries, play an important role in shaping these policies. So do the national science community and the national culture of science. But the process by which such macro-structural factors translate into political power and national climate change policies can be analyzed through focussing on meso level policy networks. The Comparing Climate Change Policy Networks (COMPON) research project has studied climate change policy networks in twenty countries since 2007. Along with some findings, this paper presents some methodological challenges faced and the solutions developed in the course of the project. After a presentation of the project, we first outline some practical challenges related to conducting cross-national network surveys and solutions to overcome them, and present the solutions adopted during the project. We then turn to challenges related to causal explanation of the national policy differences, and propose Qualitative Comparative Analysis as one solution for combining different levels of analysis (macro and meso) and different data types (quantitative, network and qualitative).","author":[{"dropping-particle":"","family":"Ylä-Anttila","given":"Tuomas","non-dropping-particle":"","parse-names":false,"suffix":""},{"dropping-particle":"","family":"Gronow","given":"Antti","non-dropping-particle":"","parse-names":false,"suffix":""},{"dropping-particle":"","family":"Stoddart","given":"Mark C.J.","non-dropping-particle":"","parse-names":false,"suffix":""},{"dropping-particle":"","family":"Broadbent","given":"Jeffrey","non-dropping-particle":"","parse-names":false,"suffix":""},{"dropping-particle":"","family":"Schneider","given":"Volker","non-dropping-particle":"","parse-names":false,"suffix":""},{"dropping-particle":"","family":"Tindall","given":"David B.","non-dropping-particle":"","parse-names":false,"suffix":""}],"container-title":"Energy Research and Social Science","id":"ITEM-1","issue":"November 2017","issued":{"date-parts":[["2018"]]},"page":"258-265","title":"Climate change policy networks: Why and how to compare them across countries","type":"article-journal","volume":"45"},"uris":["http://www.mendeley.com/documents/?uuid=e622439a-8186-4bd3-a94c-beb7173345a1"]}],"mendeley":{"formattedCitation":"(Ylä-Anttila et al., 2018)","plainTextFormattedCitation":"(Ylä-Anttila et al., 2018)","previouslyFormattedCitation":"(Ylä-Anttila et al., 2018)"},"properties":{"noteIndex":0},"schema":"https://github.com/citation-style-language/schema/raw/master/csl-citation.json"}</w:instrText>
      </w:r>
      <w:r w:rsidR="00051A6F">
        <w:fldChar w:fldCharType="separate"/>
      </w:r>
      <w:r w:rsidR="00051A6F" w:rsidRPr="00051A6F">
        <w:rPr>
          <w:noProof/>
        </w:rPr>
        <w:t>(Ylä-Anttila et al., 2018)</w:t>
      </w:r>
      <w:r w:rsidR="00051A6F">
        <w:fldChar w:fldCharType="end"/>
      </w:r>
      <w:r w:rsidR="00051A6F">
        <w:t>.</w:t>
      </w:r>
      <w:commentRangeEnd w:id="0"/>
      <w:r w:rsidR="00B06AE4">
        <w:rPr>
          <w:rStyle w:val="CommentReference"/>
        </w:rPr>
        <w:commentReference w:id="0"/>
      </w:r>
    </w:p>
    <w:p w14:paraId="1334824E" w14:textId="75E90777" w:rsidR="0005057E" w:rsidRDefault="0005057E" w:rsidP="00E77203">
      <w:pPr>
        <w:spacing w:line="360" w:lineRule="auto"/>
      </w:pPr>
      <w:r>
        <w:t>Our ar</w:t>
      </w:r>
      <w:r w:rsidR="001446C1">
        <w:t xml:space="preserve">ticle is structured as follows. </w:t>
      </w:r>
      <w:r w:rsidR="009346D3">
        <w:t xml:space="preserve">First </w:t>
      </w:r>
      <w:r>
        <w:t>we</w:t>
      </w:r>
      <w:r w:rsidR="004329F2">
        <w:t xml:space="preserve"> </w:t>
      </w:r>
      <w:r w:rsidR="001F52E3">
        <w:t>introduce theoretical and empirical concepts to structure the forthcoming discussion</w:t>
      </w:r>
      <w:r w:rsidR="00CA62C1">
        <w:t xml:space="preserve"> (section 2)</w:t>
      </w:r>
      <w:r w:rsidR="009346D3">
        <w:t xml:space="preserve">. </w:t>
      </w:r>
      <w:r w:rsidR="004329F2">
        <w:t>This is followed by our main</w:t>
      </w:r>
      <w:r w:rsidR="009346D3">
        <w:t xml:space="preserve"> review of the theory and empirics on climate policy constraints, focusing on the international comparative literature (section 3). </w:t>
      </w:r>
      <w:r w:rsidR="00CA62C1">
        <w:t>We then examine a series of stylized facts on the international distribution of constraints (section 4), before concluding (section 5).</w:t>
      </w:r>
    </w:p>
    <w:p w14:paraId="4BC5969F" w14:textId="47928652" w:rsidR="007929F1" w:rsidRDefault="009F3FFE" w:rsidP="00E77203">
      <w:pPr>
        <w:pStyle w:val="Heading2"/>
        <w:numPr>
          <w:ilvl w:val="0"/>
          <w:numId w:val="19"/>
        </w:numPr>
        <w:spacing w:after="120" w:line="360" w:lineRule="auto"/>
        <w:ind w:left="357" w:hanging="357"/>
      </w:pPr>
      <w:r>
        <w:t>Background and theoretical setting</w:t>
      </w:r>
    </w:p>
    <w:p w14:paraId="04C56005" w14:textId="7E8C30F6" w:rsidR="009F537C" w:rsidRDefault="00CA62C1" w:rsidP="000D5CD4">
      <w:pPr>
        <w:spacing w:line="360" w:lineRule="auto"/>
      </w:pPr>
      <w:r>
        <w:t xml:space="preserve">The research question we formulate has </w:t>
      </w:r>
      <w:r w:rsidR="000D5CD4">
        <w:t xml:space="preserve">been addressed in a large scope of literature. To structure the discussion, we first put forward a </w:t>
      </w:r>
      <w:r w:rsidR="001F52E3">
        <w:t xml:space="preserve">basic </w:t>
      </w:r>
      <w:r w:rsidR="000D5CD4">
        <w:t>framework to characterise constraints</w:t>
      </w:r>
      <w:r w:rsidR="005625B3">
        <w:t>, and</w:t>
      </w:r>
      <w:r w:rsidR="001F52E3">
        <w:t xml:space="preserve"> then turn to a critical issue: what is the appropriate dependent variable for analysis?</w:t>
      </w:r>
    </w:p>
    <w:p w14:paraId="7A4D2B40" w14:textId="7A959BA1" w:rsidR="00211F78" w:rsidRDefault="00211F78" w:rsidP="00211F78">
      <w:pPr>
        <w:pStyle w:val="Heading3"/>
        <w:numPr>
          <w:ilvl w:val="1"/>
          <w:numId w:val="19"/>
        </w:numPr>
        <w:spacing w:after="120" w:line="360" w:lineRule="auto"/>
        <w:ind w:left="788" w:hanging="431"/>
      </w:pPr>
      <w:r>
        <w:lastRenderedPageBreak/>
        <w:t>A basic framework to characterise constraints</w:t>
      </w:r>
    </w:p>
    <w:p w14:paraId="1B5F4D88" w14:textId="4F3368DE" w:rsidR="00835CA0" w:rsidRDefault="009E2B40" w:rsidP="00E77203">
      <w:pPr>
        <w:spacing w:line="360" w:lineRule="auto"/>
      </w:pPr>
      <w:r>
        <w:t xml:space="preserve">Hall </w:t>
      </w:r>
      <w:r>
        <w:fldChar w:fldCharType="begin" w:fldLock="1"/>
      </w:r>
      <w:r w:rsidR="008A1ED6">
        <w:instrText>ADDIN CSL_CITATION {"citationItems":[{"id":"ITEM-1","itemData":{"author":[{"dropping-particle":"","family":"Hall","given":"Peter A.","non-dropping-particle":"","parse-names":false,"suffix":""}],"container-title":"Comparative Politics: Rationality, Culture, and Structure","editor":[{"dropping-particle":"","family":"Lichbach","given":"Mark Irving","non-dropping-particle":"","parse-names":false,"suffix":""},{"dropping-particle":"","family":"Zuckerman","given":"Alan S.","non-dropping-particle":"","parse-names":false,"suffix":""}],"id":"ITEM-1","issued":{"date-parts":[["1997"]]},"page":"174-207","publisher":"Cambridge University Press","publisher-place":"Cambrdige, UK","title":"The role of interests, institutions, and ideas in the comparative political economy of the industrialized natoins","type":"chapter"},"suppress-author":1,"uris":["http://www.mendeley.com/documents/?uuid=4882695a-59ac-44d3-ba71-aa6d69dbf617"]}],"mendeley":{"formattedCitation":"(1997)","plainTextFormattedCitation":"(1997)","previouslyFormattedCitation":"(1997)"},"properties":{"noteIndex":0},"schema":"https://github.com/citation-style-language/schema/raw/master/csl-citation.json"}</w:instrText>
      </w:r>
      <w:r>
        <w:fldChar w:fldCharType="separate"/>
      </w:r>
      <w:r w:rsidR="00E92ABD" w:rsidRPr="00E92ABD">
        <w:rPr>
          <w:noProof/>
        </w:rPr>
        <w:t>(1997)</w:t>
      </w:r>
      <w:r>
        <w:fldChar w:fldCharType="end"/>
      </w:r>
      <w:r>
        <w:t xml:space="preserve"> argues that p</w:t>
      </w:r>
      <w:r w:rsidR="00835CA0">
        <w:t xml:space="preserve">olitical economy analysis can be broadly categorised into approaches focusing on interests, ideas, or institutions. </w:t>
      </w:r>
      <w:r w:rsidR="007A0732">
        <w:t xml:space="preserve">Interest-based </w:t>
      </w:r>
      <w:r w:rsidR="00403392">
        <w:t>analysis</w:t>
      </w:r>
      <w:r>
        <w:t xml:space="preserve"> recognise</w:t>
      </w:r>
      <w:r w:rsidR="00403392">
        <w:t>s</w:t>
      </w:r>
      <w:r>
        <w:t xml:space="preserve"> that</w:t>
      </w:r>
      <w:r w:rsidR="00F2579F">
        <w:t xml:space="preserve"> societal changes have </w:t>
      </w:r>
      <w:r w:rsidR="007A0732">
        <w:t xml:space="preserve">material </w:t>
      </w:r>
      <w:r>
        <w:t>(</w:t>
      </w:r>
      <w:r w:rsidR="006216DB">
        <w:t>e.g.</w:t>
      </w:r>
      <w:r w:rsidR="00403392">
        <w:t xml:space="preserve"> monetary</w:t>
      </w:r>
      <w:r>
        <w:t xml:space="preserve">) </w:t>
      </w:r>
      <w:r w:rsidR="007A0732">
        <w:t xml:space="preserve">consequences for </w:t>
      </w:r>
      <w:r>
        <w:t>different</w:t>
      </w:r>
      <w:r w:rsidR="007A0732">
        <w:t xml:space="preserve"> actors, such as workers, capitalists, and political agents. </w:t>
      </w:r>
      <w:r w:rsidR="00F2579F">
        <w:t xml:space="preserve">These groups therefore respond to, and participate in, social change. Often the </w:t>
      </w:r>
      <w:r>
        <w:t xml:space="preserve">interests </w:t>
      </w:r>
      <w:r w:rsidR="00F2579F">
        <w:t xml:space="preserve">of different actors </w:t>
      </w:r>
      <w:r w:rsidR="00996061">
        <w:t>may</w:t>
      </w:r>
      <w:r>
        <w:t xml:space="preserve"> </w:t>
      </w:r>
      <w:r w:rsidR="007A0732">
        <w:t xml:space="preserve">intersect, </w:t>
      </w:r>
      <w:r w:rsidR="006216DB">
        <w:t xml:space="preserve">stimulating the formation of </w:t>
      </w:r>
      <w:r w:rsidR="007A0732">
        <w:t xml:space="preserve">coalitions </w:t>
      </w:r>
      <w:r w:rsidR="006216DB">
        <w:t xml:space="preserve">to push for a </w:t>
      </w:r>
      <w:r>
        <w:t xml:space="preserve">common agenda; </w:t>
      </w:r>
      <w:r w:rsidR="007A0732">
        <w:t xml:space="preserve">or </w:t>
      </w:r>
      <w:r>
        <w:t xml:space="preserve">they may </w:t>
      </w:r>
      <w:r w:rsidR="007A0732">
        <w:t xml:space="preserve">diverge, resulting in political conflict and struggles over scarce resources. </w:t>
      </w:r>
      <w:r w:rsidR="0048129B">
        <w:t xml:space="preserve">The socio-technical transitions literature argues that industrial interests are often </w:t>
      </w:r>
      <w:r w:rsidR="006216DB">
        <w:t>associated with</w:t>
      </w:r>
      <w:r w:rsidR="0048129B">
        <w:t xml:space="preserve"> particular technologies </w:t>
      </w:r>
      <w:r w:rsidR="0048129B">
        <w:fldChar w:fldCharType="begin" w:fldLock="1"/>
      </w:r>
      <w:r w:rsidR="008A1ED6">
        <w:instrText>ADDIN CSL_CITATION {"citationItems":[{"id":"ITEM-1","itemData":{"DOI":"10.1016/j.respol.2007.01.003","ISBN":"0048-7333","ISSN":"00487333","PMID":"652","abstract":"Contributing to debates about transitions and system changes, this article has two aims. First, it uses criticisms on the multi-level perspective as stepping stones for further conceptual refinements. Second, it develops a typology of four transition pathways: transformation, reconfiguration, technological substitution, and de-alignment and re-alignment. These pathways differ in combinations of timing and nature of multi-level interactions. They are illustrated with historical examples. ?? 2007 Elsevier B.V. All rights reserved.","author":[{"dropping-particle":"","family":"Geels","given":"Frank W.","non-dropping-particle":"","parse-names":false,"suffix":""},{"dropping-particle":"","family":"Schot","given":"Johan","non-dropping-particle":"","parse-names":false,"suffix":""}],"container-title":"Research Policy","id":"ITEM-1","issue":"3","issued":{"date-parts":[["2007"]]},"page":"399-417","title":"Typology of sociotechnical transition pathways","type":"article-journal","volume":"36"},"uris":["http://www.mendeley.com/documents/?uuid=35a1018f-2e77-469b-9236-65b78d9d6462"]}],"mendeley":{"formattedCitation":"(Geels &amp; Schot, 2007)","plainTextFormattedCitation":"(Geels &amp; Schot, 2007)","previouslyFormattedCitation":"(Geels &amp; Schot, 2007)"},"properties":{"noteIndex":0},"schema":"https://github.com/citation-style-language/schema/raw/master/csl-citation.json"}</w:instrText>
      </w:r>
      <w:r w:rsidR="0048129B">
        <w:fldChar w:fldCharType="separate"/>
      </w:r>
      <w:r w:rsidR="00E92ABD" w:rsidRPr="00E92ABD">
        <w:rPr>
          <w:noProof/>
        </w:rPr>
        <w:t>(Geels &amp; Schot, 2007)</w:t>
      </w:r>
      <w:r w:rsidR="0048129B">
        <w:fldChar w:fldCharType="end"/>
      </w:r>
      <w:r w:rsidR="006216DB">
        <w:t>. The</w:t>
      </w:r>
      <w:r w:rsidR="007A0732">
        <w:t xml:space="preserve"> conflict between</w:t>
      </w:r>
      <w:r>
        <w:t xml:space="preserve"> incumbent fossil fuel energy producers versus </w:t>
      </w:r>
      <w:r w:rsidR="0048129B">
        <w:t xml:space="preserve">‘niche’ </w:t>
      </w:r>
      <w:r>
        <w:t xml:space="preserve">renewable energy-based entrants is </w:t>
      </w:r>
      <w:r w:rsidR="006216DB">
        <w:t xml:space="preserve">therefore </w:t>
      </w:r>
      <w:r>
        <w:t xml:space="preserve">highlighted as a contemporary example of </w:t>
      </w:r>
      <w:r w:rsidR="00996061">
        <w:t xml:space="preserve">interest-based struggles that spill </w:t>
      </w:r>
      <w:r>
        <w:t xml:space="preserve">over into political pressure </w:t>
      </w:r>
      <w:r w:rsidR="00B32181">
        <w:t xml:space="preserve">to block climate reform </w:t>
      </w:r>
      <w:r w:rsidR="00B32181">
        <w:fldChar w:fldCharType="begin" w:fldLock="1"/>
      </w:r>
      <w:r w:rsidR="008A1ED6">
        <w:instrText>ADDIN CSL_CITATION {"citationItems":[{"id":"ITEM-1","itemData":{"author":[{"dropping-particle":"","family":"Moe","given":"Espen","non-dropping-particle":"","parse-names":false,"suffix":""}],"id":"ITEM-1","issued":{"date-parts":[["2015"]]},"publisher":"Palgrave Macmillan","publisher-place":"London","title":"Renewable Energy Transformation or Fossil Fuel Backlash - Vested Interests in the Political Economy","type":"book"},"uris":["http://www.mendeley.com/documents/?uuid=e5697cca-57ac-42c6-a9a2-61af4eb0dda4"]}],"mendeley":{"formattedCitation":"(Moe, 2015)","plainTextFormattedCitation":"(Moe, 2015)","previouslyFormattedCitation":"(Moe, 2015)"},"properties":{"noteIndex":0},"schema":"https://github.com/citation-style-language/schema/raw/master/csl-citation.json"}</w:instrText>
      </w:r>
      <w:r w:rsidR="00B32181">
        <w:fldChar w:fldCharType="separate"/>
      </w:r>
      <w:r w:rsidR="00E92ABD" w:rsidRPr="00E92ABD">
        <w:rPr>
          <w:noProof/>
        </w:rPr>
        <w:t>(Moe, 2015)</w:t>
      </w:r>
      <w:r w:rsidR="00B32181">
        <w:fldChar w:fldCharType="end"/>
      </w:r>
      <w:r w:rsidR="00B32181">
        <w:t>.</w:t>
      </w:r>
    </w:p>
    <w:p w14:paraId="4780F2F5" w14:textId="65715504" w:rsidR="008B7AFF" w:rsidRDefault="00B32181" w:rsidP="00E77203">
      <w:pPr>
        <w:spacing w:line="360" w:lineRule="auto"/>
      </w:pPr>
      <w:r>
        <w:t xml:space="preserve">Institution-based analysis </w:t>
      </w:r>
      <w:r w:rsidR="00C80768">
        <w:t>usually focuses on the organisation and functions of the nation state. In most political economy traditions the state is seen to have a central</w:t>
      </w:r>
      <w:r w:rsidR="008B7AFF">
        <w:t xml:space="preserve"> role in facilitating</w:t>
      </w:r>
      <w:r w:rsidR="00C80768">
        <w:t xml:space="preserve"> markets and capital accumulation, namely through the enforcement of contracts and property rights, socialising the costs of unprofitable ventures required for private enterprise (roads, education, public health), </w:t>
      </w:r>
      <w:r w:rsidR="00F2579F">
        <w:t xml:space="preserve">regulating private activity to limit social harms, </w:t>
      </w:r>
      <w:r w:rsidR="00C80768">
        <w:t xml:space="preserve">and directly facilitating economic activity </w:t>
      </w:r>
      <w:r w:rsidR="00C80768">
        <w:fldChar w:fldCharType="begin" w:fldLock="1"/>
      </w:r>
      <w:r w:rsidR="008A1ED6">
        <w:instrText>ADDIN CSL_CITATION {"citationItems":[{"id":"ITEM-1","itemData":{"author":[{"dropping-particle":"","family":"Heilbroner","given":"Robert L.","non-dropping-particle":"","parse-names":false,"suffix":""}],"id":"ITEM-1","issued":{"date-parts":[["1985"]]},"publisher":"W.W. Norton &amp; Company, Inc.","publisher-place":"London","title":"The Nature and Logic of Capitalism","type":"book"},"uris":["http://www.mendeley.com/documents/?uuid=6699becc-f72f-4142-ba4b-a33d26404f6b"]}],"mendeley":{"formattedCitation":"(Heilbroner, 1985)","plainTextFormattedCitation":"(Heilbroner, 1985)","previouslyFormattedCitation":"(Heilbroner, 1985)"},"properties":{"noteIndex":0},"schema":"https://github.com/citation-style-language/schema/raw/master/csl-citation.json"}</w:instrText>
      </w:r>
      <w:r w:rsidR="00C80768">
        <w:fldChar w:fldCharType="separate"/>
      </w:r>
      <w:r w:rsidR="00E92ABD" w:rsidRPr="00E92ABD">
        <w:rPr>
          <w:noProof/>
        </w:rPr>
        <w:t>(Heilbroner, 1985)</w:t>
      </w:r>
      <w:r w:rsidR="00C80768">
        <w:fldChar w:fldCharType="end"/>
      </w:r>
      <w:r w:rsidR="00C80768">
        <w:t xml:space="preserve">. </w:t>
      </w:r>
      <w:r w:rsidR="008B7AFF">
        <w:t>Both the quality of the</w:t>
      </w:r>
      <w:r w:rsidR="00C80768">
        <w:t xml:space="preserve"> institutions </w:t>
      </w:r>
      <w:r w:rsidR="008B7AFF">
        <w:t xml:space="preserve">that carry out these tasks </w:t>
      </w:r>
      <w:r w:rsidR="00C80768">
        <w:t xml:space="preserve">(i.e. </w:t>
      </w:r>
      <w:r w:rsidR="008B7AFF">
        <w:t xml:space="preserve">their </w:t>
      </w:r>
      <w:r w:rsidR="00C80768">
        <w:t xml:space="preserve">technical and bureaucratic capability) and their different organisational forms </w:t>
      </w:r>
      <w:r w:rsidR="008B7AFF">
        <w:t xml:space="preserve">(e.g. exposure to veto players or political cycles) are highly consequential for understanding the constraints to structural change </w:t>
      </w:r>
      <w:r w:rsidR="008B7AFF">
        <w:fldChar w:fldCharType="begin" w:fldLock="1"/>
      </w:r>
      <w:r w:rsidR="00292558">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agenda","type":"article-journal","volume":"0"},"uris":["http://www.mendeley.com/documents/?uuid=30e13820-471a-4c4f-8ac1-41fb6922c6ad"]},{"id":"ITEM-2","itemData":{"DOI":"10.1016/j.erss.2018.06.001","ISSN":"22146296","abstract":"Meeting the climate change targets in the Paris Agreement implies a substantial and rapid acceleration of low-carbon transitions. Combining insights from political science, policy analysis and socio-technical transition studies, this paper addresses the politics of deliberate acceleration by taking stock of emerging examples, mobilizing relevant theoretical approaches, and articulating a new research agenda. Going beyond routine appeals for more ‘political will’ it organises ideas and examples under three themes: 1) the role of coalitions in supporting and hindering acceleration; 2) the role of feedbacks, through which policies may shape actor preferences which, in turn, create stronger policies; and 3) the role of broader contexts (political economies, institutions, cultural norms, and technical systems) in creating more (or less) favourable conditions for deliberate acceleration. We discuss the importance of each theme, briefly review previous research and articulate new research questions. Our concluding section discusses the current and potential future relationship between transitions theory and political science.","author":[{"dropping-particle":"","family":"Roberts","given":"Cameron","non-dropping-particle":"","parse-names":false,"suffix":""},{"dropping-particle":"","family":"Geels","given":"Frank W.","non-dropping-particle":"","parse-names":false,"suffix":""},{"dropping-particle":"","family":"Lockwood","given":"Matthew","non-dropping-particle":"","parse-names":false,"suffix":""},{"dropping-particle":"","family":"Newell","given":"Peter","non-dropping-particle":"","parse-names":false,"suffix":""},{"dropping-particle":"","family":"Schmitz","given":"Hubert","non-dropping-particle":"","parse-names":false,"suffix":""},{"dropping-particle":"","family":"Turnheim","given":"Bruno","non-dropping-particle":"","parse-names":false,"suffix":""},{"dropping-particle":"","family":"Jordan","given":"Andy","non-dropping-particle":"","parse-names":false,"suffix":""}],"container-title":"Energy Research and Social Science","id":"ITEM-2","issue":"February","issued":{"date-parts":[["2018"]]},"page":"304-311","publisher":"Elsevier","title":"The politics of accelerating low-carbon transitions: Towards a new research agenda","type":"article-journal","volume":"44"},"uris":["http://www.mendeley.com/documents/?uuid=e2d15c03-55bb-49e4-b0bd-177fa28bc8fd"]}],"mendeley":{"formattedCitation":"(Lockwood et al., 2016; Roberts et al., 2018)","plainTextFormattedCitation":"(Lockwood et al., 2016; Roberts et al., 2018)","previouslyFormattedCitation":"(Lockwood et al., 2016; Roberts et al., 2018)"},"properties":{"noteIndex":0},"schema":"https://github.com/citation-style-language/schema/raw/master/csl-citation.json"}</w:instrText>
      </w:r>
      <w:r w:rsidR="008B7AFF">
        <w:fldChar w:fldCharType="separate"/>
      </w:r>
      <w:r w:rsidR="00292558" w:rsidRPr="00292558">
        <w:rPr>
          <w:noProof/>
        </w:rPr>
        <w:t>(Lockwood et al., 2016; Roberts et al., 2018)</w:t>
      </w:r>
      <w:r w:rsidR="008B7AFF">
        <w:fldChar w:fldCharType="end"/>
      </w:r>
      <w:r w:rsidR="008B7AFF">
        <w:t>.</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265"/>
        <w:gridCol w:w="4531"/>
      </w:tblGrid>
      <w:tr w:rsidR="001C2FBD" w14:paraId="003D7132" w14:textId="77777777" w:rsidTr="0068158D">
        <w:tc>
          <w:tcPr>
            <w:tcW w:w="1271" w:type="dxa"/>
            <w:tcBorders>
              <w:top w:val="single" w:sz="4" w:space="0" w:color="auto"/>
              <w:bottom w:val="single" w:sz="4" w:space="0" w:color="auto"/>
            </w:tcBorders>
          </w:tcPr>
          <w:p w14:paraId="0B102192" w14:textId="77777777" w:rsidR="001C2FBD" w:rsidRDefault="001C2FBD" w:rsidP="00B06AE4"/>
        </w:tc>
        <w:tc>
          <w:tcPr>
            <w:tcW w:w="3265" w:type="dxa"/>
            <w:tcBorders>
              <w:top w:val="single" w:sz="4" w:space="0" w:color="auto"/>
              <w:bottom w:val="single" w:sz="4" w:space="0" w:color="auto"/>
            </w:tcBorders>
          </w:tcPr>
          <w:p w14:paraId="04E49B56" w14:textId="77777777" w:rsidR="001C2FBD" w:rsidRPr="003E15F6" w:rsidRDefault="001C2FBD" w:rsidP="00B06AE4">
            <w:pPr>
              <w:rPr>
                <w:b/>
              </w:rPr>
            </w:pPr>
            <w:r w:rsidRPr="003E15F6">
              <w:rPr>
                <w:b/>
              </w:rPr>
              <w:t>Analytical focus</w:t>
            </w:r>
          </w:p>
        </w:tc>
        <w:tc>
          <w:tcPr>
            <w:tcW w:w="4531" w:type="dxa"/>
            <w:tcBorders>
              <w:top w:val="single" w:sz="4" w:space="0" w:color="auto"/>
              <w:bottom w:val="single" w:sz="4" w:space="0" w:color="auto"/>
            </w:tcBorders>
          </w:tcPr>
          <w:p w14:paraId="5127D5AF" w14:textId="77777777" w:rsidR="001C2FBD" w:rsidRPr="003E15F6" w:rsidRDefault="001C2FBD" w:rsidP="00B06AE4">
            <w:pPr>
              <w:rPr>
                <w:b/>
              </w:rPr>
            </w:pPr>
            <w:r w:rsidRPr="003E15F6">
              <w:rPr>
                <w:b/>
              </w:rPr>
              <w:t xml:space="preserve">Influence on </w:t>
            </w:r>
            <w:r>
              <w:rPr>
                <w:b/>
              </w:rPr>
              <w:t xml:space="preserve">climate </w:t>
            </w:r>
            <w:r w:rsidRPr="003E15F6">
              <w:rPr>
                <w:b/>
              </w:rPr>
              <w:t>policy</w:t>
            </w:r>
          </w:p>
        </w:tc>
      </w:tr>
      <w:tr w:rsidR="001C2FBD" w14:paraId="23BAB98B" w14:textId="77777777" w:rsidTr="0068158D">
        <w:trPr>
          <w:trHeight w:val="1367"/>
        </w:trPr>
        <w:tc>
          <w:tcPr>
            <w:tcW w:w="1271" w:type="dxa"/>
            <w:tcBorders>
              <w:top w:val="single" w:sz="4" w:space="0" w:color="auto"/>
            </w:tcBorders>
          </w:tcPr>
          <w:p w14:paraId="502C3DBD" w14:textId="77777777" w:rsidR="001C2FBD" w:rsidRPr="003E15F6" w:rsidRDefault="001C2FBD" w:rsidP="00B06AE4">
            <w:pPr>
              <w:rPr>
                <w:b/>
              </w:rPr>
            </w:pPr>
            <w:r w:rsidRPr="003E15F6">
              <w:rPr>
                <w:b/>
              </w:rPr>
              <w:t>Interests</w:t>
            </w:r>
          </w:p>
        </w:tc>
        <w:tc>
          <w:tcPr>
            <w:tcW w:w="3265" w:type="dxa"/>
            <w:tcBorders>
              <w:top w:val="single" w:sz="4" w:space="0" w:color="auto"/>
            </w:tcBorders>
          </w:tcPr>
          <w:p w14:paraId="4C496CCE" w14:textId="73021412" w:rsidR="001C2FBD" w:rsidRDefault="001C2FBD" w:rsidP="00F2579F">
            <w:r>
              <w:t xml:space="preserve">Power resources and motives of collective actors, such as industrial associations, political parties, </w:t>
            </w:r>
            <w:r w:rsidR="00F2579F">
              <w:t>social classes</w:t>
            </w:r>
            <w:r>
              <w:t>, NGOs</w:t>
            </w:r>
          </w:p>
        </w:tc>
        <w:tc>
          <w:tcPr>
            <w:tcW w:w="4531" w:type="dxa"/>
            <w:tcBorders>
              <w:top w:val="single" w:sz="4" w:space="0" w:color="auto"/>
            </w:tcBorders>
          </w:tcPr>
          <w:p w14:paraId="37DFE757" w14:textId="6465DC96" w:rsidR="001C2FBD" w:rsidRDefault="001C2FBD" w:rsidP="0068158D">
            <w:r>
              <w:t xml:space="preserve">Powerful interests determine – within an institutional setting – the priority order for </w:t>
            </w:r>
            <w:r w:rsidR="0068158D">
              <w:t>p</w:t>
            </w:r>
            <w:r>
              <w:t>olic</w:t>
            </w:r>
            <w:r w:rsidR="0068158D">
              <w:t>ies</w:t>
            </w:r>
            <w:r>
              <w:t xml:space="preserve">, or shape the possibility space for reform by deploying veto powers </w:t>
            </w:r>
          </w:p>
        </w:tc>
      </w:tr>
      <w:tr w:rsidR="001C2FBD" w14:paraId="72DBFFD1" w14:textId="77777777" w:rsidTr="0068158D">
        <w:trPr>
          <w:trHeight w:val="1367"/>
        </w:trPr>
        <w:tc>
          <w:tcPr>
            <w:tcW w:w="1271" w:type="dxa"/>
          </w:tcPr>
          <w:p w14:paraId="4D6CC12B" w14:textId="77777777" w:rsidR="001C2FBD" w:rsidRPr="003E15F6" w:rsidRDefault="001C2FBD" w:rsidP="00B06AE4">
            <w:pPr>
              <w:rPr>
                <w:b/>
              </w:rPr>
            </w:pPr>
            <w:r w:rsidRPr="003E15F6">
              <w:rPr>
                <w:b/>
              </w:rPr>
              <w:t>Institutions</w:t>
            </w:r>
          </w:p>
        </w:tc>
        <w:tc>
          <w:tcPr>
            <w:tcW w:w="3265" w:type="dxa"/>
          </w:tcPr>
          <w:p w14:paraId="603B66E3" w14:textId="217D2716" w:rsidR="001C2FBD" w:rsidRPr="003E15F6" w:rsidRDefault="00F2579F" w:rsidP="00F2579F">
            <w:r>
              <w:t xml:space="preserve">Organisation, </w:t>
            </w:r>
            <w:r w:rsidR="001C2FBD">
              <w:t xml:space="preserve">functions </w:t>
            </w:r>
            <w:r>
              <w:t xml:space="preserve">and capabilities </w:t>
            </w:r>
            <w:r w:rsidR="001C2FBD">
              <w:t xml:space="preserve">of public policy making </w:t>
            </w:r>
            <w:r w:rsidR="0068158D">
              <w:t>bodies, e.g. the nation state</w:t>
            </w:r>
          </w:p>
        </w:tc>
        <w:tc>
          <w:tcPr>
            <w:tcW w:w="4531" w:type="dxa"/>
          </w:tcPr>
          <w:p w14:paraId="61E6EB41" w14:textId="32CC4E32" w:rsidR="001C2FBD" w:rsidRDefault="001C2FBD" w:rsidP="00B06AE4">
            <w:r>
              <w:t xml:space="preserve">Institutions mediate the distribution of power resources among interests, the channels for promoting ideas (e.g. </w:t>
            </w:r>
            <w:r w:rsidR="0068158D">
              <w:t xml:space="preserve">via </w:t>
            </w:r>
            <w:r>
              <w:t>media and education), and the quality of policy implementation</w:t>
            </w:r>
          </w:p>
        </w:tc>
      </w:tr>
      <w:tr w:rsidR="001C2FBD" w14:paraId="7963A249" w14:textId="77777777" w:rsidTr="0068158D">
        <w:trPr>
          <w:trHeight w:val="1367"/>
        </w:trPr>
        <w:tc>
          <w:tcPr>
            <w:tcW w:w="1271" w:type="dxa"/>
            <w:tcBorders>
              <w:bottom w:val="single" w:sz="4" w:space="0" w:color="auto"/>
            </w:tcBorders>
          </w:tcPr>
          <w:p w14:paraId="7CF1E1A5" w14:textId="77777777" w:rsidR="001C2FBD" w:rsidRPr="003E15F6" w:rsidRDefault="001C2FBD" w:rsidP="00B06AE4">
            <w:pPr>
              <w:rPr>
                <w:b/>
              </w:rPr>
            </w:pPr>
            <w:r w:rsidRPr="003E15F6">
              <w:rPr>
                <w:b/>
              </w:rPr>
              <w:t>Ideas</w:t>
            </w:r>
          </w:p>
        </w:tc>
        <w:tc>
          <w:tcPr>
            <w:tcW w:w="3265" w:type="dxa"/>
            <w:tcBorders>
              <w:bottom w:val="single" w:sz="4" w:space="0" w:color="auto"/>
            </w:tcBorders>
          </w:tcPr>
          <w:p w14:paraId="666A665C" w14:textId="77777777" w:rsidR="001C2FBD" w:rsidRDefault="001C2FBD" w:rsidP="00B06AE4">
            <w:r>
              <w:t>Content claims and narratives embedded in social, political and cultural discourses</w:t>
            </w:r>
          </w:p>
        </w:tc>
        <w:tc>
          <w:tcPr>
            <w:tcW w:w="4531" w:type="dxa"/>
            <w:tcBorders>
              <w:bottom w:val="single" w:sz="4" w:space="0" w:color="auto"/>
            </w:tcBorders>
          </w:tcPr>
          <w:p w14:paraId="1AE5B529" w14:textId="77777777" w:rsidR="001C2FBD" w:rsidRDefault="001C2FBD" w:rsidP="00B06AE4">
            <w:pPr>
              <w:keepNext/>
            </w:pPr>
            <w:r>
              <w:t>Ideas with a wide reach shape the underlying worldviews of key interests and the public, regarding the need for (and possibility of achieving) reform</w:t>
            </w:r>
          </w:p>
        </w:tc>
      </w:tr>
    </w:tbl>
    <w:p w14:paraId="7E55B3CA" w14:textId="49102782" w:rsidR="001C2FBD" w:rsidRPr="001C2FBD" w:rsidRDefault="001C2FBD" w:rsidP="001C2FBD">
      <w:pPr>
        <w:pStyle w:val="Caption"/>
        <w:rPr>
          <w:sz w:val="22"/>
        </w:rPr>
      </w:pPr>
      <w:r w:rsidRPr="001C2FBD">
        <w:rPr>
          <w:sz w:val="22"/>
        </w:rPr>
        <w:t xml:space="preserve">Table </w:t>
      </w:r>
      <w:r w:rsidRPr="001C2FBD">
        <w:rPr>
          <w:sz w:val="22"/>
        </w:rPr>
        <w:fldChar w:fldCharType="begin"/>
      </w:r>
      <w:r w:rsidRPr="001C2FBD">
        <w:rPr>
          <w:sz w:val="22"/>
        </w:rPr>
        <w:instrText xml:space="preserve"> SEQ Table \* ARABIC </w:instrText>
      </w:r>
      <w:r w:rsidRPr="001C2FBD">
        <w:rPr>
          <w:sz w:val="22"/>
        </w:rPr>
        <w:fldChar w:fldCharType="separate"/>
      </w:r>
      <w:r w:rsidR="00F91256">
        <w:rPr>
          <w:noProof/>
          <w:sz w:val="22"/>
        </w:rPr>
        <w:t>1</w:t>
      </w:r>
      <w:r w:rsidRPr="001C2FBD">
        <w:rPr>
          <w:sz w:val="22"/>
        </w:rPr>
        <w:fldChar w:fldCharType="end"/>
      </w:r>
      <w:r w:rsidRPr="001C2FBD">
        <w:rPr>
          <w:sz w:val="22"/>
        </w:rPr>
        <w:t xml:space="preserve">: A </w:t>
      </w:r>
      <w:r w:rsidR="00CF10E4">
        <w:rPr>
          <w:sz w:val="22"/>
        </w:rPr>
        <w:t>basic</w:t>
      </w:r>
      <w:r w:rsidRPr="001C2FBD">
        <w:rPr>
          <w:sz w:val="22"/>
        </w:rPr>
        <w:t xml:space="preserve"> categorisation of political economy </w:t>
      </w:r>
      <w:r w:rsidR="00CF10E4">
        <w:rPr>
          <w:sz w:val="22"/>
        </w:rPr>
        <w:t>constraints</w:t>
      </w:r>
      <w:r w:rsidRPr="001C2FBD">
        <w:rPr>
          <w:sz w:val="22"/>
        </w:rPr>
        <w:t xml:space="preserve"> on climate policy</w:t>
      </w:r>
    </w:p>
    <w:p w14:paraId="2801628B" w14:textId="18F24902" w:rsidR="00F2579F" w:rsidRDefault="00F2579F" w:rsidP="00E77203">
      <w:pPr>
        <w:spacing w:line="360" w:lineRule="auto"/>
      </w:pPr>
      <w:r>
        <w:lastRenderedPageBreak/>
        <w:t xml:space="preserve">Idea-based analysis argues that the underlying worldviews and ideologies of different actors matter. Certain worldviews can undermine political consensus on important points of policy, such as a pre-disposition towards rationalising the status quo </w:t>
      </w:r>
      <w:r>
        <w:fldChar w:fldCharType="begin" w:fldLock="1"/>
      </w:r>
      <w:r>
        <w:instrText>ADDIN CSL_CITATION {"citationItems":[{"id":"ITEM-1","itemData":{"DOI":"10.1111/j.1467-9221.2004.00402.x","ISBN":"1467-9221","ISSN":"0162-895X","PMID":"225026900003","abstract":"Most theories in social and political psychology stress self-interest, intergroup conflict, eth- nocentrism, homophily, ingroup bias, outgroup antipathy, dominance, and resistance. System justification theory is influenced by these perspectives—including social identity and social dominance theories—but it departs from them in several respects. Advocates of system justification theory argue that (a) there is a general ideological motive to justify the existing social order, (b) this motive is at least partially responsible for the internalization of inferiority among members of disadvantaged groups, (c) it is observed most readily at an implicit, nonconscious level of awareness and (d) paradoxically, it is sometimes strongest among those who are most harmed by the status quo. This article reviews and integrates 10 years of research on 20 hypotheses derived from a system justification per- spective, focusing on the phenomenon of implicit outgroup favoritism among members of disadvantaged groups (including African Americans, the elderly, and gays/lesbians) and its relation to political ideology (especially liberalism-conservatism).","author":[{"dropping-particle":"","family":"Jost","given":"John T.","non-dropping-particle":"","parse-names":false,"suffix":""},{"dropping-particle":"","family":"Banaji","given":"Mahzarin R.","non-dropping-particle":"","parse-names":false,"suffix":""},{"dropping-particle":"","family":"Nosek","given":"Brian a.","non-dropping-particle":"","parse-names":false,"suffix":""}],"container-title":"Political Psychology","id":"ITEM-1","issue":"6","issued":{"date-parts":[["2004"]]},"page":"881-919","title":"A Decade of System Justification Theory: Accumulated Evidence of Conscious and Unconscious Bolstering of the Status Quo","type":"article-journal","volume":"25"},"uris":["http://www.mendeley.com/documents/?uuid=96e5f8e5-2579-4c4d-b46f-67dd0b05b750"]}],"mendeley":{"formattedCitation":"(Jost, Banaji, &amp; Nosek, 2004)","plainTextFormattedCitation":"(Jost, Banaji, &amp; Nosek, 2004)","previouslyFormattedCitation":"(Jost, Banaji, &amp; Nosek, 2004)"},"properties":{"noteIndex":0},"schema":"https://github.com/citation-style-language/schema/raw/master/csl-citation.json"}</w:instrText>
      </w:r>
      <w:r>
        <w:fldChar w:fldCharType="separate"/>
      </w:r>
      <w:r w:rsidRPr="00E92ABD">
        <w:rPr>
          <w:noProof/>
        </w:rPr>
        <w:t>(Jost, Banaji, &amp; Nosek, 2004)</w:t>
      </w:r>
      <w:r>
        <w:fldChar w:fldCharType="end"/>
      </w:r>
      <w:r>
        <w:t xml:space="preserve">, or an increasing distrust of ‘elites’ such as scientists and politicians </w:t>
      </w:r>
      <w:r>
        <w:fldChar w:fldCharType="begin" w:fldLock="1"/>
      </w:r>
      <w:r>
        <w:instrText>ADDIN CSL_CITATION {"citationItems":[{"id":"ITEM-1","itemData":{"DOI":"10.1080/09644016.2018.1458411","ISSN":"17438934","abstract":"The rise of right-wing populism (RWP) poses a challenge for the climate agenda, as leaders and supporters tend to be climate sceptics and hostile to policy prescribing action on climate change. However, there is a surprising dearth of research that investigates the nature and causes of this association. Two kinds of explanation are considered, drawing on the literature on populism. One is termed ‘structuralist’, drawing on accounts of the roots of populism in economic and political marginalisation amongst those ‘left behind’ by globalisation and technological change. A second focuses on the ideological content of RWP, especially its antagonism between ‘the people’ and a cosmopolitan elite, with climate change and policy occupying a symbolic place in this contrast. It is argued that there are limits to the structuralist approach, and that an ideologically based explanation is more compelling. An agenda for future research on RWP and climate science and policy is proposed.","author":[{"dropping-particle":"","family":"Lockwood","given":"Matthew","non-dropping-particle":"","parse-names":false,"suffix":""}],"container-title":"Environmental Politics","id":"ITEM-1","issue":"4","issued":{"date-parts":[["2018"]]},"page":"1-21","publisher":"Routledge","title":"Right-wing populism and the climate change agenda: exploring the linkages","type":"article-journal","volume":"27"},"uris":["http://www.mendeley.com/documents/?uuid=bfe6cbb8-f11f-4e75-bb56-d856c8556f06"]}],"mendeley":{"formattedCitation":"(Lockwood, 2018)","plainTextFormattedCitation":"(Lockwood, 2018)","previouslyFormattedCitation":"(Lockwood, 2018)"},"properties":{"noteIndex":0},"schema":"https://github.com/citation-style-language/schema/raw/master/csl-citation.json"}</w:instrText>
      </w:r>
      <w:r>
        <w:fldChar w:fldCharType="separate"/>
      </w:r>
      <w:r w:rsidRPr="00E92ABD">
        <w:rPr>
          <w:noProof/>
        </w:rPr>
        <w:t>(Lockwood, 2018)</w:t>
      </w:r>
      <w:r>
        <w:fldChar w:fldCharType="end"/>
      </w:r>
      <w:r>
        <w:t xml:space="preserve">. </w:t>
      </w:r>
      <w:r w:rsidR="00EE5B83">
        <w:t>B</w:t>
      </w:r>
      <w:r>
        <w:t xml:space="preserve">eyond the voting public, the ideas of particularly influential actors (e.g. business leaders and politicians) are argued to be highly consequential for social and political change, since </w:t>
      </w:r>
      <w:r w:rsidR="00EE5B83">
        <w:t xml:space="preserve">such individuals might lead political institutions, or can directly implement policy </w:t>
      </w:r>
      <w:r>
        <w:fldChar w:fldCharType="begin" w:fldLock="1"/>
      </w:r>
      <w:r>
        <w:instrText>ADDIN CSL_CITATION {"citationItems":[{"id":"ITEM-1","itemData":{"author":[{"dropping-particle":"","family":"Hall","given":"Peter A.","non-dropping-particle":"","parse-names":false,"suffix":""}],"container-title":"Comparative Politics: Rationality, Culture, and Structure","editor":[{"dropping-particle":"","family":"Lichbach","given":"Mark Irving","non-dropping-particle":"","parse-names":false,"suffix":""},{"dropping-particle":"","family":"Zuckerman","given":"Alan S.","non-dropping-particle":"","parse-names":false,"suffix":""}],"id":"ITEM-1","issued":{"date-parts":[["1997"]]},"page":"174-207","publisher":"Cambridge University Press","publisher-place":"Cambrdige, UK","title":"The role of interests, institutions, and ideas in the comparative political economy of the industrialized natoins","type":"chapter"},"uris":["http://www.mendeley.com/documents/?uuid=4882695a-59ac-44d3-ba71-aa6d69dbf617"]}],"mendeley":{"formattedCitation":"(Hall, 1997)","plainTextFormattedCitation":"(Hall, 1997)","previouslyFormattedCitation":"(Hall, 1997)"},"properties":{"noteIndex":0},"schema":"https://github.com/citation-style-language/schema/raw/master/csl-citation.json"}</w:instrText>
      </w:r>
      <w:r>
        <w:fldChar w:fldCharType="separate"/>
      </w:r>
      <w:r w:rsidRPr="00E92ABD">
        <w:rPr>
          <w:noProof/>
        </w:rPr>
        <w:t>(Hall, 1997)</w:t>
      </w:r>
      <w:r>
        <w:fldChar w:fldCharType="end"/>
      </w:r>
      <w:r>
        <w:t xml:space="preserve">. The volumes of literature on a post-1980s neoliberal turn in global governance – and its wide-reaching social, economic and political consequences – attests to this claim </w:t>
      </w:r>
      <w:r>
        <w:fldChar w:fldCharType="begin" w:fldLock="1"/>
      </w:r>
      <w:r>
        <w:instrText>ADDIN CSL_CITATION {"citationItems":[{"id":"ITEM-1","itemData":{"author":[{"dropping-particle":"","family":"Harvey","given":"David","non-dropping-particle":"","parse-names":false,"suffix":""}],"id":"ITEM-1","issued":{"date-parts":[["2005"]]},"publisher":"Oxford University Press","publisher-place":"New York","title":"A Brief History of Neoliberalism","type":"book"},"uris":["http://www.mendeley.com/documents/?uuid=a0f8d313-53d1-40b3-8660-4749cb08e5bc"]},{"id":"ITEM-2","itemData":{"author":[{"dropping-particle":"","family":"Rodrik","given":"Dani","non-dropping-particle":"","parse-names":false,"suffix":""},{"dropping-particle":"","family":"World Bank","given":"","non-dropping-particle":"","parse-names":false,"suffix":""}],"container-title":"Journal of Economic Literature","id":"ITEM-2","issue":"4","issued":{"date-parts":[["2006"]]},"page":"973-987","title":"Goodbye Washington Consensus, Hellow Washington Confusion? A Review of the World Bank's \"Economic Growth in the 1990s: Learning from a Decade of Reform\"","type":"article-journal","volume":"44"},"uris":["http://www.mendeley.com/documents/?uuid=545b379f-751f-4f36-a408-6492886ed461"]}],"mendeley":{"formattedCitation":"(Harvey, 2005; Rodrik &amp; World Bank, 2006)","plainTextFormattedCitation":"(Harvey, 2005; Rodrik &amp; World Bank, 2006)","previouslyFormattedCitation":"(Harvey, 2005; Rodrik &amp; World Bank, 2006)"},"properties":{"noteIndex":0},"schema":"https://github.com/citation-style-language/schema/raw/master/csl-citation.json"}</w:instrText>
      </w:r>
      <w:r>
        <w:fldChar w:fldCharType="separate"/>
      </w:r>
      <w:r w:rsidRPr="00E92ABD">
        <w:rPr>
          <w:noProof/>
        </w:rPr>
        <w:t>(Harvey, 2005; Rodrik &amp; World Bank, 2006)</w:t>
      </w:r>
      <w:r>
        <w:fldChar w:fldCharType="end"/>
      </w:r>
      <w:r>
        <w:t>.</w:t>
      </w:r>
    </w:p>
    <w:p w14:paraId="16B507BB" w14:textId="74BE3FEF" w:rsidR="00EE5B83" w:rsidRDefault="00457C91" w:rsidP="00E77203">
      <w:pPr>
        <w:spacing w:line="360" w:lineRule="auto"/>
      </w:pPr>
      <w:r>
        <w:t xml:space="preserve">Political economists often argue that ideas, institutions and interests interact in a complex manner, </w:t>
      </w:r>
      <w:r w:rsidR="006216DB">
        <w:t>potentially fusing</w:t>
      </w:r>
      <w:r>
        <w:t xml:space="preserve"> into ‘structures’</w:t>
      </w:r>
      <w:r w:rsidR="00993821">
        <w:t>, ‘complexes’</w:t>
      </w:r>
      <w:r>
        <w:t xml:space="preserve"> or ‘regimes’ that are internally consistent and self-reinforcing</w:t>
      </w:r>
      <w:r w:rsidR="00993821">
        <w:t xml:space="preserve"> </w:t>
      </w:r>
      <w:r w:rsidR="00993821">
        <w:fldChar w:fldCharType="begin" w:fldLock="1"/>
      </w:r>
      <w:r w:rsidR="00441C6C">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Transitions","type":"article-journal"},"uris":["http://www.mendeley.com/documents/?uuid=40b0562a-3d11-4ef9-99ae-fc67b5e900e4"]}],"mendeley":{"formattedCitation":"(Geels et al., 2017)","plainTextFormattedCitation":"(Geels et al., 2017)","previouslyFormattedCitation":"(Geels et al., 2017)"},"properties":{"noteIndex":0},"schema":"https://github.com/citation-style-language/schema/raw/master/csl-citation.json"}</w:instrText>
      </w:r>
      <w:r w:rsidR="00993821">
        <w:fldChar w:fldCharType="separate"/>
      </w:r>
      <w:r w:rsidR="00441C6C" w:rsidRPr="00441C6C">
        <w:rPr>
          <w:noProof/>
        </w:rPr>
        <w:t>(Geels et al., 2017)</w:t>
      </w:r>
      <w:r w:rsidR="00993821">
        <w:fldChar w:fldCharType="end"/>
      </w:r>
      <w:r>
        <w:t xml:space="preserve">. </w:t>
      </w:r>
      <w:r w:rsidR="00993821">
        <w:t xml:space="preserve">The dominance of private automobile transport in many countries is one example, </w:t>
      </w:r>
      <w:r w:rsidR="003A2097">
        <w:t xml:space="preserve">itself the result of </w:t>
      </w:r>
      <w:r w:rsidR="00993821">
        <w:t xml:space="preserve">decades of </w:t>
      </w:r>
      <w:r w:rsidR="004400B6">
        <w:t xml:space="preserve">sunk </w:t>
      </w:r>
      <w:r w:rsidR="00993821">
        <w:t>investment in infrastructure (roads</w:t>
      </w:r>
      <w:r w:rsidR="004400B6">
        <w:t>, refineries</w:t>
      </w:r>
      <w:r w:rsidR="00993821">
        <w:t xml:space="preserve">), facilitating institutions (transportation ministries), cultural </w:t>
      </w:r>
      <w:r w:rsidR="006216DB">
        <w:t>conditioning</w:t>
      </w:r>
      <w:r w:rsidR="00993821">
        <w:t xml:space="preserve"> (cars as symbol</w:t>
      </w:r>
      <w:r w:rsidR="00255554">
        <w:t>s</w:t>
      </w:r>
      <w:r w:rsidR="00993821">
        <w:t xml:space="preserve"> of freedom and status), and </w:t>
      </w:r>
      <w:r w:rsidR="00255554">
        <w:t xml:space="preserve">industries that support </w:t>
      </w:r>
      <w:r w:rsidR="00993821">
        <w:t>a wide array of actors (</w:t>
      </w:r>
      <w:r w:rsidR="004F621F">
        <w:t xml:space="preserve">capitalists, </w:t>
      </w:r>
      <w:r w:rsidR="00993821">
        <w:t>unions,</w:t>
      </w:r>
      <w:r w:rsidR="004F621F">
        <w:t xml:space="preserve"> </w:t>
      </w:r>
      <w:r w:rsidR="00993821">
        <w:t>regional economies)</w:t>
      </w:r>
      <w:r w:rsidR="004F621F">
        <w:t xml:space="preserve"> (</w:t>
      </w:r>
      <w:r w:rsidR="004F621F" w:rsidRPr="0048129B">
        <w:rPr>
          <w:highlight w:val="yellow"/>
        </w:rPr>
        <w:t>REF</w:t>
      </w:r>
      <w:r w:rsidR="00494AC4">
        <w:rPr>
          <w:highlight w:val="yellow"/>
        </w:rPr>
        <w:t xml:space="preserve"> Mattioli et al</w:t>
      </w:r>
      <w:r w:rsidR="004F621F">
        <w:t>)</w:t>
      </w:r>
      <w:r w:rsidR="00993821">
        <w:t>.</w:t>
      </w:r>
      <w:r w:rsidR="0013511E">
        <w:t xml:space="preserve"> </w:t>
      </w:r>
      <w:r w:rsidR="003A2097">
        <w:t>The</w:t>
      </w:r>
      <w:r w:rsidR="007115FA">
        <w:t xml:space="preserve"> ‘ways of doing things’ </w:t>
      </w:r>
      <w:r w:rsidR="003A2097">
        <w:t xml:space="preserve">that are established by regimes may be </w:t>
      </w:r>
      <w:r w:rsidR="007115FA">
        <w:t xml:space="preserve">so embedded in daily life as to appear a natural social phenomenon, with alternatives rarely discussed or </w:t>
      </w:r>
      <w:r w:rsidR="004400B6">
        <w:t xml:space="preserve">simply </w:t>
      </w:r>
      <w:r w:rsidR="007115FA">
        <w:t xml:space="preserve">deemed ‘infeasible’. </w:t>
      </w:r>
      <w:r w:rsidR="006552A4">
        <w:t>Together this</w:t>
      </w:r>
      <w:r w:rsidR="00EE5B83">
        <w:t xml:space="preserve"> explains the difficulty of initiating wide-reaching energy transitions – and the need for analysis</w:t>
      </w:r>
      <w:r w:rsidR="006552A4">
        <w:t xml:space="preserve"> that identifies </w:t>
      </w:r>
      <w:r w:rsidR="00211F78">
        <w:t>architectures</w:t>
      </w:r>
      <w:r w:rsidR="006552A4">
        <w:t xml:space="preserve"> of constraints, rather than individual and separable issues</w:t>
      </w:r>
      <w:r w:rsidR="00EE5B83">
        <w:t>.</w:t>
      </w:r>
    </w:p>
    <w:p w14:paraId="75035F80" w14:textId="77A3A40F" w:rsidR="00F14903" w:rsidRDefault="00F14903" w:rsidP="00E77203">
      <w:pPr>
        <w:pStyle w:val="Heading3"/>
        <w:numPr>
          <w:ilvl w:val="1"/>
          <w:numId w:val="19"/>
        </w:numPr>
        <w:spacing w:after="120" w:line="360" w:lineRule="auto"/>
        <w:ind w:left="788" w:hanging="431"/>
      </w:pPr>
      <w:r>
        <w:t>Defining the dependent variable</w:t>
      </w:r>
    </w:p>
    <w:p w14:paraId="03CB9517" w14:textId="7CA471BF" w:rsidR="00113D51" w:rsidRDefault="007B6785" w:rsidP="00E77203">
      <w:pPr>
        <w:spacing w:line="360" w:lineRule="auto"/>
      </w:pPr>
      <w:r>
        <w:t>W</w:t>
      </w:r>
      <w:r w:rsidR="0068158D">
        <w:t>hat is the measure or success</w:t>
      </w:r>
      <w:r w:rsidR="004F0FC0">
        <w:t xml:space="preserve"> (</w:t>
      </w:r>
      <w:r w:rsidR="0068158D">
        <w:t>or failure</w:t>
      </w:r>
      <w:r w:rsidR="004F0FC0">
        <w:t>)</w:t>
      </w:r>
      <w:r w:rsidR="0068158D">
        <w:t xml:space="preserve"> in climate policy</w:t>
      </w:r>
      <w:r w:rsidR="004F0FC0">
        <w:t xml:space="preserve"> making</w:t>
      </w:r>
      <w:r>
        <w:t xml:space="preserve"> by which we judge the influence of constraints</w:t>
      </w:r>
      <w:r w:rsidR="0068158D">
        <w:t>?</w:t>
      </w:r>
      <w:r w:rsidR="00D310F1">
        <w:t xml:space="preserve"> </w:t>
      </w:r>
      <w:r w:rsidR="0057566A">
        <w:t>Following</w:t>
      </w:r>
      <w:r w:rsidR="00113D51">
        <w:t xml:space="preserve"> two decades of climate</w:t>
      </w:r>
      <w:r w:rsidR="004F0FC0">
        <w:t xml:space="preserve"> on the political agenda</w:t>
      </w:r>
      <w:r w:rsidR="00113D51">
        <w:t xml:space="preserve">, there are various examples of </w:t>
      </w:r>
      <w:r w:rsidR="0075659C">
        <w:t>target setting</w:t>
      </w:r>
      <w:r w:rsidR="00BC7C14">
        <w:t xml:space="preserve">, </w:t>
      </w:r>
      <w:r w:rsidR="00113D51">
        <w:t>treaty ratification</w:t>
      </w:r>
      <w:r w:rsidR="008A1ED6">
        <w:t>, policy adoption</w:t>
      </w:r>
      <w:r w:rsidR="004400B6">
        <w:t>,</w:t>
      </w:r>
      <w:r w:rsidR="008A1ED6">
        <w:t xml:space="preserve"> and </w:t>
      </w:r>
      <w:r w:rsidR="0068158D">
        <w:t xml:space="preserve">policy outcomes (e.g. </w:t>
      </w:r>
      <w:r w:rsidR="004400B6">
        <w:t>emissions trends</w:t>
      </w:r>
      <w:r w:rsidR="0068158D">
        <w:t>) to assess, each with their own is</w:t>
      </w:r>
      <w:r>
        <w:t>sues and implications.</w:t>
      </w:r>
    </w:p>
    <w:p w14:paraId="34B808E4" w14:textId="35F6D7A4" w:rsidR="00083EC2" w:rsidRDefault="00C95343" w:rsidP="00E77203">
      <w:pPr>
        <w:spacing w:line="360" w:lineRule="auto"/>
      </w:pPr>
      <w:r>
        <w:t xml:space="preserve">One approach is to examine </w:t>
      </w:r>
      <w:r w:rsidR="00565647">
        <w:t xml:space="preserve">trends </w:t>
      </w:r>
      <w:r>
        <w:t xml:space="preserve">in national carbon emissions. This </w:t>
      </w:r>
      <w:r w:rsidR="00565647">
        <w:t xml:space="preserve">is taken by </w:t>
      </w:r>
      <w:r>
        <w:t xml:space="preserve">a large volume of </w:t>
      </w:r>
      <w:r w:rsidR="00565647">
        <w:t xml:space="preserve">well-reviewed </w:t>
      </w:r>
      <w:r>
        <w:t>studies</w:t>
      </w:r>
      <w:r w:rsidR="0075659C">
        <w:t xml:space="preserve"> </w:t>
      </w:r>
      <w:r w:rsidR="00083EC2">
        <w:t>that aim to uncover the ‘</w:t>
      </w:r>
      <w:r w:rsidR="0075659C">
        <w:t>human drivers of carbon emissions’</w:t>
      </w:r>
      <w:r w:rsidR="004400B6">
        <w:t>, including political economy determinants</w:t>
      </w:r>
      <w:r>
        <w:t xml:space="preserve"> </w:t>
      </w:r>
      <w:r>
        <w:fldChar w:fldCharType="begin" w:fldLock="1"/>
      </w:r>
      <w:r w:rsidR="008A1ED6">
        <w:instrText>ADDIN CSL_CITATION {"citationItems":[{"id":"ITEM-1","itemData":{"DOI":"10.1146/annurev-environ-110615-085440","author":[{"dropping-particle":"","family":"Dietz","given":"Thomas","non-dropping-particle":"","parse-names":false,"suffix":""}],"container-title":"Annual Review of Environment and Resources","id":"ITEM-1","issued":{"date-parts":[["2017"]]},"page":"189-213","title":"Drivers of Human Stress on the Environment in the Twenty-First Century","type":"article-journal","volume":"42"},"uris":["http://www.mendeley.com/documents/?uuid=1f9e2d7b-95f4-44e5-ae35-7f29e5907b8c"]},{"id":"ITEM-2","itemData":{"DOI":"10.1038/NCLIMATE1506","author":[{"dropping-particle":"","family":"Rosa","given":"Eugene a.","non-dropping-particle":"","parse-names":false,"suffix":""},{"dropping-particle":"","family":"Dietz","given":"Thomas","non-dropping-particle":"","parse-names":false,"suffix":""}],"container-title":"Nature Climate Change","id":"ITEM-2","issue":"August","issued":{"date-parts":[["2012"]]},"page":"581-586","title":"Human drivers of national greenhouse-gas emissions","type":"article-journal","volume":"2"},"uris":["http://www.mendeley.com/documents/?uuid=54fc1d4a-ca84-4160-841b-0dc41807abb4"]},{"id":"ITEM-3","itemData":{"DOI":"10.1002/wcc.554","ISSN":"17577780","author":[{"dropping-particle":"","family":"Jorgenson","given":"Andrew K.","non-dropping-particle":"","parse-names":false,"suffix":""},{"dropping-particle":"","family":"Fiske","given":"Shirley","non-dropping-particle":"","parse-names":false,"suffix":""},{"dropping-particle":"","family":"Hubacek","given":"Klaus","non-dropping-particle":"","parse-names":false,"suffix":""},{"dropping-particle":"","family":"Li","given":"Jia","non-dropping-particle":"","parse-names":false,"suffix":""},{"dropping-particle":"","family":"McGovern","given":"Tom","non-dropping-particle":"","parse-names":false,"suffix":""},{"dropping-particle":"","family":"Rick","given":"Torben","non-dropping-particle":"","parse-names":false,"suffix":""},{"dropping-particle":"","family":"Schor","given":"Juliet B.","non-dropping-particle":"","parse-names":false,"suffix":""},{"dropping-particle":"","family":"Solecki","given":"William","non-dropping-particle":"","parse-names":false,"suffix":""},{"dropping-particle":"","family":"York","given":"Richard","non-dropping-particle":"","parse-names":false,"suffix":""},{"dropping-particle":"","family":"Zycherman","given":"Ariela","non-dropping-particle":"","parse-names":false,"suffix":""}],"container-title":"Wiley Interdisciplinary Reviews: Climate Change","id":"ITEM-3","issue":"June","issued":{"date-parts":[["2018"]]},"page":"e554","title":"Social science perspectives on drivers of and responses to global climate change","type":"article-journal"},"uris":["http://www.mendeley.com/documents/?uuid=c357bbc1-e5ef-4e81-b7a7-047ccb4f449d"]},{"id":"ITEM-4","itemData":{"DOI":"10.1016/j.ecolecon.2007.06.019","ISBN":"0921-8009","ISSN":"09218009","abstract":"In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Economics","id":"ITEM-4","issue":"2","issued":{"date-parts":[["2008"]]},"page":"315-324","title":"Do differences in attitudes explain differences in national climate change policies?","type":"article-journal","volume":"65"},"uris":["http://www.mendeley.com/documents/?uuid=9b8324cc-d326-4643-8c0d-b09c6a7477f6"]}],"mendeley":{"formattedCitation":"(Dietz, 2017; Jorgenson et al., 2018; Rosa &amp; Dietz, 2012; Tjernström &amp; Tietenberg, 2008)","plainTextFormattedCitation":"(Dietz, 2017; Jorgenson et al., 2018; Rosa &amp; Dietz, 2012; Tjernström &amp; Tietenberg, 2008)","previouslyFormattedCitation":"(Dietz, 2017; Jorgenson et al., 2018; Rosa &amp; Dietz, 2012; Tjernström &amp; Tietenberg, 2008)"},"properties":{"noteIndex":0},"schema":"https://github.com/citation-style-language/schema/raw/master/csl-citation.json"}</w:instrText>
      </w:r>
      <w:r>
        <w:fldChar w:fldCharType="separate"/>
      </w:r>
      <w:r w:rsidR="00E92ABD" w:rsidRPr="00E92ABD">
        <w:rPr>
          <w:noProof/>
        </w:rPr>
        <w:t>(Dietz, 2017; Jorgenson et al., 2018; Rosa &amp; Dietz, 2012; Tjernström &amp; Tietenberg, 2008)</w:t>
      </w:r>
      <w:r>
        <w:fldChar w:fldCharType="end"/>
      </w:r>
      <w:r w:rsidR="0075659C">
        <w:t xml:space="preserve">. </w:t>
      </w:r>
      <w:r w:rsidR="00903F3E">
        <w:t xml:space="preserve">An </w:t>
      </w:r>
      <w:r w:rsidR="0075659C">
        <w:t>advantage is the long and consistent time series of emissions accounts available</w:t>
      </w:r>
      <w:r w:rsidR="00083EC2">
        <w:t xml:space="preserve"> </w:t>
      </w:r>
      <w:r w:rsidR="00083EC2">
        <w:fldChar w:fldCharType="begin" w:fldLock="1"/>
      </w:r>
      <w:r w:rsidR="008A1ED6">
        <w:instrText>ADDIN CSL_CITATION {"citationItems":[{"id":"ITEM-1","itemData":{"DOI":"10.5194/essd-8-605-2016","author":[{"dropping-particle":"Le","family":"Quéré","given":"Corinne","non-dropping-particle":"","parse-names":false,"suffix":""},{"dropping-particle":"","family":"Andrew","given":"Robbie M","non-dropping-particle":"","parse-names":false,"suffix":""},{"dropping-particle":"","family":"Friedlingstein","given":"Pierre","non-dropping-particle":"","parse-names":false,"suffix":""},{"dropping-particle":"","family":"Sitch","given":"Stephen","non-dropping-particle":"","parse-names":false,"suffix":""},{"dropping-particle":"","family":"Hauck","given":"Judith","non-dropping-particle":"","parse-names":false,"suffix":""},{"dropping-particle":"","family":"Pongratz","given":"Julia","non-dropping-particle":"","parse-names":false,"suffix":""},{"dropping-particle":"","family":"Pickers","given":"Penelope A.","non-dropping-particle":"","parse-names":false,"suffix":""},{"dropping-particle":"","family":"Canadell","given":"Josep G","non-dropping-particle":"","parse-names":false,"suffix":""},{"dropping-particle":"","family":"Korsbakken","given":"Jan Ivar","non-dropping-particle":"","parse-names":false,"suffix":""},{"dropping-particle":"","family":"Peters","given":"Glen P.","non-dropping-particle":"","parse-names":false,"suffix":""},{"dropping-particle":"","family":"Canadell","given":"Josep G.","non-dropping-particle":"","parse-names":false,"suffix":""},{"dropping-particle":"","family":"Arneth","given":"Almut","non-dropping-particle":"","parse-names":false,"suffix":""},{"dropping-particle":"","family":"Arora","given":"Vivek K.","non-dropping-particle":"","parse-names":false,"suffix":""},{"dropping-particle":"","family":"Barbero","given":"Leticia","non-dropping-particle":"","parse-names":false,"suffix":""},{"dropping-particle":"","family":"Bastos","given":"Ana","non-dropping-particle":"","parse-names":false,"suffix":""},{"dropping-particle":"","family":"Bopp","given":"Laurent","non-dropping-particle":"","parse-names":false,"suffix":""},{"dropping-particle":"","family":"Chevallier","given":"Frederick","non-dropping-particle":"","parse-names":false,"suffix":""},{"dropping-particle":"","family":"Chini","given":"Louise P.","non-dropping-particle":"","parse-names":false,"suffix":""},{"dropping-particle":"","family":"Ciais","given":"Philippe","non-dropping-particle":"","parse-names":false,"suffix":""},{"dropping-particle":"","family":"Doney","given":"Scott C.","non-dropping-particle":"","parse-names":false,"suffix":""},{"dropping-particle":"","family":"Gkritzalis","given":"Thanos","non-dropping-particle":"","parse-names":false,"suffix":""},{"dropping-particle":"","family":"Goll","given":"Daniel S.","non-dropping-particle":"","parse-names":false,"suffix":""},{"dropping-particle":"","family":"Harris","given":"Ian","non-dropping-particle":"","parse-names":false,"suffix":""},{"dropping-particle":"","family":"Haverd","given":"Vanessa","non-dropping-particle":"","parse-names":false,"suffix":""},{"dropping-particle":"","family":"Hoffman","given":"Forrest M.","non-dropping-particle":"","parse-names":false,"suffix":""},{"dropping-particle":"","family":"Hoppema","given":"Mario","non-dropping-particle":"","parse-names":false,"suffix":""},{"dropping-particle":"","family":"Houghton","given":"Richard A.","non-dropping-particle":"","parse-names":false,"suffix":""},{"dropping-particle":"","family":"Hurtt","given":"George","non-dropping-particle":"","parse-names":false,"suffix":""},{"dropping-particle":"","family":"Ilyina","given":"Tatiana","non-dropping-particle":"","parse-names":false,"suffix":""},{"dropping-particle":"","family":"Jain","given":"Atul K.","non-dropping-particle":"","parse-names":false,"suffix":""},{"dropping-particle":"","family":"Johannessen","given":"Truls","non-dropping-particle":"","parse-names":false,"suffix":""},{"dropping-particle":"","family":"Jones","given":"Chris D.","non-dropping-particle":"","parse-names":false,"suffix":""},{"dropping-particle":"","family":"Kato","given":"Etsushi","non-dropping-particle":"","parse-names":false,"suffix":""},{"dropping-particle":"","family":"Keeling","given":"Ralph F.","non-dropping-particle":"","parse-names":false,"suffix":""},{"dropping-particle":"","family":"Goldewijk","given":"Kees Kelin","non-dropping-particle":"","parse-names":false,"suffix":""},{"dropping-particle":"","family":"Landschützer","given":"Peter","non-dropping-particle":"","parse-names":false,"suffix":""},{"dropping-particle":"","family":"Lefèvre","given":"Nathalie","non-dropping-particle":"","parse-names":false,"suffix":""},{"dropping-particle":"","family":"Lienert","given":"Sebastian","non-dropping-particle":"","parse-names":false,"suffix":""},{"dropping-particle":"","family":"Liu","given":"Zhu","non-dropping-particle":"","parse-names":false,"suffix":""},{"dropping-particle":"","family":"Lombardozzi","given":"Danica","non-dropping-particle":"","parse-names":false,"suffix":""},{"dropping-particle":"","family":"Metzl","given":"Nicolas","non-dropping-particle":"","parse-names":false,"suffix":""},{"dropping-particle":"","family":"Munro","given":"David R.","non-dropping-particle":"","parse-names":false,"suffix":""},{"dropping-particle":"","family":"Nabel","given":"Julia E.M.S.","non-dropping-particle":"","parse-names":false,"suffix":""},{"dropping-particle":"","family":"Nakaoka","given":"Shin-ichiro","non-dropping-particle":"","parse-names":false,"suffix":""},{"dropping-particle":"","family":"Neill","given":"Craig","non-dropping-particle":"","parse-names":false,"suffix":""},{"dropping-particle":"","family":"Olsen","given":"Are","non-dropping-particle":"","parse-names":false,"suffix":""},{"dropping-particle":"","family":"Ono","given":"Tsueno","non-dropping-particle":"","parse-names":false,"suffix":""},{"dropping-particle":"","family":"Patra","given":"Prabir","non-dropping-particle":"","parse-names":false,"suffix":""},{"dropping-particle":"","family":"Peregon","given":"Anna","non-dropping-particle":"","parse-names":false,"suffix":""},{"dropping-particle":"","family":"Peters","given":"Wouter","non-dropping-particle":"","parse-names":false,"suffix":""},{"dropping-particle":"","family":"Peylin","given":"Philippe","non-dropping-particle":"","parse-names":false,"suffix":""},{"dropping-particle":"","family":"Pfeil","given":"Benjamin","non-dropping-particle":"","parse-names":false,"suffix":""},{"dropping-particle":"","family":"Pierrot","given":"Denis","non-dropping-particle":"","parse-names":false,"suffix":""},{"dropping-particle":"","family":"Poulter","given":"Benjamin","non-dropping-particle":"","parse-names":false,"suffix":""},{"dropping-particle":"","family":"Rehder","given":"Gregor","non-dropping-particle":"","parse-names":false,"suffix":""},{"dropping-particle":"","family":"Resplandy","given":"Laure","non-dropping-particle":"","parse-names":false,"suffix":""},{"dropping-particle":"","family":"Robertson","given":"Eddy","non-dropping-particle":"","parse-names":false,"suffix":""},{"dropping-particle":"","family":"Rocher","given":"Matthias","non-dropping-particle":"","parse-names":false,"suffix":""},{"dropping-particle":"","family":"Rödenbeck","given":"Christian","non-dropping-particle":"","parse-names":false,"suffix":""},{"dropping-particle":"","family":"Schuster","given":"Ute","non-dropping-particle":"","parse-names":false,"suffix":""},{"dropping-particle":"","family":"Schwinger","given":"Jörg","non-dropping-particle":"","parse-names":false,"suffix":""},{"dropping-particle":"","family":"Séférian","given":"Roland","non-dropping-particle":"","parse-names":false,"suffix":""},{"dropping-particle":"","family":"Skjelvan","given":"Ingunn","non-dropping-particle":"","parse-names":false,"suffix":""},{"dropping-particle":"","family":"Steinhoff","given":"Tobias","non-dropping-particle":"","parse-names":false,"suffix":""},{"dropping-particle":"","family":"Sutton","given":"Adrienne","non-dropping-particle":"","parse-names":false,"suffix":""},{"dropping-particle":"","family":"Tans","given":"Pieter P.","non-dropping-particle":"","parse-names":false,"suffix":""},{"dropping-particle":"","family":"Tian","given":"Hanqin","non-dropping-particle":"","parse-names":false,"suffix":""},{"dropping-particle":"","family":"Tilbrook","given":"Bronte","non-dropping-particle":"","parse-names":false,"suffix":""},{"dropping-particle":"","family":"Tubiello","given":"Francesco N.","non-dropping-particle":"","parse-names":false,"suffix":""},{"dropping-particle":"van der","family":"Laan-Luijkx","given":"Ingrid T.","non-dropping-particle":"","parse-names":false,"suffix":""},{"dropping-particle":"van der","family":"Werf","given":"Guido R.","non-dropping-particle":"","parse-names":false,"suffix":""},{"dropping-particle":"","family":"Viovy","given":"Nicolas","non-dropping-particle":"","parse-names":false,"suffix":""},{"dropping-particle":"","family":"Walker","given":"Anthony P.","non-dropping-particle":"","parse-names":false,"suffix":""},{"dropping-particle":"","family":"Wiltshire","given":"Andrew J.","non-dropping-particle":"","parse-names":false,"suffix":""},{"dropping-particle":"","family":"Wright","given":"Rebecca","non-dropping-particle":"","parse-names":false,"suffix":""},{"dropping-particle":"","family":"Zaehle","given":"Sönke","non-dropping-particle":"","parse-names":false,"suffix":""},{"dropping-particle":"","family":"Zheng","given":"Bo","non-dropping-particle":"","parse-names":false,"suffix":""}],"container-title":"Earth System Science Data","id":"ITEM-1","issued":{"date-parts":[["2018"]]},"page":"2141-2194","title":"Global Carbon Budget 2018","type":"article-journal","volume":"10"},"uris":["http://www.mendeley.com/documents/?uuid=6a008701-4a90-4d43-9d3c-d708afcc9928"]}],"mendeley":{"formattedCitation":"(Quéré et al., 2018)","plainTextFormattedCitation":"(Quéré et al., 2018)","previouslyFormattedCitation":"(Quéré et al., 2018)"},"properties":{"noteIndex":0},"schema":"https://github.com/citation-style-language/schema/raw/master/csl-citation.json"}</w:instrText>
      </w:r>
      <w:r w:rsidR="00083EC2">
        <w:fldChar w:fldCharType="separate"/>
      </w:r>
      <w:r w:rsidR="00E92ABD" w:rsidRPr="00E92ABD">
        <w:rPr>
          <w:noProof/>
        </w:rPr>
        <w:t>(Quéré et al., 2018)</w:t>
      </w:r>
      <w:r w:rsidR="00083EC2">
        <w:fldChar w:fldCharType="end"/>
      </w:r>
      <w:r w:rsidR="0075659C">
        <w:t xml:space="preserve">, </w:t>
      </w:r>
      <w:r w:rsidR="00083EC2">
        <w:t xml:space="preserve">facilitating quantitative assessments into the influence of various factors. </w:t>
      </w:r>
      <w:r w:rsidR="00903F3E">
        <w:t xml:space="preserve">A </w:t>
      </w:r>
      <w:r w:rsidR="00083EC2">
        <w:t xml:space="preserve">disadvantage is that current emissions are often the outcome of path dependencies that significantly pre-date contemporary climate concerns, </w:t>
      </w:r>
      <w:r w:rsidR="00903F3E">
        <w:t>such as</w:t>
      </w:r>
      <w:r w:rsidR="00B37140">
        <w:t xml:space="preserve"> early</w:t>
      </w:r>
      <w:r w:rsidR="00903F3E">
        <w:t xml:space="preserve"> </w:t>
      </w:r>
      <w:r w:rsidR="00083EC2">
        <w:t xml:space="preserve">decisions </w:t>
      </w:r>
      <w:r w:rsidR="004400B6">
        <w:t>that shape</w:t>
      </w:r>
      <w:r w:rsidR="00083EC2">
        <w:t xml:space="preserve"> the fuel content of national energy systems </w:t>
      </w:r>
      <w:r w:rsidR="00083EC2">
        <w:fldChar w:fldCharType="begin" w:fldLock="1"/>
      </w:r>
      <w:r w:rsidR="008A1ED6">
        <w:instrText>ADDIN CSL_CITATION {"citationItems":[{"id":"ITEM-1","itemData":{"DOI":"10.1016/j.enpol.2012.04.030","ISSN":"03014215","author":[{"dropping-particle":"","family":"Foxon","given":"Timothy J.","non-dropping-particle":"","parse-names":false,"suffix":""},{"dropping-particle":"","family":"Pearson","given":"Peter J.G.","non-dropping-particle":"","parse-names":false,"suffix":""},{"dropping-particle":"","family":"Arapostathis","given":"Stathis","non-dropping-particle":"","parse-names":false,"suffix":""},{"dropping-particle":"","family":"Carlsson-Hyslop","given":"Anna","non-dropping-particle":"","parse-names":false,"suffix":""},{"dropping-particle":"","family":"Thornton","given":"Judith","non-dropping-particle":"","parse-names":false,"suffix":""}],"container-title":"Energy Policy","id":"ITEM-1","issued":{"date-parts":[["2013","1"]]},"page":"146-158","publisher":"Elsevier","title":"Branching points for transition pathways: assessing responses of actors to challenges on pathways to a low carbon future","type":"article-journal","volume":"52"},"uris":["http://www.mendeley.com/documents/?uuid=167d3c80-8ae3-40a2-94af-fe7969d98a78"]}],"mendeley":{"formattedCitation":"(Foxon, Pearson, Arapostathis, Carlsson-Hyslop, &amp; Thornton, 2013)","plainTextFormattedCitation":"(Foxon, Pearson, Arapostathis, Carlsson-Hyslop, &amp; Thornton, 2013)","previouslyFormattedCitation":"(Foxon, Pearson, Arapostathis, Carlsson-Hyslop, &amp; Thornton, 2013)"},"properties":{"noteIndex":0},"schema":"https://github.com/citation-style-language/schema/raw/master/csl-citation.json"}</w:instrText>
      </w:r>
      <w:r w:rsidR="00083EC2">
        <w:fldChar w:fldCharType="separate"/>
      </w:r>
      <w:r w:rsidR="00E92ABD" w:rsidRPr="00E92ABD">
        <w:rPr>
          <w:noProof/>
        </w:rPr>
        <w:t>(Foxon, Pearson, Arapostathis, Carlsson-Hyslop, &amp; Thornton, 2013)</w:t>
      </w:r>
      <w:r w:rsidR="00083EC2">
        <w:fldChar w:fldCharType="end"/>
      </w:r>
      <w:r w:rsidR="0092103F">
        <w:t xml:space="preserve">, or global </w:t>
      </w:r>
      <w:r w:rsidR="00494AC4">
        <w:t>developments that shape</w:t>
      </w:r>
      <w:r w:rsidR="0092103F">
        <w:t xml:space="preserve"> the distribution of manufacturing activities </w:t>
      </w:r>
      <w:r w:rsidR="0092103F">
        <w:fldChar w:fldCharType="begin" w:fldLock="1"/>
      </w:r>
      <w:r w:rsidR="0031471A">
        <w:instrText>ADDIN CSL_CITATION {"citationItems":[{"id":"ITEM-1","itemData":{"DOI":"10.1073/pnas.1006388108","ISSN":"1091-6490","PMID":"21518879","abstract":"Despite the emergence of regional climate policies, growth in global CO(2) emissions has remained strong. From 1990 to 2008 CO(2) emissions in developed countries (defined as countries with emission-reduction commitments in the Kyoto Protocol, Annex B) have stabilized, but emissions in developing countries (non-Annex B) have doubled. Some studies suggest that the stabilization of emissions in developed countries was partially because of growing imports from developing countries. To quantify the growth in emission transfers via international trade, we developed a trade-linked global database for CO(2) emissions covering 113 countries and 57 economic sectors from 1990 to 2008. We find that the emissions from the production of traded goods and services have increased from 4.3 Gt CO(2) in 1990 (20% of global emissions) to 7.8 Gt CO(2) in 2008 (26%). Most developed countries have increased their consumption-based emissions faster than their territorial emissions, and non-energy-intensive manufacturing had a key role in the emission transfers. The net emission transfers via international trade from developing to developed countries increased from 0.4 Gt CO(2) in 1990 to 1.6 Gt CO(2) in 2008, which exceeds the Kyoto Protocol emission reductions. Our results indicate that international trade is a significant factor in explaining the change in emissions in many countries, from both a production and consumption perspective. We suggest that countries monitor emission transfers via international trade, in addition to territorial emissions, to ensure progress toward stabilization of global greenhouse gas emissions.","author":[{"dropping-particle":"","family":"Peters","given":"Glen P.","non-dropping-particle":"","parse-names":false,"suffix":""},{"dropping-particle":"","family":"Minx","given":"Jan C","non-dropping-particle":"","parse-names":false,"suffix":""},{"dropping-particle":"","family":"Weber","given":"Christopher L","non-dropping-particle":"","parse-names":false,"suffix":""},{"dropping-particle":"","family":"Edenhofer","given":"Ottmar","non-dropping-particle":"","parse-names":false,"suffix":""}],"container-title":"Proceedings of the National Academy of Sciences of the United States of America","id":"ITEM-1","issue":"21","issued":{"date-parts":[["2011","5","24"]]},"page":"8903-8","title":"Growth in emission transfers via international trade from 1990 to 2008.","type":"article-journal","volume":"108"},"uris":["http://www.mendeley.com/documents/?uuid=9ce27be3-51ec-437a-a0b2-ae6c34d27708"]}],"mendeley":{"formattedCitation":"(Peters, Minx, Weber, &amp; Edenhofer, 2011)","plainTextFormattedCitation":"(Peters, Minx, Weber, &amp; Edenhofer, 2011)","previouslyFormattedCitation":"(Peters, Minx, Weber, &amp; Edenhofer, 2011)"},"properties":{"noteIndex":0},"schema":"https://github.com/citation-style-language/schema/raw/master/csl-citation.json"}</w:instrText>
      </w:r>
      <w:r w:rsidR="0092103F">
        <w:fldChar w:fldCharType="separate"/>
      </w:r>
      <w:r w:rsidR="0092103F" w:rsidRPr="0092103F">
        <w:rPr>
          <w:noProof/>
        </w:rPr>
        <w:t xml:space="preserve">(Peters, Minx, </w:t>
      </w:r>
      <w:r w:rsidR="0092103F" w:rsidRPr="0092103F">
        <w:rPr>
          <w:noProof/>
        </w:rPr>
        <w:lastRenderedPageBreak/>
        <w:t>Weber, &amp; Edenhofer, 2011)</w:t>
      </w:r>
      <w:r w:rsidR="0092103F">
        <w:fldChar w:fldCharType="end"/>
      </w:r>
      <w:r w:rsidR="00083EC2">
        <w:t xml:space="preserve">. </w:t>
      </w:r>
      <w:r w:rsidR="00624731">
        <w:t>For these reasons, recent</w:t>
      </w:r>
      <w:r w:rsidR="00B37140">
        <w:t xml:space="preserve"> </w:t>
      </w:r>
      <w:r w:rsidR="00BC7C14">
        <w:t>trends in</w:t>
      </w:r>
      <w:r w:rsidR="00B37140">
        <w:t xml:space="preserve"> emissions are </w:t>
      </w:r>
      <w:r w:rsidR="00FA0F2D">
        <w:t>un</w:t>
      </w:r>
      <w:r w:rsidR="00B37140">
        <w:t xml:space="preserve">likely to be a </w:t>
      </w:r>
      <w:r w:rsidR="00FA0F2D">
        <w:t xml:space="preserve">sound </w:t>
      </w:r>
      <w:r w:rsidR="00B37140">
        <w:t>guide to</w:t>
      </w:r>
      <w:r w:rsidR="00FA0F2D">
        <w:t xml:space="preserve"> constraints</w:t>
      </w:r>
      <w:r w:rsidR="00624731">
        <w:t xml:space="preserve"> </w:t>
      </w:r>
      <w:r w:rsidR="00494AC4">
        <w:t>in</w:t>
      </w:r>
      <w:r w:rsidR="00624731">
        <w:t xml:space="preserve"> climate policy making</w:t>
      </w:r>
      <w:r w:rsidR="00FA0F2D">
        <w:t>.</w:t>
      </w:r>
    </w:p>
    <w:p w14:paraId="22379C18" w14:textId="55C0BD91" w:rsidR="00D74166" w:rsidRDefault="00B37140" w:rsidP="00E77203">
      <w:pPr>
        <w:spacing w:line="360" w:lineRule="auto"/>
      </w:pPr>
      <w:r>
        <w:t>A second option is to examine the adoption of climate targets</w:t>
      </w:r>
      <w:r w:rsidR="00D61333">
        <w:t>, legislation</w:t>
      </w:r>
      <w:r>
        <w:t xml:space="preserve"> and international agreements. </w:t>
      </w:r>
      <w:r w:rsidR="001C2247">
        <w:t xml:space="preserve">These </w:t>
      </w:r>
      <w:r w:rsidR="00D0483D">
        <w:t>‘</w:t>
      </w:r>
      <w:r w:rsidR="0031471A">
        <w:t>intentions to mitigate</w:t>
      </w:r>
      <w:r w:rsidR="00D0483D">
        <w:t>’</w:t>
      </w:r>
      <w:r w:rsidR="008A1ED6">
        <w:t xml:space="preserve"> </w:t>
      </w:r>
      <w:r w:rsidR="001C2247">
        <w:t xml:space="preserve">might include </w:t>
      </w:r>
      <w:r>
        <w:t xml:space="preserve">the Nationally Determined Contributions (NDCs: the bottom-up </w:t>
      </w:r>
      <w:r w:rsidR="004D70AC">
        <w:t xml:space="preserve">climate </w:t>
      </w:r>
      <w:r>
        <w:t xml:space="preserve">commitments </w:t>
      </w:r>
      <w:r w:rsidR="004D70AC">
        <w:t xml:space="preserve">by countries to </w:t>
      </w:r>
      <w:r w:rsidR="00D74166">
        <w:t>the Paris Agreement)</w:t>
      </w:r>
      <w:r w:rsidR="001C2247">
        <w:t xml:space="preserve">, </w:t>
      </w:r>
      <w:r w:rsidR="004D70AC">
        <w:t xml:space="preserve">compilations of </w:t>
      </w:r>
      <w:r w:rsidR="001C2247">
        <w:t xml:space="preserve">national </w:t>
      </w:r>
      <w:r w:rsidR="004D70AC">
        <w:t xml:space="preserve">targets and legislative measures </w:t>
      </w:r>
      <w:r w:rsidR="004D70AC">
        <w:fldChar w:fldCharType="begin" w:fldLock="1"/>
      </w:r>
      <w:r w:rsidR="008A1ED6">
        <w:instrText>ADDIN CSL_CITATION {"citationItems":[{"id":"ITEM-1","itemData":{"DOI":"10.1080/14693062.2018.1489772","ISSN":"17527457","abstract":"Global climate change governance has changed substantially in the last decade, with a shift in focus from negotiating globally agreed greenhouse gas (GHG) reduction targets to nationally determined contributions, as enshrined in the 2015 Paris Agreement. This paper analyses trends in adoption of national climate legislation and strategies, GHG targets, and renewable and energy efficiency targets in almost all UNFCCC Parties, focusing on the period from 2007 to 2017. The uniqueness and added value of this paper reside in its broad sweep of countries, the more than decade-long coverage and the use of objective metrics rather than normative judgements. Key results show that national climate legislation and strategies witnessed a strong increase in the first half of the assessed decade, likely due to the political lead up to the Copenhagen Climate Conference in 2009, but have somewhat stagnated in recent years, currently covering 70% of global GHG emissions (almost 50% of countries). In comparison, the coverage of GHG targets increased considerably in the run up to adoption of the Paris Agreement and 89% of global GHG emissions are currently covered by such targets. Renewable energy targets saw a steady spread, with 79% of the global GHG emissions covered in 2017 compared to 45% in 2007, with a steep increase in developing countries. Key policy insights The number of countries that have national legislation and strategies in place increased strongly up to 2012, but the increase has levelled off in recent years, now covering 70% of global emissions by 2017 (48% of countries and 76% of global population). Economy-wide GHG reduction targets witnessed a strong increase in the build up to 2015 and are adopted by countries covering 89% of global GHG emissions (76% not counting USA) and 90% of global population (86% not counting USA) in 2017. Renewable energy targets saw a steady increase throughout the last decade with coverage of countries in 2017 comparable to that of GHG targets. Key shifts in national measures coincide with landmark international events – an increase in legislation and strategy in the build-up to the Copenhagen Climate Conference and an increase in targets around the Paris Agreement – emphasizing the importance of the international process to maintaining national momentum.","author":[{"dropping-particle":"","family":"Iacobuta","given":"Gabriela","non-dropping-particle":"","parse-names":false,"suffix":""},{"dropping-particle":"","family":"Dubash","given":"Navroz K.","non-dropping-particle":"","parse-names":false,"suffix":""},{"dropping-particle":"","family":"Upadhyaya","given":"Prabhat","non-dropping-particle":"","parse-names":false,"suffix":""},{"dropping-particle":"","family":"Deribe","given":"Mekdelawit","non-dropping-particle":"","parse-names":false,"suffix":""},{"dropping-particle":"","family":"Höhne","given":"Niklas","non-dropping-particle":"","parse-names":false,"suffix":""}],"container-title":"Climate Policy","id":"ITEM-1","issued":{"date-parts":[["2018"]]},"page":"1-19","title":"National climate change mitigation legislation, strategy and targets: a global update","type":"article-journal","volume":"3062"},"uris":["http://www.mendeley.com/documents/?uuid=10e0db5d-7d29-46d9-870a-4351a4d4c6f2"]}],"mendeley":{"formattedCitation":"(Iacobuta et al., 2018)","plainTextFormattedCitation":"(Iacobuta et al., 2018)","previouslyFormattedCitation":"(Iacobuta et al., 2018)"},"properties":{"noteIndex":0},"schema":"https://github.com/citation-style-language/schema/raw/master/csl-citation.json"}</w:instrText>
      </w:r>
      <w:r w:rsidR="004D70AC">
        <w:fldChar w:fldCharType="separate"/>
      </w:r>
      <w:r w:rsidR="00E92ABD" w:rsidRPr="00E92ABD">
        <w:rPr>
          <w:noProof/>
        </w:rPr>
        <w:t>(Iacobuta et al., 2018)</w:t>
      </w:r>
      <w:r w:rsidR="004D70AC">
        <w:fldChar w:fldCharType="end"/>
      </w:r>
      <w:r w:rsidR="001C2247">
        <w:t>, or the commitment</w:t>
      </w:r>
      <w:r w:rsidR="00E71C1D">
        <w:t>s</w:t>
      </w:r>
      <w:r w:rsidR="001C2247">
        <w:t xml:space="preserve"> of countries to UNFCCC protocols </w:t>
      </w:r>
      <w:r w:rsidR="001C2247">
        <w:fldChar w:fldCharType="begin" w:fldLock="1"/>
      </w:r>
      <w:r w:rsidR="008A1ED6">
        <w:instrText>ADDIN CSL_CITATION {"citationItems":[{"id":"ITEM-1","itemData":{"DOI":"10.1016/j.envsci.2012.09.007","ISBN":"1462-9011","ISSN":"14629011","abstract":"Valid and reliable measurement of countries' climate policy performance is important both for policy-making and analytical purposes. The authors contribute to this end by introducing a new dataset that offers such information for up to 172 countries for the time period 1996-2008. Their Climate Change Cooperation Index (C3-I) captures overall performance as well as performance in terms of political behavior (output) and emissions (outcome). The C3-I, thus, allows for a systematic global comparison of countries' climate policies. The paper also compares the C3-I with its most relevant alternative, the Climate Change Performance Index (CCPI) by Germanwatch. © 2012 Elsevier Ltd.","author":[{"dropping-particle":"","family":"Bernauer","given":"Thomas","non-dropping-particle":"","parse-names":false,"suffix":""},{"dropping-particle":"","family":"Böhmelt","given":"Tobias","non-dropping-particle":"","parse-names":false,"suffix":""}],"container-title":"Environmental Science and Policy","id":"ITEM-1","issued":{"date-parts":[["2013"]]},"page":"196-206","title":"National climate policies in international comparison: The Climate Change Cooperation Index","type":"article-journal","volume":"25"},"uris":["http://www.mendeley.com/documents/?uuid=d5f136eb-c995-4f47-a59c-3b4371c07281"]}],"mendeley":{"formattedCitation":"(Bernauer &amp; Böhmelt, 2013)","plainTextFormattedCitation":"(Bernauer &amp; Böhmelt, 2013)","previouslyFormattedCitation":"(Bernauer &amp; Böhmelt, 2013)"},"properties":{"noteIndex":0},"schema":"https://github.com/citation-style-language/schema/raw/master/csl-citation.json"}</w:instrText>
      </w:r>
      <w:r w:rsidR="001C2247">
        <w:fldChar w:fldCharType="separate"/>
      </w:r>
      <w:r w:rsidR="00E92ABD" w:rsidRPr="00E92ABD">
        <w:rPr>
          <w:noProof/>
        </w:rPr>
        <w:t>(Bernauer &amp; Böhmelt, 2013)</w:t>
      </w:r>
      <w:r w:rsidR="001C2247">
        <w:fldChar w:fldCharType="end"/>
      </w:r>
      <w:r w:rsidR="001C2247">
        <w:t>.</w:t>
      </w:r>
      <w:r w:rsidR="000D5C16">
        <w:t xml:space="preserve"> The large va</w:t>
      </w:r>
      <w:r w:rsidR="00D61333">
        <w:t>riation in country commitments and different types of strategies adopted (</w:t>
      </w:r>
      <w:r w:rsidR="00A54917">
        <w:t xml:space="preserve">e.g. </w:t>
      </w:r>
      <w:r w:rsidR="00D61333">
        <w:t xml:space="preserve">legislation vs. </w:t>
      </w:r>
      <w:r w:rsidR="00A54917">
        <w:t>executive targets</w:t>
      </w:r>
      <w:r w:rsidR="00D61333">
        <w:t xml:space="preserve">) </w:t>
      </w:r>
      <w:r w:rsidR="000D5C16">
        <w:t xml:space="preserve">attests to the interesting nature of these data. Yet, a clear disadvantage is that </w:t>
      </w:r>
      <w:r w:rsidR="00A54917">
        <w:t>intentions</w:t>
      </w:r>
      <w:r w:rsidR="008A1ED6">
        <w:t xml:space="preserve"> often do not reflect outcomes.</w:t>
      </w:r>
      <w:r w:rsidR="0031471A">
        <w:t xml:space="preserve"> Ambitious target setting can be a form of ‘symbolic meta-policy’ that </w:t>
      </w:r>
      <w:r w:rsidR="00D0483D">
        <w:t xml:space="preserve">satiates short-term </w:t>
      </w:r>
      <w:r w:rsidR="0031471A">
        <w:t>political</w:t>
      </w:r>
      <w:r w:rsidR="00D0483D">
        <w:t xml:space="preserve"> demands</w:t>
      </w:r>
      <w:r w:rsidR="0031471A">
        <w:t xml:space="preserve">, but does not manifest in concrete instruments and actions that lead to </w:t>
      </w:r>
      <w:r w:rsidR="00D0483D">
        <w:t>long-term reductions in</w:t>
      </w:r>
      <w:r w:rsidR="0031471A">
        <w:t xml:space="preserve"> emissions </w:t>
      </w:r>
      <w:r w:rsidR="0031471A">
        <w:fldChar w:fldCharType="begin" w:fldLock="1"/>
      </w:r>
      <w:r w:rsidR="005C3EE7">
        <w:instrText>ADDIN CSL_CITATION {"citationItems":[{"id":"ITEM-1","itemData":{"DOI":"10.1111/1467-9248.12123","ISSN":"14679248","abstract":"This paper seeks to understand how the UK government's headline climate change targets are translated into action at the local level in the transport sector drawing on the findings of research in two English regions. In doing so, these headline targets are identified as a symbolic meta-policy that results in little action on the ground and which challenges established conceptions of policy implementation. Both the ‘meta’ and ‘symbolic’ aspects of the policy offer part of the explanation for the lack of substantive action on the ground. As a meta-policy, the headline targets across government require the elaboration of other policies at other levels such as targets for government departments and local authorities, but these are largely absent, leaving the meta-policy without teeth. Over time, these headline targets have developed into a symbolic policy, serving political goals but having little practical effectiveness.","author":[{"dropping-particle":"","family":"Bache","given":"Ian","non-dropping-particle":"","parse-names":false,"suffix":""},{"dropping-particle":"","family":"Reardon","given":"Louise","non-dropping-particle":"","parse-names":false,"suffix":""},{"dropping-particle":"","family":"Bartle","given":"Ian","non-dropping-particle":"","parse-names":false,"suffix":""},{"dropping-particle":"","family":"Flinders","given":"Matthew","non-dropping-particle":"","parse-names":false,"suffix":""},{"dropping-particle":"","family":"Marsden","given":"Greg","non-dropping-particle":"","parse-names":false,"suffix":""}],"container-title":"Political Studies","id":"ITEM-1","issue":"4","issued":{"date-parts":[["2015"]]},"page":"830-851","title":"Symbolic Meta-Policy: (Not) Tackling Climate Change in the Transport Sector","type":"article-journal","volume":"63"},"uris":["http://www.mendeley.com/documents/?uuid=86f18bfe-b653-414c-b416-bfa1bc64e058"]}],"mendeley":{"formattedCitation":"(Bache, Reardon, Bartle, Flinders, &amp; Marsden, 2015)","plainTextFormattedCitation":"(Bache, Reardon, Bartle, Flinders, &amp; Marsden, 2015)","previouslyFormattedCitation":"(Bache, Reardon, Bartle, Flinders, &amp; Marsden, 2015)"},"properties":{"noteIndex":0},"schema":"https://github.com/citation-style-language/schema/raw/master/csl-citation.json"}</w:instrText>
      </w:r>
      <w:r w:rsidR="0031471A">
        <w:fldChar w:fldCharType="separate"/>
      </w:r>
      <w:r w:rsidR="0031471A" w:rsidRPr="0031471A">
        <w:rPr>
          <w:noProof/>
        </w:rPr>
        <w:t>(Bache, Reardon, Bartle, Flinders, &amp; Marsden, 2015)</w:t>
      </w:r>
      <w:r w:rsidR="0031471A">
        <w:fldChar w:fldCharType="end"/>
      </w:r>
      <w:r w:rsidR="0031471A">
        <w:t>.</w:t>
      </w:r>
      <w:r w:rsidR="0031471A">
        <w:rPr>
          <w:rStyle w:val="FootnoteReference"/>
        </w:rPr>
        <w:footnoteReference w:id="1"/>
      </w:r>
      <w:r w:rsidR="0031471A">
        <w:t xml:space="preserve"> </w:t>
      </w:r>
      <w:r w:rsidR="008A1ED6">
        <w:t xml:space="preserve">This is </w:t>
      </w:r>
      <w:r w:rsidR="00E51682">
        <w:t xml:space="preserve">increasingly clear from </w:t>
      </w:r>
      <w:r w:rsidR="008A1ED6">
        <w:t xml:space="preserve">countries with ambitious targets, such as </w:t>
      </w:r>
      <w:r w:rsidR="00E51682">
        <w:t xml:space="preserve">Germany, </w:t>
      </w:r>
      <w:r w:rsidR="008A1ED6">
        <w:t>but a poor track record of making progress towards them</w:t>
      </w:r>
      <w:r w:rsidR="00B00BBB">
        <w:t xml:space="preserve"> </w:t>
      </w:r>
      <w:r w:rsidR="00B00BBB">
        <w:fldChar w:fldCharType="begin" w:fldLock="1"/>
      </w:r>
      <w:r w:rsidR="004E76A0">
        <w:instrText>ADDIN CSL_CITATION {"citationItems":[{"id":"ITEM-1","itemData":{"DOI":"10.1111/gove.12338","ISSN":"14680491","abstract":"© 2018 Wiley Periodicals, Inc. State capacity is central to the provision of public goods, including environmental protection. Drawing on climate policy making, this article argues that the division of labor between the bureaucracy and legislature in policy formulation is a critical source of state capacity. In cases of bureaucratic policy design, the legislature sets policy goals and delegates policy design to bureaucracies. This division of labor shifts distributional conflict to autonomous bureaucracies, allowing for effective policy design. California followed this path in climate policy making, setting it on track to meet climate goals. In cases of legislative policy design, bureaucracies set goals and legislatures design policy measures. Since legislators have incentives to respond to vested interests, legislative policy design is vulnerable to regulatory capture. In Germany, legislative policy design in climate policy making is preventing attainment of emissions reduction goals, as industry interests succeeded in blocking key policy measures. Our findings highlight procedural sources of state capacity.","author":[{"dropping-particle":"","family":"Meckling","given":"Jonas","non-dropping-particle":"","parse-names":false,"suffix":""},{"dropping-particle":"","family":"Nahm","given":"Jonas","non-dropping-particle":"","parse-names":false,"suffix":""}],"container-title":"Governance","id":"ITEM-1","issue":"4","issued":{"date-parts":[["2018"]]},"page":"741-757","title":"The power of process: State capacity and climate policy","type":"article-journal","volume":"31"},"uris":["http://www.mendeley.com/documents/?uuid=0e29249a-891a-47de-8799-0b4d6c9e9f29"]}],"mendeley":{"formattedCitation":"(Meckling &amp; Nahm, 2018)","plainTextFormattedCitation":"(Meckling &amp; Nahm, 2018)","previouslyFormattedCitation":"(Meckling &amp; Nahm, 2018)"},"properties":{"noteIndex":0},"schema":"https://github.com/citation-style-language/schema/raw/master/csl-citation.json"}</w:instrText>
      </w:r>
      <w:r w:rsidR="00B00BBB">
        <w:fldChar w:fldCharType="separate"/>
      </w:r>
      <w:r w:rsidR="00B00BBB" w:rsidRPr="00B00BBB">
        <w:rPr>
          <w:noProof/>
        </w:rPr>
        <w:t>(Meckling &amp; Nahm, 2018)</w:t>
      </w:r>
      <w:r w:rsidR="00B00BBB">
        <w:fldChar w:fldCharType="end"/>
      </w:r>
      <w:r w:rsidR="0031471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5128"/>
        <w:gridCol w:w="236"/>
        <w:gridCol w:w="2209"/>
      </w:tblGrid>
      <w:tr w:rsidR="005A218C" w14:paraId="25EA25C5" w14:textId="3D061B88" w:rsidTr="005A218C">
        <w:tc>
          <w:tcPr>
            <w:tcW w:w="1499" w:type="dxa"/>
            <w:tcBorders>
              <w:top w:val="single" w:sz="4" w:space="0" w:color="auto"/>
              <w:bottom w:val="single" w:sz="4" w:space="0" w:color="auto"/>
            </w:tcBorders>
          </w:tcPr>
          <w:p w14:paraId="386B6448" w14:textId="125CDF2E" w:rsidR="005A218C" w:rsidRPr="009446BE" w:rsidRDefault="005A218C" w:rsidP="000253AB">
            <w:pPr>
              <w:rPr>
                <w:b/>
              </w:rPr>
            </w:pPr>
            <w:r w:rsidRPr="009446BE">
              <w:rPr>
                <w:b/>
              </w:rPr>
              <w:t>Dependent variable</w:t>
            </w:r>
          </w:p>
        </w:tc>
        <w:tc>
          <w:tcPr>
            <w:tcW w:w="5128" w:type="dxa"/>
            <w:tcBorders>
              <w:top w:val="single" w:sz="4" w:space="0" w:color="auto"/>
              <w:bottom w:val="single" w:sz="4" w:space="0" w:color="auto"/>
            </w:tcBorders>
          </w:tcPr>
          <w:p w14:paraId="0AF2F693" w14:textId="0FEAB172" w:rsidR="005A218C" w:rsidRPr="009446BE" w:rsidRDefault="005A218C" w:rsidP="000253AB">
            <w:pPr>
              <w:rPr>
                <w:b/>
              </w:rPr>
            </w:pPr>
            <w:r w:rsidRPr="009446BE">
              <w:rPr>
                <w:b/>
              </w:rPr>
              <w:t>Description</w:t>
            </w:r>
          </w:p>
        </w:tc>
        <w:tc>
          <w:tcPr>
            <w:tcW w:w="236" w:type="dxa"/>
            <w:tcBorders>
              <w:top w:val="single" w:sz="4" w:space="0" w:color="auto"/>
              <w:bottom w:val="single" w:sz="4" w:space="0" w:color="auto"/>
            </w:tcBorders>
          </w:tcPr>
          <w:p w14:paraId="2E5AF99D" w14:textId="77777777" w:rsidR="005A218C" w:rsidRPr="009446BE" w:rsidRDefault="005A218C" w:rsidP="000253AB">
            <w:pPr>
              <w:rPr>
                <w:b/>
              </w:rPr>
            </w:pPr>
          </w:p>
        </w:tc>
        <w:tc>
          <w:tcPr>
            <w:tcW w:w="2209" w:type="dxa"/>
            <w:tcBorders>
              <w:top w:val="single" w:sz="4" w:space="0" w:color="auto"/>
              <w:bottom w:val="single" w:sz="4" w:space="0" w:color="auto"/>
            </w:tcBorders>
          </w:tcPr>
          <w:p w14:paraId="7326C144" w14:textId="0441BBA1" w:rsidR="005A218C" w:rsidRPr="009446BE" w:rsidRDefault="005A218C" w:rsidP="000253AB">
            <w:pPr>
              <w:rPr>
                <w:b/>
              </w:rPr>
            </w:pPr>
            <w:r>
              <w:rPr>
                <w:b/>
              </w:rPr>
              <w:t>Example data sources</w:t>
            </w:r>
          </w:p>
        </w:tc>
      </w:tr>
      <w:tr w:rsidR="005A218C" w14:paraId="3BE862DF" w14:textId="30D1479D" w:rsidTr="00687DCD">
        <w:trPr>
          <w:trHeight w:val="1410"/>
        </w:trPr>
        <w:tc>
          <w:tcPr>
            <w:tcW w:w="1499" w:type="dxa"/>
            <w:tcBorders>
              <w:top w:val="single" w:sz="4" w:space="0" w:color="auto"/>
            </w:tcBorders>
          </w:tcPr>
          <w:p w14:paraId="22B7AB2B" w14:textId="39A60BB3" w:rsidR="005A218C" w:rsidRPr="009446BE" w:rsidRDefault="005A218C" w:rsidP="00CB232A">
            <w:pPr>
              <w:rPr>
                <w:b/>
              </w:rPr>
            </w:pPr>
            <w:r w:rsidRPr="009446BE">
              <w:rPr>
                <w:b/>
              </w:rPr>
              <w:t>Climate legislation</w:t>
            </w:r>
          </w:p>
        </w:tc>
        <w:tc>
          <w:tcPr>
            <w:tcW w:w="5128" w:type="dxa"/>
            <w:tcBorders>
              <w:top w:val="single" w:sz="4" w:space="0" w:color="auto"/>
            </w:tcBorders>
          </w:tcPr>
          <w:p w14:paraId="7B2E57BA" w14:textId="1AE7E180" w:rsidR="005A218C" w:rsidRDefault="005A218C" w:rsidP="00CB232A">
            <w:r>
              <w:t>The ratification of climate treaties (e.g. the Kyoto Protocol, Paris Agreement); setting of climate targets (e.g. Nationally Determined Contributions); adoption of legislation (e.g. UK Climate Change Act 2008); creation of responsible ministries</w:t>
            </w:r>
          </w:p>
        </w:tc>
        <w:tc>
          <w:tcPr>
            <w:tcW w:w="236" w:type="dxa"/>
            <w:tcBorders>
              <w:top w:val="single" w:sz="4" w:space="0" w:color="auto"/>
            </w:tcBorders>
          </w:tcPr>
          <w:p w14:paraId="67B519E4" w14:textId="77777777" w:rsidR="005A218C" w:rsidRDefault="005A218C" w:rsidP="00CB232A"/>
        </w:tc>
        <w:tc>
          <w:tcPr>
            <w:tcW w:w="2209" w:type="dxa"/>
            <w:tcBorders>
              <w:top w:val="single" w:sz="4" w:space="0" w:color="auto"/>
            </w:tcBorders>
          </w:tcPr>
          <w:p w14:paraId="29AF2116" w14:textId="0B89763E" w:rsidR="005A218C" w:rsidRDefault="005A218C" w:rsidP="005A218C">
            <w:r>
              <w:t xml:space="preserve">CLIMI </w:t>
            </w:r>
            <w:r>
              <w:fldChar w:fldCharType="begin" w:fldLock="1"/>
            </w:r>
            <w:r>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fldChar w:fldCharType="separate"/>
            </w:r>
            <w:r w:rsidRPr="005A218C">
              <w:rPr>
                <w:noProof/>
              </w:rPr>
              <w:t>(Steves &amp; Teytelboym, 2013)</w:t>
            </w:r>
            <w:r>
              <w:fldChar w:fldCharType="end"/>
            </w:r>
          </w:p>
        </w:tc>
      </w:tr>
      <w:tr w:rsidR="005A218C" w14:paraId="7EBC60C8" w14:textId="3E9519FD" w:rsidTr="00687DCD">
        <w:trPr>
          <w:trHeight w:val="1426"/>
        </w:trPr>
        <w:tc>
          <w:tcPr>
            <w:tcW w:w="1499" w:type="dxa"/>
          </w:tcPr>
          <w:p w14:paraId="5D25D8DB" w14:textId="400CBC2A" w:rsidR="005A218C" w:rsidRPr="009446BE" w:rsidRDefault="005A218C" w:rsidP="00CB232A">
            <w:pPr>
              <w:rPr>
                <w:b/>
              </w:rPr>
            </w:pPr>
            <w:r w:rsidRPr="009446BE">
              <w:rPr>
                <w:b/>
              </w:rPr>
              <w:t>Climate policy adoption</w:t>
            </w:r>
          </w:p>
        </w:tc>
        <w:tc>
          <w:tcPr>
            <w:tcW w:w="5128" w:type="dxa"/>
          </w:tcPr>
          <w:p w14:paraId="0FFD2D37" w14:textId="1F59BAE4" w:rsidR="005A218C" w:rsidRDefault="005A218C" w:rsidP="002C3A90">
            <w:r>
              <w:t xml:space="preserve">The adoption of regulations, standards and instruments that support </w:t>
            </w:r>
            <w:r w:rsidR="00687DCD">
              <w:t>energy demand reduction</w:t>
            </w:r>
            <w:r w:rsidR="002C3A90">
              <w:t xml:space="preserve"> and</w:t>
            </w:r>
            <w:r w:rsidR="00687DCD">
              <w:t xml:space="preserve"> </w:t>
            </w:r>
            <w:r>
              <w:t>renewable energy technologies</w:t>
            </w:r>
            <w:r w:rsidR="00687DCD">
              <w:t>,</w:t>
            </w:r>
            <w:r>
              <w:t xml:space="preserve"> or penalise fossil fuel use (feed-in-tariffs, carbon tax, emissions trading schemes, coal moratoria</w:t>
            </w:r>
            <w:r w:rsidR="005910C9">
              <w:t xml:space="preserve">, </w:t>
            </w:r>
            <w:r w:rsidR="002C3A90">
              <w:t xml:space="preserve">energy </w:t>
            </w:r>
            <w:r w:rsidR="005910C9">
              <w:t>subsidy reform</w:t>
            </w:r>
            <w:r w:rsidR="002C3A90">
              <w:t>s</w:t>
            </w:r>
            <w:r>
              <w:t xml:space="preserve">) </w:t>
            </w:r>
          </w:p>
        </w:tc>
        <w:tc>
          <w:tcPr>
            <w:tcW w:w="236" w:type="dxa"/>
          </w:tcPr>
          <w:p w14:paraId="7912E64F" w14:textId="77777777" w:rsidR="005A218C" w:rsidRDefault="005A218C" w:rsidP="00CB232A"/>
        </w:tc>
        <w:tc>
          <w:tcPr>
            <w:tcW w:w="2209" w:type="dxa"/>
          </w:tcPr>
          <w:p w14:paraId="651A5803" w14:textId="549E8833" w:rsidR="005A218C" w:rsidRDefault="005A218C" w:rsidP="00CB232A">
            <w:r>
              <w:t xml:space="preserve">World Bank Carbon Pricing Dashboard </w:t>
            </w:r>
            <w:r>
              <w:fldChar w:fldCharType="begin" w:fldLock="1"/>
            </w:r>
            <w:r w:rsidR="00084252">
              <w:instrText>ADDIN CSL_CITATION {"citationItems":[{"id":"ITEM-1","itemData":{"URL":"https://carbonpricingdashboard.worldbank.org/","accessed":{"date-parts":[["2019","1","9"]]},"author":[{"dropping-particle":"","family":"World Bank","given":"","non-dropping-particle":"","parse-names":false,"suffix":""}],"id":"ITEM-1","issued":{"date-parts":[["2019"]]},"title":"World Bank Carbon Pricing Dashboard","type":"webpage"},"uris":["http://www.mendeley.com/documents/?uuid=4645ad41-9828-4ddd-829d-f76f73f54623"]}],"mendeley":{"formattedCitation":"(World Bank, 2019)","plainTextFormattedCitation":"(World Bank, 2019)","previouslyFormattedCitation":"(World Bank, 2019)"},"properties":{"noteIndex":0},"schema":"https://github.com/citation-style-language/schema/raw/master/csl-citation.json"}</w:instrText>
            </w:r>
            <w:r>
              <w:fldChar w:fldCharType="separate"/>
            </w:r>
            <w:r w:rsidRPr="005A218C">
              <w:rPr>
                <w:noProof/>
              </w:rPr>
              <w:t>(World Bank, 2019)</w:t>
            </w:r>
            <w:r>
              <w:fldChar w:fldCharType="end"/>
            </w:r>
          </w:p>
        </w:tc>
      </w:tr>
      <w:tr w:rsidR="005A218C" w14:paraId="1B4A7450" w14:textId="3EAF59E9" w:rsidTr="00687DCD">
        <w:trPr>
          <w:trHeight w:val="837"/>
        </w:trPr>
        <w:tc>
          <w:tcPr>
            <w:tcW w:w="1499" w:type="dxa"/>
          </w:tcPr>
          <w:p w14:paraId="1BD9D5A4" w14:textId="5D142E7C" w:rsidR="005A218C" w:rsidRPr="009446BE" w:rsidRDefault="005A218C" w:rsidP="00CB232A">
            <w:pPr>
              <w:rPr>
                <w:b/>
              </w:rPr>
            </w:pPr>
            <w:r w:rsidRPr="009446BE">
              <w:rPr>
                <w:b/>
              </w:rPr>
              <w:t>Policy stringency</w:t>
            </w:r>
          </w:p>
        </w:tc>
        <w:tc>
          <w:tcPr>
            <w:tcW w:w="5128" w:type="dxa"/>
          </w:tcPr>
          <w:p w14:paraId="0EE5A728" w14:textId="3057DF77" w:rsidR="005A218C" w:rsidRDefault="005A218C" w:rsidP="00CB232A">
            <w:r>
              <w:t xml:space="preserve">The scope and strength of policies adopted (e.g. the emissions covered by a carbon tax, and the price level of the tax) </w:t>
            </w:r>
          </w:p>
        </w:tc>
        <w:tc>
          <w:tcPr>
            <w:tcW w:w="236" w:type="dxa"/>
          </w:tcPr>
          <w:p w14:paraId="68190BEB" w14:textId="77777777" w:rsidR="005A218C" w:rsidRDefault="005A218C" w:rsidP="00CB232A"/>
        </w:tc>
        <w:tc>
          <w:tcPr>
            <w:tcW w:w="2209" w:type="dxa"/>
          </w:tcPr>
          <w:p w14:paraId="23EB3321" w14:textId="77777777" w:rsidR="005A218C" w:rsidRDefault="005A218C" w:rsidP="00CB232A"/>
        </w:tc>
      </w:tr>
      <w:tr w:rsidR="005A218C" w:rsidRPr="0068382C" w14:paraId="323BE2ED" w14:textId="11153D07" w:rsidTr="005A218C">
        <w:trPr>
          <w:trHeight w:val="857"/>
        </w:trPr>
        <w:tc>
          <w:tcPr>
            <w:tcW w:w="1499" w:type="dxa"/>
            <w:tcBorders>
              <w:bottom w:val="single" w:sz="4" w:space="0" w:color="auto"/>
            </w:tcBorders>
          </w:tcPr>
          <w:p w14:paraId="4F364FA1" w14:textId="3E7D723E" w:rsidR="005A218C" w:rsidRPr="009446BE" w:rsidRDefault="005A218C" w:rsidP="00CB232A">
            <w:pPr>
              <w:rPr>
                <w:b/>
              </w:rPr>
            </w:pPr>
            <w:r w:rsidRPr="009446BE">
              <w:rPr>
                <w:b/>
              </w:rPr>
              <w:t>Policy outcomes</w:t>
            </w:r>
          </w:p>
        </w:tc>
        <w:tc>
          <w:tcPr>
            <w:tcW w:w="5128" w:type="dxa"/>
            <w:tcBorders>
              <w:bottom w:val="single" w:sz="4" w:space="0" w:color="auto"/>
            </w:tcBorders>
          </w:tcPr>
          <w:p w14:paraId="7199BEDC" w14:textId="5E3BC98D" w:rsidR="005A218C" w:rsidRDefault="005A218C" w:rsidP="00CB232A">
            <w:pPr>
              <w:keepNext/>
            </w:pPr>
            <w:r>
              <w:t>Composite indicators of climate policy adoption, emissions trends and renewable energy technology adoption</w:t>
            </w:r>
          </w:p>
        </w:tc>
        <w:tc>
          <w:tcPr>
            <w:tcW w:w="236" w:type="dxa"/>
            <w:tcBorders>
              <w:bottom w:val="single" w:sz="4" w:space="0" w:color="auto"/>
            </w:tcBorders>
          </w:tcPr>
          <w:p w14:paraId="76D2E651" w14:textId="77777777" w:rsidR="005A218C" w:rsidRDefault="005A218C" w:rsidP="00CB232A">
            <w:pPr>
              <w:keepNext/>
            </w:pPr>
          </w:p>
        </w:tc>
        <w:tc>
          <w:tcPr>
            <w:tcW w:w="2209" w:type="dxa"/>
            <w:tcBorders>
              <w:bottom w:val="single" w:sz="4" w:space="0" w:color="auto"/>
            </w:tcBorders>
          </w:tcPr>
          <w:p w14:paraId="13DABB26" w14:textId="35D18239" w:rsidR="005A218C" w:rsidRPr="005A218C" w:rsidRDefault="005A218C" w:rsidP="00CB232A">
            <w:pPr>
              <w:keepNext/>
              <w:rPr>
                <w:lang w:val="de-DE"/>
              </w:rPr>
            </w:pPr>
            <w:r w:rsidRPr="005A218C">
              <w:rPr>
                <w:lang w:val="de-DE"/>
              </w:rPr>
              <w:t xml:space="preserve">CCPI </w:t>
            </w:r>
            <w:r>
              <w:fldChar w:fldCharType="begin" w:fldLock="1"/>
            </w:r>
            <w:r>
              <w:rPr>
                <w:lang w:val="de-DE"/>
              </w:rPr>
              <w:instrText>ADDIN CSL_CITATION {"citationItems":[{"id":"ITEM-1","itemData":{"ISBN":"9783943704686","author":[{"dropping-particle":"","family":"Burck","given":"Jan","non-dropping-particle":"","parse-names":false,"suffix":""},{"dropping-particle":"","family":"Hagen","given":"Ursula","non-dropping-particle":"","parse-names":false,"suffix":""},{"dropping-particle":"","family":"Marten","given":"Franziska","non-dropping-particle":"","parse-names":false,"suffix":""},{"dropping-particle":"","family":"Höhne","given":"Niklas","non-dropping-particle":"","parse-names":false,"suffix":""},{"dropping-particle":"","family":"Bals","given":"Christoph","non-dropping-particle":"","parse-names":false,"suffix":""}],"id":"ITEM-1","issued":{"date-parts":[["2019"]]},"publisher-place":"Bonn","title":"Climate Change Performance Index 2019","type":"report"},"uris":["http://www.mendeley.com/documents/?uuid=a8bff83c-b51b-4843-9327-4f3a77334e68"]}],"mendeley":{"formattedCitation":"(Burck, Hagen, Marten, Höhne, &amp; Bals, 2019)","plainTextFormattedCitation":"(Burck, Hagen, Marten, Höhne, &amp; Bals, 2019)","previouslyFormattedCitation":"(Burck, Hagen, Marten, Höhne, &amp; Bals, 2019)"},"properties":{"noteIndex":0},"schema":"https://github.com/citation-style-language/schema/raw/master/csl-citation.json"}</w:instrText>
            </w:r>
            <w:r>
              <w:fldChar w:fldCharType="separate"/>
            </w:r>
            <w:r w:rsidRPr="005A218C">
              <w:rPr>
                <w:noProof/>
                <w:lang w:val="de-DE"/>
              </w:rPr>
              <w:t>(Burck, Hagen, Marten, Höhne, &amp; Bals, 2019)</w:t>
            </w:r>
            <w:r>
              <w:fldChar w:fldCharType="end"/>
            </w:r>
          </w:p>
        </w:tc>
      </w:tr>
    </w:tbl>
    <w:p w14:paraId="5E4FB4B4" w14:textId="3991D04C" w:rsidR="00E216F9" w:rsidRDefault="005534C1" w:rsidP="00E77203">
      <w:pPr>
        <w:pStyle w:val="Caption"/>
        <w:spacing w:line="360" w:lineRule="auto"/>
        <w:rPr>
          <w:sz w:val="22"/>
        </w:rPr>
      </w:pPr>
      <w:r w:rsidRPr="00E71C1D">
        <w:rPr>
          <w:sz w:val="22"/>
        </w:rPr>
        <w:t xml:space="preserve">Table </w:t>
      </w:r>
      <w:r w:rsidR="005B7313" w:rsidRPr="00E71C1D">
        <w:rPr>
          <w:noProof/>
          <w:sz w:val="22"/>
        </w:rPr>
        <w:fldChar w:fldCharType="begin"/>
      </w:r>
      <w:r w:rsidR="005B7313" w:rsidRPr="00E71C1D">
        <w:rPr>
          <w:noProof/>
          <w:sz w:val="22"/>
        </w:rPr>
        <w:instrText xml:space="preserve"> SEQ Table \* ARABIC </w:instrText>
      </w:r>
      <w:r w:rsidR="005B7313" w:rsidRPr="00E71C1D">
        <w:rPr>
          <w:noProof/>
          <w:sz w:val="22"/>
        </w:rPr>
        <w:fldChar w:fldCharType="separate"/>
      </w:r>
      <w:r w:rsidR="00F91256">
        <w:rPr>
          <w:noProof/>
          <w:sz w:val="22"/>
        </w:rPr>
        <w:t>2</w:t>
      </w:r>
      <w:r w:rsidR="005B7313" w:rsidRPr="00E71C1D">
        <w:rPr>
          <w:noProof/>
          <w:sz w:val="22"/>
        </w:rPr>
        <w:fldChar w:fldCharType="end"/>
      </w:r>
      <w:r w:rsidRPr="00E71C1D">
        <w:rPr>
          <w:sz w:val="22"/>
        </w:rPr>
        <w:t>: Dependent variables of climate policy</w:t>
      </w:r>
    </w:p>
    <w:p w14:paraId="56E16CCB" w14:textId="0E641756" w:rsidR="005A218C" w:rsidRDefault="005A218C" w:rsidP="00E56E8C">
      <w:pPr>
        <w:spacing w:line="360" w:lineRule="auto"/>
      </w:pPr>
      <w:r>
        <w:t xml:space="preserve">A third approach is to examine the adoption and stringency of climate policies, particularly ‘flagship’ policies such as carbon taxes, renewable energy tariffs, fossil fuel subsidy reforms, or moratoria on new fossil fuel infrastructure </w:t>
      </w:r>
      <w:r>
        <w:fldChar w:fldCharType="begin" w:fldLock="1"/>
      </w:r>
      <w:r>
        <w:instrText>ADDIN CSL_CITATION {"citationItems":[{"id":"ITEM-1","itemData":{"DOI":"10.1080/14693062.2014.991908","ISSN":"17527457","abstract":"The few systematic international comparisons of climate policy strength made so far have serious weaknesses, particularly those that assign arbitrary weightings to different policy instrument types in order to calculate an aggregate score for policy strength. This article avoids these problems by ranking the six biggest emitters by far – China, the US, the EU, India, Russia, and Japan – on a set of six key policy instruments that are individually potent and together representative of climate policy as a whole: carbon taxes, emissions trading, feed-in tariffs, renewable energy quotas, fossil fuel power plant bans, and vehicle emissions standards. The results cast strong doubt on any idea that there is a clear hierarchy on climate policy with Europe at the top: the EU does lead on a number of policies but so does Japan. China, the US, and India each lead on one area. Russia is inactive on all fronts. At the same time climate policy everywhere remains weak compared to what it could be.Policy relevanceThis study enables climate policy strength, defined as the extent to which the statutory provisions of climate policies are likely to restrict GHG emissions if implemented as intended, to be assessed and compared more realistically across space and time. As such its availability for the six biggest emitters, which together account for over 70% of global CO2 emissions, should facilitate international negotiations (1) by giving participants a better idea of where major emitters stand relative to each other as far as climate policy stringency is concerned, and (2) by identifying areas of weakness that need action.","author":[{"dropping-particle":"","family":"Compston","given":"Hugh","non-dropping-particle":"","parse-names":false,"suffix":""},{"dropping-particle":"","family":"Bailey","given":"Ian","non-dropping-particle":"","parse-names":false,"suffix":""}],"container-title":"Climate Policy","id":"ITEM-1","issue":"2","issued":{"date-parts":[["2016"]]},"page":"145-164","title":"Climate policy strength compared: China, the US, the EU, India, Russia, and Japan","type":"article-journal","volume":"16"},"uris":["http://www.mendeley.com/documents/?uuid=7f4f4dec-5cc2-4969-9f2a-1924e31ca3c1"]},{"id":"ITEM-2","itemData":{"DOI":"10.1016/j.envsci.2018.03.003","ISSN":"18736416","abstract":"Over the last decades, a growing number of countries around the world adopted policies towards climate change. However, apart from the remarkable increase in legislative activity, we know little about the composition of country portfolios on climate policy and whether those rely mainly on specific climate policies or the integration of climate objectives across domains. Research on policy integration is often bound by a dearth of suitable data and has to rely on small-n comparative case study designs or a certain type of policy when investigating these phenomena. Our paper addresses this gap by drawing on the Climate Change Laws of the World database for national climate legislation across eight policy categories. Hereby, we systematically assess how climate-related policies have developed over the last 27 years and across 171 countries. The analysis shows that since 1990, the scope of country portfolios has risen considerably. This increase started somewhat slowly in the 1990s but accelerated afterwards across all categories, albeit at different times and to varying degrees of coverage. In particular, climate policies on energy demand and supply as well as administrative arrangements are widespread. Our findings suggest that efforts at CPI were more common in the energy than the transportation domain. The focus of climate specific categories, i.e. no efforts at CPI, were ‘administrative arrangements’, and, albeit to a much lesser extent, policies addressing carbon pricing. With respect to future climate action, the results of our cross-country analysis are two-fold. On the one hand, it is reasonable to assume that countries not having enacted policies in the most commonly addressed categories will soon follow suit. On the other hand, transportation and carbon pricing, specifically, are policy areas that are least addressed in our sample and represent an area where much is yet to be uncovered.","author":[{"dropping-particle":"","family":"Schmidt","given":"Nicole M.","non-dropping-particle":"","parse-names":false,"suffix":""},{"dropping-particle":"","family":"Fleig","given":"Andreas","non-dropping-particle":"","parse-names":false,"suffix":""}],"container-title":"Environmental Science and Policy","id":"ITEM-2","issue":"February","issued":{"date-parts":[["2018"]]},"page":"177-185","publisher":"Elsevier","title":"Global patterns of national climate policies: Analyzing 171 country portfolios on climate policy integration","type":"article-journal","volume":"84"},"uris":["http://www.mendeley.com/documents/?uuid=cf0a713e-d100-4201-8ea6-070d0f74fc17"]}],"mendeley":{"formattedCitation":"(Compston &amp; Bailey, 2016; Schmidt &amp; Fleig, 2018)","plainTextFormattedCitation":"(Compston &amp; Bailey, 2016; Schmidt &amp; Fleig, 2018)","previouslyFormattedCitation":"(Compston &amp; Bailey, 2016; Schmidt &amp; Fleig, 2018)"},"properties":{"noteIndex":0},"schema":"https://github.com/citation-style-language/schema/raw/master/csl-citation.json"}</w:instrText>
      </w:r>
      <w:r>
        <w:fldChar w:fldCharType="separate"/>
      </w:r>
      <w:r w:rsidRPr="00E92ABD">
        <w:rPr>
          <w:noProof/>
        </w:rPr>
        <w:t>(Compston &amp; Bailey, 2016; Schmidt &amp; Fleig, 2018)</w:t>
      </w:r>
      <w:r>
        <w:fldChar w:fldCharType="end"/>
      </w:r>
      <w:r>
        <w:t xml:space="preserve">. </w:t>
      </w:r>
      <w:r w:rsidR="00D0483D">
        <w:t xml:space="preserve">In some sense this is the ideal approach, and yet the variety and variability of policy instruments clearly hampers comparative research: some countries </w:t>
      </w:r>
      <w:r w:rsidR="00E56E8C">
        <w:t xml:space="preserve">and jurisdictions favour economic instruments (a carbon </w:t>
      </w:r>
      <w:r w:rsidR="00E56E8C">
        <w:lastRenderedPageBreak/>
        <w:t xml:space="preserve">price), others </w:t>
      </w:r>
      <w:r w:rsidR="002A6501">
        <w:t>tend towards</w:t>
      </w:r>
      <w:r w:rsidR="00E56E8C">
        <w:t xml:space="preserve"> direct regulation, and many countries have no formal instruments whatsoever.</w:t>
      </w:r>
    </w:p>
    <w:p w14:paraId="17AAFFBA" w14:textId="16BAFE7E" w:rsidR="009446BE" w:rsidRDefault="009446BE" w:rsidP="009446BE">
      <w:pPr>
        <w:spacing w:line="360" w:lineRule="auto"/>
      </w:pPr>
      <w:r>
        <w:t xml:space="preserve">A final approach is to combine policy output and emissions outcomes. The </w:t>
      </w:r>
      <w:proofErr w:type="spellStart"/>
      <w:r>
        <w:t>Germanwatch</w:t>
      </w:r>
      <w:proofErr w:type="spellEnd"/>
      <w:r>
        <w:t xml:space="preserve"> Climate Change Performance Index (CCPI) combines measures of national and international climate policy adoption with recent trends and levels of GHG emissions, energy use and renewable energy penetration </w:t>
      </w:r>
      <w:r>
        <w:fldChar w:fldCharType="begin" w:fldLock="1"/>
      </w:r>
      <w:r w:rsidR="005A218C">
        <w:instrText>ADDIN CSL_CITATION {"citationItems":[{"id":"ITEM-1","itemData":{"ISBN":"9783943704686","author":[{"dropping-particle":"","family":"Burck","given":"Jan","non-dropping-particle":"","parse-names":false,"suffix":""},{"dropping-particle":"","family":"Hagen","given":"Ursula","non-dropping-particle":"","parse-names":false,"suffix":""},{"dropping-particle":"","family":"Marten","given":"Franziska","non-dropping-particle":"","parse-names":false,"suffix":""},{"dropping-particle":"","family":"Höhne","given":"Niklas","non-dropping-particle":"","parse-names":false,"suffix":""},{"dropping-particle":"","family":"Bals","given":"Christoph","non-dropping-particle":"","parse-names":false,"suffix":""}],"id":"ITEM-1","issued":{"date-parts":[["2019"]]},"publisher-place":"Bonn","title":"Climate Change Performance Index 2019","type":"report"},"uris":["http://www.mendeley.com/documents/?uuid=a8bff83c-b51b-4843-9327-4f3a77334e68"]}],"mendeley":{"formattedCitation":"(Burck et al., 2019)","plainTextFormattedCitation":"(Burck et al., 2019)","previouslyFormattedCitation":"(Burck et al., 2019)"},"properties":{"noteIndex":0},"schema":"https://github.com/citation-style-language/schema/raw/master/csl-citation.json"}</w:instrText>
      </w:r>
      <w:r>
        <w:fldChar w:fldCharType="separate"/>
      </w:r>
      <w:r w:rsidR="005A218C" w:rsidRPr="005A218C">
        <w:rPr>
          <w:noProof/>
        </w:rPr>
        <w:t>(Burck et al., 2019)</w:t>
      </w:r>
      <w:r>
        <w:fldChar w:fldCharType="end"/>
      </w:r>
      <w:r>
        <w:t xml:space="preserve">. Extended Kaya decompositions have also been suggested, but not operationalised </w:t>
      </w:r>
      <w:r>
        <w:fldChar w:fldCharType="begin" w:fldLock="1"/>
      </w:r>
      <w:r>
        <w:instrText>ADDIN CSL_CITATION {"citationItems":[{"id":"ITEM-1","itemData":{"DOI":"10.1038/nclimate3202","ISSN":"1758-678X","author":[{"dropping-particle":"","family":"Peters","given":"Glen P.","non-dropping-particle":"","parse-names":false,"suffix":""},{"dropping-particle":"","family":"Andrew","given":"Robbie M.","non-dropping-particle":"","parse-names":false,"suffix":""},{"dropping-particle":"","family":"Canadell","given":"Josep G.","non-dropping-particle":"","parse-names":false,"suffix":""},{"dropping-particle":"","family":"Fuss","given":"Sabine","non-dropping-particle":"","parse-names":false,"suffix":""},{"dropping-particle":"","family":"Jackson","given":"Robert B.","non-dropping-particle":"","parse-names":false,"suffix":""},{"dropping-particle":"","family":"Korsbakken","given":"Jan Ivar","non-dropping-particle":"","parse-names":false,"suffix":""},{"dropping-particle":"","family":"Quéré","given":"Corinne","non-dropping-particle":"Le","parse-names":false,"suffix":""},{"dropping-particle":"","family":"Nakicenovic","given":"Nebojsa","non-dropping-particle":"","parse-names":false,"suffix":""}],"container-title":"Nature Climate Change","id":"ITEM-1","issue":"118","issued":{"date-parts":[["2017"]]},"title":"Key indicators to track current progress and future ambition of the Paris Agreement","type":"article-journal","volume":"7"},"uris":["http://www.mendeley.com/documents/?uuid=83e5b433-3bae-4359-aa41-88a8edeee461"]}],"mendeley":{"formattedCitation":"(Peters et al., 2017)","plainTextFormattedCitation":"(Peters et al., 2017)","previouslyFormattedCitation":"(Peters et al., 2017)"},"properties":{"noteIndex":0},"schema":"https://github.com/citation-style-language/schema/raw/master/csl-citation.json"}</w:instrText>
      </w:r>
      <w:r>
        <w:fldChar w:fldCharType="separate"/>
      </w:r>
      <w:r w:rsidRPr="005E7840">
        <w:rPr>
          <w:noProof/>
        </w:rPr>
        <w:t>(Peters et al., 2017)</w:t>
      </w:r>
      <w:r>
        <w:fldChar w:fldCharType="end"/>
      </w:r>
      <w:r>
        <w:t>. These types of assessments are highly dependent on data availability – with only 60 countries tracked in the latest iteration of the CCPI.</w:t>
      </w:r>
    </w:p>
    <w:p w14:paraId="697CE7D3" w14:textId="6BB16947" w:rsidR="00506773" w:rsidRPr="009446BE" w:rsidRDefault="00506773" w:rsidP="009446BE">
      <w:pPr>
        <w:spacing w:line="360" w:lineRule="auto"/>
      </w:pPr>
      <w:r>
        <w:t>[</w:t>
      </w:r>
      <w:r w:rsidRPr="00931F3A">
        <w:rPr>
          <w:highlight w:val="yellow"/>
        </w:rPr>
        <w:t>OVERALL THEREFORE, IT IS DIFFICULT</w:t>
      </w:r>
      <w:r w:rsidR="00931F3A">
        <w:t>…</w:t>
      </w:r>
      <w:r>
        <w:t>]</w:t>
      </w:r>
    </w:p>
    <w:p w14:paraId="2EF7D358" w14:textId="2A388CBA" w:rsidR="00615DF8" w:rsidRDefault="000253AB" w:rsidP="00E77203">
      <w:pPr>
        <w:pStyle w:val="Heading2"/>
        <w:numPr>
          <w:ilvl w:val="0"/>
          <w:numId w:val="19"/>
        </w:numPr>
        <w:spacing w:after="120" w:line="360" w:lineRule="auto"/>
        <w:ind w:left="357" w:hanging="357"/>
      </w:pPr>
      <w:r>
        <w:t xml:space="preserve">International assessments of </w:t>
      </w:r>
      <w:r w:rsidR="00D51E1D">
        <w:t>c</w:t>
      </w:r>
      <w:r w:rsidR="007807F9">
        <w:t xml:space="preserve">limate policy </w:t>
      </w:r>
      <w:r w:rsidR="00DA0DD4">
        <w:t>constraints</w:t>
      </w:r>
    </w:p>
    <w:p w14:paraId="5FB7B07D" w14:textId="40E21E68" w:rsidR="0021445B" w:rsidRPr="00474BDC" w:rsidRDefault="001C7D4F" w:rsidP="00E77203">
      <w:pPr>
        <w:spacing w:line="360" w:lineRule="auto"/>
      </w:pPr>
      <w:r>
        <w:t>What</w:t>
      </w:r>
      <w:r w:rsidR="0021445B">
        <w:t xml:space="preserve"> </w:t>
      </w:r>
      <w:r>
        <w:t xml:space="preserve">climate policy </w:t>
      </w:r>
      <w:r w:rsidR="0021445B">
        <w:t xml:space="preserve">constraints </w:t>
      </w:r>
      <w:r>
        <w:t xml:space="preserve">have </w:t>
      </w:r>
      <w:r w:rsidR="005910C9">
        <w:t xml:space="preserve">been </w:t>
      </w:r>
      <w:r>
        <w:t xml:space="preserve">examined </w:t>
      </w:r>
      <w:r w:rsidR="005910C9">
        <w:t>to date</w:t>
      </w:r>
      <w:r>
        <w:t>? In this section we focus on the international comparative literature, structuring identified constraints into the three broad areas already introduced</w:t>
      </w:r>
      <w:r w:rsidR="0021445B">
        <w:t xml:space="preserve">: </w:t>
      </w:r>
      <w:r w:rsidR="00FB482A">
        <w:t>the role of interests, institutions and ideas.</w:t>
      </w:r>
      <w:r w:rsidR="0021445B">
        <w:t xml:space="preserve"> </w:t>
      </w:r>
      <w:r>
        <w:t>We derive the relevant literature from a</w:t>
      </w:r>
      <w:r w:rsidR="0021445B">
        <w:t xml:space="preserve"> search in the </w:t>
      </w:r>
      <w:r w:rsidR="00E02B92">
        <w:t>W</w:t>
      </w:r>
      <w:r w:rsidR="0021445B">
        <w:t xml:space="preserve">eb of </w:t>
      </w:r>
      <w:r w:rsidR="00E02B92">
        <w:t>S</w:t>
      </w:r>
      <w:r w:rsidR="0021445B">
        <w:t xml:space="preserve">cience and </w:t>
      </w:r>
      <w:r w:rsidR="00E02B92">
        <w:t>S</w:t>
      </w:r>
      <w:r w:rsidR="0021445B">
        <w:t xml:space="preserve">copus </w:t>
      </w:r>
      <w:r w:rsidR="00E02B92">
        <w:t>[</w:t>
      </w:r>
      <w:proofErr w:type="spellStart"/>
      <w:r w:rsidRPr="001C7D4F">
        <w:rPr>
          <w:highlight w:val="yellow"/>
        </w:rPr>
        <w:t>ahhh</w:t>
      </w:r>
      <w:proofErr w:type="spellEnd"/>
      <w:r w:rsidRPr="001C7D4F">
        <w:rPr>
          <w:highlight w:val="yellow"/>
        </w:rPr>
        <w:t xml:space="preserve"> </w:t>
      </w:r>
      <w:r w:rsidR="00E02B92" w:rsidRPr="001C7D4F">
        <w:rPr>
          <w:highlight w:val="yellow"/>
        </w:rPr>
        <w:t>I</w:t>
      </w:r>
      <w:r w:rsidR="00E02B92" w:rsidRPr="00E02B92">
        <w:rPr>
          <w:highlight w:val="yellow"/>
        </w:rPr>
        <w:t xml:space="preserve"> lost it somehow!!</w:t>
      </w:r>
      <w:r w:rsidR="00E02B92">
        <w:t>]</w:t>
      </w:r>
      <w:r w:rsidR="001A558D">
        <w:t xml:space="preserve">, followed by manually </w:t>
      </w:r>
      <w:r w:rsidR="00776647">
        <w:t xml:space="preserve">searching for citations </w:t>
      </w:r>
      <w:r w:rsidR="005910C9">
        <w:t>in Google Scholar</w:t>
      </w:r>
      <w:r w:rsidR="00E02B92">
        <w:t xml:space="preserve">. </w:t>
      </w:r>
      <w:r w:rsidR="005910C9">
        <w:t xml:space="preserve">Studies </w:t>
      </w:r>
      <w:r w:rsidR="003671BD">
        <w:t>examining only emissions outcomes</w:t>
      </w:r>
      <w:r w:rsidR="005910C9">
        <w:t xml:space="preserve"> are rejected. Our focus is instead</w:t>
      </w:r>
      <w:r w:rsidR="003671BD">
        <w:t xml:space="preserve"> on the adoption of legislation, climate policies, policy stringency</w:t>
      </w:r>
      <w:r w:rsidR="005910C9">
        <w:t xml:space="preserve"> and policy outcomes</w:t>
      </w:r>
      <w:r w:rsidR="003671BD">
        <w:t xml:space="preserve"> (defined in Table </w:t>
      </w:r>
      <w:r w:rsidR="005910C9">
        <w:t>2</w:t>
      </w:r>
      <w:r w:rsidR="003671BD">
        <w:t>).</w:t>
      </w:r>
      <w:r w:rsidR="00974850">
        <w:t xml:space="preserve"> </w:t>
      </w:r>
      <w:r w:rsidR="005910C9">
        <w:t>We complement the discussion of these with relevant case study</w:t>
      </w:r>
      <w:r w:rsidR="00495033">
        <w:t>, surveys</w:t>
      </w:r>
      <w:r w:rsidR="005910C9">
        <w:t xml:space="preserve"> and qualitative research, particularly from literature</w:t>
      </w:r>
      <w:r w:rsidR="00495033">
        <w:t>s</w:t>
      </w:r>
      <w:r w:rsidR="005910C9">
        <w:t xml:space="preserve"> on public policy</w:t>
      </w:r>
      <w:r w:rsidR="00495033">
        <w:t xml:space="preserve"> making and </w:t>
      </w:r>
      <w:r w:rsidR="00776647">
        <w:t xml:space="preserve">public perceptions of </w:t>
      </w:r>
      <w:r w:rsidR="00495033">
        <w:t>climate</w:t>
      </w:r>
      <w:r w:rsidR="00776647">
        <w:t xml:space="preserve"> change</w:t>
      </w:r>
      <w:r w:rsidR="005910C9">
        <w:t>.</w:t>
      </w:r>
    </w:p>
    <w:p w14:paraId="2CEE744E" w14:textId="77777777" w:rsidR="00474BDC" w:rsidRDefault="00474BDC" w:rsidP="00474BDC">
      <w:pPr>
        <w:pStyle w:val="Heading3"/>
        <w:numPr>
          <w:ilvl w:val="1"/>
          <w:numId w:val="19"/>
        </w:numPr>
        <w:spacing w:after="120" w:line="360" w:lineRule="auto"/>
        <w:ind w:left="788" w:hanging="431"/>
      </w:pPr>
      <w:r>
        <w:t>Interests</w:t>
      </w:r>
    </w:p>
    <w:p w14:paraId="52F0B18C" w14:textId="0CF55200" w:rsidR="00474BDC" w:rsidRDefault="00660C16" w:rsidP="004D248E">
      <w:pPr>
        <w:spacing w:line="360" w:lineRule="auto"/>
      </w:pPr>
      <w:r>
        <w:t>Certain interest</w:t>
      </w:r>
      <w:r w:rsidR="004D248E">
        <w:t xml:space="preserve"> </w:t>
      </w:r>
      <w:r>
        <w:t xml:space="preserve">groups are likely to strongly oppose stringent </w:t>
      </w:r>
      <w:r w:rsidR="004D248E">
        <w:t>climate policy. Most prominently, e</w:t>
      </w:r>
      <w:r w:rsidR="00474BDC">
        <w:t>lectricity utilities with large portfolios of fossil fuel</w:t>
      </w:r>
      <w:r w:rsidR="00B50098">
        <w:t xml:space="preserve"> generation (coal, oil and gas) will face increased compliance costs in the short term</w:t>
      </w:r>
      <w:r w:rsidR="005910C9">
        <w:t>, along with the upstream suppliers of these fuels (fossil extraction, refining and transportation industries)</w:t>
      </w:r>
      <w:r w:rsidR="00B50098">
        <w:t xml:space="preserve">. In the long term, effective and global reforms ought to phase out freely carbon-emitting activities entirely, threatening the standard operating practices of some of the </w:t>
      </w:r>
      <w:r w:rsidR="00244B27">
        <w:t xml:space="preserve">most capitalised </w:t>
      </w:r>
      <w:r w:rsidR="00B50098">
        <w:t>international companies in existence (e.g. Shell, BP, Sinopec</w:t>
      </w:r>
      <w:r w:rsidR="005910C9">
        <w:t>, Saudi Aramco</w:t>
      </w:r>
      <w:r w:rsidR="00B50098">
        <w:t xml:space="preserve"> and others). </w:t>
      </w:r>
      <w:r w:rsidR="00EE4210">
        <w:t>O</w:t>
      </w:r>
      <w:r w:rsidR="00474BDC">
        <w:t xml:space="preserve">ther energy-intensive industries are </w:t>
      </w:r>
      <w:r w:rsidR="00EE4210">
        <w:t xml:space="preserve">also </w:t>
      </w:r>
      <w:r w:rsidR="00474BDC">
        <w:t>materially exposed to climate policy, such as mining and smelting firms, and chemical and heavy manufacturing industries.</w:t>
      </w:r>
    </w:p>
    <w:p w14:paraId="014941BD" w14:textId="732B534D" w:rsidR="0021679D" w:rsidRDefault="00B50098" w:rsidP="0021679D">
      <w:pPr>
        <w:spacing w:line="360" w:lineRule="auto"/>
      </w:pPr>
      <w:r>
        <w:t>The</w:t>
      </w:r>
      <w:r w:rsidR="0068619D">
        <w:t xml:space="preserve">re is mixed evidence that </w:t>
      </w:r>
      <w:r>
        <w:t xml:space="preserve">fossil interests </w:t>
      </w:r>
      <w:r w:rsidR="0068619D">
        <w:t xml:space="preserve">influence the adoption of climate legislation, but </w:t>
      </w:r>
      <w:r w:rsidR="00244B27">
        <w:t>more</w:t>
      </w:r>
      <w:r w:rsidR="0068619D">
        <w:t xml:space="preserve"> support for the claim that they oppose climate policy adoption and stringency. </w:t>
      </w:r>
      <w:proofErr w:type="spellStart"/>
      <w:r w:rsidR="00244B27">
        <w:t>Steves</w:t>
      </w:r>
      <w:proofErr w:type="spellEnd"/>
      <w:r w:rsidR="00244B27">
        <w:t xml:space="preserve"> &amp; </w:t>
      </w:r>
      <w:proofErr w:type="spellStart"/>
      <w:r w:rsidR="00244B27">
        <w:t>T</w:t>
      </w:r>
      <w:r w:rsidR="00244B27" w:rsidRPr="0068619D">
        <w:rPr>
          <w:noProof/>
        </w:rPr>
        <w:t>eytelboym</w:t>
      </w:r>
      <w:proofErr w:type="spellEnd"/>
      <w:r w:rsidR="00244B27">
        <w:rPr>
          <w:noProof/>
        </w:rPr>
        <w:t xml:space="preserve"> </w:t>
      </w:r>
      <w:r w:rsidR="00244B27">
        <w:fldChar w:fldCharType="begin" w:fldLock="1"/>
      </w:r>
      <w:r w:rsidR="00244B27">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Policy","type":"report","volume":"13-06"},"suppress-author":1,"uris":["http://www.mendeley.com/documents/?uuid=dd462bb8-22d5-4711-9e68-cf7fbb4d515e"]}],"mendeley":{"formattedCitation":"(2013)","plainTextFormattedCitation":"(2013)","previouslyFormattedCitation":"(Steves &amp; Teytelboym, 2013)"},"properties":{"noteIndex":0},"schema":"https://github.com/citation-style-language/schema/raw/master/csl-citation.json"}</w:instrText>
      </w:r>
      <w:r w:rsidR="00244B27">
        <w:fldChar w:fldCharType="separate"/>
      </w:r>
      <w:r w:rsidR="00244B27" w:rsidRPr="00244B27">
        <w:rPr>
          <w:noProof/>
        </w:rPr>
        <w:t>(2013)</w:t>
      </w:r>
      <w:r w:rsidR="00244B27">
        <w:fldChar w:fldCharType="end"/>
      </w:r>
      <w:r w:rsidR="00244B27">
        <w:t xml:space="preserve"> find that </w:t>
      </w:r>
      <w:r w:rsidR="0068619D">
        <w:t xml:space="preserve">high shares of industry in GDP reduce </w:t>
      </w:r>
      <w:r w:rsidR="00244B27">
        <w:t xml:space="preserve">climate legislation </w:t>
      </w:r>
      <w:r w:rsidR="0068619D">
        <w:t xml:space="preserve">adoption </w:t>
      </w:r>
      <w:r w:rsidR="0021679D">
        <w:t>rates</w:t>
      </w:r>
      <w:r w:rsidR="00244B27">
        <w:t>.</w:t>
      </w:r>
      <w:r w:rsidR="0021679D">
        <w:t xml:space="preserve"> </w:t>
      </w:r>
      <w:proofErr w:type="spellStart"/>
      <w:r w:rsidR="00474BDC">
        <w:t>Lachapelle</w:t>
      </w:r>
      <w:proofErr w:type="spellEnd"/>
      <w:r w:rsidR="00474BDC">
        <w:t xml:space="preserve"> &amp; Paterson </w:t>
      </w:r>
      <w:r w:rsidR="00474BDC">
        <w:fldChar w:fldCharType="begin" w:fldLock="1"/>
      </w:r>
      <w:r w:rsidR="00474BDC">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suppress-author":1,"uris":["http://www.mendeley.com/documents/?uuid=b86eaeea-7a35-48c2-8487-71c86abf8931"]}],"mendeley":{"formattedCitation":"(2013)","plainTextFormattedCitation":"(2013)","previouslyFormattedCitation":"(2013)"},"properties":{"noteIndex":0},"schema":"https://github.com/citation-style-language/schema/raw/master/csl-citation.json"}</w:instrText>
      </w:r>
      <w:r w:rsidR="00474BDC">
        <w:fldChar w:fldCharType="separate"/>
      </w:r>
      <w:r w:rsidR="00474BDC" w:rsidRPr="00E92ABD">
        <w:rPr>
          <w:noProof/>
        </w:rPr>
        <w:t>(2013)</w:t>
      </w:r>
      <w:r w:rsidR="00474BDC">
        <w:fldChar w:fldCharType="end"/>
      </w:r>
      <w:r w:rsidR="00474BDC">
        <w:t xml:space="preserve"> and </w:t>
      </w:r>
      <w:proofErr w:type="spellStart"/>
      <w:r w:rsidR="00474BDC">
        <w:t>Fankhauser</w:t>
      </w:r>
      <w:proofErr w:type="spellEnd"/>
      <w:r w:rsidR="00474BDC">
        <w:t xml:space="preserve"> et al. </w:t>
      </w:r>
      <w:r w:rsidR="00474BDC">
        <w:fldChar w:fldCharType="begin" w:fldLock="1"/>
      </w:r>
      <w:r w:rsidR="00474BDC">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suppress-author":1,"uris":["http://www.mendeley.com/documents/?uuid=860f5671-59a0-4f8d-a7d7-b495238f5d28"]}],"mendeley":{"formattedCitation":"(2015)","plainTextFormattedCitation":"(2015)","previouslyFormattedCitation":"(2015)"},"properties":{"noteIndex":0},"schema":"https://github.com/citation-style-language/schema/raw/master/csl-citation.json"}</w:instrText>
      </w:r>
      <w:r w:rsidR="00474BDC">
        <w:fldChar w:fldCharType="separate"/>
      </w:r>
      <w:r w:rsidR="00474BDC" w:rsidRPr="00E92ABD">
        <w:rPr>
          <w:noProof/>
        </w:rPr>
        <w:t>(2015)</w:t>
      </w:r>
      <w:r w:rsidR="00474BDC">
        <w:fldChar w:fldCharType="end"/>
      </w:r>
      <w:r w:rsidR="00474BDC">
        <w:t xml:space="preserve"> </w:t>
      </w:r>
      <w:r w:rsidR="00244B27">
        <w:t xml:space="preserve">examine the impact of fossil fuel exports in GDP on </w:t>
      </w:r>
      <w:r w:rsidR="00244B27">
        <w:lastRenderedPageBreak/>
        <w:t xml:space="preserve">legislation adoption, finding </w:t>
      </w:r>
      <w:r w:rsidR="00474BDC">
        <w:t xml:space="preserve">a negative correlation, but not a significant relationship. </w:t>
      </w:r>
      <w:r w:rsidR="00244B27">
        <w:t xml:space="preserve">But when it comes to </w:t>
      </w:r>
      <w:r w:rsidR="0021679D">
        <w:t xml:space="preserve">climate policies, </w:t>
      </w:r>
      <w:r w:rsidR="00474BDC">
        <w:t xml:space="preserve">Dolphin et al. </w:t>
      </w:r>
      <w:r w:rsidR="00474BDC">
        <w:fldChar w:fldCharType="begin" w:fldLock="1"/>
      </w:r>
      <w:r w:rsidR="00474BDC">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suppress-author":1,"uris":["http://www.mendeley.com/documents/?uuid=6e269377-11ab-4240-a1eb-07b94f1ee52b"]}],"mendeley":{"formattedCitation":"(2016)","plainTextFormattedCitation":"(2016)","previouslyFormattedCitation":"(2016)"},"properties":{"noteIndex":0},"schema":"https://github.com/citation-style-language/schema/raw/master/csl-citation.json"}</w:instrText>
      </w:r>
      <w:r w:rsidR="00474BDC">
        <w:fldChar w:fldCharType="separate"/>
      </w:r>
      <w:r w:rsidR="00474BDC" w:rsidRPr="00E92ABD">
        <w:rPr>
          <w:noProof/>
        </w:rPr>
        <w:t>(2016)</w:t>
      </w:r>
      <w:r w:rsidR="00474BDC">
        <w:fldChar w:fldCharType="end"/>
      </w:r>
      <w:r w:rsidR="00E701C0">
        <w:t xml:space="preserve"> show that</w:t>
      </w:r>
      <w:r w:rsidR="0021679D">
        <w:t xml:space="preserve"> carbon tax adoption</w:t>
      </w:r>
      <w:r w:rsidR="00E701C0">
        <w:t xml:space="preserve"> is </w:t>
      </w:r>
      <w:r w:rsidR="0021679D">
        <w:t xml:space="preserve">strongly </w:t>
      </w:r>
      <w:r w:rsidR="00E701C0">
        <w:t xml:space="preserve">limited by </w:t>
      </w:r>
      <w:r w:rsidR="00474BDC">
        <w:t xml:space="preserve">high </w:t>
      </w:r>
      <w:r w:rsidR="0021679D">
        <w:t xml:space="preserve">industry shares of GDP, as well as </w:t>
      </w:r>
      <w:r w:rsidR="00474BDC">
        <w:t>fossil fuel shares</w:t>
      </w:r>
      <w:r w:rsidR="0021679D">
        <w:t xml:space="preserve"> of electricity generation</w:t>
      </w:r>
      <w:r w:rsidR="00474BDC">
        <w:t xml:space="preserve"> </w:t>
      </w:r>
      <w:r>
        <w:t>(coal and oil, but not gas)</w:t>
      </w:r>
      <w:r w:rsidR="00E701C0">
        <w:t xml:space="preserve">. </w:t>
      </w:r>
      <w:r w:rsidR="0021679D">
        <w:t xml:space="preserve">Carbon tax stringency, in turn, is </w:t>
      </w:r>
      <w:r w:rsidR="00244B27">
        <w:t xml:space="preserve">hampered especially </w:t>
      </w:r>
      <w:r w:rsidR="0021679D">
        <w:t xml:space="preserve">by </w:t>
      </w:r>
      <w:r w:rsidR="00E701C0">
        <w:t xml:space="preserve">high shares of coal in the energy generation </w:t>
      </w:r>
      <w:r w:rsidR="00244B27">
        <w:t xml:space="preserve">mix </w:t>
      </w:r>
      <w:r w:rsidR="00E701C0">
        <w:fldChar w:fldCharType="begin" w:fldLock="1"/>
      </w:r>
      <w:r w:rsidR="00CB3643">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Pricing","type":"report"},"uris":["http://www.mendeley.com/documents/?uuid=e735e56c-ae2c-4e9e-8dcb-dbdd5ff69b92"]},{"id":"ITEM-2","itemData":{"DOI":"10.17863/CAM.7825","abstract":"In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Economics","id":"ITEM-2","issued":{"date-parts":[["2016"]]},"number":"1663","number-of-pages":"1-45","publisher-place":"Cambrdige, UK","title":"The Political Economy of Carbon Pricing: a Panel Analysis","type":"report"},"uris":["http://www.mendeley.com/documents/?uuid=6e269377-11ab-4240-a1eb-07b94f1ee52b"]}],"mendeley":{"formattedCitation":"(Dolphin et al., 2016; Levi, Flachsland, &amp; Jakob, 2019)","plainTextFormattedCitation":"(Dolphin et al., 2016; Levi, Flachsland, &amp; Jakob, 2019)","previouslyFormattedCitation":"(Dolphin et al., 2016; Levi, Flachsland, &amp; Jakob, 2019)"},"properties":{"noteIndex":0},"schema":"https://github.com/citation-style-language/schema/raw/master/csl-citation.json"}</w:instrText>
      </w:r>
      <w:r w:rsidR="00E701C0">
        <w:fldChar w:fldCharType="separate"/>
      </w:r>
      <w:r w:rsidR="00E701C0" w:rsidRPr="00E701C0">
        <w:rPr>
          <w:noProof/>
        </w:rPr>
        <w:t>(Dolphin et al., 2016; Levi, Flachsland, &amp; Jakob, 2019)</w:t>
      </w:r>
      <w:r w:rsidR="00E701C0">
        <w:fldChar w:fldCharType="end"/>
      </w:r>
      <w:r w:rsidR="00E701C0">
        <w:t>.</w:t>
      </w:r>
      <w:r w:rsidR="0021679D">
        <w:t xml:space="preserve"> </w:t>
      </w:r>
    </w:p>
    <w:p w14:paraId="724C3648" w14:textId="36C6823A" w:rsidR="00474BDC" w:rsidRDefault="00825A0A" w:rsidP="00E77203">
      <w:pPr>
        <w:spacing w:line="360" w:lineRule="auto"/>
      </w:pPr>
      <w:r>
        <w:t>Fossil interests may take different approaches in minimising their exposure to regulation</w:t>
      </w:r>
      <w:r w:rsidR="00244B27">
        <w:t>, explaining these divergent effects</w:t>
      </w:r>
      <w:r>
        <w:t xml:space="preserve">. </w:t>
      </w:r>
      <w:r w:rsidR="00474BDC">
        <w:t xml:space="preserve">Direct opposition to </w:t>
      </w:r>
      <w:r w:rsidR="00426990">
        <w:t xml:space="preserve">climate </w:t>
      </w:r>
      <w:r w:rsidR="00474BDC">
        <w:t xml:space="preserve">policy adoption (or the roll-back of existing </w:t>
      </w:r>
      <w:r w:rsidR="0021679D">
        <w:t>policies</w:t>
      </w:r>
      <w:r w:rsidR="00474BDC">
        <w:t xml:space="preserve">) </w:t>
      </w:r>
      <w:r w:rsidR="00426990">
        <w:t>has been well documented</w:t>
      </w:r>
      <w:r w:rsidR="00474BDC">
        <w:t xml:space="preserve"> in case studies, such as the carbon tax repeal in Australia </w:t>
      </w:r>
      <w:r w:rsidR="00474BDC">
        <w:fldChar w:fldCharType="begin" w:fldLock="1"/>
      </w:r>
      <w:r w:rsidR="00474BDC">
        <w:instrText>ADDIN CSL_CITATION {"citationItems":[{"id":"ITEM-1","itemData":{"DOI":"10.1002/wcc.458","ISSN":"17577799","abstract":"The 2013 election of Australia's conservative Abbott Coalition (Liberal and National parties) government saw the repeal of carbon pricing, (which had previously been implemented by the Labor government in 2012), assume the first order of business. This Focus article reviews expert and political commentary and analysis of the repeal, and provides an overview of the Abbott government's dismantling and attempted dismantling of other climate initiatives. It reviews commentary and critiques of the government's substitute Direct Action (DA) policy and its capacity to reduce emissions. The views of the international community on the Abbott government's repositioning of Australia's climate policy are considered, as are the prospects of achieving effective emissions reduction policy under Abbott's successor, Prime Minister Malcolm Turnbull. The paper notes the role of the Senate in both assisting and frustrating government reforms, as well as aspects of policy continuity that could see a form of carbon pricing revived in future. It explores the correlation between the political ascension of Tony Abbott and his rejection of carbon pricing, whether his substitute DA mechanism will effectively reduce emissions, and the adequacy of Australia's current global climate policy aspirations. For further resources related to this article, please visit the WIREs website.","author":[{"dropping-particle":"","family":"Crowley","given":"Kate","non-dropping-particle":"","parse-names":false,"suffix":""}],"container-title":"Wiley Interdisciplinary Reviews: Climate Change","id":"ITEM-1","issue":"e458","issued":{"date-parts":[["2017"]]},"title":"Up and down with climate politics 2013–2016: the repeal of carbon pricing in Australia","type":"article-journal","volume":"8"},"uris":["http://www.mendeley.com/documents/?uuid=2aab40cb-0cda-4658-bfdf-e355fe2d17bd"]}],"mendeley":{"formattedCitation":"(Crowley, 2017)","plainTextFormattedCitation":"(Crowley, 2017)","previouslyFormattedCitation":"(Crowley, 2017)"},"properties":{"noteIndex":0},"schema":"https://github.com/citation-style-language/schema/raw/master/csl-citation.json"}</w:instrText>
      </w:r>
      <w:r w:rsidR="00474BDC">
        <w:fldChar w:fldCharType="separate"/>
      </w:r>
      <w:r w:rsidR="00474BDC" w:rsidRPr="00E92ABD">
        <w:rPr>
          <w:noProof/>
        </w:rPr>
        <w:t>(Crowley, 2017)</w:t>
      </w:r>
      <w:r w:rsidR="00474BDC">
        <w:fldChar w:fldCharType="end"/>
      </w:r>
      <w:r w:rsidR="00426990">
        <w:t xml:space="preserve">, </w:t>
      </w:r>
      <w:r w:rsidR="00474BDC">
        <w:t xml:space="preserve">heavy lobbying against coal regulation in South Africa </w:t>
      </w:r>
      <w:r w:rsidR="00474BDC">
        <w:fldChar w:fldCharType="begin" w:fldLock="1"/>
      </w:r>
      <w:r w:rsidR="00474BDC">
        <w:instrText>ADDIN CSL_CITATION {"citationItems":[{"id":"ITEM-1","itemData":{"DOI":"10.1080/13563467.2013.849674","ISBN":"13563467 (ISSN)","ISSN":"14699923","PMID":"29076745","abstract":"This paper explores the political economy of energy transition in South Africa. An economic model based around a powerful 'minerals-energy complex' that has previously been able to provide domestic and foreign capital with cheap and plentiful coal-generated electricity is no longer economically or environmentally sustainable. The paper analyses the struggle over competing energy visions, infrastructures and political agendas in order to generate insights into the governance and financing of clean energy transitions in South Africa. It provides both a rich empirical account of key policy developments aimed at enabling such a transition and provides reflections on how best to theorise the contested politics of energy transitions. © 2014 © 2014 Taylor &amp; Francis.","author":[{"dropping-particle":"","family":"Baker","given":"Lucy","non-dropping-particle":"","parse-names":false,"suffix":""},{"dropping-particle":"","family":"Newell","given":"Peter","non-dropping-particle":"","parse-names":false,"suffix":""},{"dropping-particle":"","family":"Phillips","given":"Jon","non-dropping-particle":"","parse-names":false,"suffix":""}],"container-title":"New Political Economy","id":"ITEM-1","issue":"6","issued":{"date-parts":[["2014"]]},"page":"791-818","publisher":"Taylor &amp; Francis","title":"The Political Economy of Energy Transitions: The Case of South Africa","type":"article-journal","volume":"19"},"uris":["http://www.mendeley.com/documents/?uuid=b67e097f-8c23-4b18-b0ee-d8afec5c1f32"]}],"mendeley":{"formattedCitation":"(Baker, Newell, &amp; Phillips, 2014)","plainTextFormattedCitation":"(Baker, Newell, &amp; Phillips, 2014)","previouslyFormattedCitation":"(Baker, Newell, &amp; Phillips, 2014)"},"properties":{"noteIndex":0},"schema":"https://github.com/citation-style-language/schema/raw/master/csl-citation.json"}</w:instrText>
      </w:r>
      <w:r w:rsidR="00474BDC">
        <w:fldChar w:fldCharType="separate"/>
      </w:r>
      <w:r w:rsidR="00474BDC" w:rsidRPr="00E92ABD">
        <w:rPr>
          <w:noProof/>
        </w:rPr>
        <w:t>(Baker, Newell, &amp; Phillips, 2014)</w:t>
      </w:r>
      <w:r w:rsidR="00474BDC">
        <w:fldChar w:fldCharType="end"/>
      </w:r>
      <w:r w:rsidR="00426990">
        <w:t>, and the more recent and widely commented-on failure of a carbon price ballot in Washington State</w:t>
      </w:r>
      <w:r w:rsidR="0021679D">
        <w:t>, US</w:t>
      </w:r>
      <w:r w:rsidR="00244B27">
        <w:t xml:space="preserve"> (</w:t>
      </w:r>
      <w:commentRangeStart w:id="1"/>
      <w:r w:rsidR="00244B27">
        <w:t>ref</w:t>
      </w:r>
      <w:commentRangeEnd w:id="1"/>
      <w:r w:rsidR="00244B27">
        <w:rPr>
          <w:rStyle w:val="CommentReference"/>
        </w:rPr>
        <w:commentReference w:id="1"/>
      </w:r>
      <w:r w:rsidR="00244B27">
        <w:t>)</w:t>
      </w:r>
      <w:r w:rsidR="00474BDC">
        <w:t xml:space="preserve">. Yet, when high political demand for climate policy is perceived, </w:t>
      </w:r>
      <w:r w:rsidR="002B3ABC">
        <w:t xml:space="preserve">affected interests </w:t>
      </w:r>
      <w:r w:rsidR="00474BDC">
        <w:t>may also tak</w:t>
      </w:r>
      <w:r w:rsidR="002B3ABC">
        <w:t>e a hedging strategy: support</w:t>
      </w:r>
      <w:r w:rsidR="00474BDC">
        <w:t xml:space="preserve"> the adoption of</w:t>
      </w:r>
      <w:r w:rsidR="00426990">
        <w:t xml:space="preserve"> policy</w:t>
      </w:r>
      <w:r w:rsidR="002B3ABC">
        <w:t>, but push</w:t>
      </w:r>
      <w:r w:rsidR="00474BDC">
        <w:t xml:space="preserve"> for exemptions or a particular instrument in order to minimise compliance costs </w:t>
      </w:r>
      <w:r w:rsidR="00474BDC">
        <w:fldChar w:fldCharType="begin" w:fldLock="1"/>
      </w:r>
      <w:r w:rsidR="00474BDC">
        <w:instrText>ADDIN CSL_CITATION {"citationItems":[{"id":"ITEM-1","itemData":{"DOI":"10.1162/GLEP_a_00296","author":[{"dropping-particle":"","family":"Meckling","given":"Jonas","non-dropping-particle":"","parse-names":false,"suffix":""}],"container-title":"Global Environmental Politics","id":"ITEM-1","issue":"2","issued":{"date-parts":[["2015"]]},"page":"19-37","title":"Oppose, Support, or Hedge? Distributional Effects, Regulatory Pressure, and Business Strategy in Environmental Politics","type":"article-journal","volume":"15"},"uris":["http://www.mendeley.com/documents/?uuid=4a092783-a8b4-46b0-9bb7-2caac46cc384"]}],"mendeley":{"formattedCitation":"(Meckling, 2015)","plainTextFormattedCitation":"(Meckling, 2015)","previouslyFormattedCitation":"(Meckling, 2015)"},"properties":{"noteIndex":0},"schema":"https://github.com/citation-style-language/schema/raw/master/csl-citation.json"}</w:instrText>
      </w:r>
      <w:r w:rsidR="00474BDC">
        <w:fldChar w:fldCharType="separate"/>
      </w:r>
      <w:r w:rsidR="00474BDC" w:rsidRPr="00E92ABD">
        <w:rPr>
          <w:noProof/>
        </w:rPr>
        <w:t>(Meckling, 2015)</w:t>
      </w:r>
      <w:r w:rsidR="00474BDC">
        <w:fldChar w:fldCharType="end"/>
      </w:r>
      <w:r w:rsidR="00474BDC">
        <w:t xml:space="preserve">. This occurred in the case of the EU Emissions Trading Scheme (ETS), where industrial associations representing oil and gas and electric utility interests took a pro-regulation stance, but favoured emissions trading over a carbon tax, due to lower predicted costs </w:t>
      </w:r>
      <w:r w:rsidR="00474BDC">
        <w:fldChar w:fldCharType="begin" w:fldLock="1"/>
      </w:r>
      <w:r w:rsidR="00474BDC">
        <w:instrText>ADDIN CSL_CITATION {"citationItems":[{"id":"ITEM-1","itemData":{"DOI":"10.1162/GLEP_a_00296","author":[{"dropping-particle":"","family":"Meckling","given":"Jonas","non-dropping-particle":"","parse-names":false,"suffix":""}],"container-title":"Global Environmental Politics","id":"ITEM-1","issue":"2","issued":{"date-parts":[["2015"]]},"page":"19-37","title":"Oppose, Support, or Hedge? Distributional Effects, Regulatory Pressure, and Business Strategy in Environmental Politics","type":"article-journal","volume":"15"},"uris":["http://www.mendeley.com/documents/?uuid=4a092783-a8b4-46b0-9bb7-2caac46cc384"]}],"mendeley":{"formattedCitation":"(Meckling, 2015)","plainTextFormattedCitation":"(Meckling, 2015)","previouslyFormattedCitation":"(Meckling, 2015)"},"properties":{"noteIndex":0},"schema":"https://github.com/citation-style-language/schema/raw/master/csl-citation.json"}</w:instrText>
      </w:r>
      <w:r w:rsidR="00474BDC">
        <w:fldChar w:fldCharType="separate"/>
      </w:r>
      <w:r w:rsidR="00474BDC" w:rsidRPr="00E92ABD">
        <w:rPr>
          <w:noProof/>
        </w:rPr>
        <w:t>(Meckling, 2015)</w:t>
      </w:r>
      <w:r w:rsidR="00474BDC">
        <w:fldChar w:fldCharType="end"/>
      </w:r>
      <w:r w:rsidR="00474BDC">
        <w:t>. The influence of vested interests is therefore mediated by domestic political contexts</w:t>
      </w:r>
      <w:r w:rsidR="00244B27">
        <w:t>, such as perceived popular demand for action</w:t>
      </w:r>
      <w:r w:rsidR="00474BDC">
        <w:t xml:space="preserve">, and may not necessarily manifest as opposition to climate </w:t>
      </w:r>
      <w:r w:rsidR="00474BDC" w:rsidRPr="00426990">
        <w:t>legislation</w:t>
      </w:r>
      <w:r w:rsidR="00F265BA">
        <w:t xml:space="preserve"> or policy adoption.</w:t>
      </w:r>
    </w:p>
    <w:p w14:paraId="5C73EE0B" w14:textId="2A32B33F" w:rsidR="00C61ACB" w:rsidRDefault="0028744D" w:rsidP="0021445B">
      <w:pPr>
        <w:spacing w:line="360" w:lineRule="auto"/>
      </w:pPr>
      <w:r>
        <w:t xml:space="preserve">Besides fossil fuel interests, other groups are likely to have a stake in climate policy processes. Environmental NGOs are vocal proponents and are known to support and participate in a wide array of decision making and governance activities </w:t>
      </w:r>
      <w:r>
        <w:fldChar w:fldCharType="begin" w:fldLock="1"/>
      </w:r>
      <w:r>
        <w:instrText>ADDIN CSL_CITATION {"citationItems":[{"id":"ITEM-1","itemData":{"DOI":"10.1002/wcc.497","ISSN":"17577799","abstract":"In this article, we outline the multifaceted roles played by non-state\nactors within the United Nations Framework Convention on Climate Change\nand place this within the wider landscape of global climate governance.\nIn doing so, we look at both the formation and aftermath of the 2015\nParis Agreement. We argue that the Paris Agreement cements an\narchitecture of hybrid multilateralism that enables and constrains\nnon-state actor participation in global climate governance. We flesh out\nthe constitutive features of hybrid multilateralism, enumerate the\nmultiple positions non-state actors may employ under these conditions,\nand contend that non-state actors will play an increasingly important\nrole in the post-Paris era. To substantiate these claims, we assess\nthese shifts and ask how non-state actors may affect the legitimacy,\njustice, and effectiveness of the Paris Agreement. (c) 2017 Wiley\nPeriodicals, Inc.","author":[{"dropping-particle":"","family":"Kuyper","given":"Jonathan W.","non-dropping-particle":"","parse-names":false,"suffix":""},{"dropping-particle":"","family":"Linnér","given":"Björn Ola","non-dropping-particle":"","parse-names":false,"suffix":""},{"dropping-particle":"","family":"Schroeder","given":"Heike","non-dropping-particle":"","parse-names":false,"suffix":""}],"container-title":"Wiley Interdisciplinary Reviews: Climate Change","id":"ITEM-1","issue":"1","issued":{"date-parts":[["2018"]]},"page":"1-18","title":"Non-state actors in hybrid global climate governance: justice, legitimacy, and effectiveness in a post-Paris era","type":"article-journal","volume":"9"},"uris":["http://www.mendeley.com/documents/?uuid=75969448-4a48-4153-9d6d-20b885fd3af5"]}],"mendeley":{"formattedCitation":"(Kuyper, Linnér, &amp; Schroeder, 2018)","plainTextFormattedCitation":"(Kuyper, Linnér, &amp; Schroeder, 2018)","previouslyFormattedCitation":"(Kuyper, Linnér, &amp; Schroeder, 2018)"},"properties":{"noteIndex":0},"schema":"https://github.com/citation-style-language/schema/raw/master/csl-citation.json"}</w:instrText>
      </w:r>
      <w:r>
        <w:fldChar w:fldCharType="separate"/>
      </w:r>
      <w:r w:rsidRPr="00FC16B3">
        <w:rPr>
          <w:noProof/>
        </w:rPr>
        <w:t>(Kuyper, Linnér, &amp; Schroeder, 2018)</w:t>
      </w:r>
      <w:r>
        <w:fldChar w:fldCharType="end"/>
      </w:r>
      <w:r>
        <w:t xml:space="preserve">. Indeed, there is cross-national evidence that the absence of environmental NGOs hinders the adoption of climate legislation </w:t>
      </w:r>
      <w:r>
        <w:fldChar w:fldCharType="begin" w:fldLock="1"/>
      </w:r>
      <w:r>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survey","type":"article-journal","volume":"35"},"uris":["http://www.mendeley.com/documents/?uuid=860f5671-59a0-4f8d-a7d7-b495238f5d28"]},{"id":"ITEM-2","itemData":{"DOI":"10.1080/13510347.2015.1094059","ISSN":"1743890X","abstract":"In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-2","issue":"7","issued":{"date-parts":[["2016"]]},"page":"1272-1291","title":"Democratic inclusiveness, climate policy outputs, and climate policy outcomes","type":"article-journal","volume":"23"},"uris":["http://www.mendeley.com/documents/?uuid=f21b2858-7d84-40bd-80f1-8db4052dc264"]}],"mendeley":{"formattedCitation":"(Böhmelt, Böker, &amp; Ward, 2016; Fankhauser et al., 2015)","plainTextFormattedCitation":"(Böhmelt, Böker, &amp; Ward, 2016; Fankhauser et al., 2015)","previouslyFormattedCitation":"(Böhmelt, Böker, &amp; Ward, 2016; Fankhauser et al., 2015)"},"properties":{"noteIndex":0},"schema":"https://github.com/citation-style-language/schema/raw/master/csl-citation.json"}</w:instrText>
      </w:r>
      <w:r>
        <w:fldChar w:fldCharType="separate"/>
      </w:r>
      <w:r w:rsidRPr="0028744D">
        <w:rPr>
          <w:noProof/>
        </w:rPr>
        <w:t>(Böhmelt, Böker, &amp; Ward, 2016; Fankhauser et al., 2015)</w:t>
      </w:r>
      <w:r>
        <w:fldChar w:fldCharType="end"/>
      </w:r>
      <w:r>
        <w:t xml:space="preserve">. Similarly, low-carbon industries (e.g. renewable energy producers) are an interest group that would materially benefit from climate policy. There is emerging evidence from the case study literature that they indeed support and can be decisive for the adoption of climate policies, but require nurturing through technology policies in order to gain an initial foothold </w:t>
      </w:r>
      <w:r>
        <w:fldChar w:fldCharType="begin" w:fldLock="1"/>
      </w:r>
      <w:r>
        <w:instrText>ADDIN CSL_CITATION {"citationItems":[{"id":"ITEM-1","itemData":{"DOI":"10.1038/s41560-017-0025-8","ISSN":"20587546","abstract":"Many economists have long held that carbon pricing—either through a carbon tax or cap-and-trade—is the most cost-effective way to decarbonize energy systems, along with subsidies for basic research and development. Meanwhile, green innovation and industrial policies aimed at fostering low-carbon energy technologies have proliferated widely. Most of these predate direct carbon pricing. Low-carbon leaders such as California and the European Union (EU) have followed a distinct policy sequence that helps overcome some of the political challenges facing low-carbon policy by building economic interest groups in support of decarbonization and reducing the cost of technologies required for emissions reductions. However, while politically effective, this policy pathway faces significant challenges to environmental and cost effectiveness, including excess rent capture and lock-in. Here we discuss options for addressing these challenges under political constraints. As countries move toward deeper emissions cuts, combining and sequencing policies will prove critical to avoid environmental, economic, and political dead-ends in decarbonizing energy systems. A policy sequence for low-carbon policy that is politically effective continues to face challenges of environmental and cost effectiveness. This Perspective outlines ways to address these issues within political constraints.","author":[{"dropping-particle":"","family":"Meckling","given":"Jonas","non-dropping-particle":"","parse-names":false,"suffix":""},{"dropping-particle":"","family":"Sterner","given":"Thomas","non-dropping-particle":"","parse-names":false,"suffix":""},{"dropping-particle":"","family":"Wagner","given":"Gernot","non-dropping-particle":"","parse-names":false,"suffix":""}],"container-title":"Nature Energy","id":"ITEM-1","issue":"12","issued":{"date-parts":[["2017"]]},"page":"918-922","publisher":"Springer US","title":"Policy sequencing toward decarbonization","type":"article-journal","volume":"2"},"uris":["http://www.mendeley.com/documents/?uuid=67f803d9-b3cf-4965-bb41-a907af91e677"]},{"id":"ITEM-2","itemData":{"DOI":"10.1038/s41558-018-0287-6","ISSN":"1758-678X","author":[{"dropping-particle":"","family":"Pahle","given":"Michael","non-dropping-particle":"","parse-names":false,"suffix":""},{"dropping-particle":"","family":"Burtraw","given":"Dallas","n</w:instrText>
      </w:r>
      <w:r w:rsidRPr="007874F1">
        <w:instrText>on-dropping-particle":"","parse-names":false,"suffix":""},{"dropping-particle":"","family":"Flachsland","given":"Christian","non-dropping-particle":"","parse-names":false,"suffix":""},{"dropping-particle":"","family":"Kelsey","given":"Nina","non-dropping-particle":"","parse-names":false,"suffix":""},{"dropping-particle":"","family":"Biber","given":"Eric","non-dropping-particle":"","parse-names":false,"suffix":""},{"dropping-particle":"","family":"Meckling","given":"Jonas","non-dropping-particle":"","parse-names":false,"suffix":""},{"dropping-particle":"","family":"Edenhofer","given":"Ottmar","non-dropping-particle":"","parse-names":false,"suffix":""},{"dropping-particle":"","family":"Zysman","given":"John","non-dropping-particle":"","parse-names":false,"suffix":""}],"container-title":"Nature Climate Change","id":"ITEM-2","issue":"10","issued":{"date-parts":[["2018"]]},"page":"861-867","publisher":"Springer US","title":"Sequencing to ratchet up climate policy stringency","type":"article-journal","volume":"8"},"uris":["http://www.mendeley.com/documents/?uuid=06201094-7835-48e1-9003-da36c3374678"]}],"mendeley":{"formattedCitation":"(Meckling, Sterner, &amp; Wagner, 2017; Pahle et al., 2018)","plainTextFormattedCitation":"(Meckling, Sterner, &amp; Wagner, 2017; Pahle et al., 2018)","previouslyFormattedCitation":"(Meckling, Sterner, &amp; Wagner, 2017; Pahle et al., 2018)"},"properties":{"noteIndex":0},"schema":"https://github.com/citation-style-language/schema/raw/master/csl-citation.json"}</w:instrText>
      </w:r>
      <w:r>
        <w:fldChar w:fldCharType="separate"/>
      </w:r>
      <w:r w:rsidRPr="007874F1">
        <w:rPr>
          <w:noProof/>
        </w:rPr>
        <w:t>(Meckling, Sterner, &amp; Wagner, 2017; Pahle et al., 2018)</w:t>
      </w:r>
      <w:r>
        <w:fldChar w:fldCharType="end"/>
      </w:r>
      <w:r>
        <w:t>.</w:t>
      </w:r>
      <w:r w:rsidR="00D54791">
        <w:t xml:space="preserve"> Workers and unions are another important constituency</w:t>
      </w:r>
      <w:r w:rsidR="00E10EBB">
        <w:t>,</w:t>
      </w:r>
      <w:r w:rsidR="00D54791">
        <w:t xml:space="preserve"> </w:t>
      </w:r>
      <w:r w:rsidR="00E10EBB">
        <w:t>often vocal in opposition to reforms that result in job losses</w:t>
      </w:r>
      <w:r w:rsidR="007F464F">
        <w:t xml:space="preserve">. International studies are limited, but small-n comparative research </w:t>
      </w:r>
      <w:r w:rsidR="00866B91">
        <w:t xml:space="preserve">has documented </w:t>
      </w:r>
      <w:r w:rsidR="007F464F">
        <w:t>heavy resistance from coal industry workers in particular, who are often</w:t>
      </w:r>
      <w:r w:rsidR="00E10EBB">
        <w:t xml:space="preserve"> well unionised and </w:t>
      </w:r>
      <w:r w:rsidR="007F464F">
        <w:t xml:space="preserve">geographically </w:t>
      </w:r>
      <w:r w:rsidR="00E10EBB">
        <w:t>concentrated</w:t>
      </w:r>
      <w:r w:rsidR="00866B91">
        <w:t xml:space="preserve">, and hence can be politically influential </w:t>
      </w:r>
      <w:r w:rsidR="007F464F">
        <w:fldChar w:fldCharType="begin" w:fldLock="1"/>
      </w:r>
      <w:r w:rsidR="00426F7E">
        <w:instrText>ADDIN CSL_CITATION {"citationItems":[{"id":"ITEM-1","itemData":{"DOI":"10.1080/14693062.2017.1386540","ISSN":"17527457","abstract":"© 2017 Informa UK Limited, trading as Taylor  &amp;  Francis Group. National and global mitigation scenarios consistent with 1.5°C require an early phase-out of coal in major coal-dependent countries, compared to standard technical and economic lifetimes. This appears particularly apparent in the light of recent massive investments in coal power capacity, the significant pipeline of coal power capacity coming online, as well as upstream supporting infrastructure. This article analyses the existing and planned capital stock in the coal power sector in the light of scenarios consistent with 1.5°C. The article analyses the political economy and labour aspects of this abrupt and significant transition, in the light of domestic equity and development objectives. Firstly, the article examines employment issues and reviews the existing literature and practice with support schemes for regional and sectoral structural adjustment for the reduction of coal sector activity. Secondly, the paper surveys the domestic political economy of coal sector transition in major coal using countries, namely Australia, South Africa, China and India. A final section provides conclusions and policy recommendations. Key policy insights Achieving mitigation pathways in line with limiting warming to 1.5°C, or even well-below 2°C, would require the early retirement of coal sector assets in production and consumption. Historically, coal sector transition has often been associated with prolonged socio-economic dislocation in affected regions. Policies to accompany affected regions are thus a crucial part of policy mixes to limit warming to 1.5°C and even 2°C. Such policies should be anticipatory and long-term, as opposed to reactive policies focused on short-term measures to smooth the transition. A survey of major coal using countries shows that each is a long way from putting in place a long-term framework to transition the coal sector.","author":[{"dropping-particle":"","family":"Spencer","given":"Thomas","non-dropping-particle":"","parse-names":false,"suffix":""},{"dropping-particle":"","family":"Colombier","given":"Michel","non-dropping-particle":"","parse-names":false,"suffix":""},{"dropping-particle":"","family":"Sartor","given":"Oliver","non-dropping-particle":"","parse-names":false,"suffix":""},{"dropping-particle":"","family":"Garg","given":"Amit","non-dropping-particle":"","parse-names":false,"suffix":""},{"dropping-particle":"","family":"Tiwari","given":"Vineet","non-dropping-particle":"","parse-names":false,"suffix":""},{"dropping-particle":"","family":"Burton","given":"Jesse","non-dropping-particle":"","parse-names":false,"suffix":""},{"dropping-particle":"","family":"Caetano","given":"Tara","non-dropping-particle":"","parse-names":false,"suffix":""},{"dropping-particle":"","family":"Green","given":"Fergus","non-dropping-particle":"","parse-names":false,"suffix":""},{"dropping-particle":"","family":"Teng","given":"Fei","non-dropping-particle":"","parse-names":false,"suffix":""},{"dropping-particle":"","family":"Wiseman","given":"John","non-dropping-particle":"","parse-names":false,"suffix":""}],"container-title":"Climate Policy","id":"ITEM-1","issue":"3","issued":{"date-parts":[["2018"]]},"page":"335-351","title":"The 1.5°C target and coal sector transition: at the limits of societal feasibility","type":"article-journal","volume":"18"},"uris":["http://www.mendeley.com/documents/?uuid=fde14ecd-e7be-416b-82cc-705875781da3"]}],"mendeley":{"formattedCitation":"(Spencer et al., 2018)","plainTextFormattedCitation":"(Spencer et al., 2018)","previouslyFormattedCitation":"(Spencer et al., 2018)"},"properties":{"noteIndex":0},"schema":"https://github.com/citation-style-language/schema/raw/master/csl-citation.json"}</w:instrText>
      </w:r>
      <w:r w:rsidR="007F464F">
        <w:fldChar w:fldCharType="separate"/>
      </w:r>
      <w:r w:rsidR="007F464F" w:rsidRPr="007F464F">
        <w:rPr>
          <w:noProof/>
        </w:rPr>
        <w:t>(Spencer et al., 2018)</w:t>
      </w:r>
      <w:r w:rsidR="007F464F">
        <w:fldChar w:fldCharType="end"/>
      </w:r>
      <w:r w:rsidR="007F464F">
        <w:t>.</w:t>
      </w:r>
    </w:p>
    <w:p w14:paraId="54B3C8EE" w14:textId="7EFD0B5F" w:rsidR="00866B91" w:rsidRDefault="00866B91" w:rsidP="00866B91">
      <w:pPr>
        <w:spacing w:line="360" w:lineRule="auto"/>
      </w:pPr>
      <w:r>
        <w:t xml:space="preserve">Fossil fuel consumers have been extensively discussed in the context of efforts to reform fossil subsidies in the global South. Fossil fuel subsidy reform renders certain consumption behaviours more expensive (e.g. household energy and vehicle use) and can have varying distributional </w:t>
      </w:r>
      <w:r>
        <w:lastRenderedPageBreak/>
        <w:t xml:space="preserve">consequences </w:t>
      </w:r>
      <w:r>
        <w:fldChar w:fldCharType="begin" w:fldLock="1"/>
      </w:r>
      <w:r>
        <w:instrText>ADDIN CSL_CITATION {"citationItems":[{"id":"ITEM-1","itemData":{"DOI":"10.1016/j.ecolecon.2016.12.009","ISBN":"0921-8009","ISSN":"09218009","abstract":"This article provides a review of global energy subsidies—of definitions and estimation techniques, their type and scope, their drawbacks, and effective ways to reform them. Based on an assessment of both policy reports and peer-reviewed studies, this article presents evidence that energy subsidies could reach into the trillions of dollars each year. It also highlights how most subsidies appear to offer net costs to society, rather than benefits, in the form of government deficits, increased waste, shortages of energy fuels, and aggravated environmental impacts, among others. The review then talks about how tools such as best practices in measurement and estimation, subsidy elimination, impact studies, and adjustment packages can dramatically reorient subsidies so that they become more socially and environmentally sustainable. It also argues that such efforts need to explicitly learn from previous successes and recognize the importance of political economy, the possible winners and losers to subsidy reform. The final part proposes a future research agenda.","author":[{"dropping-particle":"","family":"Sovacool","given":"Benjamin K.","non-dropping-particle":"","parse-names":false,"suffix":""}],"container-title":"Ecological Economics","id":"ITEM-1","issued":{"date-parts":[["2017"]]},"page":"150-163","publisher":"The Author","title":"Reviewing, Reforming, and Rethinking Global Energy Subsidies: Towards a Political Economy Research Agenda","type":"article-journal","volume":"135"},"uris":["http://www.mendeley.com/documents/?uuid=89b2b066-f077-40ea-9c42-84261e5221cc"]}],"mendeley":{"formattedCitation":"(Sovacool, 2017)","plainTextFormattedCitation":"(Sovacool, 2017)","previouslyFormattedCitation":"(Sovacool, 2017)"},"properties":{"noteIndex":0},"schema":"https://github.com/citation-style-language/schema/raw/master/csl-citation.json"}</w:instrText>
      </w:r>
      <w:r>
        <w:fldChar w:fldCharType="separate"/>
      </w:r>
      <w:r w:rsidRPr="0028744D">
        <w:rPr>
          <w:noProof/>
        </w:rPr>
        <w:t>(Sovacool, 2017)</w:t>
      </w:r>
      <w:r>
        <w:fldChar w:fldCharType="end"/>
      </w:r>
      <w:r>
        <w:t xml:space="preserve">. In some Southern countries, fossil fuel subsidies primarily benefit middle and upper classes (i.e. the minority of households that have electricity and cars) </w:t>
      </w:r>
      <w:r>
        <w:fldChar w:fldCharType="begin" w:fldLock="1"/>
      </w:r>
      <w:r>
        <w:instrText>ADDIN CSL_CITATION {"citationItems":[{"id":"ITEM-1","itemData":{"DOI":"10.1016/j.worlddev.2018.11.015","ISSN":"18735991","abstract":"Even though concerns about adverse distributional implications for the poor are one of the most important political challenges for carbon pricing, the existing literature reveals ambiguous results. For this reason, we assess the expected incidence of moderate carbon price increases for different income groups in 87 mostly low- and middle-income countries. Building on a consistent dataset and method, we find that for countries with per capita incomes of below USD 15,000 per year (at PPP-adjusted 2011 USD) carbon pricing has, on average, progressive distributional effects. We also develop a novel decomposition technique to show that distributional outcomes are primarily determined by differences among income groups in consumption patterns of energy, rather than of food, goods or services. We argue that an inverse U-shape relationship between energy expenditure shares and income explains why carbon pricing tends to be regressive in countries with relatively higher income. Since these countries are likely to have more financial resources and institutional capacities to deal with distributional issues, our findings suggest that mitigating climate change, raising domestic revenue and reducing economic inequality are not mutually exclusive, even in low- and middle-income countries.","author":[{"dropping-particle":"","family":"Dorband","given":"Ira Irina","non-dropping-particle":"","parse-names":false,"suffix":""},{"dropping-particle":"","family":"Jakob","given":"Michael","non-dropping-particle":"","parse-names":false,"suffix":""},{"dropping-particle":"","family":"Kalkuhl","given":"Matthias","non-dropping-particle":"","parse-names":false,"suffix":""},{"dropping-particle":"","family":"Steckel","given":"Jan Christoph","non-dropping-particle":"","parse-names":false,"suffix":""}],"container-title":"World Development","id":"ITEM-1","issued":{"date-parts":[["2019"]]},"page":"246-257","publisher":"The Authors","title":"Poverty and distributional effects of carbon pricing in low- and middle-income countries – A global comparative analysis","type":"article-journal","volume":"115"},"uris":["http://www.mendeley.com/documents/?uuid=15d49202-814e-4c50-92d5-c6ad97c521d3"]},{"id":"IT</w:instrText>
      </w:r>
      <w:r w:rsidRPr="00866B91">
        <w:rPr>
          <w:lang w:val="de-DE"/>
        </w:rPr>
        <w:instrText>EM-2","itemData":{"DOI":"10.2139/ssrn.3299337","author":[{"dropping-particle":"","family":"Ohlendorf","given":"Nils","non-dropping-particle":"","parse-names":false,"suffix":""},{"dropping-particle":"","family":"Jakob","given":"Michael","non-dropping-particle":"","parse-names":false,"suffix":""},{"dropping-particle":"","family":"Minx","given":"Jan Christoph","non-dropping-particle":"","parse-names":false,"suffix":""},{"dropping-particle":"","family":"Schröder","given":"Carsten","non-dropping-particle":"","parse-names":false,"suffix":""},{"dropping-particle":"","family":"Steckel","given":"Jan Christoph","non-dropping-particle":"","parse-names":false,"suffix":""}],"container-title":"DIW Berlin Discussion Papers","id":"ITEM-2","issued":{"date-parts":[["2018"]]},"number":"1776","publisher-place":"Berlin","title":"Distributional Impacts of Climate Mitigation Policies - A Meta-Analysis","type":"report"},"uris":["http://www.mendeley.com/documents/?uuid=b0fba53c-7750-45a7-8f11-afb86ea8715f"]}],"mendeley":{"formattedCitation":"(Dorband, Jakob, Kalkuhl, &amp; Steckel, 2019; Ohlendorf, Jakob, Minx, Schröder, &amp; Steckel, 2018)","plainTextFormattedCitation":"(Dorband, Jakob, Kalkuhl, &amp; Steckel, 2019; Ohlendorf, Jakob, Minx, Schröder, &amp; Steckel, 2018)","previouslyFormattedCitation":"(Dorband, Jakob, Kalkuhl, &amp; Steckel, 2019; Ohlendorf, Jakob, Minx, Schröder, &amp; Steckel, 2018)"},"properties":{"noteIndex":0},"schema":"https://github.com/citation-style-language/schema/raw/master/csl-citation.json"}</w:instrText>
      </w:r>
      <w:r>
        <w:fldChar w:fldCharType="separate"/>
      </w:r>
      <w:r w:rsidRPr="00866B91">
        <w:rPr>
          <w:noProof/>
          <w:lang w:val="de-DE"/>
        </w:rPr>
        <w:t>(Dorband, Jakob, Kalkuhl, &amp; Steckel, 2019; Ohlendorf, Jakob, Minx, Schröder, &amp; Steckel, 2018)</w:t>
      </w:r>
      <w:r>
        <w:fldChar w:fldCharType="end"/>
      </w:r>
      <w:r w:rsidRPr="00866B91">
        <w:rPr>
          <w:lang w:val="de-DE"/>
        </w:rPr>
        <w:t xml:space="preserve">. </w:t>
      </w:r>
      <w:r w:rsidRPr="00866B91">
        <w:t xml:space="preserve">Many have therefore suggested that fuel subsidies are </w:t>
      </w:r>
      <w:r>
        <w:t xml:space="preserve">intentionally distributed to ‘buy’ the support of politically influential constituencies </w:t>
      </w:r>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id":"ITEM-2","itemData":{"DOI":"10.1080/13563467.2014.923826","author":[{"dropping-particle":"","family":"Lockwood","given":"Matthew","non-dropping-particle":"","parse-names":false,"suffix":""}],"container-title":"New Political Economy","id":"ITEM-2","issue":"4","issued":{"date-parts":[["2015"]]},"page":"475-494","title":"Fossil Fuel Subsidy Reform , Rent Management and Political Fragmentation in Developing Countries","type":"article-journal","volume":"20"},"uris":["http://www.mendeley.com/documents/?uuid=11336dd9-ea30-46f5-bd1d-eddc393cbae4"]}],"mendeley":{"formattedCitation":"(Lockwood, 2015; van Beers &amp; Strand, 2013)","plainTextFormattedCitation":"(Lockwood, 2015; van Beers &amp; Strand, 2013)","previouslyFormattedCitation":"(Lockwood, 2015; van Beers &amp; Strand, 2013)"},"properties":{"noteIndex":0},"schema":"https://github.com/citation-style-language/schema/raw/master/csl-citation.json"}</w:instrText>
      </w:r>
      <w:r>
        <w:fldChar w:fldCharType="separate"/>
      </w:r>
      <w:r w:rsidRPr="00475EF2">
        <w:rPr>
          <w:noProof/>
        </w:rPr>
        <w:t>(Lockwood, 2015; van Beers &amp; Strand, 2013)</w:t>
      </w:r>
      <w:r>
        <w:fldChar w:fldCharType="end"/>
      </w:r>
      <w:r>
        <w:t xml:space="preserve">. In other contexts, fuel subsidies also benefit poorer households (e.g. kerosene for cooking and lighting), but are often ineffective mechanisms for poverty reduction </w:t>
      </w:r>
      <w:r>
        <w:fldChar w:fldCharType="begin" w:fldLock="1"/>
      </w:r>
      <w:r>
        <w:instrText>ADDIN CSL_CITATION {"citationItems":[{"id":"ITEM-1","itemData":{"DOI":"10.1016/j.ecolecon.2016.12.009","ISBN":"0921-8009","ISSN":"09218009","abstract":"This article provides a review of global energy subsidies—of definitions and estimation techniques, their type and scope, their drawbacks, and effective ways to reform them. Based on an assessment of both policy reports and peer-reviewed studies, this article presents evidence that energy subsidies could reach into the trillions of dollars each year. It also highlights how most subsidies appear to offer net costs to society, rather than benefits, in the form of government deficits, increased waste, shortages of energy fuels, and aggravated environmental impacts, among others. The review then talks about how tools such as best practices in measurement and estimation, subsidy elimination, impact studies, and adjustment packages can dramatically reorient subsidies so that they become more socially and environmentally sustainable. It also argues that such efforts need to explicitly learn from previous successes and recognize the importance of political economy, the possible winners and losers to subsidy reform. The final part proposes a future research agenda.","author":[{"dropping-particle":"","family":"Sovacool","given":"Benjamin K.","non-dropping-particle":"","parse-names":false,"suffix":""}],"container-title":"Ecological Economics","id":"ITEM-1","issued":{"date-parts":[["2017"]]},"page":"150-163","publisher":"The Author","title":"Reviewing, Reforming, and Rethinking Global Energy Subsidies: Towards a Political Economy Research Agenda","type":"article-journal","volume":"135"},"uris":["http://www.mendeley.com/documents/?uuid=89b2b066-f077-40ea-9c42-84261e5221cc"]},{"id":"ITEM-2","itemData":{"DOI":"10.1016/j.esd.2011.12.007","ISSN":"09730826","abstract":"Kerosene subsidies intended for Indian households have been known for their poor targeting and high fiscal costs. However, the distributional benefits to the 160. million households that use kerosene are not well understood. In this paper, the kerosene subsidy is formally assessed as an instrument of income redistribution. The subsidy incidence, progressivity and efficacy of the kerosene subsidy are calculated for the state of Maharashtra, under actual and ideal implementation conditions.The analysis shows that kerosene subsidies are regressive and of minimal financial value to poor rural households. This is in part because household quotas are based on cooking needs, but kerosene is used predominantly for lighting. In urban areas, subsidies are progressive, and provide benefits of up to 5 to 10% of household expenditure among poorer households which lack affordable access to LPG and biomass. Overall, only 26% of the total subsidy value directly reaches households. This analysis suggests that subsidies targeted only to kerosene-dependent urban areas would have a higher efficacy than broad-based subsidies. © 2012 International Energy Initiative.","author":[{"dropping-particle":"","family":"Rao","given":"Narasimha D.","non-dropping-particle":"","parse-names":false,"suffix":""}],"container-title":"Energy for Sustainable Development","id":"ITEM-2","issue":"1","issued":{"date-parts":[["2012"]]},"page":"35-43","publisher":"International Energy Initiative","title":"Kerosene subsidies in India: When energy policy fails as social policy","type":"article-journal","volume":"16"},"uris":["http://www.mendeley.com/documents/?uuid=386b53a1-0917-468e-8565-a2a313dc0c34"]}],"mendeley":{"formattedCitation":"(Rao, 2012; Sovacool, 2017)","plainTextFormattedCitation":"(Rao, 2012; Sovacool, 2017)","previouslyFormattedCitation":"(Rao, 2012; Sovacool, 2017)"},"properties":{"noteIndex":0},"schema":"https://github.com/citation-style-language/schema/raw/master/csl-citation.json"}</w:instrText>
      </w:r>
      <w:r>
        <w:fldChar w:fldCharType="separate"/>
      </w:r>
      <w:r w:rsidRPr="00B50F0A">
        <w:rPr>
          <w:noProof/>
        </w:rPr>
        <w:t>(Rao, 2012; Sovacool, 2017)</w:t>
      </w:r>
      <w:r>
        <w:fldChar w:fldCharType="end"/>
      </w:r>
      <w:r>
        <w:t xml:space="preserve">. Van Beers and Strand </w:t>
      </w:r>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suppress-author":1,"uris":["http://www.mendeley.com/documents/?uuid=ca06098b-c993-459d-9e61-04ce3d8808ff"]}],"mendeley":{"formattedCitation":"(2013)","plainTextFormattedCitation":"(2013)","previouslyFormattedCitation":"(2013)"},"properties":{"noteIndex":0},"schema":"https://github.com/citation-style-language/schema/raw/master/csl-citation.json"}</w:instrText>
      </w:r>
      <w:r>
        <w:fldChar w:fldCharType="separate"/>
      </w:r>
      <w:r w:rsidRPr="00D54791">
        <w:rPr>
          <w:noProof/>
        </w:rPr>
        <w:t>(2013)</w:t>
      </w:r>
      <w:r>
        <w:fldChar w:fldCharType="end"/>
      </w:r>
      <w:r>
        <w:t xml:space="preserve"> show that oil exporting countries in particular fail to limit fuel subsidies, perhaps due to widespread perceptions that domestic oil resources “belong to the people”. These complexities and the direct and visible nature of subsidy benefits to consumers have rendered reform very difficult, particularly in countries with weak institutions (which limits the delivery of more targeted welfare policies) and autocratic forms of governance (which often rests on visible payments to powerful constituencies) </w:t>
      </w:r>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pricing","type":"report"},"uris":["http://www.mendeley.com/documents/?uuid=ca06098b-c993-459d-9e61-04ce3d8808ff"]},{"id":"ITEM-2","itemData":{"DOI":"10.2139/ssrn.1520984","ISBN":"9781894784320","ISSN":"1556-5068","abstract":"Summary: governments spend staggering sums of money subsidizing fossil fuels, with many harmful consequences for public budgets, energy markets, and pollution. While there is widespread agreement among analysts that most of these subsidies serve no legitimate purpose, cutting subsidies has proved extremely difficult. This paper explores the politics of subsidy creation and reform and suggests some strategies for improving the odds that reformers will be politically successful. Subsidies exist often because they are the only reliable mechanism available to governments that are under pressure to provide benefits to politically well-organized groups. Not understanding the political economy of subsidy policies can prevent successful reform, and the report argues that successful subsidy reforms often require broader reforms and improvement in public administration to create mechanisms that can compensate political losers. It is available at: http://www.globalsubsidies.org/en/research/political-economy","author":[{"dropping-particle":"","family":"Victor","given":"David G.","non-dropping-particle":"","parse-names":false,"suffix":""}],"id":"ITEM-2","issued":{"date-parts":[["2009"]]},"publisher-place":"Geneva, Switzerland","title":"The Politics of Fossil-Fuel Subsidies","type":"report"},"uris":["http://www.mendeley.com/documents/?uuid=f144b571-ba41-4258-8e32-8448a4d81717"]},{"id":"ITEM-3","itemData":{"DOI":"10.1080/13563467.2014.923826","author":[{"dropping-particle":"","family":"Lockwood","given":"Matthew","non-dropping-particle":"","parse-names":false,"suffix":""}],"container-title":"New Political Economy","id":"ITEM-3","issue":"4","issued":{"date-parts":[["2015"]]},"page":"475-494","title":"Fossil Fuel Subsidy Reform , Rent Management and Political Fragmentation in Developing Countries","type":"article-journal","volume":"20"},"uris":["http://www.mendeley.com/documents/?uuid=11336dd9-ea30-46f5-bd1d-eddc393cbae4"]}],"mendeley":{"formattedCitation":"(Lockwood, 2015; van Beers &amp; Strand, 2013; Victor, 2009)","plainTextFormattedCitation":"(Lockwood, 2015; van Beers &amp; Strand, 2013; Victor, 2009)","previouslyFormattedCitation":"(Lockwood, 2015; van Beers &amp; Strand, 2013; Victor, 2009)"},"properties":{"noteIndex":0},"schema":"https://github.com/citation-style-language/schema/raw/master/csl-citation.json"}</w:instrText>
      </w:r>
      <w:r>
        <w:fldChar w:fldCharType="separate"/>
      </w:r>
      <w:r w:rsidRPr="00D54791">
        <w:rPr>
          <w:noProof/>
        </w:rPr>
        <w:t>(Lockwood, 2015; van Beers &amp; Strand, 2013; Victor, 2009)</w:t>
      </w:r>
      <w:r>
        <w:fldChar w:fldCharType="end"/>
      </w:r>
      <w:r>
        <w:t xml:space="preserve">. </w:t>
      </w:r>
    </w:p>
    <w:p w14:paraId="5F27E244" w14:textId="77777777" w:rsidR="00866B91" w:rsidRDefault="00866B91" w:rsidP="00866B91">
      <w:pPr>
        <w:pStyle w:val="Heading3"/>
        <w:numPr>
          <w:ilvl w:val="1"/>
          <w:numId w:val="19"/>
        </w:numPr>
        <w:spacing w:after="120" w:line="360" w:lineRule="auto"/>
        <w:ind w:left="788" w:hanging="431"/>
      </w:pPr>
      <w:r>
        <w:t>Institutions</w:t>
      </w:r>
    </w:p>
    <w:p w14:paraId="18202286" w14:textId="688DA693" w:rsidR="00866B91" w:rsidRDefault="00866B91" w:rsidP="00866B91">
      <w:pPr>
        <w:spacing w:line="360" w:lineRule="auto"/>
      </w:pPr>
      <w:r>
        <w:t>Institutions and governance arrangements have important procedural roles in the adoption and implementation of climate policies. Institutions include formal democratic systems such as elected parliaments and the distribution of powers between different ministries, as well as less formal methods of exchange and governance between public and private actors</w:t>
      </w:r>
      <w:r w:rsidR="005677FB">
        <w:t>, e.g.</w:t>
      </w:r>
      <w:r>
        <w:t xml:space="preserve"> through consultations, lobbying and so forth. Public institutions are also the primary vehicles for monitoring private sector activities and enforcing regulations, and hence have a central role in public policy implementation. Institutional analysis recognises that political struggles are mediated by these diverse arrangements, with significant consequences for the political economy of climate policy </w:t>
      </w:r>
      <w:r>
        <w:fldChar w:fldCharType="begin" w:fldLock="1"/>
      </w:r>
      <w:r>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agenda","type":"article-journal","volume":"0"},"uris":["http://www.mendeley.com/documents/?uuid=30e13820-471a-4c4f-8ac1-41fb6922c6ad"]}],"mendeley":{"formattedCitation":"(Lockwood et al., 2016)","plainTextFormattedCitation":"(Lockwood et al., 2016)","previouslyFormattedCitation":"(Lockwood et al., 2016)"},"properties":{"noteIndex":0},"schema":"https://github.com/citation-style-language/schema/raw/master/csl-citation.json"}</w:instrText>
      </w:r>
      <w:r>
        <w:fldChar w:fldCharType="separate"/>
      </w:r>
      <w:r w:rsidRPr="00405D76">
        <w:rPr>
          <w:noProof/>
        </w:rPr>
        <w:t>(Lockwood et al., 2016)</w:t>
      </w:r>
      <w:r>
        <w:fldChar w:fldCharType="end"/>
      </w:r>
      <w:r>
        <w:t xml:space="preserve">. </w:t>
      </w:r>
    </w:p>
    <w:p w14:paraId="79179603" w14:textId="77777777" w:rsidR="008368F8" w:rsidRDefault="00866B91" w:rsidP="00866B91">
      <w:pPr>
        <w:spacing w:line="360" w:lineRule="auto"/>
      </w:pPr>
      <w:commentRangeStart w:id="2"/>
      <w:r>
        <w:t>To date there has been much attention on the role of democr</w:t>
      </w:r>
      <w:r w:rsidR="005677FB">
        <w:t>atic forms of governance</w:t>
      </w:r>
      <w:r>
        <w:t>,</w:t>
      </w:r>
      <w:r w:rsidR="008368F8">
        <w:t xml:space="preserve"> which (contra autocratic regimes</w:t>
      </w:r>
      <w:r>
        <w:t xml:space="preserve">) </w:t>
      </w:r>
      <w:r w:rsidR="008368F8">
        <w:t>are</w:t>
      </w:r>
      <w:r>
        <w:t xml:space="preserve"> argued to have particular features that favour the adoption of climate policy. Notably, democracies are inclusive, </w:t>
      </w:r>
      <w:r w:rsidR="008368F8">
        <w:t xml:space="preserve">allowing </w:t>
      </w:r>
      <w:r>
        <w:t xml:space="preserve">citizens to formulate environmental </w:t>
      </w:r>
      <w:r w:rsidR="008368F8">
        <w:t xml:space="preserve">values </w:t>
      </w:r>
      <w:r>
        <w:t>and</w:t>
      </w:r>
      <w:r w:rsidR="008368F8">
        <w:t xml:space="preserve"> attempt to</w:t>
      </w:r>
      <w:r>
        <w:t xml:space="preserve"> manifest these in policies and governance </w:t>
      </w:r>
      <w:r>
        <w:fldChar w:fldCharType="begin" w:fldLock="1"/>
      </w:r>
      <w:r>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fldChar w:fldCharType="separate"/>
      </w:r>
      <w:r w:rsidRPr="00D52B4B">
        <w:rPr>
          <w:noProof/>
        </w:rPr>
        <w:t>(Böhmelt et al., 2016)</w:t>
      </w:r>
      <w:r>
        <w:fldChar w:fldCharType="end"/>
      </w:r>
      <w:r>
        <w:t xml:space="preserve">. Such entitlements are reflected in the greater number of NGOs dedicated to environmental causes in democratic countries (and the absence of these in autocratic states), as well as their tolerance for a diverse and free press, which has an instrumental role in articulating policy demands and providing oversight of political activities. </w:t>
      </w:r>
    </w:p>
    <w:p w14:paraId="23D91DA9" w14:textId="5BBB8FB9" w:rsidR="00866B91" w:rsidRDefault="008368F8" w:rsidP="00866B91">
      <w:pPr>
        <w:spacing w:line="360" w:lineRule="auto"/>
      </w:pPr>
      <w:r>
        <w:t>D</w:t>
      </w:r>
      <w:r w:rsidR="00866B91">
        <w:t xml:space="preserve">emocratic governments </w:t>
      </w:r>
      <w:r>
        <w:t xml:space="preserve">also </w:t>
      </w:r>
      <w:r w:rsidR="00866B91">
        <w:t xml:space="preserve">have stronger built-in incentives to provision public goods such as climate protection and basic infrastructures – e.g. health, water and sanitation – since these provide social benefits to a wide electorate on which they depend for legitimacy and support. In regimes with restricted electoral competition, political power tends to be arbitrated by a small elite (e.g. capitalists, the military, or religious </w:t>
      </w:r>
      <w:r>
        <w:t>figures</w:t>
      </w:r>
      <w:r w:rsidR="00866B91">
        <w:t>)</w:t>
      </w:r>
      <w:r w:rsidR="005677FB">
        <w:t>, and i</w:t>
      </w:r>
      <w:r w:rsidR="00866B91">
        <w:t xml:space="preserve">ncumbents know that political survival depends on </w:t>
      </w:r>
      <w:r w:rsidR="005677FB">
        <w:lastRenderedPageBreak/>
        <w:t xml:space="preserve">funnelling </w:t>
      </w:r>
      <w:r w:rsidR="00866B91">
        <w:t xml:space="preserve">government expenditures </w:t>
      </w:r>
      <w:r w:rsidR="005677FB">
        <w:t xml:space="preserve">towards this </w:t>
      </w:r>
      <w:r w:rsidR="00866B91">
        <w:t xml:space="preserve">elite, not </w:t>
      </w:r>
      <w:r w:rsidR="005677FB">
        <w:t xml:space="preserve">towards </w:t>
      </w:r>
      <w:r w:rsidR="00247132">
        <w:t>a</w:t>
      </w:r>
      <w:r w:rsidR="005677FB">
        <w:t xml:space="preserve"> larger majority</w:t>
      </w:r>
      <w:r w:rsidR="00866B91">
        <w:t xml:space="preserve"> </w:t>
      </w:r>
      <w:r w:rsidR="00866B91">
        <w:fldChar w:fldCharType="begin" w:fldLock="1"/>
      </w:r>
      <w:r w:rsidR="00866B91">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outcomes","type":"article-journal","volume":"23"},"uris":["http://www.mendeley.com/documents/?uuid=f21b2858-7d84-40bd-80f1-8db4052dc264"]},{"id":"ITEM-2","itemData":{"DOI":"10.1007/s11127-008-9391-x","ISSN":"00485829","abstract":"The allocation of a government budget between a public good and transfers is modeled under different systems of government. The relatively even distribution of political power among groups in a democracy favors spending on nonexclusive public goods. The more concentrated pattern of political power in a dictatorship favors spending on transfers targeted to powerful groups. The hypothesis on public good provision is examined using cross-country data on public good provision and empirical indicators of political regime. Dictatorial governments are found to provide public schooling, roads, safe water, public sanitation, and pollution control at levels far below democracies.","author":[{"dropping-particle":"","family":"Deacon","given":"Robert T.","non-dropping-particle":"","parse-names":false,"suffix":""}],"container-title":"Public Choice","id":"ITEM-2","issue":"1-2","issued":{"date-parts":[["2009"]]},"page":"241-262","title":"Public good provision under dictatorship and democracy","type":"article-journal","volume":"139"},"uris":["http://www.mendeley.com/documents/?uuid=a1571d32-ed98-46ee-9b14-6e67aa320928"]}],"mendeley":{"formattedCitation":"(Böhmelt et al., 2016; Deacon, 2009)","plainTextFormattedCitation":"(Böhmelt et al., 2016; Deacon, 2009)","previouslyFormattedCitation":"(Böhmelt et al., 2016; Deacon, 2009)"},"properties":{"noteIndex":0},"schema":"https://github.com/citation-style-language/schema/raw/master/csl-citation.json"}</w:instrText>
      </w:r>
      <w:r w:rsidR="00866B91">
        <w:fldChar w:fldCharType="separate"/>
      </w:r>
      <w:r w:rsidR="00866B91" w:rsidRPr="00AE7E8A">
        <w:rPr>
          <w:noProof/>
        </w:rPr>
        <w:t>(Böhmelt et al., 2016; Deacon, 2009)</w:t>
      </w:r>
      <w:r w:rsidR="00866B91">
        <w:fldChar w:fldCharType="end"/>
      </w:r>
      <w:r w:rsidR="00866B91">
        <w:t>.</w:t>
      </w:r>
      <w:commentRangeEnd w:id="2"/>
      <w:r w:rsidR="00866B91">
        <w:rPr>
          <w:rStyle w:val="CommentReference"/>
        </w:rPr>
        <w:commentReference w:id="2"/>
      </w:r>
      <w:r w:rsidR="00866B91">
        <w:t xml:space="preserve"> In this manner, discussions of institutions and environmental policy often draw from an extensive literature tradition on the role of democracy in facilitating (and being mutually strengthened by) the provision of public goods </w:t>
      </w:r>
      <w:commentRangeStart w:id="3"/>
      <w:r w:rsidR="00866B91">
        <w:fldChar w:fldCharType="begin" w:fldLock="1"/>
      </w:r>
      <w:r w:rsidR="00866B91">
        <w:instrText>ADDIN CSL_CITATION {"citationItems":[{"id":"ITEM-1","itemData":{"DOI":"10.1257/jel.20151239","ISBN":"9780415802239","ISSN":"0022-0515","PMID":"17746758","abstract":"This essay tries to bring out some of the complexities that are overlooked in the usual treatment of the state in the institutional economics literature and supplement the latter with a discussion of some alternative approaches to looking at the possible developmental role of the state. It refers to a broader range of development goals (including the structural transformation of the economy) and focuses on problems like the resolution of coordination failures and collective-action problems, the conflicting issues of commitment and accountability and the need for balancing the trade-offs they generate, some ingredients of state capacity and political coalition building usually missed in the literature, the possible importance of rent sharing in a political equilibrium, the advantages and problems of political centralization and decentralization, and the multidimensionality of state functions that may not be addressed by markets or private firms.","author":[{"dropping-particle":"","family":"Bardhan","given":"Pranab","non-dropping-particle":"","parse-names":false,"suffix":""}],"container-title":"Journal of Economic Literature","id":"ITEM-1","issue":"3","issued":{"date-parts":[["2016"]]},"page":"862-892","title":"State and Development: The Need for a Reappraisal of the Current Literature","type":"article-journal","volume":"54"},"uris":["http://www.mendeley.com/documents/?uuid=f9778f5e-3905-4956-9665-4849f07792b2"]},{"id":"ITEM-2","itemData":{"DOI":"10.1007/s11127-008-9391-x","ISSN":"00485829","abstract":"The allocation of a government budget between a public good and transfers is modeled under different systems of government. The relatively even distribution of political power among groups in a democracy favors spending on nonexclusive public goods. The more concentrated pattern of political power in a dictatorship favors spending on transfers targeted to powerful groups. The hypothesis on public good provision is examined using cross-country data on public good provision and empirical indicators of political regime. Dictatorial governments are found to provide public schooling, roads, safe water, public sanitation, and pollution control at levels far below democracies.","author":[{"dropping-particle":"","family":"Deacon","given":"Robert T.","non-dropping-particle":"","parse-names":false,"suffix":""}],"container-title":"Public Choice","id":"ITEM-2","issue":"1-2","issued":{"date-parts":[["2009"]]},"page":"241-262","title":"Public good provision under dictatorship and democracy","type":"article-journal","volume":"139"},"uris":["http://www.mendeley.com/documents/?uuid=a1571d32-ed98-46ee-9b14-6e67aa320928"]},{"id":"ITEM-3","itemData":{"DOI":"10.1016/j.ecolecon.2007.06.019","ISBN":"0921-8009","ISSN":"09218009","abstract":"In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Economics","id":"ITEM-3","issue":"2","issued":{"date-parts":[["2008"]]},"page":"315-324","title":"Do differences in attitudes explain differences in national climate change policies?","type":"article-journal","volume":"65"},"uris":["http://www.mendeley.com/documents/?uuid=9b8324cc-d326-4643-8c0d-b09c6a7477f6"]}],"mendeley":{"formattedCitation":"(Bardhan, 2016; Deacon, 2009; Tjernström &amp; Tietenberg, 2008)","plainTextFormattedCitation":"(Bardhan, 2016; Deacon, 2009; Tjernström &amp; Tietenberg, 2008)","previouslyFormattedCitation":"(Bardhan, 2016; Deacon, 2009; Tjernström &amp; Tietenberg, 2008)"},"properties":{"noteIndex":0},"schema":"https://github.com/citation-style-language/schema/raw/master/csl-citation.json"}</w:instrText>
      </w:r>
      <w:r w:rsidR="00866B91">
        <w:fldChar w:fldCharType="separate"/>
      </w:r>
      <w:r w:rsidR="00866B91" w:rsidRPr="00E85272">
        <w:rPr>
          <w:noProof/>
        </w:rPr>
        <w:t>(Bardhan, 2016; Deacon, 2009; Tjernström &amp; Tietenberg, 2008)</w:t>
      </w:r>
      <w:r w:rsidR="00866B91">
        <w:fldChar w:fldCharType="end"/>
      </w:r>
      <w:commentRangeEnd w:id="3"/>
      <w:r w:rsidR="00866B91">
        <w:rPr>
          <w:rStyle w:val="CommentReference"/>
        </w:rPr>
        <w:commentReference w:id="3"/>
      </w:r>
      <w:r w:rsidR="00866B91">
        <w:t>.</w:t>
      </w:r>
    </w:p>
    <w:p w14:paraId="69292FDC" w14:textId="0A247871" w:rsidR="00866B91" w:rsidRDefault="00866B91" w:rsidP="00866B91">
      <w:pPr>
        <w:spacing w:line="360" w:lineRule="auto"/>
      </w:pPr>
      <w:r>
        <w:t xml:space="preserve">These hypotheses are </w:t>
      </w:r>
      <w:r w:rsidR="008368F8">
        <w:t xml:space="preserve">strongly </w:t>
      </w:r>
      <w:r>
        <w:t xml:space="preserve">supported by cross-national evidence. Higher indexes of democracy and democratic inclusiveness (e.g. strength of civil society, participation and political freedom) correlate with the adoption of climate legislation </w:t>
      </w:r>
      <w:r>
        <w:fldChar w:fldCharType="begin" w:fldLock="1"/>
      </w:r>
      <w:r>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outcomes","type":"article-journal","volume":"23"},"uris":["http://www.mendeley.com/documents/?uuid=f21b2858-7d84-40bd-80f1-8db4052dc264"]},{"id":"ITEM-2","itemData":{"DOI":"10.1080/14693062.2013.811333","ISSN":"17527457","abstract":"Patterns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Policy","id":"ITEM-2","issue":"5","issued":{"date-parts":[["2013"]]},"page":"547-571","title":"Drivers of national climate policy","type":"article-journal","volume":"13"},"uris":["http://www.mendeley.com/documents/?uuid=b86eaeea-7a35-48c2-8487-71c86abf8931"]},{"id":"ITEM-3","itemData":{"DOI":"10.1016/j.envres.2017.05.009","ISSN":"10960953","PMID":"28570962","abstract":"The impact of democracy on governments’ choice of environmental policies has attracted significant academic attention in recent years. However, less attention has been devoted to the role of the social cognitive capital of the national population. Does society's cognitive capital matter in governmental choice regarding environmental policies, if at all? This study addresses this question through a large-N analysis of 94 countries accounting for the role of both political regimes and social capital in governmental choice of climate change policies. We find that higher social cognitive capital within a democratic state radically increases that state's commitment to adopt environmental policies. More specifically, a 1-point increase in the democracy index is associated with nearly 5 points increase in the adoption of the Climate Laws, Institutions and Measures Index (CLIMI). In a similar vein, a 10 points increase in social cognitive capital is associated with a nearly 16 points increase in CLIMI. The findings presented in this study aim to contribute to the ongoing debate on the impact of democracy and the cognitive capital of society on international environmentalism. The findings will also be interesting for scholars working on the impact of political institutional factors and the role of society in environmental policy choices made at the international level.","author":[{"dropping-particle":"V.","family":"Obydenkova","given":"Anastassia","non-dropping-particle":"","parse-names":false,"suffix":""},{"dropping-particle":"","family":"Salahodjaev","given":"Raufhon","non-dropping-particle":"","parse-names":false,"suffix":""}],"container-title":"Environmental Research","id":"ITEM-3","issue":"April","issued":{"date-parts":[["2017"]]},"page":"182-189","publisher":"Elsevier Inc.","title":"Climate change policies: The role of democracy and social cognitive capital","type":"article-journal","volume":"157"},"uris":["http://www.mendeley.com/documents/?uuid=5f97acc2-08fa-4ccb-84cb-3d19180d1717"]}],"mendeley":{"formattedCitation":"(Böhmelt et al., 2016; Lachapelle &amp; Paterson, 2013; Obydenkova &amp; Salahodjaev, 2017)","plainTextFormattedCitation":"(Böhmelt et al., 2016; Lachapelle &amp; Paterson, 2013; Obydenkova &amp; Salahodjaev, 2017)","previouslyFormattedCitation":"(Böhmelt et al., 2016; Lachapelle &amp; Paterson, 2013; Obydenkova &amp; Salahodjaev, 2017)"},"properties":{"noteIndex":0},"schema":"https://github.com/citation-style-language/schema/raw/master/csl-citation.json"}</w:instrText>
      </w:r>
      <w:r>
        <w:fldChar w:fldCharType="separate"/>
      </w:r>
      <w:r w:rsidRPr="00AE1981">
        <w:rPr>
          <w:noProof/>
        </w:rPr>
        <w:t>(Böhmelt et al., 2016; Lachapelle &amp; Paterson, 2013; Obydenkova &amp; Salahodjaev, 2017)</w:t>
      </w:r>
      <w:r>
        <w:fldChar w:fldCharType="end"/>
      </w:r>
      <w:r>
        <w:t xml:space="preserve">, the adoption of carbon prices </w:t>
      </w:r>
      <w:r>
        <w:fldChar w:fldCharType="begin" w:fldLock="1"/>
      </w:r>
      <w:r>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Pricing","type":"report"},"uris":["http://www.mendeley.com/documents/?uuid=e735e56c-ae2c-4e9e-8dcb-dbdd5ff69b92"]},{"id":"ITEM-2","itemData":{"DOI":"10.17863/CAM.7825","abstract":"In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Economics","id":"ITEM-2","issued":{"date-parts":[["2016"]]},"number":"1663","number-of-pages":"1-45","publisher-place":"Cambrdige, UK","title":"The Political Economy of Carbon Pricing: a Panel Analysis","type":"report"},"uris":["http://www.mendeley.com/documents/?uuid=6e269377-11ab-4240-a1eb-07b94f1ee52b"]}],"mendeley":{"formattedCitation":"(Dolphin et al., 2016; Levi et al., 2019)","plainTextFormattedCitation":"(Dolphin et al., 2016; Levi et al., 2019)","previouslyFormattedCitation":"(Dolphin et al., 2016; Levi et al., 2019)"},"properties":{"noteIndex":0},"schema":"https://github.com/citation-style-language/schema/raw/master/csl-citation.json"}</w:instrText>
      </w:r>
      <w:r>
        <w:fldChar w:fldCharType="separate"/>
      </w:r>
      <w:r w:rsidRPr="006B019A">
        <w:rPr>
          <w:noProof/>
        </w:rPr>
        <w:t>(Dolphin et al., 2016; Levi et al., 2019)</w:t>
      </w:r>
      <w:r>
        <w:fldChar w:fldCharType="end"/>
      </w:r>
      <w:r>
        <w:t xml:space="preserve">, and the absence of fossil fuel subsidies </w:t>
      </w:r>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pricing","type":"report"},"uris":["http://www.mendeley.com/documents/?uuid=ca06098b-c993-459d-9e61-04ce3d8808ff"]}],"mendeley":{"formattedCitation":"(van Beers &amp; Strand, 2013)","plainTextFormattedCitation":"(van Beers &amp; Strand, 2013)","previouslyFormattedCitation":"(van Beers &amp; Strand, 2013)"},"properties":{"noteIndex":0},"schema":"https://github.com/citation-style-language/schema/raw/master/csl-citation.json"}</w:instrText>
      </w:r>
      <w:r>
        <w:fldChar w:fldCharType="separate"/>
      </w:r>
      <w:r w:rsidRPr="0042211B">
        <w:rPr>
          <w:noProof/>
        </w:rPr>
        <w:t>(van Beers &amp; Strand, 2013)</w:t>
      </w:r>
      <w:r>
        <w:fldChar w:fldCharType="end"/>
      </w:r>
      <w:r>
        <w:t xml:space="preserve">. Time-averaged analysis also confirms that the long-term accumulation of democratic norms and institutional apparatus is needed to support climate legislation adoption </w:t>
      </w:r>
      <w:r>
        <w:fldChar w:fldCharType="begin" w:fldLock="1"/>
      </w:r>
      <w:r>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important?","type":"article-journal","volume":"95"},"uris":["http://www.mendeley.com/documents/?uuid=2890f790-de48-4005-8c25-704f9a4329f7"]},{"id":"ITEM-2","itemData":{"DOI":"doi:10.1596/1813-9450-6470","abstract":"This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Paper","id":"ITEM-2","issue":"May","issued":{"date-parts":[["2013"]]},"number":"6470","title":"Political determinants of fossil fuel pricing","type":"report"},"uris":["http://www.mendeley.com/documents/?uuid=ca06098b-c993-459d-9e61-04ce3d8808ff"]}],"mendeley":{"formattedCitation":"(Fredriksson &amp; Neumayer, 2013; van Beers &amp; Strand, 2013)","plainTextFormattedCitation":"(Fredriksson &amp; Neumayer, 2013; van Beers &amp; Strand, 2013)","previouslyFormattedCitation":"(Fredriksson &amp; Neumayer, 2013; van Beers &amp; Strand, 2013)"},"properties":{"noteIndex":0},"schema":"https://github.com/citation-style-language/schema/raw/master/csl-citation.json"}</w:instrText>
      </w:r>
      <w:r>
        <w:fldChar w:fldCharType="separate"/>
      </w:r>
      <w:r w:rsidRPr="0042211B">
        <w:rPr>
          <w:noProof/>
        </w:rPr>
        <w:t>(Fredriksson &amp; Neumayer, 2013; van Beers &amp; Strand, 2013)</w:t>
      </w:r>
      <w:r>
        <w:fldChar w:fldCharType="end"/>
      </w:r>
      <w:r>
        <w:t xml:space="preserve">. </w:t>
      </w:r>
      <w:r w:rsidR="00247132">
        <w:t>In other words, even short p</w:t>
      </w:r>
      <w:r>
        <w:t xml:space="preserve">eriods of autocratic rule leave a social and political legacy that is difficult to shake: newly democratising countries are often more focused on consolidating institutions and trust, building competencies and </w:t>
      </w:r>
      <w:r w:rsidR="00247132">
        <w:t xml:space="preserve">addressing more urgent </w:t>
      </w:r>
      <w:r w:rsidR="008368F8">
        <w:t>policies</w:t>
      </w:r>
      <w:r>
        <w:t xml:space="preserve">, rather than </w:t>
      </w:r>
      <w:r w:rsidR="00247132">
        <w:t xml:space="preserve">long-term projects in </w:t>
      </w:r>
      <w:r>
        <w:t>climate</w:t>
      </w:r>
      <w:r w:rsidR="008368F8">
        <w:t xml:space="preserve"> change mitigation</w:t>
      </w:r>
      <w:r>
        <w:t>.</w:t>
      </w:r>
    </w:p>
    <w:p w14:paraId="6C1DF83D" w14:textId="3830DF89" w:rsidR="00866B91" w:rsidRDefault="00866B91" w:rsidP="00866B91">
      <w:pPr>
        <w:spacing w:line="360" w:lineRule="auto"/>
      </w:pPr>
      <w:r>
        <w:t xml:space="preserve">Of course there are large differences between democracies and their institutions. A prominent claim is that the concentration of political power in centralised and parliamentary systems offers fewer frictions to climate policy adoption relative to federalist and presidential systems, which </w:t>
      </w:r>
      <w:r w:rsidR="00250B1C">
        <w:t>allocate</w:t>
      </w:r>
      <w:r>
        <w:t xml:space="preserve"> power among a wide</w:t>
      </w:r>
      <w:r w:rsidR="00250B1C">
        <w:t>r</w:t>
      </w:r>
      <w:r>
        <w:t xml:space="preserve"> range of actors </w:t>
      </w:r>
      <w:r>
        <w:fldChar w:fldCharType="begin" w:fldLock="1"/>
      </w:r>
      <w:r>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agenda","type":"article-journal","volume":"0"},"uris":["http://www.mendeley.com/documents/?uuid=30e13820-471a-4c4f-8ac1-41fb6922c6ad"]}],"mendeley":{"formattedCitation":"(Lockwood et al., 2016)","plainTextFormattedCitation":"(Lockwood et al., 2016)","previouslyFormattedCitation":"(Lockwood et al., 2016)"},"properties":{"noteIndex":0},"schema":"https://github.com/citation-style-language/schema/raw/master/csl-citation.json"}</w:instrText>
      </w:r>
      <w:r>
        <w:fldChar w:fldCharType="separate"/>
      </w:r>
      <w:r w:rsidRPr="00D402F7">
        <w:rPr>
          <w:noProof/>
        </w:rPr>
        <w:t>(Lockwood et al., 2016)</w:t>
      </w:r>
      <w:r>
        <w:fldChar w:fldCharType="end"/>
      </w:r>
      <w:r>
        <w:t xml:space="preserve">. In the latter case, a resulting profusion of ‘veto-points’ could limit the passage of strong climate policy – for instance when </w:t>
      </w:r>
      <w:r w:rsidR="00250B1C">
        <w:t>regional legislatures</w:t>
      </w:r>
      <w:r>
        <w:t xml:space="preserve"> dependent on coal mining unilaterally block national measures (</w:t>
      </w:r>
      <w:r w:rsidRPr="00234711">
        <w:rPr>
          <w:highlight w:val="yellow"/>
        </w:rPr>
        <w:t>REF?</w:t>
      </w:r>
      <w:r>
        <w:t xml:space="preserve">). There is </w:t>
      </w:r>
      <w:r w:rsidR="00250B1C">
        <w:t xml:space="preserve">indeed </w:t>
      </w:r>
      <w:r>
        <w:t xml:space="preserve">cross-national evidence that parliamentary systems are more likely to adopt climate policies </w:t>
      </w:r>
      <w:r>
        <w:fldChar w:fldCharType="begin" w:fldLock="1"/>
      </w:r>
      <w:r>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policy","type":"article-journal","volume":"13"},"uris":["http://www.mendeley.com/documents/?uuid=b86eaeea-7a35-48c2-8487-71c86abf8931"]}],"mendeley":{"formattedCitation":"(Lachapelle &amp; Paterson, 2013)","plainTextFormattedCitation":"(Lachapelle &amp; Paterson, 2013)","previouslyFormattedCitation":"(Lachapelle &amp; Paterson, 2013)"},"properties":{"noteIndex":0},"schema":"https://github.com/citation-style-language/schema/raw/master/csl-citation.json"}</w:instrText>
      </w:r>
      <w:r>
        <w:fldChar w:fldCharType="separate"/>
      </w:r>
      <w:r w:rsidRPr="00AA38BD">
        <w:rPr>
          <w:noProof/>
        </w:rPr>
        <w:t>(Lachapelle &amp; Paterson, 2013)</w:t>
      </w:r>
      <w:r>
        <w:fldChar w:fldCharType="end"/>
      </w:r>
      <w:r>
        <w:t xml:space="preserve">, </w:t>
      </w:r>
      <w:r w:rsidR="00250B1C">
        <w:t xml:space="preserve">however </w:t>
      </w:r>
      <w:r>
        <w:t xml:space="preserve">they do not reduce emissions faster </w:t>
      </w:r>
      <w:r>
        <w:fldChar w:fldCharType="begin" w:fldLock="1"/>
      </w:r>
      <w:r>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policy","type":"article-journal","volume":"13"},"uris":["http://www.mendeley.com/documents/?uuid=b86eaeea-7a35-48c2-8487-71c86abf8931"]}],"mendeley":{"formattedCitation":"(Lachapelle &amp; Paterson, 2013)","plainTextFormattedCitation":"(Lachapelle &amp; Paterson, 2013)","previouslyFormattedCitation":"(Lachapelle &amp; Paterson, 2013)"},"properties":{"noteIndex":0},"schema":"https://github.com/citation-style-language/schema/raw/master/csl-citation.json"}</w:instrText>
      </w:r>
      <w:r>
        <w:fldChar w:fldCharType="separate"/>
      </w:r>
      <w:r w:rsidRPr="00AA38BD">
        <w:rPr>
          <w:noProof/>
        </w:rPr>
        <w:t>(Lachapelle &amp; Paterson, 2013)</w:t>
      </w:r>
      <w:r>
        <w:fldChar w:fldCharType="end"/>
      </w:r>
      <w:r>
        <w:t xml:space="preserve">. Nor do more concentrated political systems with parliamentary majorities implement more stringent carbon prices </w:t>
      </w:r>
      <w:r>
        <w:fldChar w:fldCharType="begin" w:fldLock="1"/>
      </w:r>
      <w:r>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fldChar w:fldCharType="separate"/>
      </w:r>
      <w:r w:rsidRPr="00AA38BD">
        <w:rPr>
          <w:noProof/>
        </w:rPr>
        <w:t>(Levi et al., 2019)</w:t>
      </w:r>
      <w:r>
        <w:fldChar w:fldCharType="end"/>
      </w:r>
      <w:r>
        <w:t>. Hence there is no clear perspective on which types of democratic system are more promising.</w:t>
      </w:r>
    </w:p>
    <w:p w14:paraId="2039EC41" w14:textId="77777777" w:rsidR="00866B91" w:rsidRDefault="00866B91" w:rsidP="00866B91">
      <w:pPr>
        <w:spacing w:line="360" w:lineRule="auto"/>
      </w:pPr>
    </w:p>
    <w:p w14:paraId="066155DE" w14:textId="77777777" w:rsidR="00866B91" w:rsidRDefault="00866B91" w:rsidP="00866B91">
      <w:pPr>
        <w:spacing w:line="360" w:lineRule="auto"/>
      </w:pPr>
    </w:p>
    <w:p w14:paraId="75D9C46B" w14:textId="3E87E38D" w:rsidR="008F3B76" w:rsidRDefault="008F3B76" w:rsidP="0021445B">
      <w:pPr>
        <w:spacing w:line="360" w:lineRule="auto"/>
        <w:sectPr w:rsidR="008F3B76">
          <w:pgSz w:w="11906" w:h="16838"/>
          <w:pgMar w:top="1417" w:right="1417" w:bottom="1134" w:left="1417" w:header="708" w:footer="708" w:gutter="0"/>
          <w:cols w:space="708"/>
          <w:docGrid w:linePitch="360"/>
        </w:sectPr>
      </w:pPr>
    </w:p>
    <w:tbl>
      <w:tblPr>
        <w:tblStyle w:val="TableGrid"/>
        <w:tblW w:w="14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131"/>
        <w:gridCol w:w="3636"/>
        <w:gridCol w:w="3637"/>
        <w:gridCol w:w="3637"/>
      </w:tblGrid>
      <w:tr w:rsidR="007D03A6" w14:paraId="27CE492A" w14:textId="08E89376" w:rsidTr="007D03A6">
        <w:trPr>
          <w:trHeight w:val="699"/>
        </w:trPr>
        <w:tc>
          <w:tcPr>
            <w:tcW w:w="1413" w:type="dxa"/>
            <w:vMerge w:val="restart"/>
            <w:tcBorders>
              <w:top w:val="single" w:sz="4" w:space="0" w:color="auto"/>
              <w:bottom w:val="single" w:sz="4" w:space="0" w:color="auto"/>
            </w:tcBorders>
          </w:tcPr>
          <w:p w14:paraId="3FDA2515" w14:textId="77777777" w:rsidR="007D03A6" w:rsidRPr="00C61ACB" w:rsidRDefault="007D03A6" w:rsidP="00CB232A">
            <w:pPr>
              <w:rPr>
                <w:b/>
              </w:rPr>
            </w:pPr>
            <w:r w:rsidRPr="00C61ACB">
              <w:rPr>
                <w:b/>
              </w:rPr>
              <w:lastRenderedPageBreak/>
              <w:t>Study</w:t>
            </w:r>
          </w:p>
        </w:tc>
        <w:tc>
          <w:tcPr>
            <w:tcW w:w="2131" w:type="dxa"/>
            <w:vMerge w:val="restart"/>
            <w:tcBorders>
              <w:top w:val="single" w:sz="4" w:space="0" w:color="auto"/>
              <w:bottom w:val="single" w:sz="4" w:space="0" w:color="auto"/>
            </w:tcBorders>
          </w:tcPr>
          <w:p w14:paraId="2ECD7CC2" w14:textId="77777777" w:rsidR="007D03A6" w:rsidRPr="00C61ACB" w:rsidRDefault="007D03A6" w:rsidP="00CB232A">
            <w:pPr>
              <w:rPr>
                <w:b/>
              </w:rPr>
            </w:pPr>
            <w:r w:rsidRPr="00C61ACB">
              <w:rPr>
                <w:b/>
              </w:rPr>
              <w:t>Dependent</w:t>
            </w:r>
          </w:p>
        </w:tc>
        <w:tc>
          <w:tcPr>
            <w:tcW w:w="10910" w:type="dxa"/>
            <w:gridSpan w:val="3"/>
            <w:tcBorders>
              <w:top w:val="single" w:sz="4" w:space="0" w:color="auto"/>
              <w:bottom w:val="single" w:sz="4" w:space="0" w:color="auto"/>
            </w:tcBorders>
          </w:tcPr>
          <w:p w14:paraId="77A1488E" w14:textId="327F1BFE" w:rsidR="007D03A6" w:rsidRDefault="006E1150" w:rsidP="00CB232A">
            <w:pPr>
              <w:rPr>
                <w:b/>
              </w:rPr>
            </w:pPr>
            <w:r>
              <w:rPr>
                <w:b/>
              </w:rPr>
              <w:t>Identified c</w:t>
            </w:r>
            <w:r w:rsidR="007D03A6" w:rsidRPr="00C61ACB">
              <w:rPr>
                <w:b/>
              </w:rPr>
              <w:t xml:space="preserve">onstraints and their reported effects on the adoption and stringency of climate legislation and policy </w:t>
            </w:r>
          </w:p>
          <w:p w14:paraId="5D6DDD1F" w14:textId="60EF5835" w:rsidR="007D03A6" w:rsidRPr="00C61ACB" w:rsidRDefault="007D03A6" w:rsidP="00EE7FAE">
            <w:pPr>
              <w:rPr>
                <w:b/>
              </w:rPr>
            </w:pPr>
            <w:r w:rsidRPr="00C61ACB">
              <w:rPr>
                <w:b/>
              </w:rPr>
              <w:t>(</w:t>
            </w:r>
            <w:r w:rsidRPr="00EE7FAE">
              <w:rPr>
                <w:b/>
                <w:color w:val="00B050"/>
              </w:rPr>
              <w:t xml:space="preserve">+ higher value increases </w:t>
            </w:r>
            <w:r w:rsidR="00EE7FAE">
              <w:rPr>
                <w:b/>
                <w:color w:val="00B050"/>
              </w:rPr>
              <w:t>adoption/stringency</w:t>
            </w:r>
            <w:r w:rsidRPr="00EE7FAE">
              <w:rPr>
                <w:b/>
                <w:color w:val="00B050"/>
              </w:rPr>
              <w:t xml:space="preserve"> </w:t>
            </w:r>
            <w:r>
              <w:rPr>
                <w:b/>
              </w:rPr>
              <w:t xml:space="preserve">| </w:t>
            </w:r>
            <w:r w:rsidRPr="00EE7FAE">
              <w:rPr>
                <w:b/>
                <w:color w:val="FF0000"/>
              </w:rPr>
              <w:t xml:space="preserve">- decreases </w:t>
            </w:r>
            <w:r w:rsidR="00EE7FAE" w:rsidRPr="00EE7FAE">
              <w:rPr>
                <w:b/>
                <w:color w:val="FF0000"/>
              </w:rPr>
              <w:t xml:space="preserve">adoption/stringency </w:t>
            </w:r>
            <w:r>
              <w:rPr>
                <w:b/>
              </w:rPr>
              <w:t xml:space="preserve">| </w:t>
            </w:r>
            <w:r w:rsidR="00B53B65">
              <w:rPr>
                <w:color w:val="FFC000"/>
              </w:rPr>
              <w:t>0</w:t>
            </w:r>
            <w:r w:rsidRPr="00EE7FAE">
              <w:rPr>
                <w:b/>
                <w:color w:val="FFC000"/>
              </w:rPr>
              <w:t xml:space="preserve"> no effect</w:t>
            </w:r>
            <w:r w:rsidRPr="00C61ACB">
              <w:rPr>
                <w:b/>
              </w:rPr>
              <w:t>)</w:t>
            </w:r>
          </w:p>
        </w:tc>
      </w:tr>
      <w:tr w:rsidR="007D03A6" w14:paraId="0D0E08FF" w14:textId="5AC8E47F" w:rsidTr="007D03A6">
        <w:tc>
          <w:tcPr>
            <w:tcW w:w="1413" w:type="dxa"/>
            <w:vMerge/>
            <w:tcBorders>
              <w:top w:val="single" w:sz="4" w:space="0" w:color="auto"/>
              <w:bottom w:val="single" w:sz="4" w:space="0" w:color="auto"/>
            </w:tcBorders>
          </w:tcPr>
          <w:p w14:paraId="7D5F3E67" w14:textId="77777777" w:rsidR="007D03A6" w:rsidRPr="00C61ACB" w:rsidRDefault="007D03A6" w:rsidP="00CB232A">
            <w:pPr>
              <w:rPr>
                <w:b/>
              </w:rPr>
            </w:pPr>
          </w:p>
        </w:tc>
        <w:tc>
          <w:tcPr>
            <w:tcW w:w="2131" w:type="dxa"/>
            <w:vMerge/>
            <w:tcBorders>
              <w:top w:val="single" w:sz="4" w:space="0" w:color="auto"/>
              <w:bottom w:val="single" w:sz="4" w:space="0" w:color="auto"/>
            </w:tcBorders>
          </w:tcPr>
          <w:p w14:paraId="49E9F8C4" w14:textId="77777777" w:rsidR="007D03A6" w:rsidRPr="00C61ACB" w:rsidRDefault="007D03A6" w:rsidP="00CB232A">
            <w:pPr>
              <w:rPr>
                <w:b/>
              </w:rPr>
            </w:pPr>
          </w:p>
        </w:tc>
        <w:tc>
          <w:tcPr>
            <w:tcW w:w="3636" w:type="dxa"/>
            <w:tcBorders>
              <w:top w:val="single" w:sz="4" w:space="0" w:color="auto"/>
              <w:bottom w:val="single" w:sz="4" w:space="0" w:color="auto"/>
            </w:tcBorders>
          </w:tcPr>
          <w:p w14:paraId="2FF96114" w14:textId="4DBBB36D" w:rsidR="007D03A6" w:rsidRPr="00C61ACB" w:rsidRDefault="007D03A6" w:rsidP="00CB232A">
            <w:pPr>
              <w:rPr>
                <w:b/>
              </w:rPr>
            </w:pPr>
            <w:r w:rsidRPr="00C61ACB">
              <w:rPr>
                <w:b/>
              </w:rPr>
              <w:t>Interests</w:t>
            </w:r>
          </w:p>
        </w:tc>
        <w:tc>
          <w:tcPr>
            <w:tcW w:w="3637" w:type="dxa"/>
            <w:tcBorders>
              <w:top w:val="single" w:sz="4" w:space="0" w:color="auto"/>
              <w:bottom w:val="single" w:sz="4" w:space="0" w:color="auto"/>
            </w:tcBorders>
          </w:tcPr>
          <w:p w14:paraId="4842430C" w14:textId="34DF3158" w:rsidR="007D03A6" w:rsidRPr="00C61ACB" w:rsidRDefault="007D03A6" w:rsidP="00CB232A">
            <w:pPr>
              <w:rPr>
                <w:b/>
              </w:rPr>
            </w:pPr>
            <w:r w:rsidRPr="00C61ACB">
              <w:rPr>
                <w:b/>
              </w:rPr>
              <w:t>Institutions</w:t>
            </w:r>
          </w:p>
        </w:tc>
        <w:tc>
          <w:tcPr>
            <w:tcW w:w="3637" w:type="dxa"/>
            <w:tcBorders>
              <w:top w:val="single" w:sz="4" w:space="0" w:color="auto"/>
              <w:bottom w:val="single" w:sz="4" w:space="0" w:color="auto"/>
            </w:tcBorders>
          </w:tcPr>
          <w:p w14:paraId="67F2CE1A" w14:textId="7174C127" w:rsidR="007D03A6" w:rsidRPr="00C61ACB" w:rsidRDefault="007D03A6" w:rsidP="00CB232A">
            <w:pPr>
              <w:rPr>
                <w:b/>
              </w:rPr>
            </w:pPr>
            <w:r w:rsidRPr="00C61ACB">
              <w:rPr>
                <w:b/>
              </w:rPr>
              <w:t>Ideas</w:t>
            </w:r>
          </w:p>
        </w:tc>
      </w:tr>
      <w:tr w:rsidR="00C61ACB" w14:paraId="465E407F" w14:textId="68D99FD9" w:rsidTr="007D03A6">
        <w:trPr>
          <w:trHeight w:val="2537"/>
        </w:trPr>
        <w:tc>
          <w:tcPr>
            <w:tcW w:w="1413" w:type="dxa"/>
            <w:tcBorders>
              <w:top w:val="single" w:sz="4" w:space="0" w:color="auto"/>
            </w:tcBorders>
          </w:tcPr>
          <w:p w14:paraId="2FD98F33" w14:textId="77777777" w:rsidR="00C61ACB" w:rsidRDefault="00C61ACB" w:rsidP="00CB232A">
            <w:r>
              <w:rPr>
                <w:lang w:val="de-DE"/>
              </w:rPr>
              <w:fldChar w:fldCharType="begin" w:fldLock="1"/>
            </w:r>
            <w:r>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Pr>
                <w:lang w:val="de-DE"/>
              </w:rPr>
              <w:fldChar w:fldCharType="separate"/>
            </w:r>
            <w:r w:rsidRPr="008A1ED6">
              <w:rPr>
                <w:noProof/>
              </w:rPr>
              <w:t>(Levi et al., 2019)</w:t>
            </w:r>
            <w:r>
              <w:rPr>
                <w:lang w:val="de-DE"/>
              </w:rPr>
              <w:fldChar w:fldCharType="end"/>
            </w:r>
          </w:p>
        </w:tc>
        <w:tc>
          <w:tcPr>
            <w:tcW w:w="2131" w:type="dxa"/>
            <w:tcBorders>
              <w:top w:val="single" w:sz="4" w:space="0" w:color="auto"/>
            </w:tcBorders>
          </w:tcPr>
          <w:p w14:paraId="52D889A8" w14:textId="21E2EBFA" w:rsidR="00C61ACB" w:rsidRPr="00C61ACB" w:rsidRDefault="0021679D" w:rsidP="00CB232A">
            <w:pPr>
              <w:rPr>
                <w:b/>
              </w:rPr>
            </w:pPr>
            <w:r>
              <w:rPr>
                <w:b/>
              </w:rPr>
              <w:t>Climate p</w:t>
            </w:r>
            <w:r w:rsidR="00C61ACB" w:rsidRPr="00C61ACB">
              <w:rPr>
                <w:b/>
              </w:rPr>
              <w:t>olicy stringency</w:t>
            </w:r>
          </w:p>
          <w:p w14:paraId="4857612F" w14:textId="75396BFC" w:rsidR="00C61ACB" w:rsidRDefault="00C61ACB" w:rsidP="00235AFC">
            <w:r>
              <w:t>[</w:t>
            </w:r>
            <w:r w:rsidR="00235AFC">
              <w:t>We</w:t>
            </w:r>
            <w:r>
              <w:t xml:space="preserve">ighted carbon price level across 191 </w:t>
            </w:r>
            <w:r w:rsidR="00235AFC">
              <w:t>jurisdictions</w:t>
            </w:r>
            <w:r>
              <w:t>]</w:t>
            </w:r>
          </w:p>
        </w:tc>
        <w:tc>
          <w:tcPr>
            <w:tcW w:w="3636" w:type="dxa"/>
            <w:tcBorders>
              <w:top w:val="single" w:sz="4" w:space="0" w:color="auto"/>
            </w:tcBorders>
          </w:tcPr>
          <w:p w14:paraId="690F3E09" w14:textId="5D2CB361" w:rsidR="00474BDC" w:rsidRPr="000C5910" w:rsidRDefault="00474BDC" w:rsidP="00474BDC">
            <w:pPr>
              <w:rPr>
                <w:color w:val="00B050"/>
              </w:rPr>
            </w:pPr>
            <w:r w:rsidRPr="000C5910">
              <w:rPr>
                <w:color w:val="00B050"/>
              </w:rPr>
              <w:t xml:space="preserve">- </w:t>
            </w:r>
            <w:r w:rsidR="00007CAA" w:rsidRPr="000C5910">
              <w:rPr>
                <w:color w:val="00B050"/>
              </w:rPr>
              <w:t>S</w:t>
            </w:r>
            <w:r w:rsidRPr="000C5910">
              <w:rPr>
                <w:color w:val="00B050"/>
              </w:rPr>
              <w:t>hare of industry in GDP (+)</w:t>
            </w:r>
          </w:p>
          <w:p w14:paraId="10E79D4C" w14:textId="64FFE0D6" w:rsidR="00C61ACB" w:rsidRPr="000C5910" w:rsidRDefault="00C61ACB" w:rsidP="00CB232A">
            <w:pPr>
              <w:rPr>
                <w:color w:val="FF0000"/>
              </w:rPr>
            </w:pPr>
            <w:r w:rsidRPr="000C5910">
              <w:rPr>
                <w:color w:val="FF0000"/>
              </w:rPr>
              <w:t xml:space="preserve">- </w:t>
            </w:r>
            <w:r w:rsidR="00007CAA" w:rsidRPr="000C5910">
              <w:rPr>
                <w:color w:val="FF0000"/>
              </w:rPr>
              <w:t xml:space="preserve">Share of </w:t>
            </w:r>
            <w:r w:rsidRPr="000C5910">
              <w:rPr>
                <w:color w:val="FF0000"/>
              </w:rPr>
              <w:t>coal in ene</w:t>
            </w:r>
            <w:r w:rsidR="007D03A6">
              <w:rPr>
                <w:color w:val="FF0000"/>
              </w:rPr>
              <w:t>.</w:t>
            </w:r>
            <w:r w:rsidRPr="000C5910">
              <w:rPr>
                <w:color w:val="FF0000"/>
              </w:rPr>
              <w:t xml:space="preserve"> generation (-)</w:t>
            </w:r>
          </w:p>
          <w:p w14:paraId="464E56A1" w14:textId="01FBFABC" w:rsidR="00C61ACB" w:rsidRDefault="00C61ACB" w:rsidP="007D03A6">
            <w:r w:rsidRPr="000C5910">
              <w:rPr>
                <w:color w:val="FFC000"/>
              </w:rPr>
              <w:t xml:space="preserve">- </w:t>
            </w:r>
            <w:r w:rsidR="00007CAA" w:rsidRPr="000C5910">
              <w:rPr>
                <w:color w:val="FFC000"/>
              </w:rPr>
              <w:t xml:space="preserve">Share of </w:t>
            </w:r>
            <w:r w:rsidR="00474BDC" w:rsidRPr="000C5910">
              <w:rPr>
                <w:color w:val="FFC000"/>
              </w:rPr>
              <w:t>oil in</w:t>
            </w:r>
            <w:r w:rsidRPr="000C5910">
              <w:rPr>
                <w:color w:val="FFC000"/>
              </w:rPr>
              <w:t xml:space="preserve"> ene</w:t>
            </w:r>
            <w:r w:rsidR="007D03A6">
              <w:rPr>
                <w:color w:val="FFC000"/>
              </w:rPr>
              <w:t>.</w:t>
            </w:r>
            <w:r w:rsidRPr="000C5910">
              <w:rPr>
                <w:color w:val="FFC000"/>
              </w:rPr>
              <w:t xml:space="preserve"> generation </w:t>
            </w:r>
            <w:r w:rsidR="00474BDC" w:rsidRPr="000C5910">
              <w:rPr>
                <w:color w:val="FFC000"/>
              </w:rPr>
              <w:t>(</w:t>
            </w:r>
            <w:r w:rsidR="00B53B65">
              <w:rPr>
                <w:color w:val="FFC000"/>
              </w:rPr>
              <w:t>0</w:t>
            </w:r>
            <w:r w:rsidR="00474BDC" w:rsidRPr="000C5910">
              <w:rPr>
                <w:color w:val="FFC000"/>
              </w:rPr>
              <w:t>)</w:t>
            </w:r>
          </w:p>
        </w:tc>
        <w:tc>
          <w:tcPr>
            <w:tcW w:w="3637" w:type="dxa"/>
            <w:tcBorders>
              <w:top w:val="single" w:sz="4" w:space="0" w:color="auto"/>
            </w:tcBorders>
          </w:tcPr>
          <w:p w14:paraId="0DD23FF3" w14:textId="00E593E6" w:rsidR="00C61ACB" w:rsidRPr="000C5910" w:rsidRDefault="00C61ACB" w:rsidP="00C61ACB">
            <w:pPr>
              <w:rPr>
                <w:color w:val="00B050"/>
              </w:rPr>
            </w:pPr>
            <w:r w:rsidRPr="000C5910">
              <w:rPr>
                <w:color w:val="00B050"/>
              </w:rPr>
              <w:t xml:space="preserve">- </w:t>
            </w:r>
            <w:r w:rsidR="000C5910" w:rsidRPr="000C5910">
              <w:rPr>
                <w:color w:val="00B050"/>
              </w:rPr>
              <w:t>D</w:t>
            </w:r>
            <w:r w:rsidRPr="000C5910">
              <w:rPr>
                <w:color w:val="00B050"/>
              </w:rPr>
              <w:t>emocracy index score (+)</w:t>
            </w:r>
          </w:p>
          <w:p w14:paraId="55EBF703" w14:textId="797F5AB9" w:rsidR="00C61ACB" w:rsidRPr="000C5910" w:rsidRDefault="00C61ACB" w:rsidP="00C61ACB">
            <w:pPr>
              <w:rPr>
                <w:color w:val="00B050"/>
              </w:rPr>
            </w:pPr>
            <w:r w:rsidRPr="000C5910">
              <w:rPr>
                <w:color w:val="00B050"/>
              </w:rPr>
              <w:t xml:space="preserve">- </w:t>
            </w:r>
            <w:r w:rsidR="000C5910" w:rsidRPr="000C5910">
              <w:rPr>
                <w:color w:val="00B050"/>
              </w:rPr>
              <w:t>G</w:t>
            </w:r>
            <w:r w:rsidRPr="000C5910">
              <w:rPr>
                <w:color w:val="00B050"/>
              </w:rPr>
              <w:t>overnment effectiveness (+)</w:t>
            </w:r>
          </w:p>
          <w:p w14:paraId="58700E99" w14:textId="102DAA8C" w:rsidR="00C61ACB" w:rsidRPr="000C5910" w:rsidRDefault="00C61ACB" w:rsidP="00C61ACB">
            <w:pPr>
              <w:rPr>
                <w:color w:val="00B050"/>
              </w:rPr>
            </w:pPr>
            <w:r w:rsidRPr="000C5910">
              <w:rPr>
                <w:color w:val="00B050"/>
              </w:rPr>
              <w:t xml:space="preserve">- </w:t>
            </w:r>
            <w:r w:rsidR="000C5910" w:rsidRPr="000C5910">
              <w:rPr>
                <w:color w:val="00B050"/>
              </w:rPr>
              <w:t>C</w:t>
            </w:r>
            <w:r w:rsidRPr="000C5910">
              <w:rPr>
                <w:color w:val="00B050"/>
              </w:rPr>
              <w:t>ontrol of corruption (+)</w:t>
            </w:r>
          </w:p>
          <w:p w14:paraId="5DECDB9F" w14:textId="023EEB80" w:rsidR="00C61ACB" w:rsidRPr="000C5910" w:rsidRDefault="00C61ACB" w:rsidP="00C61ACB">
            <w:pPr>
              <w:rPr>
                <w:color w:val="00B050"/>
              </w:rPr>
            </w:pPr>
            <w:r w:rsidRPr="000C5910">
              <w:rPr>
                <w:color w:val="00B050"/>
              </w:rPr>
              <w:t>- Multilevel governance (e.g. EU) (+)</w:t>
            </w:r>
          </w:p>
          <w:p w14:paraId="6D41354B" w14:textId="0C510EF6" w:rsidR="00C61ACB" w:rsidRPr="000C5910" w:rsidRDefault="00C61ACB" w:rsidP="00C61ACB">
            <w:pPr>
              <w:rPr>
                <w:color w:val="00B050"/>
              </w:rPr>
            </w:pPr>
            <w:r w:rsidRPr="000C5910">
              <w:rPr>
                <w:color w:val="00B050"/>
              </w:rPr>
              <w:t xml:space="preserve">- </w:t>
            </w:r>
            <w:r w:rsidR="000C5910" w:rsidRPr="000C5910">
              <w:rPr>
                <w:color w:val="00B050"/>
              </w:rPr>
              <w:t>D</w:t>
            </w:r>
            <w:r w:rsidRPr="000C5910">
              <w:rPr>
                <w:color w:val="00B050"/>
              </w:rPr>
              <w:t>evelopme</w:t>
            </w:r>
            <w:r w:rsidR="00F51D59">
              <w:rPr>
                <w:color w:val="00B050"/>
              </w:rPr>
              <w:t>n</w:t>
            </w:r>
            <w:r w:rsidRPr="000C5910">
              <w:rPr>
                <w:color w:val="00B050"/>
              </w:rPr>
              <w:t>t level (GDP) (+)</w:t>
            </w:r>
          </w:p>
          <w:p w14:paraId="026FA2DE" w14:textId="0062ABF5" w:rsidR="00474BDC" w:rsidRPr="000C5910" w:rsidRDefault="00474BDC" w:rsidP="00474BDC">
            <w:pPr>
              <w:rPr>
                <w:color w:val="FFC000"/>
              </w:rPr>
            </w:pPr>
            <w:r w:rsidRPr="000C5910">
              <w:rPr>
                <w:color w:val="FFC000"/>
              </w:rPr>
              <w:t>- Political concentration (veto points) (</w:t>
            </w:r>
            <w:r w:rsidR="00B53B65">
              <w:rPr>
                <w:color w:val="FFC000"/>
              </w:rPr>
              <w:t>0</w:t>
            </w:r>
            <w:r w:rsidRPr="000C5910">
              <w:rPr>
                <w:color w:val="FFC000"/>
              </w:rPr>
              <w:t>)</w:t>
            </w:r>
          </w:p>
          <w:p w14:paraId="43627E5A" w14:textId="39933163" w:rsidR="00C61ACB" w:rsidRDefault="00474BDC" w:rsidP="00474BDC">
            <w:r w:rsidRPr="000C5910">
              <w:rPr>
                <w:color w:val="FFC000"/>
              </w:rPr>
              <w:t>- Majoritarian voting system (</w:t>
            </w:r>
            <w:r w:rsidR="00B53B65">
              <w:rPr>
                <w:color w:val="FFC000"/>
              </w:rPr>
              <w:t>0</w:t>
            </w:r>
            <w:r w:rsidRPr="000C5910">
              <w:rPr>
                <w:color w:val="FFC000"/>
              </w:rPr>
              <w:t>)</w:t>
            </w:r>
          </w:p>
        </w:tc>
        <w:tc>
          <w:tcPr>
            <w:tcW w:w="3637" w:type="dxa"/>
            <w:tcBorders>
              <w:top w:val="single" w:sz="4" w:space="0" w:color="auto"/>
            </w:tcBorders>
          </w:tcPr>
          <w:p w14:paraId="5103B984" w14:textId="77777777" w:rsidR="00C61ACB" w:rsidRPr="000C5910" w:rsidRDefault="00C61ACB" w:rsidP="00C61ACB">
            <w:pPr>
              <w:rPr>
                <w:color w:val="00B050"/>
              </w:rPr>
            </w:pPr>
            <w:r w:rsidRPr="000C5910">
              <w:rPr>
                <w:color w:val="00B050"/>
              </w:rPr>
              <w:t>- High public belief in human-made climate change (+)</w:t>
            </w:r>
          </w:p>
          <w:p w14:paraId="7FD630F4" w14:textId="77777777" w:rsidR="00C61ACB" w:rsidRDefault="00C61ACB" w:rsidP="00CB232A"/>
        </w:tc>
      </w:tr>
      <w:tr w:rsidR="00C61ACB" w14:paraId="333B8AF3" w14:textId="5720FAC6" w:rsidTr="007D03A6">
        <w:trPr>
          <w:trHeight w:val="2566"/>
        </w:trPr>
        <w:tc>
          <w:tcPr>
            <w:tcW w:w="1413" w:type="dxa"/>
            <w:vMerge w:val="restart"/>
          </w:tcPr>
          <w:p w14:paraId="28DD1218" w14:textId="3BF1485C" w:rsidR="00C61ACB" w:rsidRDefault="00C61ACB" w:rsidP="00CB232A">
            <w:r>
              <w:fldChar w:fldCharType="begin" w:fldLock="1"/>
            </w:r>
            <w:r>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Analysis","type":"report"},"uris":["http://www.mendeley.com/documents/?uuid=6e269377-11ab-4240-a1eb-07b94f1ee52b"]}],"mendeley":{"formattedCitation":"(Dolphin et al., 2016)","plainTextFormattedCitation":"(Dolphin et al., 2016)","previouslyFormattedCitation":"(Dolphin et al., 2016)"},"properties":{"noteIndex":0},"schema":"https://github.com/citation-style-language/schema/raw/master/csl-citation.json"}</w:instrText>
            </w:r>
            <w:r>
              <w:fldChar w:fldCharType="separate"/>
            </w:r>
            <w:r w:rsidRPr="008A1ED6">
              <w:rPr>
                <w:noProof/>
              </w:rPr>
              <w:t>(Dolphin et al., 2016)</w:t>
            </w:r>
            <w:r>
              <w:fldChar w:fldCharType="end"/>
            </w:r>
          </w:p>
        </w:tc>
        <w:tc>
          <w:tcPr>
            <w:tcW w:w="2131" w:type="dxa"/>
          </w:tcPr>
          <w:p w14:paraId="4055C1B7" w14:textId="439B7658" w:rsidR="00C61ACB" w:rsidRPr="00355664" w:rsidRDefault="00C61ACB" w:rsidP="00CB232A">
            <w:pPr>
              <w:rPr>
                <w:b/>
              </w:rPr>
            </w:pPr>
            <w:r w:rsidRPr="00355664">
              <w:rPr>
                <w:b/>
              </w:rPr>
              <w:t>Climate policy adoption</w:t>
            </w:r>
          </w:p>
          <w:p w14:paraId="440BE0E9" w14:textId="3D4E84F8" w:rsidR="00C61ACB" w:rsidRDefault="00C61ACB" w:rsidP="00235AFC">
            <w:r>
              <w:t>[</w:t>
            </w:r>
            <w:r w:rsidR="007D03A6">
              <w:t>C</w:t>
            </w:r>
            <w:r>
              <w:t xml:space="preserve">arbon price adoption in 136 </w:t>
            </w:r>
            <w:r w:rsidR="00235AFC">
              <w:t>countries</w:t>
            </w:r>
            <w:r>
              <w:t xml:space="preserve"> + 63 subnational jurisdictions]</w:t>
            </w:r>
          </w:p>
        </w:tc>
        <w:tc>
          <w:tcPr>
            <w:tcW w:w="3636" w:type="dxa"/>
          </w:tcPr>
          <w:p w14:paraId="39FCB6B3" w14:textId="77777777" w:rsidR="00F51D59" w:rsidRDefault="00F51D59" w:rsidP="00F51D59">
            <w:pPr>
              <w:rPr>
                <w:color w:val="FF0000"/>
              </w:rPr>
            </w:pPr>
            <w:r>
              <w:rPr>
                <w:color w:val="FF0000"/>
              </w:rPr>
              <w:t>- Share of industry in GDP (-)</w:t>
            </w:r>
          </w:p>
          <w:p w14:paraId="2EF9D309" w14:textId="4B7F11E7" w:rsidR="00F51D59" w:rsidRPr="00F51D59" w:rsidRDefault="00F51D59" w:rsidP="00F51D59">
            <w:pPr>
              <w:rPr>
                <w:color w:val="FF0000"/>
              </w:rPr>
            </w:pPr>
            <w:r w:rsidRPr="00F51D59">
              <w:rPr>
                <w:color w:val="FF0000"/>
              </w:rPr>
              <w:t>- Share of coal in elec</w:t>
            </w:r>
            <w:r w:rsidR="007D03A6">
              <w:rPr>
                <w:color w:val="FF0000"/>
              </w:rPr>
              <w:t xml:space="preserve">. </w:t>
            </w:r>
            <w:r w:rsidRPr="00F51D59">
              <w:rPr>
                <w:color w:val="FF0000"/>
              </w:rPr>
              <w:t>generation (-)</w:t>
            </w:r>
          </w:p>
          <w:p w14:paraId="4121CA39" w14:textId="2378CB93" w:rsidR="00F51D59" w:rsidRPr="00F51D59" w:rsidRDefault="00F51D59" w:rsidP="00F51D59">
            <w:pPr>
              <w:rPr>
                <w:color w:val="FF0000"/>
              </w:rPr>
            </w:pPr>
            <w:r w:rsidRPr="00F51D59">
              <w:rPr>
                <w:color w:val="FF0000"/>
              </w:rPr>
              <w:t>- Share of oil in elec</w:t>
            </w:r>
            <w:r w:rsidR="007D03A6">
              <w:rPr>
                <w:color w:val="FF0000"/>
              </w:rPr>
              <w:t>.</w:t>
            </w:r>
            <w:r w:rsidRPr="00F51D59">
              <w:rPr>
                <w:color w:val="FF0000"/>
              </w:rPr>
              <w:t xml:space="preserve"> generation (</w:t>
            </w:r>
            <w:r>
              <w:rPr>
                <w:color w:val="FF0000"/>
              </w:rPr>
              <w:t>-</w:t>
            </w:r>
            <w:r w:rsidRPr="00F51D59">
              <w:rPr>
                <w:color w:val="FF0000"/>
              </w:rPr>
              <w:t>)</w:t>
            </w:r>
          </w:p>
          <w:p w14:paraId="4857D143" w14:textId="28F96E6A" w:rsidR="00F51D59" w:rsidRDefault="00F51D59" w:rsidP="00F51D59">
            <w:pPr>
              <w:rPr>
                <w:color w:val="FFC000"/>
              </w:rPr>
            </w:pPr>
            <w:r w:rsidRPr="00F51D59">
              <w:rPr>
                <w:color w:val="FFC000"/>
              </w:rPr>
              <w:t>- Share of gas in elec</w:t>
            </w:r>
            <w:r w:rsidR="007D03A6">
              <w:rPr>
                <w:color w:val="FFC000"/>
              </w:rPr>
              <w:t>.</w:t>
            </w:r>
            <w:r w:rsidRPr="00F51D59">
              <w:rPr>
                <w:color w:val="FFC000"/>
              </w:rPr>
              <w:t xml:space="preserve"> generation (</w:t>
            </w:r>
            <w:r w:rsidR="00B53B65">
              <w:rPr>
                <w:color w:val="FFC000"/>
              </w:rPr>
              <w:t>0</w:t>
            </w:r>
            <w:r w:rsidRPr="00F51D59">
              <w:rPr>
                <w:color w:val="FFC000"/>
              </w:rPr>
              <w:t>)</w:t>
            </w:r>
          </w:p>
          <w:p w14:paraId="532E5339" w14:textId="1EE7FBA4" w:rsidR="00C61ACB" w:rsidRPr="007D03A6" w:rsidRDefault="00F51D59" w:rsidP="00CB232A">
            <w:pPr>
              <w:rPr>
                <w:color w:val="00B050"/>
              </w:rPr>
            </w:pPr>
            <w:r w:rsidRPr="00F51D59">
              <w:rPr>
                <w:color w:val="00B050"/>
              </w:rPr>
              <w:t>- Share of t</w:t>
            </w:r>
            <w:r w:rsidR="007D03A6">
              <w:rPr>
                <w:color w:val="00B050"/>
              </w:rPr>
              <w:t>rade in GDP (+)</w:t>
            </w:r>
          </w:p>
        </w:tc>
        <w:tc>
          <w:tcPr>
            <w:tcW w:w="3637" w:type="dxa"/>
          </w:tcPr>
          <w:p w14:paraId="62D9FEAB" w14:textId="050A8215" w:rsidR="00D261E5" w:rsidRDefault="00D261E5" w:rsidP="00D261E5">
            <w:pPr>
              <w:rPr>
                <w:color w:val="00B050"/>
              </w:rPr>
            </w:pPr>
            <w:r w:rsidRPr="00F51D59">
              <w:rPr>
                <w:color w:val="00B050"/>
              </w:rPr>
              <w:t xml:space="preserve">- </w:t>
            </w:r>
            <w:r w:rsidR="00F51D59" w:rsidRPr="00F51D59">
              <w:rPr>
                <w:color w:val="00B050"/>
              </w:rPr>
              <w:t>D</w:t>
            </w:r>
            <w:r w:rsidRPr="00F51D59">
              <w:rPr>
                <w:color w:val="00B050"/>
              </w:rPr>
              <w:t>evelopment level (GDP)</w:t>
            </w:r>
            <w:r w:rsidR="00F51D59" w:rsidRPr="00F51D59">
              <w:rPr>
                <w:color w:val="00B050"/>
              </w:rPr>
              <w:t xml:space="preserve"> (+)</w:t>
            </w:r>
          </w:p>
          <w:p w14:paraId="2FF2A3C3" w14:textId="77777777" w:rsidR="00F51D59" w:rsidRDefault="00F51D59" w:rsidP="00D261E5">
            <w:pPr>
              <w:rPr>
                <w:color w:val="00B050"/>
              </w:rPr>
            </w:pPr>
            <w:r>
              <w:rPr>
                <w:color w:val="00B050"/>
              </w:rPr>
              <w:t>- EU membership (+)</w:t>
            </w:r>
          </w:p>
          <w:p w14:paraId="7BC2F866" w14:textId="75463C67" w:rsidR="00D261E5" w:rsidRDefault="00F51D59" w:rsidP="00F51D59">
            <w:r>
              <w:rPr>
                <w:color w:val="00B050"/>
              </w:rPr>
              <w:t>- Democracy index score (+)</w:t>
            </w:r>
          </w:p>
          <w:p w14:paraId="7C1C9918" w14:textId="0DE4B595" w:rsidR="00D261E5" w:rsidRDefault="00D261E5" w:rsidP="00CB232A">
            <w:r w:rsidRPr="004E61B4">
              <w:rPr>
                <w:color w:val="FFC000"/>
              </w:rPr>
              <w:t>- Institutional capacity</w:t>
            </w:r>
            <w:r w:rsidR="004E61B4">
              <w:rPr>
                <w:color w:val="FFC000"/>
              </w:rPr>
              <w:t xml:space="preserve"> (Government effectiveness, </w:t>
            </w:r>
            <w:r w:rsidRPr="004E61B4">
              <w:rPr>
                <w:color w:val="FFC000"/>
              </w:rPr>
              <w:t>Regulatory Quality) (</w:t>
            </w:r>
            <w:r w:rsidR="00B53B65">
              <w:rPr>
                <w:color w:val="FFC000"/>
              </w:rPr>
              <w:t>0</w:t>
            </w:r>
            <w:r w:rsidRPr="004E61B4">
              <w:rPr>
                <w:color w:val="FFC000"/>
              </w:rPr>
              <w:t>)</w:t>
            </w:r>
          </w:p>
        </w:tc>
        <w:tc>
          <w:tcPr>
            <w:tcW w:w="3637" w:type="dxa"/>
          </w:tcPr>
          <w:p w14:paraId="27415AC5" w14:textId="37206A0B" w:rsidR="00C61ACB" w:rsidRPr="004E61B4" w:rsidRDefault="00D261E5" w:rsidP="00007CAA">
            <w:pPr>
              <w:rPr>
                <w:color w:val="FFC000"/>
              </w:rPr>
            </w:pPr>
            <w:r w:rsidRPr="004E61B4">
              <w:rPr>
                <w:color w:val="FFC000"/>
              </w:rPr>
              <w:t>-</w:t>
            </w:r>
            <w:r w:rsidR="00007CAA" w:rsidRPr="004E61B4">
              <w:rPr>
                <w:color w:val="FFC000"/>
              </w:rPr>
              <w:t xml:space="preserve"> Left/r</w:t>
            </w:r>
            <w:r w:rsidRPr="004E61B4">
              <w:rPr>
                <w:color w:val="FFC000"/>
              </w:rPr>
              <w:t>ight</w:t>
            </w:r>
            <w:r w:rsidR="00007CAA" w:rsidRPr="004E61B4">
              <w:rPr>
                <w:color w:val="FFC000"/>
              </w:rPr>
              <w:t xml:space="preserve"> political ideology</w:t>
            </w:r>
            <w:r w:rsidRPr="004E61B4">
              <w:rPr>
                <w:color w:val="FFC000"/>
              </w:rPr>
              <w:t xml:space="preserve"> (</w:t>
            </w:r>
            <w:r w:rsidR="00B53B65">
              <w:rPr>
                <w:color w:val="FFC000"/>
              </w:rPr>
              <w:t>0</w:t>
            </w:r>
            <w:r w:rsidRPr="004E61B4">
              <w:rPr>
                <w:color w:val="FFC000"/>
              </w:rPr>
              <w:t>)</w:t>
            </w:r>
          </w:p>
        </w:tc>
      </w:tr>
      <w:tr w:rsidR="00C61ACB" w14:paraId="3DBB5E80" w14:textId="1143ED12" w:rsidTr="007D03A6">
        <w:trPr>
          <w:trHeight w:val="2954"/>
        </w:trPr>
        <w:tc>
          <w:tcPr>
            <w:tcW w:w="1413" w:type="dxa"/>
            <w:vMerge/>
          </w:tcPr>
          <w:p w14:paraId="0E4E4C92" w14:textId="1CFA29A0" w:rsidR="00C61ACB" w:rsidRDefault="00C61ACB" w:rsidP="00CB232A">
            <w:pPr>
              <w:pStyle w:val="NormalWeb"/>
              <w:ind w:left="480" w:hanging="480"/>
            </w:pPr>
          </w:p>
        </w:tc>
        <w:tc>
          <w:tcPr>
            <w:tcW w:w="2131" w:type="dxa"/>
          </w:tcPr>
          <w:p w14:paraId="03839D11" w14:textId="41B76B83" w:rsidR="00C61ACB" w:rsidRPr="001A558D" w:rsidRDefault="0021679D" w:rsidP="00CB232A">
            <w:pPr>
              <w:rPr>
                <w:b/>
              </w:rPr>
            </w:pPr>
            <w:r>
              <w:rPr>
                <w:b/>
              </w:rPr>
              <w:t>Climate p</w:t>
            </w:r>
            <w:r w:rsidR="00C61ACB" w:rsidRPr="001A558D">
              <w:rPr>
                <w:b/>
              </w:rPr>
              <w:t>olicy stringency</w:t>
            </w:r>
          </w:p>
          <w:p w14:paraId="6CDC2AAB" w14:textId="718065E2" w:rsidR="00C61ACB" w:rsidRDefault="00C61ACB" w:rsidP="00235AFC">
            <w:r>
              <w:t>[</w:t>
            </w:r>
            <w:r w:rsidR="007D03A6">
              <w:t>C</w:t>
            </w:r>
            <w:r>
              <w:t>arbo</w:t>
            </w:r>
            <w:r w:rsidR="007D03A6">
              <w:t>n</w:t>
            </w:r>
            <w:r>
              <w:t xml:space="preserve"> price level  across 37 </w:t>
            </w:r>
            <w:r w:rsidR="00235AFC">
              <w:t>countries</w:t>
            </w:r>
            <w:r>
              <w:t xml:space="preserve"> + 24 subnational jurisdictions]</w:t>
            </w:r>
          </w:p>
        </w:tc>
        <w:tc>
          <w:tcPr>
            <w:tcW w:w="3636" w:type="dxa"/>
          </w:tcPr>
          <w:p w14:paraId="05154B54" w14:textId="77777777" w:rsidR="00F51D59" w:rsidRDefault="00F51D59" w:rsidP="00F51D59">
            <w:pPr>
              <w:rPr>
                <w:color w:val="FF0000"/>
              </w:rPr>
            </w:pPr>
            <w:r>
              <w:rPr>
                <w:color w:val="FF0000"/>
              </w:rPr>
              <w:t>- Share of industry in GDP (-)</w:t>
            </w:r>
          </w:p>
          <w:p w14:paraId="1CF77FC7" w14:textId="048F6DF6" w:rsidR="00F51D59" w:rsidRPr="00F51D59" w:rsidRDefault="00F51D59" w:rsidP="00F51D59">
            <w:pPr>
              <w:rPr>
                <w:color w:val="FF0000"/>
              </w:rPr>
            </w:pPr>
            <w:r w:rsidRPr="00F51D59">
              <w:rPr>
                <w:color w:val="FF0000"/>
              </w:rPr>
              <w:t>- Share of coal in elec</w:t>
            </w:r>
            <w:r w:rsidR="007D03A6">
              <w:rPr>
                <w:color w:val="FF0000"/>
              </w:rPr>
              <w:t>.</w:t>
            </w:r>
            <w:r w:rsidRPr="00F51D59">
              <w:rPr>
                <w:color w:val="FF0000"/>
              </w:rPr>
              <w:t xml:space="preserve"> generation (-)</w:t>
            </w:r>
          </w:p>
          <w:p w14:paraId="5DEDB9DA" w14:textId="17BA28F8" w:rsidR="00F51D59" w:rsidRPr="00F51D59" w:rsidRDefault="00F51D59" w:rsidP="00F51D59">
            <w:pPr>
              <w:rPr>
                <w:color w:val="FFC000"/>
              </w:rPr>
            </w:pPr>
            <w:r w:rsidRPr="00F51D59">
              <w:rPr>
                <w:color w:val="FFC000"/>
              </w:rPr>
              <w:t>- Share of oil in elec</w:t>
            </w:r>
            <w:r w:rsidR="007D03A6">
              <w:rPr>
                <w:color w:val="FFC000"/>
              </w:rPr>
              <w:t>.</w:t>
            </w:r>
            <w:r w:rsidRPr="00F51D59">
              <w:rPr>
                <w:color w:val="FFC000"/>
              </w:rPr>
              <w:t xml:space="preserve"> generation (</w:t>
            </w:r>
            <w:r w:rsidR="00B53B65">
              <w:rPr>
                <w:color w:val="FFC000"/>
              </w:rPr>
              <w:t>0</w:t>
            </w:r>
            <w:r w:rsidRPr="00F51D59">
              <w:rPr>
                <w:color w:val="FFC000"/>
              </w:rPr>
              <w:t>)</w:t>
            </w:r>
          </w:p>
          <w:p w14:paraId="03FFC1C2" w14:textId="4F711929" w:rsidR="00F51D59" w:rsidRPr="00F51D59" w:rsidRDefault="00F51D59" w:rsidP="00F51D59">
            <w:pPr>
              <w:rPr>
                <w:color w:val="FFC000"/>
              </w:rPr>
            </w:pPr>
            <w:r w:rsidRPr="00F51D59">
              <w:rPr>
                <w:color w:val="FFC000"/>
              </w:rPr>
              <w:t>- Share of gas in ele</w:t>
            </w:r>
            <w:r w:rsidR="007D03A6">
              <w:rPr>
                <w:color w:val="FFC000"/>
              </w:rPr>
              <w:t>c.</w:t>
            </w:r>
            <w:r w:rsidRPr="00F51D59">
              <w:rPr>
                <w:color w:val="FFC000"/>
              </w:rPr>
              <w:t xml:space="preserve"> generation (</w:t>
            </w:r>
            <w:r w:rsidR="00B53B65">
              <w:rPr>
                <w:color w:val="FFC000"/>
              </w:rPr>
              <w:t>0</w:t>
            </w:r>
            <w:r w:rsidRPr="00F51D59">
              <w:rPr>
                <w:color w:val="FFC000"/>
              </w:rPr>
              <w:t>)</w:t>
            </w:r>
          </w:p>
          <w:p w14:paraId="34AD1260" w14:textId="4CBC5A29" w:rsidR="00007CAA" w:rsidRPr="00F51D59" w:rsidRDefault="00007CAA" w:rsidP="00007CAA">
            <w:pPr>
              <w:rPr>
                <w:color w:val="FFC000"/>
              </w:rPr>
            </w:pPr>
            <w:r w:rsidRPr="00F51D59">
              <w:rPr>
                <w:color w:val="FFC000"/>
              </w:rPr>
              <w:t xml:space="preserve">- </w:t>
            </w:r>
            <w:r w:rsidR="00F51D59">
              <w:rPr>
                <w:color w:val="FFC000"/>
              </w:rPr>
              <w:t>Share of trade in GDP</w:t>
            </w:r>
            <w:r w:rsidRPr="00F51D59">
              <w:rPr>
                <w:color w:val="FFC000"/>
              </w:rPr>
              <w:t xml:space="preserve"> (</w:t>
            </w:r>
            <w:r w:rsidR="00B53B65">
              <w:rPr>
                <w:color w:val="FFC000"/>
              </w:rPr>
              <w:t>0</w:t>
            </w:r>
            <w:r w:rsidRPr="00F51D59">
              <w:rPr>
                <w:color w:val="FFC000"/>
              </w:rPr>
              <w:t>)</w:t>
            </w:r>
          </w:p>
          <w:p w14:paraId="0224180D" w14:textId="0F9806DA" w:rsidR="00C61ACB" w:rsidRDefault="00C61ACB" w:rsidP="00007CAA"/>
        </w:tc>
        <w:tc>
          <w:tcPr>
            <w:tcW w:w="3637" w:type="dxa"/>
          </w:tcPr>
          <w:p w14:paraId="7E31F057" w14:textId="77777777" w:rsidR="00F51D59" w:rsidRDefault="00F51D59" w:rsidP="00F51D59">
            <w:pPr>
              <w:rPr>
                <w:color w:val="00B050"/>
              </w:rPr>
            </w:pPr>
            <w:r w:rsidRPr="00F51D59">
              <w:rPr>
                <w:color w:val="00B050"/>
              </w:rPr>
              <w:t>- Development level (GDP) (+)</w:t>
            </w:r>
          </w:p>
          <w:p w14:paraId="2EBECD5C" w14:textId="014CFFA5" w:rsidR="00007CAA" w:rsidRDefault="00F51D59" w:rsidP="00CB232A">
            <w:r w:rsidRPr="00F51D59">
              <w:rPr>
                <w:color w:val="00B050"/>
              </w:rPr>
              <w:t>- EU membership (+)</w:t>
            </w:r>
          </w:p>
          <w:p w14:paraId="1F023388" w14:textId="789622E8" w:rsidR="00007CAA" w:rsidRDefault="00007CAA" w:rsidP="00CB232A">
            <w:r w:rsidRPr="004E61B4">
              <w:rPr>
                <w:color w:val="FFC000"/>
              </w:rPr>
              <w:t>- Institutional capacity (Gove</w:t>
            </w:r>
            <w:r w:rsidR="004E61B4">
              <w:rPr>
                <w:color w:val="FFC000"/>
              </w:rPr>
              <w:t xml:space="preserve">rnment effectiveness, </w:t>
            </w:r>
            <w:r w:rsidRPr="004E61B4">
              <w:rPr>
                <w:color w:val="FFC000"/>
              </w:rPr>
              <w:t>Regulatory Quality) (</w:t>
            </w:r>
            <w:r w:rsidR="00B53B65">
              <w:rPr>
                <w:color w:val="FFC000"/>
              </w:rPr>
              <w:t>0</w:t>
            </w:r>
            <w:r w:rsidRPr="004E61B4">
              <w:rPr>
                <w:color w:val="FFC000"/>
              </w:rPr>
              <w:t>)</w:t>
            </w:r>
          </w:p>
        </w:tc>
        <w:tc>
          <w:tcPr>
            <w:tcW w:w="3637" w:type="dxa"/>
          </w:tcPr>
          <w:p w14:paraId="3C60A7F4" w14:textId="74729977" w:rsidR="00007CAA" w:rsidRPr="004E61B4" w:rsidRDefault="00007CAA" w:rsidP="00007CAA">
            <w:pPr>
              <w:rPr>
                <w:color w:val="FFC000"/>
              </w:rPr>
            </w:pPr>
            <w:r w:rsidRPr="004E61B4">
              <w:rPr>
                <w:color w:val="FFC000"/>
              </w:rPr>
              <w:t>- Left/right political ideology (</w:t>
            </w:r>
            <w:r w:rsidR="00B53B65">
              <w:rPr>
                <w:color w:val="FFC000"/>
              </w:rPr>
              <w:t>0</w:t>
            </w:r>
            <w:r w:rsidRPr="004E61B4">
              <w:rPr>
                <w:color w:val="FFC000"/>
              </w:rPr>
              <w:t>)</w:t>
            </w:r>
          </w:p>
          <w:p w14:paraId="75EA732C" w14:textId="77777777" w:rsidR="00C61ACB" w:rsidRPr="004E61B4" w:rsidRDefault="00C61ACB" w:rsidP="00CB232A">
            <w:pPr>
              <w:rPr>
                <w:color w:val="FFC000"/>
              </w:rPr>
            </w:pPr>
          </w:p>
        </w:tc>
      </w:tr>
      <w:tr w:rsidR="00C61ACB" w14:paraId="58732713" w14:textId="2E2F56A5" w:rsidTr="00560936">
        <w:trPr>
          <w:trHeight w:val="3119"/>
        </w:trPr>
        <w:tc>
          <w:tcPr>
            <w:tcW w:w="1413" w:type="dxa"/>
          </w:tcPr>
          <w:p w14:paraId="2CC6D819" w14:textId="77777777" w:rsidR="00C61ACB" w:rsidRDefault="00C61ACB" w:rsidP="00CB232A">
            <w:r>
              <w:lastRenderedPageBreak/>
              <w:fldChar w:fldCharType="begin" w:fldLock="1"/>
            </w:r>
            <w:r>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survey","type":"article-journal","volume":"35"},"uris":["http://www.mendeley.com/documents/?uuid=860f5671-59a0-4f8d-a7d7-b495238f5d28"]}],"mendeley":{"formattedCitation":"(Fankhauser et al., 2015)","plainTextFormattedCitation":"(Fankhauser et al., 2015)","previouslyFormattedCitation":"(Fankhauser et al., 2015)"},"properties":{"noteIndex":0},"schema":"https://github.com/citation-style-language/schema/raw/master/csl-citation.json"}</w:instrText>
            </w:r>
            <w:r>
              <w:fldChar w:fldCharType="separate"/>
            </w:r>
            <w:r w:rsidRPr="00096CFB">
              <w:rPr>
                <w:noProof/>
              </w:rPr>
              <w:t>(Fankhauser et al., 2015)</w:t>
            </w:r>
            <w:r>
              <w:fldChar w:fldCharType="end"/>
            </w:r>
          </w:p>
        </w:tc>
        <w:tc>
          <w:tcPr>
            <w:tcW w:w="2131" w:type="dxa"/>
          </w:tcPr>
          <w:p w14:paraId="25CF8E86" w14:textId="77777777" w:rsidR="004545C8" w:rsidRPr="00417A4F" w:rsidRDefault="004545C8" w:rsidP="00CB232A">
            <w:pPr>
              <w:rPr>
                <w:b/>
              </w:rPr>
            </w:pPr>
            <w:r w:rsidRPr="00417A4F">
              <w:rPr>
                <w:b/>
              </w:rPr>
              <w:t>Climate legislation adoption</w:t>
            </w:r>
          </w:p>
          <w:p w14:paraId="635CF220" w14:textId="39A41EBF" w:rsidR="00C61ACB" w:rsidRDefault="004545C8" w:rsidP="007D03A6">
            <w:r>
              <w:t>[</w:t>
            </w:r>
            <w:r w:rsidR="007D03A6">
              <w:t>T</w:t>
            </w:r>
            <w:r w:rsidR="00C61ACB">
              <w:t xml:space="preserve">argets </w:t>
            </w:r>
            <w:r>
              <w:t xml:space="preserve">and </w:t>
            </w:r>
            <w:r w:rsidR="00C61ACB">
              <w:t xml:space="preserve">policies </w:t>
            </w:r>
            <w:r>
              <w:t xml:space="preserve">within a given year across </w:t>
            </w:r>
            <w:r w:rsidR="00C61ACB">
              <w:t>63 national jurisdictions</w:t>
            </w:r>
            <w:r>
              <w:t>]</w:t>
            </w:r>
          </w:p>
        </w:tc>
        <w:tc>
          <w:tcPr>
            <w:tcW w:w="3636" w:type="dxa"/>
          </w:tcPr>
          <w:p w14:paraId="62BB612A" w14:textId="04A67A98" w:rsidR="004545C8" w:rsidRPr="004545C8" w:rsidRDefault="004545C8" w:rsidP="00CB232A">
            <w:pPr>
              <w:rPr>
                <w:color w:val="00B050"/>
              </w:rPr>
            </w:pPr>
            <w:r w:rsidRPr="004545C8">
              <w:rPr>
                <w:color w:val="00B050"/>
              </w:rPr>
              <w:t>- Pro-green lobby (IUCN members) (+)</w:t>
            </w:r>
          </w:p>
          <w:p w14:paraId="583A87A8" w14:textId="79ED787B" w:rsidR="00C61ACB" w:rsidRPr="004545C8" w:rsidRDefault="004545C8" w:rsidP="004545C8">
            <w:pPr>
              <w:rPr>
                <w:color w:val="FFC000"/>
              </w:rPr>
            </w:pPr>
            <w:r w:rsidRPr="004545C8">
              <w:rPr>
                <w:color w:val="FFC000"/>
              </w:rPr>
              <w:t>- Share of</w:t>
            </w:r>
            <w:r w:rsidR="00B53B65">
              <w:rPr>
                <w:color w:val="FFC000"/>
              </w:rPr>
              <w:t xml:space="preserve"> fossil/mining exports in GDP (0</w:t>
            </w:r>
            <w:r w:rsidRPr="004545C8">
              <w:rPr>
                <w:color w:val="FFC000"/>
              </w:rPr>
              <w:t>)</w:t>
            </w:r>
          </w:p>
        </w:tc>
        <w:tc>
          <w:tcPr>
            <w:tcW w:w="3637" w:type="dxa"/>
          </w:tcPr>
          <w:p w14:paraId="395161E2" w14:textId="77777777" w:rsidR="004545C8" w:rsidRPr="004545C8" w:rsidRDefault="004545C8" w:rsidP="00CB232A">
            <w:pPr>
              <w:rPr>
                <w:color w:val="00B050"/>
              </w:rPr>
            </w:pPr>
            <w:r w:rsidRPr="004545C8">
              <w:rPr>
                <w:color w:val="00B050"/>
              </w:rPr>
              <w:t>- Existing legislation and path dependency (e.g. presence of flagship laws) (+)</w:t>
            </w:r>
          </w:p>
          <w:p w14:paraId="0224F3E5" w14:textId="1F1FA069" w:rsidR="004545C8" w:rsidRDefault="004545C8" w:rsidP="004545C8">
            <w:pPr>
              <w:rPr>
                <w:color w:val="FF0000"/>
              </w:rPr>
            </w:pPr>
            <w:r w:rsidRPr="004545C8">
              <w:rPr>
                <w:color w:val="FF0000"/>
              </w:rPr>
              <w:t>- Electoral cycles (</w:t>
            </w:r>
            <w:r>
              <w:rPr>
                <w:color w:val="FF0000"/>
              </w:rPr>
              <w:t>strong democracies</w:t>
            </w:r>
            <w:r w:rsidRPr="004545C8">
              <w:rPr>
                <w:color w:val="FF0000"/>
              </w:rPr>
              <w:t>) (-)</w:t>
            </w:r>
          </w:p>
          <w:p w14:paraId="771B5931" w14:textId="51AA7ECD" w:rsidR="004545C8" w:rsidRPr="004545C8" w:rsidRDefault="004545C8" w:rsidP="004545C8">
            <w:pPr>
              <w:rPr>
                <w:color w:val="FFC000"/>
              </w:rPr>
            </w:pPr>
            <w:r w:rsidRPr="004545C8">
              <w:rPr>
                <w:color w:val="FFC000"/>
              </w:rPr>
              <w:t>- Electoral cycles (weak democracies) (</w:t>
            </w:r>
            <w:r w:rsidR="00B53B65">
              <w:rPr>
                <w:color w:val="FFC000"/>
              </w:rPr>
              <w:t>0</w:t>
            </w:r>
            <w:r w:rsidRPr="004545C8">
              <w:rPr>
                <w:color w:val="FFC000"/>
              </w:rPr>
              <w:t>)</w:t>
            </w:r>
          </w:p>
          <w:p w14:paraId="221F8DB7" w14:textId="3ABE2CD1" w:rsidR="004545C8" w:rsidRPr="004545C8" w:rsidRDefault="004545C8" w:rsidP="004545C8">
            <w:pPr>
              <w:rPr>
                <w:color w:val="00B050"/>
              </w:rPr>
            </w:pPr>
            <w:r w:rsidRPr="004545C8">
              <w:rPr>
                <w:color w:val="00B050"/>
              </w:rPr>
              <w:t>- Concentration of political power (seat shares of ruling party in all legislatures) (+)</w:t>
            </w:r>
          </w:p>
          <w:p w14:paraId="2B2D46E8" w14:textId="50431A36" w:rsidR="004545C8" w:rsidRDefault="004545C8" w:rsidP="00CB232A"/>
        </w:tc>
        <w:tc>
          <w:tcPr>
            <w:tcW w:w="3637" w:type="dxa"/>
          </w:tcPr>
          <w:p w14:paraId="7338819A" w14:textId="684B2D64" w:rsidR="004545C8" w:rsidRPr="004545C8" w:rsidRDefault="004545C8" w:rsidP="004545C8">
            <w:pPr>
              <w:rPr>
                <w:color w:val="FF0000"/>
              </w:rPr>
            </w:pPr>
            <w:r w:rsidRPr="004545C8">
              <w:rPr>
                <w:color w:val="FF0000"/>
              </w:rPr>
              <w:t>- Right-political ideology (Anglo-Saxon countries (-)</w:t>
            </w:r>
          </w:p>
          <w:p w14:paraId="40E02D59" w14:textId="71A9C4AA" w:rsidR="004545C8" w:rsidRPr="004545C8" w:rsidRDefault="004545C8" w:rsidP="004545C8">
            <w:pPr>
              <w:rPr>
                <w:color w:val="FFC000"/>
              </w:rPr>
            </w:pPr>
            <w:r w:rsidRPr="004545C8">
              <w:rPr>
                <w:color w:val="FFC000"/>
              </w:rPr>
              <w:t>- Left/right polit</w:t>
            </w:r>
            <w:r w:rsidR="00B53B65">
              <w:rPr>
                <w:color w:val="FFC000"/>
              </w:rPr>
              <w:t>ical ideology (all countries) (0</w:t>
            </w:r>
            <w:r w:rsidRPr="004545C8">
              <w:rPr>
                <w:color w:val="FFC000"/>
              </w:rPr>
              <w:t>)</w:t>
            </w:r>
          </w:p>
          <w:p w14:paraId="691BB0A9" w14:textId="77777777" w:rsidR="00C61ACB" w:rsidRDefault="00C61ACB" w:rsidP="00CB232A"/>
        </w:tc>
      </w:tr>
      <w:tr w:rsidR="00C61ACB" w14:paraId="3EB89EF0" w14:textId="6655307D" w:rsidTr="00560936">
        <w:trPr>
          <w:trHeight w:val="2007"/>
        </w:trPr>
        <w:tc>
          <w:tcPr>
            <w:tcW w:w="1413" w:type="dxa"/>
          </w:tcPr>
          <w:p w14:paraId="54AEE515" w14:textId="5FEFF88B" w:rsidR="00C61ACB" w:rsidRDefault="00C61ACB" w:rsidP="00CB232A">
            <w:r>
              <w:fldChar w:fldCharType="begin" w:fldLock="1"/>
            </w:r>
            <w:r w:rsidR="0028744D">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fldChar w:fldCharType="separate"/>
            </w:r>
            <w:r w:rsidR="0028744D" w:rsidRPr="0028744D">
              <w:rPr>
                <w:noProof/>
              </w:rPr>
              <w:t>(Böhmelt et al., 2016)</w:t>
            </w:r>
            <w:r>
              <w:fldChar w:fldCharType="end"/>
            </w:r>
          </w:p>
        </w:tc>
        <w:tc>
          <w:tcPr>
            <w:tcW w:w="2131" w:type="dxa"/>
          </w:tcPr>
          <w:p w14:paraId="2B71FEE6" w14:textId="77777777" w:rsidR="00F91256" w:rsidRPr="00F91256" w:rsidRDefault="00C61ACB" w:rsidP="00CB232A">
            <w:pPr>
              <w:rPr>
                <w:b/>
              </w:rPr>
            </w:pPr>
            <w:r w:rsidRPr="00F91256">
              <w:rPr>
                <w:b/>
              </w:rPr>
              <w:t xml:space="preserve">Climate legislation adoption </w:t>
            </w:r>
          </w:p>
          <w:p w14:paraId="2D792ED3" w14:textId="0F71FDA0" w:rsidR="00F91256" w:rsidRDefault="00F91256" w:rsidP="00F91256">
            <w:r>
              <w:t>[</w:t>
            </w:r>
            <w:r w:rsidR="00C61ACB">
              <w:t xml:space="preserve">UNFCCC </w:t>
            </w:r>
            <w:r>
              <w:t xml:space="preserve">protocols + emissions across </w:t>
            </w:r>
            <w:r w:rsidR="00C61ACB">
              <w:t>149 national jurisdictions</w:t>
            </w:r>
            <w:r>
              <w:t>]</w:t>
            </w:r>
          </w:p>
          <w:p w14:paraId="4A8C7657" w14:textId="1D0622CE" w:rsidR="00C61ACB" w:rsidRDefault="00F91256" w:rsidP="00F91256">
            <w:r>
              <w:t xml:space="preserve"> </w:t>
            </w:r>
          </w:p>
        </w:tc>
        <w:tc>
          <w:tcPr>
            <w:tcW w:w="3636" w:type="dxa"/>
          </w:tcPr>
          <w:p w14:paraId="5A6062BC" w14:textId="0D42FB20" w:rsidR="00C61ACB" w:rsidRDefault="00C61ACB" w:rsidP="00CB232A">
            <w:r w:rsidRPr="00F91256">
              <w:rPr>
                <w:color w:val="00B050"/>
              </w:rPr>
              <w:t xml:space="preserve"> </w:t>
            </w:r>
            <w:r w:rsidR="00F91256" w:rsidRPr="00F91256">
              <w:rPr>
                <w:color w:val="00B050"/>
              </w:rPr>
              <w:t>- Pro-green lobby (IUCN members) (+)</w:t>
            </w:r>
          </w:p>
        </w:tc>
        <w:tc>
          <w:tcPr>
            <w:tcW w:w="3637" w:type="dxa"/>
          </w:tcPr>
          <w:p w14:paraId="1607BA54" w14:textId="2E5F2843" w:rsidR="00F91256" w:rsidRPr="00F91256" w:rsidRDefault="00F91256" w:rsidP="00F91256">
            <w:pPr>
              <w:rPr>
                <w:color w:val="00B050"/>
              </w:rPr>
            </w:pPr>
            <w:r w:rsidRPr="00F91256">
              <w:rPr>
                <w:color w:val="00B050"/>
              </w:rPr>
              <w:t>- Political participation (freedom of speech, assembly, association) (+)</w:t>
            </w:r>
          </w:p>
          <w:p w14:paraId="16F8365F" w14:textId="5DF3FEC5" w:rsidR="00C61ACB" w:rsidRDefault="00F91256" w:rsidP="00F91256">
            <w:r w:rsidRPr="00F91256">
              <w:rPr>
                <w:color w:val="00B050"/>
              </w:rPr>
              <w:t xml:space="preserve">- Political freedoms (suffrage, elections, women’s political rights) (+) </w:t>
            </w:r>
          </w:p>
        </w:tc>
        <w:tc>
          <w:tcPr>
            <w:tcW w:w="3637" w:type="dxa"/>
          </w:tcPr>
          <w:p w14:paraId="6D32173B" w14:textId="77777777" w:rsidR="00C61ACB" w:rsidRDefault="00C61ACB" w:rsidP="00CB232A"/>
        </w:tc>
      </w:tr>
      <w:tr w:rsidR="00C61ACB" w14:paraId="7CF381F6" w14:textId="35B21AE2" w:rsidTr="007D03A6">
        <w:trPr>
          <w:trHeight w:val="2954"/>
        </w:trPr>
        <w:tc>
          <w:tcPr>
            <w:tcW w:w="1413" w:type="dxa"/>
          </w:tcPr>
          <w:p w14:paraId="4BB63275" w14:textId="77777777" w:rsidR="00C61ACB" w:rsidRDefault="00C61ACB" w:rsidP="00CB232A">
            <w:r>
              <w:fldChar w:fldCharType="begin" w:fldLock="1"/>
            </w:r>
            <w:r>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policy","type":"article-journal","volume":"13"},"uris":["http://www.mendeley.com/documents/?uuid=b86eaeea-7a35-48c2-8487-71c86abf8931"]}],"mendeley":{"formattedCitation":"(Lachapelle &amp; Paterson, 2013)","plainTextFormattedCitation":"(Lachapelle &amp; Paterson, 2013)","previouslyFormattedCitation":"(Lachapelle &amp; Paterson, 2013)"},"properties":{"noteIndex":0},"schema":"https://github.com/citation-style-language/schema/raw/master/csl-citation.json"}</w:instrText>
            </w:r>
            <w:r>
              <w:fldChar w:fldCharType="separate"/>
            </w:r>
            <w:r w:rsidRPr="00096CFB">
              <w:rPr>
                <w:noProof/>
              </w:rPr>
              <w:t>(Lachapelle &amp; Paterson, 2013)</w:t>
            </w:r>
            <w:r>
              <w:fldChar w:fldCharType="end"/>
            </w:r>
          </w:p>
        </w:tc>
        <w:tc>
          <w:tcPr>
            <w:tcW w:w="2131" w:type="dxa"/>
          </w:tcPr>
          <w:p w14:paraId="22D826D5" w14:textId="77777777" w:rsidR="00A1607B" w:rsidRDefault="00C61ACB" w:rsidP="00CB232A">
            <w:r w:rsidRPr="00A1607B">
              <w:rPr>
                <w:b/>
              </w:rPr>
              <w:t>Climate policy adoption</w:t>
            </w:r>
            <w:r>
              <w:t xml:space="preserve"> </w:t>
            </w:r>
          </w:p>
          <w:p w14:paraId="27BA811B" w14:textId="45657CDD" w:rsidR="00C61ACB" w:rsidRDefault="007D03A6" w:rsidP="00CB232A">
            <w:r>
              <w:t>[</w:t>
            </w:r>
            <w:r w:rsidR="00A1607B">
              <w:t xml:space="preserve">Adoption of </w:t>
            </w:r>
            <w:r w:rsidR="00C61ACB">
              <w:t>regulations, incentives, carbon price, voluntary agreements, R&amp;D</w:t>
            </w:r>
            <w:r w:rsidR="00A1607B">
              <w:t xml:space="preserve"> across 19 countries</w:t>
            </w:r>
            <w:r>
              <w:t>]</w:t>
            </w:r>
          </w:p>
        </w:tc>
        <w:tc>
          <w:tcPr>
            <w:tcW w:w="3636" w:type="dxa"/>
          </w:tcPr>
          <w:p w14:paraId="765D863B" w14:textId="5243529F" w:rsidR="00C61ACB" w:rsidRDefault="007D03A6" w:rsidP="00CB232A">
            <w:r w:rsidRPr="007D03A6">
              <w:rPr>
                <w:color w:val="FF0000"/>
              </w:rPr>
              <w:t>- Fossil fuel exports (-)</w:t>
            </w:r>
          </w:p>
        </w:tc>
        <w:tc>
          <w:tcPr>
            <w:tcW w:w="3637" w:type="dxa"/>
          </w:tcPr>
          <w:p w14:paraId="6674780F" w14:textId="7384F312" w:rsidR="00C61ACB" w:rsidRPr="007D03A6" w:rsidRDefault="00A1607B" w:rsidP="00CB232A">
            <w:pPr>
              <w:rPr>
                <w:color w:val="00B050"/>
              </w:rPr>
            </w:pPr>
            <w:r w:rsidRPr="007D03A6">
              <w:rPr>
                <w:color w:val="00B050"/>
              </w:rPr>
              <w:t xml:space="preserve">- Democratic </w:t>
            </w:r>
            <w:r w:rsidR="00560936">
              <w:rPr>
                <w:color w:val="00B050"/>
              </w:rPr>
              <w:t xml:space="preserve">Polity </w:t>
            </w:r>
            <w:r w:rsidRPr="007D03A6">
              <w:rPr>
                <w:color w:val="00B050"/>
              </w:rPr>
              <w:t>score (+)</w:t>
            </w:r>
          </w:p>
          <w:p w14:paraId="2805BF80" w14:textId="77777777" w:rsidR="00A1607B" w:rsidRPr="007D03A6" w:rsidRDefault="00A1607B" w:rsidP="00CB232A">
            <w:pPr>
              <w:rPr>
                <w:color w:val="00B050"/>
              </w:rPr>
            </w:pPr>
            <w:r w:rsidRPr="007D03A6">
              <w:rPr>
                <w:color w:val="00B050"/>
              </w:rPr>
              <w:t>- Parliamentary system (+)</w:t>
            </w:r>
          </w:p>
          <w:p w14:paraId="6D004509" w14:textId="29F03813" w:rsidR="00A1607B" w:rsidRPr="007D03A6" w:rsidRDefault="00A1607B" w:rsidP="00CB232A">
            <w:pPr>
              <w:rPr>
                <w:color w:val="FFC000"/>
              </w:rPr>
            </w:pPr>
            <w:r w:rsidRPr="007D03A6">
              <w:rPr>
                <w:color w:val="FFC000"/>
              </w:rPr>
              <w:t xml:space="preserve">- Variety of capitalism affects </w:t>
            </w:r>
            <w:r w:rsidR="00B53B65">
              <w:rPr>
                <w:color w:val="FFC000"/>
              </w:rPr>
              <w:t>instrument choice (0</w:t>
            </w:r>
            <w:r w:rsidR="007D03A6" w:rsidRPr="007D03A6">
              <w:rPr>
                <w:color w:val="FFC000"/>
              </w:rPr>
              <w:t>)</w:t>
            </w:r>
          </w:p>
          <w:p w14:paraId="08A2EFA7" w14:textId="38EA3909" w:rsidR="007D03A6" w:rsidRDefault="00B53B65" w:rsidP="007D03A6">
            <w:r>
              <w:rPr>
                <w:color w:val="FFC000"/>
              </w:rPr>
              <w:t>- Proportional representation (0</w:t>
            </w:r>
            <w:r w:rsidR="007D03A6" w:rsidRPr="007D03A6">
              <w:rPr>
                <w:color w:val="FFC000"/>
              </w:rPr>
              <w:t>)</w:t>
            </w:r>
          </w:p>
        </w:tc>
        <w:tc>
          <w:tcPr>
            <w:tcW w:w="3637" w:type="dxa"/>
          </w:tcPr>
          <w:p w14:paraId="0CBE3209" w14:textId="77777777" w:rsidR="00C61ACB" w:rsidRDefault="00C61ACB" w:rsidP="00CB232A"/>
        </w:tc>
      </w:tr>
      <w:tr w:rsidR="00C61ACB" w14:paraId="47EF573D" w14:textId="77924641" w:rsidTr="00560936">
        <w:trPr>
          <w:trHeight w:val="1843"/>
        </w:trPr>
        <w:tc>
          <w:tcPr>
            <w:tcW w:w="1413" w:type="dxa"/>
          </w:tcPr>
          <w:p w14:paraId="24CDB660" w14:textId="2D136D26" w:rsidR="00C61ACB" w:rsidRDefault="00C61ACB" w:rsidP="00CB232A">
            <w:r>
              <w:lastRenderedPageBreak/>
              <w:fldChar w:fldCharType="begin" w:fldLock="1"/>
            </w:r>
            <w:r>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important?","type":"article-journal","volume":"95"},"uris":["http://www.mendeley.com/documents/?uuid=2890f790-de48-4005-8c25-704f9a4329f7"]}],"mendeley":{"formattedCitation":"(Fredriksson &amp; Neumayer, 2013)","plainTextFormattedCitation":"(Fredriksson &amp; Neumayer, 2013)","previouslyFormattedCitation":"(Fredriksson &amp; Neumayer, 2013)"},"properties":{"noteIndex":0},"schema":"https://github.com/citation-style-language/schema/raw/master/csl-citation.json"}</w:instrText>
            </w:r>
            <w:r>
              <w:fldChar w:fldCharType="separate"/>
            </w:r>
            <w:r w:rsidRPr="00096CFB">
              <w:rPr>
                <w:noProof/>
              </w:rPr>
              <w:t>(Fredriksson &amp; Neumayer, 2013)</w:t>
            </w:r>
            <w:r>
              <w:fldChar w:fldCharType="end"/>
            </w:r>
          </w:p>
        </w:tc>
        <w:tc>
          <w:tcPr>
            <w:tcW w:w="2131" w:type="dxa"/>
          </w:tcPr>
          <w:p w14:paraId="64DEAA00" w14:textId="77777777" w:rsidR="007D03A6" w:rsidRPr="007D03A6" w:rsidRDefault="00C61ACB" w:rsidP="00CB232A">
            <w:pPr>
              <w:rPr>
                <w:b/>
              </w:rPr>
            </w:pPr>
            <w:r w:rsidRPr="007D03A6">
              <w:rPr>
                <w:b/>
              </w:rPr>
              <w:t xml:space="preserve">Climate legislation adoption </w:t>
            </w:r>
          </w:p>
          <w:p w14:paraId="0BA38981" w14:textId="4697E0AE" w:rsidR="00C61ACB" w:rsidRDefault="007D03A6" w:rsidP="007D03A6">
            <w:r>
              <w:t>[</w:t>
            </w:r>
            <w:r w:rsidR="00C61ACB">
              <w:t>CLIMI Index</w:t>
            </w:r>
            <w:r>
              <w:t xml:space="preserve"> for 87 countries]</w:t>
            </w:r>
          </w:p>
        </w:tc>
        <w:tc>
          <w:tcPr>
            <w:tcW w:w="3636" w:type="dxa"/>
          </w:tcPr>
          <w:p w14:paraId="3DDFA5FB" w14:textId="04B4D94B" w:rsidR="00C61ACB" w:rsidRDefault="00C61ACB" w:rsidP="00CB232A"/>
        </w:tc>
        <w:tc>
          <w:tcPr>
            <w:tcW w:w="3637" w:type="dxa"/>
          </w:tcPr>
          <w:p w14:paraId="2BF5A261" w14:textId="77777777" w:rsidR="00C61ACB" w:rsidRDefault="007D03A6" w:rsidP="00CB232A">
            <w:pPr>
              <w:rPr>
                <w:color w:val="00B050"/>
              </w:rPr>
            </w:pPr>
            <w:r w:rsidRPr="007D03A6">
              <w:rPr>
                <w:color w:val="00B050"/>
              </w:rPr>
              <w:t>- Years of democracy, with depreciation during autocracy (+)</w:t>
            </w:r>
          </w:p>
          <w:p w14:paraId="09632255" w14:textId="3F98480F" w:rsidR="007D03A6" w:rsidRDefault="007D03A6" w:rsidP="00CB232A">
            <w:pPr>
              <w:rPr>
                <w:color w:val="00B050"/>
              </w:rPr>
            </w:pPr>
            <w:r>
              <w:rPr>
                <w:color w:val="00B050"/>
              </w:rPr>
              <w:t>- Constraints on the executive (e.g. independent judiciary) (+)</w:t>
            </w:r>
          </w:p>
          <w:p w14:paraId="77EB51C5" w14:textId="108CA1F7" w:rsidR="007D03A6" w:rsidRDefault="007D03A6" w:rsidP="00CB232A">
            <w:r w:rsidRPr="007D03A6">
              <w:rPr>
                <w:color w:val="FFC000"/>
              </w:rPr>
              <w:t>- Political competition (free and fair elections) (</w:t>
            </w:r>
            <w:r w:rsidR="00B53B65">
              <w:rPr>
                <w:color w:val="FFC000"/>
              </w:rPr>
              <w:t>0</w:t>
            </w:r>
            <w:r w:rsidRPr="007D03A6">
              <w:rPr>
                <w:color w:val="FFC000"/>
              </w:rPr>
              <w:t>)</w:t>
            </w:r>
          </w:p>
        </w:tc>
        <w:tc>
          <w:tcPr>
            <w:tcW w:w="3637" w:type="dxa"/>
          </w:tcPr>
          <w:p w14:paraId="419E144A" w14:textId="77777777" w:rsidR="00C61ACB" w:rsidRDefault="00C61ACB" w:rsidP="00CB232A"/>
        </w:tc>
      </w:tr>
      <w:tr w:rsidR="00C61ACB" w14:paraId="26FD1F85" w14:textId="687D2B47" w:rsidTr="00560936">
        <w:trPr>
          <w:trHeight w:val="1268"/>
        </w:trPr>
        <w:tc>
          <w:tcPr>
            <w:tcW w:w="1413" w:type="dxa"/>
          </w:tcPr>
          <w:p w14:paraId="43F29CD2" w14:textId="3B28C81B" w:rsidR="00C61ACB" w:rsidRDefault="00C61ACB" w:rsidP="00CB232A">
            <w:r>
              <w:fldChar w:fldCharType="begin" w:fldLock="1"/>
            </w:r>
            <w:r>
              <w:instrText>ADDIN CSL_CITATION {"citationItems":[{"id":"ITEM-1","itemData":{"DOI":"10.1016/j.envres.2017.05.009","ISSN":"10960953","PMID":"28570962","abstract":"The impact of democracy on governments’ choice of environmental policies has attracted significant academic attention in recent years. However, less attention has been devoted to the role of the social cognitive capital of the national population. Does society's cognitive capital matter in governmental choice regarding environmental policies, if at all? This study addresses this question through a large-N analysis of 94 countries accounting for the role of both political regimes and social capital in governmental choice of climate change policies. We find that higher social cognitive capital within a democratic state radically increases that state's commitment to adopt environmental policies. More specifically, a 1-point increase in the democracy index is associated with nearly 5 points increase in the adoption of the Climate Laws, Institutions and Measures Index (CLIMI). In a similar vein, a 10 points increase in social cognitive capital is associated with a nearly 16 points increase in CLIMI. The findings presented in this study aim to contribute to the ongoing debate on the impact of democracy and the cognitive capital of society on international environmentalism. The findings will also be interesting for scholars working on the impact of political institutional factors and the role of society in environmental policy choices made at the international level.","author":[{"dropping-particle":"V.","family":"Obydenkova","given":"Anastassia","non-dropping-particle":"","parse-names":false,"suffix":""},{"dropping-particle":"","family":"Salahodjaev","given":"Raufhon","non-dropping-particle":"","parse-names":false,"suffix":""}],"container-title":"Environmental Research","id":"ITEM-1","issue":"April","issued":{"date-parts":[["2017"]]},"page":"182-189","publisher":"Elsevier Inc.","title":"Climate change policies: The role of democracy and social cognitive capital","type":"article-journal","volume":"157"},"uris":["http://www.mendeley.com/documents/?uuid=5f97acc2-08fa-4ccb-84cb-3d19180d1717"]}],"mendeley":{"formattedCitation":"(Obydenkova &amp; Salahodjaev, 2017)","plainTextFormattedCitation":"(Obydenkova &amp; Salahodjaev, 2017)","previouslyFormattedCitation":"(Obydenkova &amp; Salahodjaev, 2017)"},"properties":{"noteIndex":0},"schema":"https://github.com/citation-style-language/schema/raw/master/csl-citation.json"}</w:instrText>
            </w:r>
            <w:r>
              <w:fldChar w:fldCharType="separate"/>
            </w:r>
            <w:r w:rsidRPr="00096CFB">
              <w:rPr>
                <w:noProof/>
              </w:rPr>
              <w:t>(Obydenkova &amp; Salahodjaev, 2017)</w:t>
            </w:r>
            <w:r>
              <w:fldChar w:fldCharType="end"/>
            </w:r>
          </w:p>
        </w:tc>
        <w:tc>
          <w:tcPr>
            <w:tcW w:w="2131" w:type="dxa"/>
          </w:tcPr>
          <w:p w14:paraId="61B5A873" w14:textId="77777777" w:rsidR="007D03A6" w:rsidRDefault="00C61ACB" w:rsidP="007D03A6">
            <w:r w:rsidRPr="007D03A6">
              <w:rPr>
                <w:b/>
              </w:rPr>
              <w:t>Climate legislation adoption</w:t>
            </w:r>
            <w:r>
              <w:t xml:space="preserve"> </w:t>
            </w:r>
          </w:p>
          <w:p w14:paraId="4D770013" w14:textId="110C2663" w:rsidR="00C61ACB" w:rsidRDefault="007D03A6" w:rsidP="007D03A6">
            <w:r>
              <w:t>[</w:t>
            </w:r>
            <w:r w:rsidR="00C61ACB">
              <w:t>CLIMI Index</w:t>
            </w:r>
            <w:r>
              <w:t xml:space="preserve"> for 94 countries]</w:t>
            </w:r>
          </w:p>
        </w:tc>
        <w:tc>
          <w:tcPr>
            <w:tcW w:w="3636" w:type="dxa"/>
          </w:tcPr>
          <w:p w14:paraId="74A632F0" w14:textId="14C5049A" w:rsidR="00C61ACB" w:rsidRPr="00084252" w:rsidRDefault="00416C2C" w:rsidP="00CB232A">
            <w:pPr>
              <w:rPr>
                <w:color w:val="FF0000"/>
              </w:rPr>
            </w:pPr>
            <w:r w:rsidRPr="00084252">
              <w:rPr>
                <w:color w:val="FF0000"/>
              </w:rPr>
              <w:t>- CO</w:t>
            </w:r>
            <w:r w:rsidRPr="00EE7FAE">
              <w:rPr>
                <w:color w:val="FF0000"/>
                <w:vertAlign w:val="subscript"/>
              </w:rPr>
              <w:t>2</w:t>
            </w:r>
            <w:r w:rsidRPr="00084252">
              <w:rPr>
                <w:color w:val="FF0000"/>
              </w:rPr>
              <w:t xml:space="preserve"> per capita (-)</w:t>
            </w:r>
          </w:p>
        </w:tc>
        <w:tc>
          <w:tcPr>
            <w:tcW w:w="3637" w:type="dxa"/>
          </w:tcPr>
          <w:p w14:paraId="19CACE40" w14:textId="5425F3DA" w:rsidR="00C61ACB" w:rsidRDefault="00560936" w:rsidP="00CB232A">
            <w:r w:rsidRPr="00560936">
              <w:rPr>
                <w:color w:val="00B050"/>
              </w:rPr>
              <w:t>- Democracy index score (+)</w:t>
            </w:r>
          </w:p>
        </w:tc>
        <w:tc>
          <w:tcPr>
            <w:tcW w:w="3637" w:type="dxa"/>
          </w:tcPr>
          <w:p w14:paraId="24F23F2D" w14:textId="10586D7A" w:rsidR="00C61ACB" w:rsidRDefault="00FF5C16" w:rsidP="00CB232A">
            <w:r w:rsidRPr="00560936">
              <w:rPr>
                <w:color w:val="00B050"/>
              </w:rPr>
              <w:t xml:space="preserve">- Social cognitive capital </w:t>
            </w:r>
            <w:r w:rsidR="00560936" w:rsidRPr="00560936">
              <w:rPr>
                <w:color w:val="00B050"/>
              </w:rPr>
              <w:t>(IQ) (+)</w:t>
            </w:r>
          </w:p>
        </w:tc>
      </w:tr>
      <w:tr w:rsidR="00C61ACB" w14:paraId="6CCF6597" w14:textId="7C6E68E7" w:rsidTr="007F464F">
        <w:trPr>
          <w:trHeight w:val="2561"/>
        </w:trPr>
        <w:tc>
          <w:tcPr>
            <w:tcW w:w="1413" w:type="dxa"/>
          </w:tcPr>
          <w:p w14:paraId="57AEEE62" w14:textId="77777777" w:rsidR="00C61ACB" w:rsidRDefault="00C61ACB" w:rsidP="00CB232A">
            <w:r>
              <w:fldChar w:fldCharType="begin" w:fldLock="1"/>
            </w:r>
            <w:r>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fldChar w:fldCharType="separate"/>
            </w:r>
            <w:r w:rsidRPr="00B15CC3">
              <w:rPr>
                <w:noProof/>
              </w:rPr>
              <w:t>(Steves &amp; Teytelboym, 2013)</w:t>
            </w:r>
            <w:r>
              <w:fldChar w:fldCharType="end"/>
            </w:r>
          </w:p>
        </w:tc>
        <w:tc>
          <w:tcPr>
            <w:tcW w:w="2131" w:type="dxa"/>
          </w:tcPr>
          <w:p w14:paraId="2B26BAB9" w14:textId="77777777" w:rsidR="00560936" w:rsidRDefault="00C61ACB" w:rsidP="00560936">
            <w:r w:rsidRPr="00560936">
              <w:rPr>
                <w:b/>
              </w:rPr>
              <w:t>Climate legislation adoption</w:t>
            </w:r>
            <w:r>
              <w:t xml:space="preserve"> </w:t>
            </w:r>
          </w:p>
          <w:p w14:paraId="6CFC00DD" w14:textId="128D7EA6" w:rsidR="00C61ACB" w:rsidRDefault="00560936" w:rsidP="00560936">
            <w:r>
              <w:t>[</w:t>
            </w:r>
            <w:r w:rsidR="00C61ACB">
              <w:t>CLIMI Index</w:t>
            </w:r>
            <w:r>
              <w:t xml:space="preserve"> for </w:t>
            </w:r>
            <w:r w:rsidR="00084252">
              <w:t>73 countries</w:t>
            </w:r>
            <w:r w:rsidR="00C61ACB">
              <w:t>)</w:t>
            </w:r>
          </w:p>
        </w:tc>
        <w:tc>
          <w:tcPr>
            <w:tcW w:w="3636" w:type="dxa"/>
          </w:tcPr>
          <w:p w14:paraId="05C68104" w14:textId="357697FF" w:rsidR="00084252" w:rsidRPr="00084252" w:rsidRDefault="005A218C" w:rsidP="00CB232A">
            <w:pPr>
              <w:rPr>
                <w:color w:val="FF0000"/>
              </w:rPr>
            </w:pPr>
            <w:r w:rsidRPr="00084252">
              <w:rPr>
                <w:color w:val="FF0000"/>
              </w:rPr>
              <w:t xml:space="preserve">- </w:t>
            </w:r>
            <w:r w:rsidR="00084252" w:rsidRPr="00084252">
              <w:rPr>
                <w:color w:val="FF0000"/>
              </w:rPr>
              <w:t>CO</w:t>
            </w:r>
            <w:r w:rsidR="00084252" w:rsidRPr="00EE7FAE">
              <w:rPr>
                <w:color w:val="FF0000"/>
                <w:vertAlign w:val="subscript"/>
              </w:rPr>
              <w:t>2</w:t>
            </w:r>
            <w:r w:rsidR="00084252" w:rsidRPr="00084252">
              <w:rPr>
                <w:color w:val="FF0000"/>
              </w:rPr>
              <w:t xml:space="preserve"> per GDP (-)</w:t>
            </w:r>
          </w:p>
          <w:p w14:paraId="524E58EC" w14:textId="77777777" w:rsidR="00084252" w:rsidRDefault="00084252" w:rsidP="00CB232A">
            <w:pPr>
              <w:rPr>
                <w:color w:val="FF0000"/>
              </w:rPr>
            </w:pPr>
            <w:r w:rsidRPr="00084252">
              <w:rPr>
                <w:color w:val="FF0000"/>
              </w:rPr>
              <w:t>- C</w:t>
            </w:r>
            <w:r w:rsidR="005A218C" w:rsidRPr="00084252">
              <w:rPr>
                <w:color w:val="FF0000"/>
              </w:rPr>
              <w:t>O</w:t>
            </w:r>
            <w:r w:rsidR="005A218C" w:rsidRPr="00EE7FAE">
              <w:rPr>
                <w:color w:val="FF0000"/>
                <w:vertAlign w:val="subscript"/>
              </w:rPr>
              <w:t>2</w:t>
            </w:r>
            <w:r w:rsidR="005A218C" w:rsidRPr="00084252">
              <w:rPr>
                <w:color w:val="FF0000"/>
              </w:rPr>
              <w:t xml:space="preserve"> per capita (-)</w:t>
            </w:r>
          </w:p>
          <w:p w14:paraId="1ABA0145" w14:textId="32B2FB17" w:rsidR="00716880" w:rsidRPr="00084252" w:rsidRDefault="00716880" w:rsidP="00716880">
            <w:pPr>
              <w:rPr>
                <w:color w:val="FF0000"/>
              </w:rPr>
            </w:pPr>
            <w:r>
              <w:rPr>
                <w:color w:val="FF0000"/>
              </w:rPr>
              <w:t>- Share of industry, mining, utilities in GDP (-)</w:t>
            </w:r>
          </w:p>
        </w:tc>
        <w:tc>
          <w:tcPr>
            <w:tcW w:w="3637" w:type="dxa"/>
          </w:tcPr>
          <w:p w14:paraId="4E6DFB04" w14:textId="4F8F902A" w:rsidR="00C61ACB" w:rsidRDefault="00084252" w:rsidP="00CB232A">
            <w:pPr>
              <w:rPr>
                <w:color w:val="FFC000"/>
              </w:rPr>
            </w:pPr>
            <w:r>
              <w:rPr>
                <w:color w:val="FFC000"/>
              </w:rPr>
              <w:t xml:space="preserve">- </w:t>
            </w:r>
            <w:r w:rsidR="00B66435">
              <w:rPr>
                <w:color w:val="FFC000"/>
              </w:rPr>
              <w:t>Democracy Polity</w:t>
            </w:r>
            <w:r w:rsidRPr="00084252">
              <w:rPr>
                <w:color w:val="FFC000"/>
              </w:rPr>
              <w:t xml:space="preserve"> score (</w:t>
            </w:r>
            <w:r>
              <w:rPr>
                <w:color w:val="FFC000"/>
              </w:rPr>
              <w:t xml:space="preserve"> </w:t>
            </w:r>
            <w:r w:rsidR="00B53B65">
              <w:rPr>
                <w:color w:val="FFC000"/>
              </w:rPr>
              <w:t>0</w:t>
            </w:r>
            <w:r w:rsidRPr="00084252">
              <w:rPr>
                <w:color w:val="FFC000"/>
              </w:rPr>
              <w:t xml:space="preserve"> controlling for public knowledge, CO2 per capita and Kyoto commitments)</w:t>
            </w:r>
          </w:p>
          <w:p w14:paraId="323B16DF" w14:textId="2E098C11" w:rsidR="00084252" w:rsidRDefault="00084252" w:rsidP="00CB232A">
            <w:pPr>
              <w:rPr>
                <w:color w:val="FFC000"/>
              </w:rPr>
            </w:pPr>
            <w:r w:rsidRPr="00084252">
              <w:rPr>
                <w:color w:val="FFC000"/>
              </w:rPr>
              <w:t xml:space="preserve">- Government effectiveness &amp; regulatory quality ( </w:t>
            </w:r>
            <w:r w:rsidR="00B53B65">
              <w:rPr>
                <w:color w:val="FFC000"/>
              </w:rPr>
              <w:t>0</w:t>
            </w:r>
            <w:r w:rsidRPr="00084252">
              <w:rPr>
                <w:color w:val="FFC000"/>
              </w:rPr>
              <w:t xml:space="preserve"> controlling for public knowledge, CO2 per capita and Kyoto commitments)</w:t>
            </w:r>
          </w:p>
          <w:p w14:paraId="659EA0E6" w14:textId="77777777" w:rsidR="00084252" w:rsidRPr="00084252" w:rsidRDefault="00084252" w:rsidP="00CB232A">
            <w:pPr>
              <w:rPr>
                <w:color w:val="00B050"/>
              </w:rPr>
            </w:pPr>
            <w:r w:rsidRPr="00084252">
              <w:rPr>
                <w:color w:val="00B050"/>
              </w:rPr>
              <w:t>- EU membership (+)</w:t>
            </w:r>
          </w:p>
          <w:p w14:paraId="6D0DF70F" w14:textId="5A65D602" w:rsidR="00084252" w:rsidRDefault="00B53B65" w:rsidP="00CB232A">
            <w:r>
              <w:rPr>
                <w:color w:val="FFC000"/>
              </w:rPr>
              <w:t>- Post communist (0</w:t>
            </w:r>
            <w:r w:rsidR="00084252">
              <w:rPr>
                <w:color w:val="FFC000"/>
              </w:rPr>
              <w:t>)</w:t>
            </w:r>
          </w:p>
        </w:tc>
        <w:tc>
          <w:tcPr>
            <w:tcW w:w="3637" w:type="dxa"/>
          </w:tcPr>
          <w:p w14:paraId="32BB51AA" w14:textId="106EFC1F" w:rsidR="00C61ACB" w:rsidRDefault="005A218C" w:rsidP="00F91256">
            <w:pPr>
              <w:keepNext/>
            </w:pPr>
            <w:r w:rsidRPr="00084252">
              <w:rPr>
                <w:color w:val="00B050"/>
              </w:rPr>
              <w:t>- Public knowledge of climate change (+)</w:t>
            </w:r>
          </w:p>
        </w:tc>
      </w:tr>
      <w:tr w:rsidR="006E1150" w14:paraId="2B4189ED" w14:textId="77777777" w:rsidTr="007F464F">
        <w:trPr>
          <w:trHeight w:val="2561"/>
        </w:trPr>
        <w:tc>
          <w:tcPr>
            <w:tcW w:w="1413" w:type="dxa"/>
            <w:tcBorders>
              <w:bottom w:val="single" w:sz="4" w:space="0" w:color="auto"/>
            </w:tcBorders>
          </w:tcPr>
          <w:p w14:paraId="0BDCE228" w14:textId="7685399D" w:rsidR="006E1150" w:rsidRDefault="006E1150" w:rsidP="006E1150">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pricing","type":"report"},"uris":["http://www.mendeley.com/documents/?uuid=ca06098b-c993-459d-9e61-04ce3d8808ff"]}],"mendeley":{"formattedCitation":"(van Beers &amp; Strand, 2013)","plainTextFormattedCitation":"(van Beers &amp; Strand, 2013)","previouslyFormattedCitation":"(van Beers &amp; Strand, 2013)"},"properties":{"noteIndex":0},"schema":"https://github.com/citation-style-language/schema/raw/master/csl-citation.json"}</w:instrText>
            </w:r>
            <w:r>
              <w:fldChar w:fldCharType="separate"/>
            </w:r>
            <w:r w:rsidRPr="003F017E">
              <w:rPr>
                <w:noProof/>
              </w:rPr>
              <w:t>(van Beers &amp; Strand, 2013)</w:t>
            </w:r>
            <w:r>
              <w:fldChar w:fldCharType="end"/>
            </w:r>
          </w:p>
        </w:tc>
        <w:tc>
          <w:tcPr>
            <w:tcW w:w="2131" w:type="dxa"/>
            <w:tcBorders>
              <w:bottom w:val="single" w:sz="4" w:space="0" w:color="auto"/>
            </w:tcBorders>
          </w:tcPr>
          <w:p w14:paraId="3B0344EA" w14:textId="77777777" w:rsidR="006E1150" w:rsidRDefault="006E1150" w:rsidP="006E1150">
            <w:pPr>
              <w:rPr>
                <w:b/>
              </w:rPr>
            </w:pPr>
            <w:r>
              <w:rPr>
                <w:b/>
              </w:rPr>
              <w:t>Climate policy adoption (fossil fuel subsidy reform)</w:t>
            </w:r>
          </w:p>
          <w:p w14:paraId="0777A272" w14:textId="77777777" w:rsidR="006E1150" w:rsidRDefault="006E1150" w:rsidP="006E1150">
            <w:pPr>
              <w:rPr>
                <w:b/>
              </w:rPr>
            </w:pPr>
          </w:p>
          <w:p w14:paraId="33DCCDF5" w14:textId="1E32E2DA" w:rsidR="006E1150" w:rsidRPr="00560936" w:rsidRDefault="006E1150" w:rsidP="006E1150">
            <w:pPr>
              <w:rPr>
                <w:b/>
              </w:rPr>
            </w:pPr>
            <w:r w:rsidRPr="006E1150">
              <w:t>[Petrol and diesel prices for 201 countries</w:t>
            </w:r>
            <w:r>
              <w:t>]</w:t>
            </w:r>
          </w:p>
        </w:tc>
        <w:tc>
          <w:tcPr>
            <w:tcW w:w="3636" w:type="dxa"/>
            <w:tcBorders>
              <w:bottom w:val="single" w:sz="4" w:space="0" w:color="auto"/>
            </w:tcBorders>
          </w:tcPr>
          <w:p w14:paraId="38D5F709" w14:textId="1C91D4F0" w:rsidR="006E1150" w:rsidRPr="00084252" w:rsidRDefault="006E1150" w:rsidP="0068619D">
            <w:pPr>
              <w:rPr>
                <w:color w:val="FF0000"/>
              </w:rPr>
            </w:pPr>
            <w:r w:rsidRPr="003F017E">
              <w:rPr>
                <w:color w:val="FF0000"/>
              </w:rPr>
              <w:t>- Oil export surplus (-)</w:t>
            </w:r>
          </w:p>
        </w:tc>
        <w:tc>
          <w:tcPr>
            <w:tcW w:w="3637" w:type="dxa"/>
            <w:tcBorders>
              <w:bottom w:val="single" w:sz="4" w:space="0" w:color="auto"/>
            </w:tcBorders>
          </w:tcPr>
          <w:p w14:paraId="45890CC4" w14:textId="77777777" w:rsidR="006E1150" w:rsidRPr="000C5910" w:rsidRDefault="006E1150" w:rsidP="006E1150">
            <w:pPr>
              <w:rPr>
                <w:color w:val="00B050"/>
              </w:rPr>
            </w:pPr>
            <w:r w:rsidRPr="000C5910">
              <w:rPr>
                <w:color w:val="00B050"/>
              </w:rPr>
              <w:t>- Developme</w:t>
            </w:r>
            <w:r>
              <w:rPr>
                <w:color w:val="00B050"/>
              </w:rPr>
              <w:t>n</w:t>
            </w:r>
            <w:r w:rsidRPr="000C5910">
              <w:rPr>
                <w:color w:val="00B050"/>
              </w:rPr>
              <w:t>t level (GDP) (+)</w:t>
            </w:r>
          </w:p>
          <w:p w14:paraId="35BB8C80" w14:textId="77777777" w:rsidR="006E1150" w:rsidRPr="000C5910" w:rsidRDefault="006E1150" w:rsidP="006E1150">
            <w:pPr>
              <w:rPr>
                <w:color w:val="00B050"/>
              </w:rPr>
            </w:pPr>
            <w:r w:rsidRPr="000C5910">
              <w:rPr>
                <w:color w:val="00B050"/>
              </w:rPr>
              <w:t>- Control of corruption (+)</w:t>
            </w:r>
          </w:p>
          <w:p w14:paraId="7709E768" w14:textId="77777777" w:rsidR="006E1150" w:rsidRPr="003F017E" w:rsidRDefault="006E1150" w:rsidP="006E1150">
            <w:pPr>
              <w:rPr>
                <w:color w:val="00B050"/>
              </w:rPr>
            </w:pPr>
            <w:r w:rsidRPr="003F017E">
              <w:rPr>
                <w:color w:val="00B050"/>
              </w:rPr>
              <w:t>- Years of democracy (+)</w:t>
            </w:r>
          </w:p>
          <w:p w14:paraId="51FF89F9" w14:textId="77777777" w:rsidR="006E1150" w:rsidRPr="003F017E" w:rsidRDefault="006E1150" w:rsidP="006E1150">
            <w:pPr>
              <w:rPr>
                <w:color w:val="FF0000"/>
              </w:rPr>
            </w:pPr>
            <w:r w:rsidRPr="003F017E">
              <w:rPr>
                <w:color w:val="FF0000"/>
              </w:rPr>
              <w:t>- Shift to democracy (- then +)</w:t>
            </w:r>
          </w:p>
          <w:p w14:paraId="535D05C6" w14:textId="77777777" w:rsidR="006E1150" w:rsidRPr="003F017E" w:rsidRDefault="006E1150" w:rsidP="006E1150">
            <w:pPr>
              <w:rPr>
                <w:color w:val="FF0000"/>
              </w:rPr>
            </w:pPr>
            <w:r w:rsidRPr="003F017E">
              <w:rPr>
                <w:color w:val="FF0000"/>
              </w:rPr>
              <w:t>- Presidential system (-)</w:t>
            </w:r>
          </w:p>
          <w:p w14:paraId="32B3617C" w14:textId="77777777" w:rsidR="006E1150" w:rsidRPr="003F017E" w:rsidRDefault="006E1150" w:rsidP="006E1150">
            <w:pPr>
              <w:rPr>
                <w:color w:val="00B050"/>
              </w:rPr>
            </w:pPr>
            <w:r w:rsidRPr="003F017E">
              <w:rPr>
                <w:color w:val="00B050"/>
              </w:rPr>
              <w:t>- Proportional representation (+)</w:t>
            </w:r>
          </w:p>
          <w:p w14:paraId="26AFA2BF" w14:textId="77777777" w:rsidR="006E1150" w:rsidRPr="003F017E" w:rsidRDefault="006E1150" w:rsidP="006E1150">
            <w:pPr>
              <w:rPr>
                <w:color w:val="FF0000"/>
              </w:rPr>
            </w:pPr>
            <w:r w:rsidRPr="003F017E">
              <w:rPr>
                <w:color w:val="FF0000"/>
              </w:rPr>
              <w:t>- Concentration of political power (seat shares of ruling party) (-)</w:t>
            </w:r>
          </w:p>
          <w:p w14:paraId="0372F59B" w14:textId="77777777" w:rsidR="006E1150" w:rsidRDefault="006E1150" w:rsidP="006E1150">
            <w:pPr>
              <w:rPr>
                <w:color w:val="FFC000"/>
              </w:rPr>
            </w:pPr>
          </w:p>
        </w:tc>
        <w:tc>
          <w:tcPr>
            <w:tcW w:w="3637" w:type="dxa"/>
            <w:tcBorders>
              <w:bottom w:val="single" w:sz="4" w:space="0" w:color="auto"/>
            </w:tcBorders>
          </w:tcPr>
          <w:p w14:paraId="6C44ECE9" w14:textId="77777777" w:rsidR="006E1150" w:rsidRPr="00084252" w:rsidRDefault="006E1150" w:rsidP="006E1150">
            <w:pPr>
              <w:keepNext/>
              <w:rPr>
                <w:color w:val="00B050"/>
              </w:rPr>
            </w:pPr>
          </w:p>
        </w:tc>
      </w:tr>
    </w:tbl>
    <w:p w14:paraId="2E2FB1A2" w14:textId="3D1A2A4C" w:rsidR="00C61ACB" w:rsidRDefault="00F91256" w:rsidP="007F464F">
      <w:pPr>
        <w:pStyle w:val="Caption"/>
      </w:pPr>
      <w:r w:rsidRPr="00F91256">
        <w:rPr>
          <w:b/>
          <w:sz w:val="22"/>
        </w:rPr>
        <w:t xml:space="preserve">Table </w:t>
      </w:r>
      <w:r w:rsidRPr="00F91256">
        <w:rPr>
          <w:b/>
          <w:sz w:val="22"/>
        </w:rPr>
        <w:fldChar w:fldCharType="begin"/>
      </w:r>
      <w:r w:rsidRPr="00F91256">
        <w:rPr>
          <w:b/>
          <w:sz w:val="22"/>
        </w:rPr>
        <w:instrText xml:space="preserve"> SEQ Table \* ARABIC </w:instrText>
      </w:r>
      <w:r w:rsidRPr="00F91256">
        <w:rPr>
          <w:b/>
          <w:sz w:val="22"/>
        </w:rPr>
        <w:fldChar w:fldCharType="separate"/>
      </w:r>
      <w:r w:rsidRPr="00F91256">
        <w:rPr>
          <w:b/>
          <w:noProof/>
          <w:sz w:val="22"/>
        </w:rPr>
        <w:t>3</w:t>
      </w:r>
      <w:r w:rsidRPr="00F91256">
        <w:rPr>
          <w:b/>
          <w:sz w:val="22"/>
        </w:rPr>
        <w:fldChar w:fldCharType="end"/>
      </w:r>
      <w:r w:rsidRPr="00F91256">
        <w:rPr>
          <w:b/>
          <w:sz w:val="22"/>
        </w:rPr>
        <w:t xml:space="preserve">: </w:t>
      </w:r>
      <w:r w:rsidR="00BD4C91">
        <w:rPr>
          <w:b/>
          <w:sz w:val="22"/>
        </w:rPr>
        <w:t>C</w:t>
      </w:r>
      <w:r w:rsidRPr="00F91256">
        <w:rPr>
          <w:b/>
          <w:sz w:val="22"/>
        </w:rPr>
        <w:t>ross-national studies of political economic constraints to climate policy</w:t>
      </w:r>
      <w:r>
        <w:rPr>
          <w:sz w:val="22"/>
        </w:rPr>
        <w:t xml:space="preserve">. Note: in some cases we do not report variables outside the interest/institution/ideas typology. </w:t>
      </w:r>
      <w:r w:rsidR="00A1607B">
        <w:rPr>
          <w:sz w:val="22"/>
        </w:rPr>
        <w:t xml:space="preserve">Often these are control variables such as </w:t>
      </w:r>
      <w:r>
        <w:rPr>
          <w:sz w:val="22"/>
        </w:rPr>
        <w:t xml:space="preserve">the share of trade in GDP </w:t>
      </w:r>
      <w:r>
        <w:rPr>
          <w:sz w:val="22"/>
        </w:rPr>
        <w:fldChar w:fldCharType="begin" w:fldLock="1"/>
      </w:r>
      <w:r w:rsidR="00560936">
        <w:rPr>
          <w:sz w:val="22"/>
        </w:rPr>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rPr>
          <w:sz w:val="22"/>
        </w:rPr>
        <w:fldChar w:fldCharType="separate"/>
      </w:r>
      <w:r w:rsidR="00A1607B" w:rsidRPr="00A1607B">
        <w:rPr>
          <w:i w:val="0"/>
          <w:noProof/>
          <w:sz w:val="22"/>
        </w:rPr>
        <w:t>(Böhmelt et al., 2016)</w:t>
      </w:r>
      <w:r>
        <w:rPr>
          <w:sz w:val="22"/>
        </w:rPr>
        <w:fldChar w:fldCharType="end"/>
      </w:r>
      <w:r>
        <w:rPr>
          <w:sz w:val="22"/>
        </w:rPr>
        <w:t xml:space="preserve">, or effect of economic cycles </w:t>
      </w:r>
      <w:commentRangeStart w:id="4"/>
      <w:r>
        <w:rPr>
          <w:sz w:val="22"/>
        </w:rPr>
        <w:fldChar w:fldCharType="begin" w:fldLock="1"/>
      </w:r>
      <w:r w:rsidR="00A1607B">
        <w:rPr>
          <w:sz w:val="22"/>
        </w:rPr>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survey","type":"article-journal","volume":"35"},"uris":["http://www.mendeley.com/documents/?uuid=860f5671-59a0-4f8d-a7d7-b495238f5d28"]}],"mendeley":{"formattedCitation":"(Fankhauser et al., 2015)","plainTextFormattedCitation":"(Fankhauser et al., 2015)","previouslyFormattedCitation":"(Fankhauser et al., 2015)"},"properties":{"noteIndex":0},"schema":"https://github.com/citation-style-language/schema/raw/master/csl-citation.json"}</w:instrText>
      </w:r>
      <w:r>
        <w:rPr>
          <w:sz w:val="22"/>
        </w:rPr>
        <w:fldChar w:fldCharType="separate"/>
      </w:r>
      <w:r w:rsidRPr="00F91256">
        <w:rPr>
          <w:i w:val="0"/>
          <w:noProof/>
          <w:sz w:val="22"/>
        </w:rPr>
        <w:t>(Fankhauser et al., 2015)</w:t>
      </w:r>
      <w:r>
        <w:rPr>
          <w:sz w:val="22"/>
        </w:rPr>
        <w:fldChar w:fldCharType="end"/>
      </w:r>
      <w:commentRangeEnd w:id="4"/>
      <w:r w:rsidR="007E3362">
        <w:rPr>
          <w:rStyle w:val="CommentReference"/>
          <w:i w:val="0"/>
          <w:iCs w:val="0"/>
          <w:color w:val="auto"/>
        </w:rPr>
        <w:commentReference w:id="4"/>
      </w:r>
      <w:r>
        <w:rPr>
          <w:sz w:val="22"/>
        </w:rPr>
        <w:t>.</w:t>
      </w:r>
    </w:p>
    <w:p w14:paraId="3B41D9F5" w14:textId="77777777" w:rsidR="00BC15CD" w:rsidRDefault="00BC15CD" w:rsidP="0021445B">
      <w:pPr>
        <w:spacing w:line="360" w:lineRule="auto"/>
        <w:sectPr w:rsidR="00BC15CD" w:rsidSect="00C61ACB">
          <w:pgSz w:w="16838" w:h="11906" w:orient="landscape"/>
          <w:pgMar w:top="1417" w:right="1417" w:bottom="1417" w:left="1134" w:header="708" w:footer="708" w:gutter="0"/>
          <w:cols w:space="708"/>
          <w:docGrid w:linePitch="360"/>
        </w:sectPr>
      </w:pPr>
    </w:p>
    <w:p w14:paraId="0A552443" w14:textId="2680B072" w:rsidR="002702C0" w:rsidRDefault="00B00BBB" w:rsidP="00E77203">
      <w:pPr>
        <w:spacing w:line="360" w:lineRule="auto"/>
      </w:pPr>
      <w:r>
        <w:lastRenderedPageBreak/>
        <w:t xml:space="preserve">State institutions </w:t>
      </w:r>
      <w:r w:rsidR="002702C0">
        <w:t xml:space="preserve">also </w:t>
      </w:r>
      <w:r>
        <w:t>vary in terms of quality</w:t>
      </w:r>
      <w:r w:rsidR="00520658">
        <w:t xml:space="preserve"> and exposure to corruption</w:t>
      </w:r>
      <w:r w:rsidR="000E1FA8">
        <w:t xml:space="preserve">. In wealthier countries, </w:t>
      </w:r>
      <w:r w:rsidR="002702C0">
        <w:t xml:space="preserve">bureaucracies </w:t>
      </w:r>
      <w:r w:rsidR="000E1FA8">
        <w:t xml:space="preserve">can mobilise greater financial and human </w:t>
      </w:r>
      <w:r>
        <w:t>resources</w:t>
      </w:r>
      <w:r w:rsidR="000E1FA8">
        <w:t xml:space="preserve"> to formulate and implement policies. In poorer countries, states can often fail to carry out even basic fun</w:t>
      </w:r>
      <w:r w:rsidR="004E76A0">
        <w:t xml:space="preserve">ctions, such as effective taxation. </w:t>
      </w:r>
      <w:r w:rsidR="0013440A">
        <w:t>These conditions are often referred to as ‘s</w:t>
      </w:r>
      <w:r w:rsidR="004E76A0">
        <w:t>tate capacities’</w:t>
      </w:r>
      <w:r w:rsidR="002702C0">
        <w:t xml:space="preserve"> in the institutional literature</w:t>
      </w:r>
      <w:r w:rsidR="0013440A">
        <w:t xml:space="preserve">, a broad definition that encapsulates issues </w:t>
      </w:r>
      <w:r w:rsidR="00F871A3">
        <w:t xml:space="preserve">and indicators </w:t>
      </w:r>
      <w:r w:rsidR="0013440A">
        <w:t xml:space="preserve">of “government effectiveness”, “rule of law”, and “control of corruption” </w:t>
      </w:r>
      <w:r w:rsidR="0013440A">
        <w:fldChar w:fldCharType="begin" w:fldLock="1"/>
      </w:r>
      <w:r w:rsidR="0013440A">
        <w:instrText>ADDIN CSL_CITATION {"citationItems":[{"id":"ITEM-1","itemData":{"DOI":"10.1146/annurev-polisci-100608-104510","ISBN":"1094-2939\\n1545-1577","ISSN":"1094-2939","abstract":"In development policy, international organizations have shifted their focus to the importance of good governance and sound institutions. The theory behind this is that only with a high quality of government (QoG) can a country reap the benefits of economic growth and social development. We review the research behind this policy shift and offer a first benchmark statistical analysis. The first section contains a review of the conceptual discussion of what QoG means. Second, we present four salient approaches pertaining to the outcomes of QoG: the debates concerning QoG and democracy, economic growth, corruption, and the rule of law. The third section uses insights gained from these debates to focus on the policy outcomes of QoG—its effects on social well-being, public health, and environmental sustainability. We conclude by discussing possible pitfalls in future research on QoG and development.","author":[{"dropping-particle":"","family":"Holmberg","given":"Sören","non-dropping-particle":"","parse-names":false,"suffix":""},{"dropping-particle":"","family":"Rothstein","given":"Bo","non-dropping-particle":"","parse-names":false,"suffix":""},{"dropping-particle":"","family":"Nasiritousi","given":"Naghmeh","non-dropping-particle":"","parse-names":false,"suffix":""}],"container-title":"Annual Review of Political Science","id":"ITEM-1","issue":"1","issued":{"date-parts":[["2009"]]},"page":"135-161","title":"Quality of Government: What You Get","type":"article-journal","volume":"12"},"uris":["http://www.mendeley.com/documents/?uuid=d9b408fb-c879-4801-ba10-aa66a3df3991"]},{"id":"ITEM-2","itemData":{"URL":"http://info.worldbank.org/governance/wgi/index.aspx","author":[{"dropping-particle":"","family":"Kaufmann","given":"Daniel","non-dropping-particle":"","parse-names":false,"suffix":""},{"dropping-particle":"","family":"Kraay","given":"Aart","non-dropping-particle":"","parse-names":false,"suffix":""}],"id":"ITEM-2","issued":{"date-parts":[["2015"]]},"title":"World Governance Indicators","type":"webpage"},"uris":["http://www.mendeley.com/documents/?uuid=5bec128a-865d-4f2c-8ad6-c91af5f5012b"]}],"mendeley":{"formattedCitation":"(Holmberg, Rothstein, &amp; Nasiritousi, 2009; Kaufmann &amp; Kraay, 2015)","plainTextFormattedCitation":"(Holmberg, Rothstein, &amp; Nasiritousi, 2009; Kaufmann &amp; Kraay, 2015)","previouslyFormattedCitation":"(Holmberg, Rothstein, &amp; Nasiritousi, 2009; Kaufmann &amp; Kraay, 2015)"},"properties":{"noteIndex":0},"schema":"https://github.com/citation-style-language/schema/raw/master/csl-citation.json"}</w:instrText>
      </w:r>
      <w:r w:rsidR="0013440A">
        <w:fldChar w:fldCharType="separate"/>
      </w:r>
      <w:r w:rsidR="0013440A" w:rsidRPr="0013440A">
        <w:rPr>
          <w:noProof/>
        </w:rPr>
        <w:t>(Holmberg, Rothstein, &amp; Nasiritousi, 2009; Kaufmann &amp; Kraay, 2015)</w:t>
      </w:r>
      <w:r w:rsidR="0013440A">
        <w:fldChar w:fldCharType="end"/>
      </w:r>
      <w:r w:rsidR="0013440A">
        <w:t>.</w:t>
      </w:r>
      <w:r w:rsidR="00520658">
        <w:t xml:space="preserve"> In this context, i</w:t>
      </w:r>
      <w:r w:rsidR="0013440A">
        <w:t xml:space="preserve">t has been suggested that </w:t>
      </w:r>
      <w:r w:rsidR="004E76A0">
        <w:t xml:space="preserve">the implementation of </w:t>
      </w:r>
      <w:r w:rsidR="000E1FA8">
        <w:t xml:space="preserve">more sophisticated </w:t>
      </w:r>
      <w:r w:rsidR="0013440A">
        <w:t xml:space="preserve">climate </w:t>
      </w:r>
      <w:r w:rsidR="000E1FA8">
        <w:t>policies</w:t>
      </w:r>
      <w:r w:rsidR="0081672C">
        <w:t xml:space="preserve"> (</w:t>
      </w:r>
      <w:r w:rsidR="000E1FA8">
        <w:t>such as feed-in-tariffs</w:t>
      </w:r>
      <w:r w:rsidR="0081672C">
        <w:t>)</w:t>
      </w:r>
      <w:r w:rsidR="0013440A">
        <w:t xml:space="preserve"> </w:t>
      </w:r>
      <w:r w:rsidR="0032147A">
        <w:t>are</w:t>
      </w:r>
      <w:r w:rsidR="0013440A">
        <w:t xml:space="preserve"> </w:t>
      </w:r>
      <w:r w:rsidR="004E76A0">
        <w:t xml:space="preserve">a foregone conclusion </w:t>
      </w:r>
      <w:r w:rsidR="00520658">
        <w:t>where poor state capacities are prevalent</w:t>
      </w:r>
      <w:r w:rsidR="0013440A">
        <w:t xml:space="preserve"> </w:t>
      </w:r>
      <w:r w:rsidR="004E76A0">
        <w:fldChar w:fldCharType="begin" w:fldLock="1"/>
      </w:r>
      <w:r w:rsidR="001A19E0">
        <w:instrText>ADDIN CSL_CITATION {"citationItems":[{"id":"ITEM-1","itemData":{"DOI":"10.1038/nclimate2370","ISSN":"1758-678X","author":[{"dropping-particle":"","family":"Jakob","given":"Michael","non-dropping-particle":"","parse-names":false,"suffix":""},{"dropping-particle":"","family":"Steckel","given":"Jan Christoph","non-dropping-particle":"","parse-names":false,"suffix":""},{"dropping-particle":"","family":"Klasen","given":"Stephan","non-dropping-particle":"","parse-names":false,"suffix":""},{"dropping-particle":"","family":"Lay","given":"Jann","non-dropping-particle":"","parse-names":false,"suffix":""},{"dropping-particle":"","family":"Grunewald","given":"Nicole","non-dropping-particle":"","parse-names":false,"suffix":""},{"dropping-particle":"","family":"Martínez-Zarzoso","given":"Inmaculada","non-dropping-particle":"","parse-names":false,"suffix":""},{"dropping-particle":"","family":"Renner","given":"Sebastian","non-dropping-particle":"","parse-names":false,"suffix":""},{"dropping-particle":"","family":"Edenhofer","given":"Ottmar","non-dropping-particle":"","parse-names":false,"suffix":""}],"container-title":"Nature Climate Change","id":"ITEM-1","issue":"11","issued":{"date-parts":[["2014","10","29"]]},"page":"961-968","publisher":"Nature Publishing Group","title":"Feasible mitigation actions in developing countries","type":"article-journal","volume":"4"},"uris":["http://www.mendeley.com/documents/?uuid=98e1a560-7601-47fb-a215-571a93f1bccc"]}],"mendeley":{"formattedCitation":"(Jakob et al., 2014)","plainTextFormattedCitation":"(Jakob et al., 2014)","previouslyFormattedCitation":"(Jakob et al., 2014)"},"properties":{"noteIndex":0},"schema":"https://github.com/citation-style-language/schema/raw/master/csl-citation.json"}</w:instrText>
      </w:r>
      <w:r w:rsidR="004E76A0">
        <w:fldChar w:fldCharType="separate"/>
      </w:r>
      <w:r w:rsidR="004E76A0" w:rsidRPr="004E76A0">
        <w:rPr>
          <w:noProof/>
        </w:rPr>
        <w:t>(Jakob et al., 2014)</w:t>
      </w:r>
      <w:r w:rsidR="004E76A0">
        <w:fldChar w:fldCharType="end"/>
      </w:r>
      <w:r w:rsidR="004E76A0">
        <w:t xml:space="preserve">. Indeed, there are strong </w:t>
      </w:r>
      <w:r w:rsidR="001A19E0">
        <w:t xml:space="preserve">positive </w:t>
      </w:r>
      <w:r w:rsidR="004E76A0">
        <w:t xml:space="preserve">correlations between </w:t>
      </w:r>
      <w:r w:rsidR="001A19E0">
        <w:t>weighted carbon prices levels</w:t>
      </w:r>
      <w:r w:rsidR="0013440A">
        <w:t xml:space="preserve"> and</w:t>
      </w:r>
      <w:r w:rsidR="001A19E0">
        <w:t xml:space="preserve"> </w:t>
      </w:r>
      <w:r w:rsidR="004E76A0">
        <w:t xml:space="preserve">subjective scores of </w:t>
      </w:r>
      <w:r w:rsidR="001A19E0">
        <w:t>“government effectiveness” and “regulatory quality”</w:t>
      </w:r>
      <w:r w:rsidR="006174EA">
        <w:t xml:space="preserve"> </w:t>
      </w:r>
      <w:r w:rsidR="006174EA">
        <w:fldChar w:fldCharType="begin" w:fldLock="1"/>
      </w:r>
      <w:r w:rsidR="006174EA">
        <w:instrText>ADDIN CSL_CITATION {"citationItems":[{"id":"ITEM-1","itemData":{"URL":"http://info.worldbank.org/governance/wgi/index.aspx","author":[{"dropping-particle":"","family":"Kaufmann","given":"Daniel","non-dropping-particle":"","parse-names":false,"suffix":""},{"dropping-particle":"","family":"Kraay","given":"Aart","non-dropping-particle":"","parse-names":false,"suffix":""}],"id":"ITEM-1","issued":{"date-parts":[["2015"]]},"title":"World Governance Indicators","type":"webpage"},"prefix":"see ","uris":["http://www.mendeley.com/documents/?uuid=5bec128a-865d-4f2c-8ad6-c91af5f5012b"]}],"mendeley":{"formattedCitation":"(see Kaufmann &amp; Kraay, 2015)","plainTextFormattedCitation":"(see Kaufmann &amp; Kraay, 2015)","previouslyFormattedCitation":"(see Kaufmann &amp; Kraay, 2015)"},"properties":{"noteIndex":0},"schema":"https://github.com/citation-style-language/schema/raw/master/csl-citation.json"}</w:instrText>
      </w:r>
      <w:r w:rsidR="006174EA">
        <w:fldChar w:fldCharType="separate"/>
      </w:r>
      <w:r w:rsidR="006174EA" w:rsidRPr="001A19E0">
        <w:rPr>
          <w:noProof/>
        </w:rPr>
        <w:t>(see Kaufmann &amp; Kraay, 2015)</w:t>
      </w:r>
      <w:r w:rsidR="006174EA">
        <w:fldChar w:fldCharType="end"/>
      </w:r>
      <w:r w:rsidR="006174EA">
        <w:t>,</w:t>
      </w:r>
      <w:r w:rsidR="0013440A">
        <w:t xml:space="preserve"> </w:t>
      </w:r>
      <w:r w:rsidR="006174EA">
        <w:t xml:space="preserve">even after controlling for GDP </w:t>
      </w:r>
      <w:r w:rsidR="006174EA">
        <w:fldChar w:fldCharType="begin" w:fldLock="1"/>
      </w:r>
      <w:r w:rsidR="006174EA">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sidR="006174EA">
        <w:fldChar w:fldCharType="separate"/>
      </w:r>
      <w:r w:rsidR="006174EA" w:rsidRPr="001A19E0">
        <w:rPr>
          <w:noProof/>
        </w:rPr>
        <w:t>(Levi et al., 2019)</w:t>
      </w:r>
      <w:r w:rsidR="006174EA">
        <w:fldChar w:fldCharType="end"/>
      </w:r>
      <w:r w:rsidR="006174EA">
        <w:rPr>
          <w:rStyle w:val="FootnoteReference"/>
        </w:rPr>
        <w:footnoteReference w:id="2"/>
      </w:r>
      <w:r w:rsidR="006174EA">
        <w:t>.</w:t>
      </w:r>
      <w:r w:rsidR="0032147A">
        <w:t xml:space="preserve"> Poor control of corruption is also associated with a failure to reform fossil subsidies </w:t>
      </w:r>
      <w:r w:rsidR="0032147A">
        <w:fldChar w:fldCharType="begin" w:fldLock="1"/>
      </w:r>
      <w:r w:rsidR="0032147A">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pricing","type":"report"},"uris":["http://www.mendeley.com/documents/?uuid=ca06098b-c993-459d-9e61-04ce3d8808ff"]}],"mendeley":{"formattedCitation":"(van Beers &amp; Strand, 2013)","plainTextFormattedCitation":"(van Beers &amp; Strand, 2013)","previouslyFormattedCitation":"(van Beers &amp; Strand, 2013)"},"properties":{"noteIndex":0},"schema":"https://github.com/citation-style-language/schema/raw/master/csl-citation.json"}</w:instrText>
      </w:r>
      <w:r w:rsidR="0032147A">
        <w:fldChar w:fldCharType="separate"/>
      </w:r>
      <w:r w:rsidR="0032147A" w:rsidRPr="0032147A">
        <w:rPr>
          <w:noProof/>
        </w:rPr>
        <w:t>(van Beers &amp; Strand, 2013)</w:t>
      </w:r>
      <w:r w:rsidR="0032147A">
        <w:fldChar w:fldCharType="end"/>
      </w:r>
      <w:r w:rsidR="001A19E0">
        <w:t xml:space="preserve"> </w:t>
      </w:r>
      <w:r w:rsidR="0032147A">
        <w:t xml:space="preserve">and carbon tax stringency </w:t>
      </w:r>
      <w:r w:rsidR="0032147A">
        <w:fldChar w:fldCharType="begin" w:fldLock="1"/>
      </w:r>
      <w:r w:rsidR="0032147A">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sidR="0032147A">
        <w:fldChar w:fldCharType="separate"/>
      </w:r>
      <w:r w:rsidR="0032147A" w:rsidRPr="0032147A">
        <w:rPr>
          <w:noProof/>
        </w:rPr>
        <w:t>(Levi et al., 2019)</w:t>
      </w:r>
      <w:r w:rsidR="0032147A">
        <w:fldChar w:fldCharType="end"/>
      </w:r>
      <w:r w:rsidR="0032147A">
        <w:t xml:space="preserve">. </w:t>
      </w:r>
      <w:r w:rsidR="0013440A">
        <w:t xml:space="preserve">In </w:t>
      </w:r>
      <w:r w:rsidR="002702C0">
        <w:t xml:space="preserve">the </w:t>
      </w:r>
      <w:r w:rsidR="0013440A">
        <w:t xml:space="preserve">extensive </w:t>
      </w:r>
      <w:r w:rsidR="002702C0">
        <w:t xml:space="preserve">development </w:t>
      </w:r>
      <w:r w:rsidR="0013440A">
        <w:t xml:space="preserve">literature, poor state capacity is associated with a wide range of </w:t>
      </w:r>
      <w:r w:rsidR="00250B1C">
        <w:t xml:space="preserve">public provisioning </w:t>
      </w:r>
      <w:r w:rsidR="0013440A">
        <w:t>failures, such as underinvestment in health</w:t>
      </w:r>
      <w:r w:rsidR="00250B1C">
        <w:t xml:space="preserve"> services</w:t>
      </w:r>
      <w:r w:rsidR="0013440A">
        <w:t xml:space="preserve">, poor economic </w:t>
      </w:r>
      <w:r w:rsidR="002702C0">
        <w:t xml:space="preserve">performance </w:t>
      </w:r>
      <w:r w:rsidR="0013440A">
        <w:t>(e.g. GDP)</w:t>
      </w:r>
      <w:r w:rsidR="002702C0">
        <w:t>,</w:t>
      </w:r>
      <w:r w:rsidR="0013440A">
        <w:t xml:space="preserve"> </w:t>
      </w:r>
      <w:r w:rsidR="002702C0">
        <w:t xml:space="preserve">low </w:t>
      </w:r>
      <w:r w:rsidR="0013440A">
        <w:t xml:space="preserve">environmental </w:t>
      </w:r>
      <w:r w:rsidR="002702C0">
        <w:t xml:space="preserve">quality </w:t>
      </w:r>
      <w:r w:rsidR="0013440A">
        <w:t xml:space="preserve">(e.g. </w:t>
      </w:r>
      <w:r w:rsidR="002702C0">
        <w:t xml:space="preserve">air pollution, </w:t>
      </w:r>
      <w:r w:rsidR="0013440A">
        <w:t xml:space="preserve">carbon emissions), and </w:t>
      </w:r>
      <w:r w:rsidR="00F871A3">
        <w:t xml:space="preserve">poor </w:t>
      </w:r>
      <w:r w:rsidR="0013440A">
        <w:t xml:space="preserve">human well-being </w:t>
      </w:r>
      <w:r w:rsidR="00F871A3">
        <w:t xml:space="preserve">outcomes </w:t>
      </w:r>
      <w:commentRangeStart w:id="5"/>
      <w:commentRangeStart w:id="6"/>
      <w:r w:rsidR="0013440A">
        <w:fldChar w:fldCharType="begin" w:fldLock="1"/>
      </w:r>
      <w:r w:rsidR="0002664B">
        <w:instrText>ADDIN CSL_CITATION {"citationItems":[{"id":"ITEM-1","itemData":{"DOI":"10.1146/annurev-polisci-100608-104510","ISBN":"1094-2939\\n1545-1577","ISSN":"1094-2939","abstract":"In development policy, international organizations have shifted their focus to the importance of good governance and sound institutions. The theory behind this is that only with a high quality of government (QoG) can a country reap the benefits of economic growth and social development. We review the research behind this policy shift and offer a first benchmark statistical analysis. The first section contains a review of the conceptual discussion of what QoG means. Second, we present four salient approaches pertaining to the outcomes of QoG: the debates concerning QoG and democracy, economic growth, corruption, and the rule of law. The third section uses insights gained from these debates to focus on the policy outcomes of QoG—its effects on social well-being, public health, and environmental sustainability. We conclude by discussing possible pitfalls in future research on QoG and development.","author":[{"dropping-particle":"","family":"Holmberg","given":"Sören","non-dropping-particle":"","parse-names":false,"suffix":""},{"dropping-particle":"","family":"Rothstein","given":"Bo","non-dropping-particle":"","parse-names":false,"suffix":""},{"dropping-particle":"","family":"Nasiritousi","given":"Naghmeh","non-dropping-particle":"","parse-names":false,"suffix":""}],"container-title":"Annual Review of Political Science","id":"ITEM-1","issue":"1","issued":{"date-parts":[["2009"]]},"page":"135-161","title":"Quality of Government: What You Get","type":"article-journal","volume":"12"},"uris":["http://www.mendeley.com/documents/?uuid=d9b408fb-c879-4801-ba10-aa66a3df3991"]},{"id":"ITEM-2","itemData":{"DOI":"10.1111/joes.12065","ISBN":"09500804","ISSN":"14676419","abstract":"There is increasing realization that state capacity is a fundamental ingredient for effective governance, and is a crucial element of long‐run economic development. This paper offers an overview of the strengths and limitations in current empirical research on the measurement of state capacity. The paper also surveys the fast emerging literature on the determinants and effects of state capacity. We argue that existing measures on governance quality used in cross‐national research can be usefully exploited to capture different aspects of state capacity, and show that post the end of the Cold War, developing economies have experienced improvements in legal, administrative and bureaucratic capacity, but the gap with advanced economies is still wide. Future research should address the short temporal coverage of available measures of state capacity, as well as providing a systematic quantitative assessment of the determinants of capacity and of its effects on development outcomes, such as health and education, which have not received sufficient scrutiny.","author":[{"dropping-particle":"","family":"Savoia","given":"Antonio","non-dropping-particle":"","parse-names":false,"suffix":""},{"dropping-particle":"","family":"Sen","given":"Kunal","non-dropping-particle":"","parse-names":false,"suffix":""}],"container-title":"Journal of Economic Surveys","id":"ITEM-2","issue":"3","issued":{"date-parts":[["2015"]]},"page":"441-458","title":"Measurement, evolution, determinants, and consequences of state capacity: A review of recent research","type":"article-journal","volume":"29"},"uris":["http://www.mendeley.com/documents/?uuid=03ba9534-b560-4c12-9361-363658d58b93"]}],"mendeley":{"formattedCitation":"(Holmberg et al., 2009; Savoia &amp; Sen, 2015)","plainTextFormattedCitation":"(Holmberg et al., 2009; Savoia &amp; Sen, 2015)","previouslyFormattedCitation":"(Holmberg et al., 2009; Savoia &amp; Sen, 2015)"},"properties":{"noteIndex":0},"schema":"https://github.com/citation-style-language/schema/raw/master/csl-citation.json"}</w:instrText>
      </w:r>
      <w:r w:rsidR="0013440A">
        <w:fldChar w:fldCharType="separate"/>
      </w:r>
      <w:r w:rsidR="0013440A" w:rsidRPr="0013440A">
        <w:rPr>
          <w:noProof/>
        </w:rPr>
        <w:t>(Holmberg et al., 2009; Savoia &amp; Sen, 2015)</w:t>
      </w:r>
      <w:r w:rsidR="0013440A">
        <w:fldChar w:fldCharType="end"/>
      </w:r>
      <w:commentRangeEnd w:id="5"/>
      <w:commentRangeEnd w:id="6"/>
      <w:r w:rsidR="00DC3DAD">
        <w:rPr>
          <w:rStyle w:val="CommentReference"/>
        </w:rPr>
        <w:commentReference w:id="5"/>
      </w:r>
      <w:r w:rsidR="00EA67E1">
        <w:rPr>
          <w:rStyle w:val="CommentReference"/>
        </w:rPr>
        <w:commentReference w:id="6"/>
      </w:r>
      <w:r w:rsidR="00C51B64">
        <w:t xml:space="preserve">. </w:t>
      </w:r>
    </w:p>
    <w:p w14:paraId="33954B08" w14:textId="33CDA29C" w:rsidR="00FB482A" w:rsidRDefault="00FB482A" w:rsidP="00866B91">
      <w:pPr>
        <w:pStyle w:val="Heading3"/>
        <w:numPr>
          <w:ilvl w:val="1"/>
          <w:numId w:val="19"/>
        </w:numPr>
        <w:spacing w:after="120" w:line="360" w:lineRule="auto"/>
        <w:ind w:left="788" w:hanging="431"/>
      </w:pPr>
      <w:r>
        <w:t>Ideas</w:t>
      </w:r>
    </w:p>
    <w:p w14:paraId="609005D6" w14:textId="5E701B38" w:rsidR="004E27D2" w:rsidRDefault="0093697F" w:rsidP="00E77203">
      <w:pPr>
        <w:spacing w:line="360" w:lineRule="auto"/>
      </w:pPr>
      <w:r>
        <w:t>Climate policy h</w:t>
      </w:r>
      <w:r w:rsidR="000E7F39">
        <w:t xml:space="preserve">as long been a battle of ideas, with much </w:t>
      </w:r>
      <w:r>
        <w:t xml:space="preserve">contestation </w:t>
      </w:r>
      <w:r w:rsidR="000E7F39">
        <w:t>centred on the</w:t>
      </w:r>
      <w:r>
        <w:t xml:space="preserve"> </w:t>
      </w:r>
      <w:r w:rsidR="00705432">
        <w:t xml:space="preserve">perceived </w:t>
      </w:r>
      <w:r>
        <w:t xml:space="preserve">existence, severity and human-driven nature of climate change. </w:t>
      </w:r>
      <w:r w:rsidR="00705432">
        <w:t xml:space="preserve">Many have </w:t>
      </w:r>
      <w:r>
        <w:t xml:space="preserve">reasoned that if the public </w:t>
      </w:r>
      <w:r w:rsidR="0081672C">
        <w:t xml:space="preserve">remains </w:t>
      </w:r>
      <w:r w:rsidR="00705432">
        <w:t xml:space="preserve">in doubt regarding the causes and impacts of climate change, </w:t>
      </w:r>
      <w:r w:rsidR="003E4DAF">
        <w:t>then</w:t>
      </w:r>
      <w:r w:rsidR="0042363F">
        <w:t xml:space="preserve"> legislators will </w:t>
      </w:r>
      <w:r w:rsidR="0081672C">
        <w:t>be</w:t>
      </w:r>
      <w:r w:rsidR="0042363F">
        <w:t xml:space="preserve"> unwilling to </w:t>
      </w:r>
      <w:r w:rsidR="00705432">
        <w:t>push for climate policy adoption</w:t>
      </w:r>
      <w:r w:rsidR="000E7F39">
        <w:t xml:space="preserve"> </w:t>
      </w:r>
      <w:r w:rsidR="000E7F39">
        <w:fldChar w:fldCharType="begin" w:fldLock="1"/>
      </w:r>
      <w:r w:rsidR="00B15CC3">
        <w:instrText>ADDIN CSL_CITATION {"citationItems":[{"id":"ITEM-1","itemData":{"DOI":"10.1038/nclimate2728","ISBN":"1758-678X","ISSN":"17586798","PMID":"15244664","abstract":"Climate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Change","id":"ITEM-1","issue":"11","issued":{"date-parts":[["2015"]]},"page":"1014-1020","title":"Predictors of public climate change awareness and risk perception around the world","type":"article-journal","volume":"5"},"uris":["http://www.mendeley.com/documents/?uuid=6827d493-0056-4c64-a396-f933490098f2"]},{"id":"ITEM-2","itemData":{"DOI":"10.1080/14693062.2015.1058240","ISSN":"17527457","abstract":"The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w:instrText>
      </w:r>
      <w:r w:rsidR="00B15CC3" w:rsidRPr="008F3B76">
        <w:instrText>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Policy","id":"ITEM-2","issue":"7","issued":{"date-parts":[["2016"]]},"page":"855-876","title":"What explains public support for climate policies? A review of empirical and experimental studies","type":"article-journal","volume":"16"},"uris":["http://www.mendeley.com/documents/?uuid=37f9e0b4-ba89-4d64-a58c-149a3e4e6091"]}],"mendeley":{"formattedCitation":"(Drews &amp; van den Bergh, 2016; Lee, Markowitz, Howe, Ko, &amp; Leiserowitz, 2015)","plainTextFormattedCitation":"(Drews &amp; van den Bergh, 2016; Lee, Markowitz, Howe, Ko, &amp; Leiserowitz, 2015)","previouslyFormattedCitation":"(Drews &amp; van den Bergh, 2016; Lee, Markowitz, Howe, Ko, &amp; Leiserowitz, 2015)"},"properties":{"noteIndex":0},"schema":"https://github.com/citation-style-language/schema/raw/master/csl-citation.json"}</w:instrText>
      </w:r>
      <w:r w:rsidR="000E7F39">
        <w:fldChar w:fldCharType="separate"/>
      </w:r>
      <w:r w:rsidR="000E7F39" w:rsidRPr="008F3B76">
        <w:rPr>
          <w:noProof/>
        </w:rPr>
        <w:t>(Drews &amp; van den Bergh, 2016; Lee, Markowitz, Howe, Ko, &amp; Leiserowitz, 2015)</w:t>
      </w:r>
      <w:r w:rsidR="000E7F39">
        <w:fldChar w:fldCharType="end"/>
      </w:r>
      <w:r w:rsidR="0042363F" w:rsidRPr="008F3B76">
        <w:t>.</w:t>
      </w:r>
      <w:r w:rsidR="00EA67E1" w:rsidRPr="008F3B76">
        <w:t xml:space="preserve"> </w:t>
      </w:r>
      <w:r w:rsidR="00EA67E1" w:rsidRPr="00EA67E1">
        <w:t xml:space="preserve">Indeed, </w:t>
      </w:r>
      <w:r w:rsidR="001271A5">
        <w:t xml:space="preserve">public </w:t>
      </w:r>
      <w:r w:rsidR="00F55526">
        <w:t>belief in climate change to a large extent explain</w:t>
      </w:r>
      <w:r w:rsidR="003A16B2">
        <w:t>s</w:t>
      </w:r>
      <w:r w:rsidR="00F55526">
        <w:t xml:space="preserve"> willingness-to-pay for climate policies in a US survey </w:t>
      </w:r>
      <w:r w:rsidR="00F55526">
        <w:fldChar w:fldCharType="begin" w:fldLock="1"/>
      </w:r>
      <w:r w:rsidR="001271A5">
        <w:instrText>ADDIN CSL_CITATION {"citationItems":[{"id":"ITEM-1","itemData":{"DOI":"10.1016/j.enpol.2012.12.058","ISBN":"0301-4215","ISSN":"03014215","PMID":"11446916","abstract":"This paper provides the first willingness-to-pay (WTP) estimates in support of a national climate-change policy that are comparable with the costs of actual legislative efforts in the U.S. Congress. Based on a survey of 2034 American adults, we find that households are, on average, willing to pay between $79 and $89 per year in support of reducing domestic greenhouse-gas (GHG) emissions 17% by 2020. Even very conservative estimates yield an average WTP at or above $60 per year. Taking advantage of randomized treatments within the survey valuation question, we find that mean WTP does not vary substantially among the policy instruments of a cap-and-trade program, a carbon tax, or a GHG regulation. But there are differences in the sociodemographic characteristics of those willing to pay across policy instruments. Greater education always increases WTP. Older individuals have a lower WTP for a carbon tax and a GHG regulation, while greater household income increases WTP for these same two policy instruments. Republicans, along with those indicating no political party affiliation, have a significantly lower WTP regardless of the policy instrument. But many of these differences are no longer evident after controlling for respondent opinions about whether global warming is actually happening. © 2012 Elsevier Ltd.","author":[{"dropping-particle":"","family":"Kotchen","given":"Matthew J.","non-dropping-particle":"","parse-names":false,"suffix":""},{"dropping-particle":"","family":"Boyle","given":"Kevin J.","non-dropping-particle":"","parse-names":false,"suffix":""},{"dropping-particle":"","family":"Leiserowitz","given":"Anthony A.","non-dropping-particle":"","parse-names":false,"suffix":""}],"container-title":"Energy Policy","id":"ITEM-1","issued":{"date-parts":[["2013"]]},"page":"617-625","publisher":"Elsevier","title":"Willingness-to-pay and policy-instrument choice for climate-change policy in the United States","type":"article-journal","volume":"55"},"uris":["http://www.mendeley.com/documents/?uuid=80f80605-bb25-4413-a94a-47c39b56b9b3"]}],"mendeley":{"formattedCitation":"(Kotchen, Boyle, &amp; Leiserowitz, 2013)","plainTextFormattedCitation":"(Kotchen, Boyle, &amp; Leiserowitz, 2013)","previouslyFormattedCitation":"(Kotchen, Boyle, &amp; Leiserowitz, 2013)"},"properties":{"noteIndex":0},"schema":"https://github.com/citation-style-language/schema/raw/master/csl-citation.json"}</w:instrText>
      </w:r>
      <w:r w:rsidR="00F55526">
        <w:fldChar w:fldCharType="separate"/>
      </w:r>
      <w:r w:rsidR="00F55526" w:rsidRPr="00F55526">
        <w:rPr>
          <w:noProof/>
        </w:rPr>
        <w:t>(Kotchen, Boyle, &amp; Leiserowitz, 2013)</w:t>
      </w:r>
      <w:r w:rsidR="00F55526">
        <w:fldChar w:fldCharType="end"/>
      </w:r>
      <w:r w:rsidR="0032147A">
        <w:t>.</w:t>
      </w:r>
    </w:p>
    <w:p w14:paraId="7736DC14" w14:textId="6C7BF63E" w:rsidR="008A788C" w:rsidRDefault="000E7F39" w:rsidP="00EA67E1">
      <w:pPr>
        <w:spacing w:line="360" w:lineRule="auto"/>
      </w:pPr>
      <w:r>
        <w:t xml:space="preserve">There is an </w:t>
      </w:r>
      <w:r w:rsidR="0015622A">
        <w:t>extensive literature examining the underlying d</w:t>
      </w:r>
      <w:r w:rsidR="00C44294">
        <w:t xml:space="preserve">rivers of climate change </w:t>
      </w:r>
      <w:r w:rsidR="007847EA">
        <w:t>perceptions</w:t>
      </w:r>
      <w:r>
        <w:t xml:space="preserve">. </w:t>
      </w:r>
      <w:r w:rsidR="005C7CA4">
        <w:t>Much attention is paid to left</w:t>
      </w:r>
      <w:r w:rsidR="00FB64D7">
        <w:t>-</w:t>
      </w:r>
      <w:r w:rsidR="005C7CA4">
        <w:t xml:space="preserve"> versus right-leaning political orientations, which appear to correlate with positive and negative attitudes, respectively, on climate change belief, concern and </w:t>
      </w:r>
      <w:r w:rsidR="00EA67E1">
        <w:t xml:space="preserve">preference for policies </w:t>
      </w:r>
      <w:r w:rsidR="005C7CA4">
        <w:fldChar w:fldCharType="begin" w:fldLock="1"/>
      </w:r>
      <w:r w:rsidR="000C6212">
        <w:instrText>ADDIN CSL_CITATION {"citationItems":[{"id":"ITEM-1","itemData":{"DOI":"10.1080/14693062.2015.1058240","ISSN":"17527457","abstract":"The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Policy","id":"ITEM-1","issue":"7","issued":{"date-parts":[["2016"]]},"page":"855-876","title":"What explains public support for climate policies? A review of empirical and experimental studies","type":"article-journal","volume":"16"},"uris":["http://www.mendeley.com/documents/?uuid=37f9e0b4-ba89-4d64-a58c-149a3e4e6091"]},{"id":"ITEM-2","itemData":{"DOI":"10.1016/j.eneco.2017.01.022","ISBN":"4964212823","ISSN":"01409883","abstract":"Based on unique data from representative computer-based surveys among more than 3400 citizens, this paper empirically examines the determinants of several climate change beliefs and attitudes in three countries which are key players in international climate policy, namely the USA, Germany (as the largest country in the European Union), and China. Our econometric analysis implies that political orientation in the USA is by far more relevant for general climate change beliefs and beliefs in anthropogenic climate change than in Germany and China. Furthermore, US and German citizens with a conservative, but not green identification significantly less often support publicly financed climate policy, while US and German respondents with a social–green identification and Chinese respondents belonging to the Communist Party have a significantly higher willingness to pay a price premium for climate-friendly products. However, our econometric analysis overall reveals that environmental values, which are measured by a New Ecological Paradigm (NEP) scale, are the major factors for climate change beliefs and attitudes in all three countries and thus play an even more dominant role than political orientation. In addition, environmental values weaken the differences in several climate change beliefs and attitudes between a right-wing and a left-wing identification. These interaction effects between political orientation and the NEP scale are especially strong in the USA, only relevant for the support of publicly financed climate policy in Germany, and negligible in China. Our estimation results suggest alternative strategies such as specific communication campaigns in order to reduce the climate change skepticism in conservative and right-wing circles in the USA and to increase the support of climate policies among such population groups.","author":[{"dropping-particle":"","family":"Ziegler","given":"Andreas","non-dropping-particle":"","parse-names":false,"suffix":""}],"container-title":"Energy Economics","id":"ITEM-2","issued":{"date-parts":[["2017"]]},"page":"144-153","publisher":"Elsevier B.V.","title":"Political orientation, environmental values, and climate change beliefs and attitudes: An empirical cross country analysis","type":"article-journal","volume":"63"},"uris":["http://www.mendeley.com/documents/?uuid=177eaac4-21d3-4002-b46b-fe5770339a0c"]}],"mendeley":{"formattedCitation":"(Drews &amp; van den Bergh, 2016; Ziegler, 2017)","plainTextFormattedCitation":"(Drews &amp; van den Bergh, 2016; Ziegler, 2017)","previouslyFormattedCitation":"(Drews &amp; van den Bergh, 2016; Ziegler, 2017)"},"properties":{"noteIndex":0},"schema":"https://github.com/citation-style-language/schema/raw/master/csl-citation.json"}</w:instrText>
      </w:r>
      <w:r w:rsidR="005C7CA4">
        <w:fldChar w:fldCharType="separate"/>
      </w:r>
      <w:r w:rsidR="00EA67E1" w:rsidRPr="00EA67E1">
        <w:rPr>
          <w:noProof/>
        </w:rPr>
        <w:t>(Drews &amp; van den Bergh, 2016; Ziegler, 2017)</w:t>
      </w:r>
      <w:r w:rsidR="005C7CA4">
        <w:fldChar w:fldCharType="end"/>
      </w:r>
      <w:r w:rsidR="005C7CA4">
        <w:t xml:space="preserve">. </w:t>
      </w:r>
      <w:r w:rsidR="00EA67E1">
        <w:t>The negative impact of right-leaning</w:t>
      </w:r>
      <w:r w:rsidR="00FB64D7">
        <w:t xml:space="preserve"> p</w:t>
      </w:r>
      <w:r w:rsidR="005C7CA4">
        <w:t>olitical orientation</w:t>
      </w:r>
      <w:r w:rsidR="00FB64D7">
        <w:t>s</w:t>
      </w:r>
      <w:r w:rsidR="005C7CA4">
        <w:t xml:space="preserve"> </w:t>
      </w:r>
      <w:r w:rsidR="003A16B2">
        <w:t xml:space="preserve">can be weakened </w:t>
      </w:r>
      <w:r w:rsidR="007847EA">
        <w:t xml:space="preserve">if individuals endorse a </w:t>
      </w:r>
      <w:r w:rsidR="005C7CA4">
        <w:t xml:space="preserve">deeper set of values with respect to </w:t>
      </w:r>
      <w:r w:rsidR="000551A8">
        <w:t xml:space="preserve">nature </w:t>
      </w:r>
      <w:r w:rsidR="00FB64D7">
        <w:fldChar w:fldCharType="begin" w:fldLock="1"/>
      </w:r>
      <w:r w:rsidR="002E435B">
        <w:instrText>ADDIN CSL_CITATION {"citationItems":[{"id":"ITEM-1","itemData":{"DOI":"10.1016/j.eneco.2017.01.022","ISBN":"4964212823","ISSN":"01409883","abstract":"Based on unique data from representative computer-based surveys among more than 3400 citizens, this paper empirically examines the determinants of several climate change beliefs and attitudes in three countries which are key players in international climate policy, namely the USA, Germany (as the largest country in the European Union), and China. Our econometric analysis implies that political orientation in the USA is by far more relevant for general climate change beliefs and beliefs in anthropogenic climate change than in Germany and China. Furthermore, US and German citizens with a conservative, but not green identification significantly less often support publicly financed climate policy, while US and German respondents with a social–green identification and Chinese respondents belonging to the Communist Party have a significantly higher willingness to pay a price premium for climate-friendly products. However, our econometric analysis overall reveals that environmental values, which are measured by a New Ecological Paradigm (NEP) scale, are the major factors for climate change beliefs and attitudes in all three countries and thus play an even more dominant role than political orientation. In addition, environmental values weaken the differences in several climate change beliefs and attitudes between a right-wing and a left-wing identification. These interaction effects between political orientation and the NEP scale are especially strong in the USA, only relevant for the support of publicly financed climate policy in Germany, and negligible in China. Our estimation results suggest alternative strategies such as specific communication campaigns in order to reduce the climate change skepticism in conservative and right-wing circles in the USA and to increase the support of climate policies among such population groups.","author":[{"dropping-particle":"","family":"Ziegler","given":"Andreas","non-dropping-particle":"","parse-names":false,"suffix":""}],"container-title":"Energy Economics","id":"ITEM-1","issued":{"date-parts":[["2017"]]},"page":"144-153","publisher":"Elsevier B.V.","title":"Political orientation, environmental values, and climate change beliefs and attitudes: An empirical cross country analysis","type":"article-journal","volume":"63"},"uris":["http://www.mendeley.com/documents/?uuid=177eaac4-21d3-4002-b46b-fe5770339a0c"]},{"id":"ITEM-2","itemData":{"DOI":"10.1080/14693062.2015.1058240","ISSN":"17527457","abstract":"The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Policy","id":"ITEM-2","issue":"7","issued":{"date-parts":[["2016"]]},"page":"855-876","title":"What explains public support for climate policies? A review of empirical and experimental studies","type":"article-journal","volume":"16"},"uris":["http://www.mendeley.com/documents/?uuid=37f9e0b4-ba89-4d64-a58c-149a3e4e6091"]}],"mendeley":{"formattedCitation":"(Drews &amp; van den Bergh, 2016; Ziegler, 2017)","plainTextFormattedCitation":"(Drews &amp; van den Bergh, 2016; Ziegler, 2017)","previouslyFormattedCitation":"(Drews &amp; van den Bergh, 2016; Ziegler, 2017)"},"properties":{"noteIndex":0},"schema":"https://github.com/citation-style-language/schema/raw/master/csl-citation.json"}</w:instrText>
      </w:r>
      <w:r w:rsidR="00FB64D7">
        <w:fldChar w:fldCharType="separate"/>
      </w:r>
      <w:r w:rsidR="00FB64D7" w:rsidRPr="00FB64D7">
        <w:rPr>
          <w:noProof/>
        </w:rPr>
        <w:t>(Drews &amp; van den Bergh, 2016; Ziegler, 2017)</w:t>
      </w:r>
      <w:r w:rsidR="00FB64D7">
        <w:fldChar w:fldCharType="end"/>
      </w:r>
      <w:r w:rsidR="00CA4259">
        <w:t xml:space="preserve">. However, the phenomenon of conservative climate scepticism </w:t>
      </w:r>
      <w:r w:rsidR="00EA67E1">
        <w:t xml:space="preserve">may be relatively </w:t>
      </w:r>
      <w:r w:rsidR="00FB64D7">
        <w:t>unique to Anglo-</w:t>
      </w:r>
      <w:r w:rsidR="00CA4259">
        <w:t xml:space="preserve">Saxon countries </w:t>
      </w:r>
      <w:r w:rsidR="00EA7B0B">
        <w:t>(US, UK, Canada and Australia)</w:t>
      </w:r>
      <w:r w:rsidR="00CA4259">
        <w:t xml:space="preserve">, which are (not coincidentally) </w:t>
      </w:r>
      <w:r w:rsidR="00250B1C">
        <w:t xml:space="preserve">highly </w:t>
      </w:r>
      <w:r w:rsidR="00EA67E1">
        <w:t xml:space="preserve">exposed to organised </w:t>
      </w:r>
      <w:r w:rsidR="00FB64D7">
        <w:t xml:space="preserve">networks of climate scepticism and misinformation </w:t>
      </w:r>
      <w:r w:rsidR="00FB64D7">
        <w:fldChar w:fldCharType="begin" w:fldLock="1"/>
      </w:r>
      <w:r w:rsidR="000551A8">
        <w:instrText>ADDIN CSL_CITATION {"citationItems":[{"id":"ITEM-1","itemData":{"author":[{"dropping-particle":"","family":"Painter","given":"James","non-dropping-particle":"","parse-names":false,"suffix":""}],"id":"ITEM-1","issued":{"date-parts":[["2011"]]},"publisher":"Reuters Institute for the Study of Journalism","publisher-place":"Oxford","title":"Poles Apart: the international reporting of climate scepticism","type":"book"},"uris":["http://www.mendeley.com/documents/?uuid=83593022-da54-4e5e-88c3-85980d2d1ce5"]},{"id":"ITEM-2","itemData":{"DOI":"10.1080/09644016.2018.1512261","ISSN":"17438934","abstract":"Our understanding of the determinants of public concern about climate change relies heavily on survey research in the United States. But can those findings be generalized to the rest of the world? Analysis of the Pew Research Center’s 2015 Global Attitudes Survey shows fairly similar patterns in the English-speaking Western democracies and, to a lesser extent, western Europe, but party identification and political ideology matter much less in most of the globe, and demographic factors have very different impacts. Female, younger, and less religious people tend to worry more about climate change in English-speaking Western democracies. In most of the world, however, concern is only weakly correlated with gender, rises with age and religiosity, and is more strongly correlated with education. A new measure of commitment to democratic values proved to be the most consistent predictor of concern globally.","author":[{"dropping-particle":"","family":"Lewis","given":"Gregory B.","non-dropping-particle":"","parse-names":false,"suffix":""},{"dropping-particle":"","family":"Palm","given":"Risa","non-dropping-particle":"","parse-names":false,"suffix":""},{"dropping-particle":"","family":"Feng","given":"Bo","non-dropping-particle":"","parse-names":false,"suffix":""}],"container-title":"Environmental Politics","id":"ITEM-2","issued":{"date-parts":[["2018"]]},"publisher":"Routledge","title":"Cross-national variation in determinants of climate change concern","type":"article-journal"},"uris":["http://www.mendeley.com/documents/?uuid=8e5cd944-f0ea-4636-b45d-c8b10111b18e"]},{"id":"ITEM-3","itemData":{"DOI":"10.1038/nclimate2875","ISBN":"1758-6798","ISSN":"17586798","abstract":"An application of network science reveals the institutional and corporate structure of the climate change counter-movement in the United States, while computational text analysis shows its influence in the news media and within political circles.","author":[{"dropping-particle":"","family":"Farrell","given":"Justin","non-dropping-particle":"","parse-names":false,"suffix":""}],"container-title":"Nature Climate Change","id":"ITEM-3","issue":"4","issued":{"date-parts":[["2016"]]},"page":"370-374","title":"Network structure and influence of the climate change counter-movement","type":"article-journal","volume":"6"},"uris":["http://www.mendeley.com/documents/?uuid=a8d9da26-8cb8-45b4-a6f8-0f36a8f9c423"]},{"id":"ITEM-4","itemData":{"DOI":"10.1038/s41558-018-0368-6","ISSN":"17586798","abstract":"Nowhere has the impact of scientific misinformation been more profound than on the issue of climate change in the United States. Effective responses to this multifaceted problem have been slow to develop, in large part because many experts have not only underestimated its impact, but have also overlooked the underlying institutional structure, organizational power and financial roots of misinformation. Fortunately, a growing body of sophisticated research has emerged that can help us to better understand these dynamics and provide the basis for developing a coordinated set of strategies across four related areas (public inoculation, legal strategies, political mechanisms and financial transparency) to thwart large-scale misinformation campaigns before they begin, or after they have taken root.","author":[{"dropping-particle":"","family":"Farrell","given":"Justin","non-dropping-particle":"","parse-names":false,"suffix":""},{"dropping-particle":"","family":"McConnell","given":"Kathryn","non-dropping-particle":"","parse-names":false,"suffix":""},{"dropping-particle":"","family":"Brulle","given":"Robert","non-dropping-particle":"","parse-names":false,"suffix":""}],"container-title":"Nature Climate Change","id":"ITEM-4","issue":"March","issued":{"date-parts":[["2019"]]},"page":"191-195","publisher":"Springer US","title":"Evidence-based strategies to combat scientific misinformation","type":"article-journal","volume":"9"},"uris":["http://www.mendeley.com/documents/?uuid=66be44a3-b53b-4084-bad4-ee36b15e2a6c"]}],"mendeley":{"formattedCitation":"(Farrell, 2016; Farrell, McConnell, &amp; Brulle, 2019; Lewis, Palm, &amp; Feng, 2018; Painter, 2011)","plainTextFormattedCitation":"(Farrell, 2016; Farrell, McConnell, &amp; Brulle, 2019; Lewis, Palm, &amp; Feng, 2018; Painter, 2011)","previouslyFormattedCitation":"(Farrell, 2016; Farrell, McConnell, &amp; Brulle, 2019; Lewis, Palm, &amp; Feng, 2018; Painter, 2011)"},"properties":{"noteIndex":0},"schema":"https://github.com/citation-style-language/schema/raw/master/csl-citation.json"}</w:instrText>
      </w:r>
      <w:r w:rsidR="00FB64D7">
        <w:fldChar w:fldCharType="separate"/>
      </w:r>
      <w:r w:rsidR="000551A8" w:rsidRPr="000551A8">
        <w:rPr>
          <w:noProof/>
        </w:rPr>
        <w:t xml:space="preserve">(Farrell, 2016; Farrell, McConnell, &amp; Brulle, 2019; Lewis, Palm, &amp; Feng, 2018; Painter, </w:t>
      </w:r>
      <w:r w:rsidR="000551A8" w:rsidRPr="000551A8">
        <w:rPr>
          <w:noProof/>
        </w:rPr>
        <w:lastRenderedPageBreak/>
        <w:t>2011)</w:t>
      </w:r>
      <w:r w:rsidR="00FB64D7">
        <w:fldChar w:fldCharType="end"/>
      </w:r>
      <w:r w:rsidR="00CA4259">
        <w:t>. Again, this underlines</w:t>
      </w:r>
      <w:r w:rsidR="00EA67E1">
        <w:t xml:space="preserve"> </w:t>
      </w:r>
      <w:r w:rsidR="003B4E8D">
        <w:t xml:space="preserve">the </w:t>
      </w:r>
      <w:r w:rsidR="00FF32DF">
        <w:t xml:space="preserve">manifold channels by which interests </w:t>
      </w:r>
      <w:r w:rsidR="00EA67E1">
        <w:t xml:space="preserve">can </w:t>
      </w:r>
      <w:r w:rsidR="00FD49B5">
        <w:t xml:space="preserve">intentionally </w:t>
      </w:r>
      <w:r w:rsidR="00FF32DF">
        <w:t xml:space="preserve">hinder climate policy </w:t>
      </w:r>
      <w:r w:rsidR="00FD49B5">
        <w:fldChar w:fldCharType="begin" w:fldLock="1"/>
      </w:r>
      <w:r w:rsidR="007847EA">
        <w:instrText>ADDIN CSL_CITATION {"citationItems":[{"id":"ITEM-1","itemData":{"DOI":"10.1038/465686a","ISBN":"0028-0836","ISSN":"00280836","PMID":"20535183","abstract":"As climate scientists battle climate sceptics, they should note that we have been here before, say Naomi Oreskes and Erik M. Conway. History holds lessons for how researchers can get their message across.","author":[{"dropping-particle":"","family":"Oreskes","given":"Naomi","non-dropping-particle":"","parse-names":false,"suffix":""},{"dropping-particle":"","family":"Conway","given":"Erik M.","non-dropping-particle":"","parse-names":false,"suffix":""}],"container-title":"Nature","id":"ITEM-1","issue":"7299","issued":{"date-parts":[["2010"]]},"page":"686-687","title":"Defeating the merchants of doubt","type":"article-journal","volume":"465"},"uris":["http://www.mendeley.com/documents/?uuid=f075c883-f579-492f-9505-201e4a6f6593"]}],"mendeley":{"formattedCitation":"(Oreskes &amp; Conway, 2010)","plainTextFormattedCitation":"(Oreskes &amp; Conway, 2010)","previouslyFormattedCitation":"(Oreskes &amp; Conway, 2010)"},"properties":{"noteIndex":0},"schema":"https://github.com/citation-style-language/schema/raw/master/csl-citation.json"}</w:instrText>
      </w:r>
      <w:r w:rsidR="00FD49B5">
        <w:fldChar w:fldCharType="separate"/>
      </w:r>
      <w:r w:rsidR="00FD49B5" w:rsidRPr="00FD49B5">
        <w:rPr>
          <w:noProof/>
        </w:rPr>
        <w:t>(Oreskes &amp; Conway, 2010)</w:t>
      </w:r>
      <w:r w:rsidR="00FD49B5">
        <w:fldChar w:fldCharType="end"/>
      </w:r>
      <w:r w:rsidR="00FF32DF">
        <w:t>.</w:t>
      </w:r>
    </w:p>
    <w:p w14:paraId="391AB4D9" w14:textId="347FBC33" w:rsidR="000551A8" w:rsidRDefault="007847EA" w:rsidP="00E77203">
      <w:pPr>
        <w:spacing w:line="360" w:lineRule="auto"/>
      </w:pPr>
      <w:r>
        <w:t>In cross-national studies, education emerges as the most significant predictor of climate change awareness and risk perception</w:t>
      </w:r>
      <w:r w:rsidR="00EA67E1">
        <w:t xml:space="preserve"> (rather than belief)</w:t>
      </w:r>
      <w:r>
        <w:t xml:space="preserve"> </w:t>
      </w:r>
      <w:r>
        <w:fldChar w:fldCharType="begin" w:fldLock="1"/>
      </w:r>
      <w:r w:rsidR="00F5337B">
        <w:instrText>ADDIN CSL_CITATION {"citationItems":[{"id":"ITEM-1","itemData":{"DOI":"10.1038/nclimate2728","ISBN":"1758-678X","ISSN":"17586798","PMID":"15244664","abstract":"Climate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Change","id":"ITEM-1","issue":"11","issued":{"date-parts":[["2015"]]},"page":"1014-1020","title":"Predictors of public climate change awareness and risk perception around the world","type":"article-journal","volume":"5"},"uris":["http://www.mendeley.com/documents/?uuid=6827d493-0056-4c64-a396-f933490098f2"]},{"id":"ITEM-2","itemData":{"DOI":"10.1080/09644016.2018.1512261","ISSN":"17438934","abstract":"Our understanding of the determinants of public concern about climate change relies heavily on survey research in the United States. But can those findings be generalized to the rest of the world? Analysis of the Pew Research Center’s 2015 Global Attitudes Survey shows fairly similar patterns in the English-speaking Western democracies and, to a lesser extent, western Europe, but party identification and political ideology matter much less in most of the globe, and demographic factors have very different impacts. Female, younger, and less religious people tend to worry more about climate change in English-speaking Western democracies. In most of the world, however, concern is only weakly correlated with gender, rises with age and religiosity, and is more strongly correlated with education. A new measure of commitment to democratic values proved to be the most consistent predictor of concern globally.","author":[{"dropping-particle":"","family":"Lewis","given":"Gregory B.","non-dropping-particle":"","parse-names":false,"suffix":""},{"dropping-particle":"","family":"Palm","given":"Risa","non-dropping-particle":"","parse-names":false,"suffix":""},{"dropping-particle":"","family":"Feng","given":"Bo","non-dropping-particle":"","parse-names":false,"suffix":""}],"container-title":"Environmental Politics","id":"ITEM-2","issued":{"date-parts":[["2018"]]},"publisher":"Routledge","title":"Cross-national variation in determinants of climate change concern","type":"article-journal"},"uris":["http://www.mendeley.com/documents/?uuid=8e5cd944-f0ea-4636-b45d-c8b10111b18e"]}],"mendeley":{"formattedCitation":"(Lee et al., 2015; Lewis et al., 2018)","plainTextFormattedCitation":"(Lee et al., 2015; Lewis et al., 2018)","previouslyFormattedCitation":"(Lee et al., 2015; Lewis et al., 2018)"},"properties":{"noteIndex":0},"schema":"https://github.com/citation-style-language/schema/raw/master/csl-citation.json"}</w:instrText>
      </w:r>
      <w:r>
        <w:fldChar w:fldCharType="separate"/>
      </w:r>
      <w:r w:rsidR="00651382" w:rsidRPr="00651382">
        <w:rPr>
          <w:noProof/>
        </w:rPr>
        <w:t>(Lee et al., 2015; Lewis et al., 2018)</w:t>
      </w:r>
      <w:r>
        <w:fldChar w:fldCharType="end"/>
      </w:r>
      <w:r w:rsidR="00F040B4">
        <w:t xml:space="preserve">, followed by media freedom </w:t>
      </w:r>
      <w:r w:rsidR="00F040B4">
        <w:fldChar w:fldCharType="begin" w:fldLock="1"/>
      </w:r>
      <w:r w:rsidR="00E85272">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rsidR="00F040B4">
        <w:fldChar w:fldCharType="separate"/>
      </w:r>
      <w:r w:rsidR="00F040B4" w:rsidRPr="00F040B4">
        <w:rPr>
          <w:noProof/>
        </w:rPr>
        <w:t>(Steves &amp; Teytelboym, 2013)</w:t>
      </w:r>
      <w:r w:rsidR="00F040B4">
        <w:fldChar w:fldCharType="end"/>
      </w:r>
      <w:r w:rsidR="00F040B4">
        <w:t>.</w:t>
      </w:r>
      <w:r>
        <w:t xml:space="preserve"> </w:t>
      </w:r>
      <w:r w:rsidR="00235CEA">
        <w:t>Accordingly</w:t>
      </w:r>
      <w:r>
        <w:t xml:space="preserve">, countries with </w:t>
      </w:r>
      <w:r w:rsidR="005C055F">
        <w:t xml:space="preserve">poor education provisioning </w:t>
      </w:r>
      <w:r w:rsidR="00F040B4">
        <w:t xml:space="preserve">and media landscapes that fail to prioritise climate reporting </w:t>
      </w:r>
      <w:r>
        <w:t xml:space="preserve">can have majority populations that are simply unaware of climate change, as is the case in India, Bangladesh, Egypt and Nigeria </w:t>
      </w:r>
      <w:r>
        <w:fldChar w:fldCharType="begin" w:fldLock="1"/>
      </w:r>
      <w:r w:rsidR="00651382">
        <w:instrText>ADDIN CSL_CITATION {"citationItems":[{"id":"ITEM-1","itemData":{"DOI":"10.1038/nclimate2728","ISBN":"1758-678X","ISSN":"17586798","PMID":"15244664","abstract":"Climate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Change","id":"ITEM-1","issue":"11","issued":{"date-parts":[["2015"]]},"page":"1014-1020","title":"Predictors of public climate change awareness and risk perception around the world","type":"article-journal","volume":"5"},"uris":["http://www.mendeley.com/documents/?uuid=6827d493-0056-4c64-a396-f933490098f2"]}],"mendeley":{"formattedCitation":"(Lee et al., 2015)","plainTextFormattedCitation":"(Lee et al., 2015)","previouslyFormattedCitation":"(Lee et al., 2015)"},"properties":{"noteIndex":0},"schema":"https://github.com/citation-style-language/schema/raw/master/csl-citation.json"}</w:instrText>
      </w:r>
      <w:r>
        <w:fldChar w:fldCharType="separate"/>
      </w:r>
      <w:r w:rsidRPr="007847EA">
        <w:rPr>
          <w:noProof/>
        </w:rPr>
        <w:t>(Lee et al., 2015)</w:t>
      </w:r>
      <w:r>
        <w:fldChar w:fldCharType="end"/>
      </w:r>
      <w:r>
        <w:t>.</w:t>
      </w:r>
      <w:r w:rsidR="000551A8">
        <w:t xml:space="preserve"> </w:t>
      </w:r>
      <w:r w:rsidR="006372D2">
        <w:t xml:space="preserve">Climate change awareness is in turn a </w:t>
      </w:r>
      <w:r w:rsidR="000551A8">
        <w:t xml:space="preserve">significant determinant in cross-national regressions of weighted carbon prices </w:t>
      </w:r>
      <w:r w:rsidR="000551A8">
        <w:fldChar w:fldCharType="begin" w:fldLock="1"/>
      </w:r>
      <w:r w:rsidR="000551A8">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sidR="000551A8">
        <w:fldChar w:fldCharType="separate"/>
      </w:r>
      <w:r w:rsidR="000551A8" w:rsidRPr="001271A5">
        <w:rPr>
          <w:noProof/>
        </w:rPr>
        <w:t>(Levi et al., 2019)</w:t>
      </w:r>
      <w:r w:rsidR="000551A8">
        <w:fldChar w:fldCharType="end"/>
      </w:r>
      <w:r w:rsidR="000551A8">
        <w:t xml:space="preserve"> and climate legislation adoption </w:t>
      </w:r>
      <w:r w:rsidR="000551A8">
        <w:fldChar w:fldCharType="begin" w:fldLock="1"/>
      </w:r>
      <w:r w:rsidR="000551A8">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rsidR="000551A8">
        <w:fldChar w:fldCharType="separate"/>
      </w:r>
      <w:r w:rsidR="000551A8" w:rsidRPr="0032147A">
        <w:rPr>
          <w:noProof/>
        </w:rPr>
        <w:t>(Steves &amp; Teytelboym, 2013)</w:t>
      </w:r>
      <w:r w:rsidR="000551A8">
        <w:fldChar w:fldCharType="end"/>
      </w:r>
      <w:r w:rsidR="00F040B4">
        <w:t xml:space="preserve">. </w:t>
      </w:r>
      <w:r w:rsidR="00CD6957">
        <w:t xml:space="preserve">Of course, here there is a particularly strong case for reverse causality, insofar as </w:t>
      </w:r>
      <w:r w:rsidR="00EA13A7">
        <w:t xml:space="preserve">climate </w:t>
      </w:r>
      <w:r w:rsidR="00CD6957">
        <w:t>policy formulation is likely to increase public awareness of the problem.</w:t>
      </w:r>
      <w:commentRangeStart w:id="7"/>
      <w:r w:rsidR="00EA7B0B">
        <w:t xml:space="preserve"> </w:t>
      </w:r>
      <w:r w:rsidR="005C055F" w:rsidRPr="005C055F">
        <w:t xml:space="preserve">In short, public opinion on climate change (awareness, belief, risk perception) matters for policy making, and it can be bolstered by education and media, or weakened by propaganda. </w:t>
      </w:r>
      <w:commentRangeEnd w:id="7"/>
      <w:r w:rsidR="005C055F" w:rsidRPr="005C055F">
        <w:rPr>
          <w:rStyle w:val="CommentReference"/>
        </w:rPr>
        <w:commentReference w:id="7"/>
      </w:r>
    </w:p>
    <w:p w14:paraId="63FD1853" w14:textId="24165F9B" w:rsidR="00FB5FF8" w:rsidRDefault="009A786A" w:rsidP="006812E8">
      <w:pPr>
        <w:spacing w:line="360" w:lineRule="auto"/>
      </w:pPr>
      <w:r>
        <w:t>T</w:t>
      </w:r>
      <w:r w:rsidR="006812E8">
        <w:t xml:space="preserve">rust </w:t>
      </w:r>
      <w:r>
        <w:t xml:space="preserve">is another key element of national </w:t>
      </w:r>
      <w:r w:rsidR="007C05F4">
        <w:t xml:space="preserve">ideational </w:t>
      </w:r>
      <w:r>
        <w:t>context that shapes climate policy support.</w:t>
      </w:r>
      <w:r w:rsidR="00B359B2">
        <w:t xml:space="preserve"> </w:t>
      </w:r>
      <w:r w:rsidR="00FB5FF8">
        <w:t>It</w:t>
      </w:r>
      <w:r w:rsidR="00B359B2">
        <w:t xml:space="preserve"> is the notion that other individuals</w:t>
      </w:r>
      <w:r w:rsidR="00FB5FF8">
        <w:t>, institutions, scientists, or politicians</w:t>
      </w:r>
      <w:r w:rsidR="00B359B2">
        <w:t xml:space="preserve"> share common social norms and act in a mutually beneficial way </w:t>
      </w:r>
      <w:r w:rsidR="00B359B2">
        <w:fldChar w:fldCharType="begin" w:fldLock="1"/>
      </w:r>
      <w:r w:rsidR="007C05F4">
        <w:instrText>ADDIN CSL_CITATION {"citationItems":[{"id":"ITEM-1","itemData":{"DOI":"10.1016/j.gloenvcha.2018.02.014","ISSN":"09593780","abstract":"Climate change presents a global problem that requires a collective, coordinated response to reduce the rate of greenhouse gases currently emitted. But, even in the face of these serious growing dangers, behavioral and policy responses have been rather muted. A growing literature has documented cross-national differences in climate change attitudes and related scholarship has analyzed general environmental concern across nations. Yet there are several holes in our knowledge. In this manuscript, we consider the role of trust, risk perceptions and investigate the possibility of a “social trap” (Rothstein, 2005) whereby a lack of trust blunts the effect of risk perceptions on public willingness to engage in behaviors or support policies to address climate change. Using between- and within- random effects models coupled with survey data from 35 countries, we find that, at the individual level, trust and risk perceptions are generally positively associated with ameliorative behavior and policy support. Results for a contextual effect of trust and risk perceptions are more mixed, and we find only slim support for an interactive relationship between trust and risk perceptions.","author":[{"dropping-particle":"","family":"Smith","given":"E. Keith","non-dropping-particle":"","parse-names":false,"suffix":""},{"dropping-particle":"","family":"Mayer","given":"Adam","non-dropping-particle":"","parse-names":false,"suffix":""}],"container-title":"Global Environmental Change","id":"ITEM-1","issue":"February","issued":{"date-parts":[["2018"]]},"page":"140-153","publisher":"Elsevier Ltd","title":"A social trap for the climate? Collective action, trust and climate change risk perception in 35 countries","type":"article-journal","volume":"49"},"uris":["http://www.mendeley.com/documents/?uuid=39584215-7e25-45e5-92fb-750c467f4d64"]},{"id":"ITEM-2","itemData":{"DOI":"10.1080/14693062.2015.1058240","ISSN":"17527457","abstract":"The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Policy","id":"ITEM-2","issue":"7","issued":{"date-parts":[["2016"]]},"page":"855-876","title":"What explains public support for climate policies? A review of empirical and experimental studies","type":"article-journal","volume":"16"},"uris":["http://www.mendeley.com/documents/?uuid=37f9e0b4-ba89-4d64-a58c-149a3e4e6091"]}],"mendeley":{"formattedCitation":"(Drews &amp; van den Bergh, 2016; Smith &amp; Mayer, 2018)","plainTextFormattedCitation":"(Drews &amp; van den Bergh, 2016; Smith &amp; Mayer, 2018)","previouslyFormattedCitation":"(Drews &amp; van den Bergh, 2016; Smith &amp; Mayer, 2018)"},"properties":{"noteIndex":0},"schema":"https://github.com/citation-style-language/schema/raw/master/csl-citation.json"}</w:instrText>
      </w:r>
      <w:r w:rsidR="00B359B2">
        <w:fldChar w:fldCharType="separate"/>
      </w:r>
      <w:r w:rsidR="007C05F4" w:rsidRPr="007C05F4">
        <w:rPr>
          <w:noProof/>
        </w:rPr>
        <w:t>(Drews &amp; van den Bergh, 2016; Smith &amp; Mayer, 2018)</w:t>
      </w:r>
      <w:r w:rsidR="00B359B2">
        <w:fldChar w:fldCharType="end"/>
      </w:r>
      <w:r w:rsidR="00B359B2">
        <w:t xml:space="preserve">. </w:t>
      </w:r>
      <w:r w:rsidR="00FB5FF8">
        <w:t xml:space="preserve">A lack of trust in institutions implies limited confidence that environmental policies will be effective </w:t>
      </w:r>
      <w:r w:rsidR="00FB5FF8">
        <w:fldChar w:fldCharType="begin" w:fldLock="1"/>
      </w:r>
      <w:r w:rsidR="00FB5FF8">
        <w:instrText>ADDIN CSL_CITATION {"citationItems":[{"id":"ITEM-1","itemData":{"DOI":"10.1016/j.envsci.2013.08.011","ISSN":"18736416","abstract":"The aim of this article is to explain cross-national differences in perceptions regarding the effectiveness of economic pro-environmental policy instruments (EIs). Using data for the European Union, it is found that people in the Nordic and the Benelux countries are more likely to perceive EIs as effective instruments while people in southern and eastern Europe are less inclined to do so. Two hypotheses are put forth to explain these differences. First, it is hypothesized that people are less likely to perceive EIs to be effective pro-environmental policy instruments in relatively corrupt countries. Corrupt public institutions waste economic resources and are less efficient. Furthermore, corrupt societies tend to have lower levels of trust, in general, and low compliance with public policy, which also affects the perceived effectiveness of EIs. The second hypothesis is that people are less likely to perceive EIs as an effective policy option in relatively unequal societies because some income groups will not be as affected by such instruments. Furthermore, EIs have been argued to have unfair distributional effects, and unfairness is argued to trigger free-riding tendencies, thus, making instruments ineffective. From a logistic multilevel regression analysis, the results show support for both hypotheses. In relatively more corrupt and economically unequal countries, EIs are considered less effective, possibly affecting the potential for EIs in certain contexts. © 2013 Elsevier Ltd.","author":[{"dropping-particle":"","family":"Harring","given":"Niklas","non-dropping-particle":"","parse-names":false,"suffix":""}],"container-title":"Environmental Science and Policy","id":"ITEM-1","issued":{"date-parts":[["2014"]]},"page":"119-128","publisher":"Elsevier Ltd","title":"Corruption, inequalities and the perceived effectiveness of economic pro-environmental policy instruments: A European cross-national study","type":"article-journal","volume":"39"},"uris":["http://www.mendeley.com/documents/?uuid=9a24fc7d-db33-4b41-8eb0-97ceed12121a"]}],"mendeley":{"formattedCitation":"(Harring, 2014)","plainTextFormattedCitation":"(Harring, 2014)","previouslyFormattedCitation":"(Harring, 2014)"},"properties":{"noteIndex":0},"schema":"https://github.com/citation-style-language/schema/raw/master/csl-citation.json"}</w:instrText>
      </w:r>
      <w:r w:rsidR="00FB5FF8">
        <w:fldChar w:fldCharType="separate"/>
      </w:r>
      <w:r w:rsidR="00FB5FF8" w:rsidRPr="00FB5FF8">
        <w:rPr>
          <w:noProof/>
        </w:rPr>
        <w:t>(Harring, 2014)</w:t>
      </w:r>
      <w:r w:rsidR="00FB5FF8">
        <w:fldChar w:fldCharType="end"/>
      </w:r>
      <w:r w:rsidR="00FB5FF8">
        <w:t xml:space="preserve">; while low social trust (e.g. in others generally) undermines collective action, since few will have the confidence that others are ‘doing their part’. </w:t>
      </w:r>
      <w:r w:rsidR="007C05F4">
        <w:t xml:space="preserve">In a small-n comparative study, Smith and Mayer </w:t>
      </w:r>
      <w:r w:rsidR="007C05F4">
        <w:fldChar w:fldCharType="begin" w:fldLock="1"/>
      </w:r>
      <w:r w:rsidR="002C36B0">
        <w:instrText>ADDIN CSL_CITATION {"citationItems":[{"id":"ITEM-1","itemData":{"DOI":"10.1016/j.gloenvcha.2018.02.014","ISSN":"09593780","abstract":"Climate change presents a global problem that requires a collective, coordinated response to reduce the rate of greenhouse gases currently emitted. But, even in the face of these serious growing dangers, behavioral and policy responses have been rather muted. A growing literature has documented cross-national differences in climate change attitudes and related scholarship has analyzed general environmental concern across nations. Yet there are several holes in our knowledge. In this manuscript, we consider the role of trust, risk perceptions and investigate the possibility of a “social trap” (Rothstein, 2005) whereby a lack of trust blunts the effect of risk perceptions on public willingness to engage in behaviors or support policies to address climate change. Using between- and within- random effects models coupled with survey data from 35 countries, we find that, at the individual level, trust and risk perceptions are generally positively associated with ameliorative behavior and policy support. Results for a contextual effect of trust and risk perceptions are more mixed, and we find only slim support for an interactive relationship between trust and risk perceptions.","author":[{"dropping-particle":"","family":"Smith","given":"E. Keith","non-dropping-particle":"","parse-names":false,"suffix":""},{"dropping-particle":"","family":"Mayer","given":"Adam","non-dropping-particle":"","parse-names":false,"suffix":""}],"container-title":"Global Environmental Change","id":"ITEM-1","issue":"February","issued":{"date-parts":[["2018"]]},"page":"140-153","publisher":"Elsevier Ltd","title":"A social trap for the climate? Collective action, trust and climate change risk perception in 35 countries","type":"article-journal","volume":"49"},"suppress-author":1,"uris":["http://www.mendeley.com/documents/?uuid=39584215-7e25-45e5-92fb-750c467f4d64"]}],"mendeley":{"formattedCitation":"(2018)","plainTextFormattedCitation":"(2018)","previouslyFormattedCitation":"(2018)"},"properties":{"noteIndex":0},"schema":"https://github.com/citation-style-language/schema/raw/master/csl-citation.json"}</w:instrText>
      </w:r>
      <w:r w:rsidR="007C05F4">
        <w:fldChar w:fldCharType="separate"/>
      </w:r>
      <w:r w:rsidR="007C05F4" w:rsidRPr="007C05F4">
        <w:rPr>
          <w:noProof/>
        </w:rPr>
        <w:t>(2018)</w:t>
      </w:r>
      <w:r w:rsidR="007C05F4">
        <w:fldChar w:fldCharType="end"/>
      </w:r>
      <w:r w:rsidR="007C05F4">
        <w:t xml:space="preserve"> find that individuals with high levels of social and institutional trust </w:t>
      </w:r>
      <w:r w:rsidR="00190926">
        <w:t xml:space="preserve">are </w:t>
      </w:r>
      <w:r w:rsidR="007C05F4">
        <w:t xml:space="preserve">far more willing to support costly climate policies. </w:t>
      </w:r>
      <w:proofErr w:type="spellStart"/>
      <w:r w:rsidR="007C05F4">
        <w:t>Hammar</w:t>
      </w:r>
      <w:proofErr w:type="spellEnd"/>
      <w:r w:rsidR="007C05F4">
        <w:t xml:space="preserve"> and </w:t>
      </w:r>
      <w:proofErr w:type="spellStart"/>
      <w:r w:rsidR="007C05F4">
        <w:t>Jagers</w:t>
      </w:r>
      <w:proofErr w:type="spellEnd"/>
      <w:r w:rsidR="002C36B0">
        <w:t xml:space="preserve"> </w:t>
      </w:r>
      <w:r w:rsidR="002C36B0">
        <w:fldChar w:fldCharType="begin" w:fldLock="1"/>
      </w:r>
      <w:r w:rsidR="002C36B0">
        <w:instrText>ADDIN CSL_CITATION {"citationItems":[{"id":"ITEM-1","itemData":{"DOI":"10.1080/14693062.2006.9685582","ISSN":"17527457","abstract":"This article provides an analysis of the support for public policies from a trust perspective. The empirical focus is on the use of a tax on carbon dioxide (CO2), a policy tool aimed at coordinating national emissions targets in Sweden. Among economists and experts in the field of climate policy, a CO2 tax is viewed as a cost-effective policy. The policy problem is that public support for CO2 taxes is very low, leaving policy makers with high-cost options. Apart from traditional explanatory variables such as demographic factors, level of education, ideology and self-interest, what can explain this public opposition? Using individual level data, we analyse whether support for increases in the CO2 tax on gasoline can be explained by citizens' generalized trust in other individuals (who they do not necessarily know) or by their trust in politicians. We find that only the latter measure gains support in a regression analysis. Moreover, when splitting the sample into high-trusting and low-trusting individuals, we find that high-trusting individuals who have access to a car (compared with those without access) are statistically no more likely to resist increases in CO2 taxes than people without access to a car. Rather, it is individuals with access to a car and who do not trust their politicians who are likely to resist CO2 taxes.","author":[{"dropping-particle":"","family":"Hammar","given":"Henrik","non-dropping-particle":"","parse-names":false,"suffix":""},{"dropping-particle":"","family":"Jagers","given":"Sverker C.","non-dropping-particle":"","parse-names":false,"suffix":""}],"container-title":"Climate Policy","id":"ITEM-1","issue":"6","issued":{"date-parts":[["2006"]]},"page":"613-625","title":"Can trust in politicians explain individuals’ support for climate policy? The case of CO2 tax","type":"article-journal","volume":"5"},"suppress-author":1,"uris":["http://www.mendeley.com/documents/?uuid=345237f8-c367-48c8-9450-4d27444a2b3a"]}],"mendeley":{"formattedCitation":"(2006)","plainTextFormattedCitation":"(2006)","previouslyFormattedCitation":"(2006)"},"properties":{"noteIndex":0},"schema":"https://github.com/citation-style-language/schema/raw/master/csl-citation.json"}</w:instrText>
      </w:r>
      <w:r w:rsidR="002C36B0">
        <w:fldChar w:fldCharType="separate"/>
      </w:r>
      <w:r w:rsidR="002C36B0" w:rsidRPr="002C36B0">
        <w:rPr>
          <w:noProof/>
        </w:rPr>
        <w:t>(2006)</w:t>
      </w:r>
      <w:r w:rsidR="002C36B0">
        <w:fldChar w:fldCharType="end"/>
      </w:r>
      <w:r w:rsidR="007C05F4">
        <w:t xml:space="preserve"> find a similar result for </w:t>
      </w:r>
      <w:r w:rsidR="002C36B0">
        <w:t xml:space="preserve">trust in politicians </w:t>
      </w:r>
      <w:r w:rsidR="007C05F4">
        <w:t xml:space="preserve">in Norway, while </w:t>
      </w:r>
      <w:proofErr w:type="spellStart"/>
      <w:r w:rsidR="007C05F4">
        <w:t>Fairbrother</w:t>
      </w:r>
      <w:proofErr w:type="spellEnd"/>
      <w:r w:rsidR="002C36B0">
        <w:t xml:space="preserve"> </w:t>
      </w:r>
      <w:r w:rsidR="002C36B0">
        <w:fldChar w:fldCharType="begin" w:fldLock="1"/>
      </w:r>
      <w:r w:rsidR="00FA6139">
        <w:instrText>ADDIN CSL_CITATION {"citationItems":[{"id":"ITEM-1","itemData":{"DOI":"10.15195/v3.a17","ISSN":"23306696","abstract":"Worldwide, most people share scientists' concerns about environmental problems, but reject the solution that policy experts most strongly recommend: putting a price on pollution. Why? I show that this puzzling gap between the public's positive concerns and normative preferences is due substantially to a lack of trust, particularly political trust. In multilevel models fitted to two international survey datasets, trust strongly predicts support for environmental protection within countries and, by some measures, among countries also. An influential competing theory holds that environmental attitudes correlate mostly with left versus right political ideology; the results here, however, show that this correlation is weaker and varies substantially from country to country—unlike that with trust. Theoretically, these results reflect that environmental degradation is a collective action problem and environmental protection a public good. Methodologically, they derive from the more flexible application of multilevel modeling techniques than in previous studies using such models.","author":[{"dropping-particle":"","family":"Fairbrother","given":"Malcolm","non-dropping-particle":"","parse-names":false,"suffix":""}],"container-title":"Sociological Science","id":"ITEM-1","issued":{"date-parts":[["2016"]]},"page":"359-382","title":"Trust and public support for environmental protection in diverse national contexts","type":"article-journal","volume":"3"},"suppress-author":1,"uris":["http://www.mendeley.com/documents/?uuid=9aca749b-fa5b-40f6-a056-9d73321b281d"]}],"mendeley":{"formattedCitation":"(2016)","plainTextFormattedCitation":"(2016)","previouslyFormattedCitation":"(2016)"},"properties":{"noteIndex":0},"schema":"https://github.com/citation-style-language/schema/raw/master/csl-citation.json"}</w:instrText>
      </w:r>
      <w:r w:rsidR="002C36B0">
        <w:fldChar w:fldCharType="separate"/>
      </w:r>
      <w:r w:rsidR="002C36B0" w:rsidRPr="002C36B0">
        <w:rPr>
          <w:noProof/>
        </w:rPr>
        <w:t>(2016)</w:t>
      </w:r>
      <w:r w:rsidR="002C36B0">
        <w:fldChar w:fldCharType="end"/>
      </w:r>
      <w:r w:rsidR="007C05F4">
        <w:t xml:space="preserve"> extends the analysis to an international survey, showing </w:t>
      </w:r>
      <w:r w:rsidR="002C36B0">
        <w:t xml:space="preserve">a consistent and positive pattern of trust in explaining environmental policy support. </w:t>
      </w:r>
      <w:r w:rsidR="007C05F4">
        <w:t xml:space="preserve">Against a backdrop of progressively eroding trust in social and political institutions, this is a problem that has </w:t>
      </w:r>
      <w:r w:rsidR="002C36B0">
        <w:t>likely not received the attention it deserves</w:t>
      </w:r>
      <w:r w:rsidR="007C05F4">
        <w:t xml:space="preserve"> </w:t>
      </w:r>
      <w:commentRangeStart w:id="8"/>
      <w:r w:rsidR="007C05F4">
        <w:fldChar w:fldCharType="begin" w:fldLock="1"/>
      </w:r>
      <w:r w:rsidR="007C05F4">
        <w:instrText>ADDIN CSL_CITATION {"citationItems":[{"id":"ITEM-1","itemData":{"DOI":"10.1111/soc4.12482","ISSN":"17519020","author":[{"dropping-particle":"","family":"Fairbrother","given":"Malcolm","non-dropping-particle":"","parse-names":false,"suffix":""}],"container-title":"Sociology Compass","id":"ITEM-1","issue":"5","issued":{"date-parts":[["2017"]]},"page":"1-10","title":"Environmental attitudes and the politics of distrust","type":"article-journal","volume":"11"},"uris":["http://www.mendeley.com/documents/?uuid=2bc5cda2-63ec-4671-929c-ede9e274820c"]}],"mendeley":{"formattedCitation":"(Fairbrother, 2017)","plainTextFormattedCitation":"(Fairbrother, 2017)","previouslyFormattedCitation":"(Fairbrother, 2017)"},"properties":{"noteIndex":0},"schema":"https://github.com/citation-style-language/schema/raw/master/csl-citation.json"}</w:instrText>
      </w:r>
      <w:r w:rsidR="007C05F4">
        <w:fldChar w:fldCharType="separate"/>
      </w:r>
      <w:r w:rsidR="007C05F4" w:rsidRPr="007C05F4">
        <w:rPr>
          <w:noProof/>
        </w:rPr>
        <w:t>(Fairbrother, 2017)</w:t>
      </w:r>
      <w:r w:rsidR="007C05F4">
        <w:fldChar w:fldCharType="end"/>
      </w:r>
      <w:commentRangeEnd w:id="8"/>
      <w:r w:rsidR="00A32060">
        <w:rPr>
          <w:rStyle w:val="CommentReference"/>
        </w:rPr>
        <w:commentReference w:id="8"/>
      </w:r>
      <w:r w:rsidR="00A32060">
        <w:t>.</w:t>
      </w:r>
    </w:p>
    <w:p w14:paraId="0C6C7863" w14:textId="42C92BDA" w:rsidR="00FA0F2D" w:rsidRDefault="00B40C57" w:rsidP="00866B91">
      <w:pPr>
        <w:pStyle w:val="Heading3"/>
        <w:numPr>
          <w:ilvl w:val="1"/>
          <w:numId w:val="19"/>
        </w:numPr>
        <w:spacing w:after="120" w:line="360" w:lineRule="auto"/>
        <w:ind w:left="788" w:hanging="431"/>
      </w:pPr>
      <w:r>
        <w:t>Synthesis</w:t>
      </w:r>
    </w:p>
    <w:p w14:paraId="134A5470" w14:textId="0E7EF4B4" w:rsidR="0060651F" w:rsidRDefault="007651C0" w:rsidP="0060651F">
      <w:r>
        <w:t>The literature we reviewed primary assessed legislation adoption, rather than the adoption of climate policies, their stringency or outcomes.</w:t>
      </w:r>
    </w:p>
    <w:p w14:paraId="5D1BCC71" w14:textId="77777777" w:rsidR="007651C0" w:rsidRDefault="007651C0" w:rsidP="0060651F">
      <w:bookmarkStart w:id="9" w:name="_GoBack"/>
      <w:bookmarkEnd w:id="9"/>
    </w:p>
    <w:p w14:paraId="2DD0BFF4" w14:textId="52A66BEF" w:rsidR="00DC561B" w:rsidRDefault="0060651F" w:rsidP="007F464F">
      <w:pPr>
        <w:pStyle w:val="ListParagraph"/>
        <w:numPr>
          <w:ilvl w:val="0"/>
          <w:numId w:val="30"/>
        </w:numPr>
        <w:spacing w:line="360" w:lineRule="auto"/>
      </w:pPr>
      <w:r>
        <w:t>More on legislation adoption than policy adoption. Very little on</w:t>
      </w:r>
      <w:r w:rsidR="00DC3DAD">
        <w:t xml:space="preserve"> policy stringency and outcomes </w:t>
      </w:r>
      <w:r>
        <w:t>(Note: also because we are in the ‘early days’</w:t>
      </w:r>
      <w:r w:rsidR="00DC3DAD">
        <w:t xml:space="preserve">), nor on comparing different </w:t>
      </w:r>
      <w:r>
        <w:t>dependents.</w:t>
      </w:r>
    </w:p>
    <w:p w14:paraId="7BCFD5A9" w14:textId="0E78FC2E" w:rsidR="007F464F" w:rsidRDefault="0060651F" w:rsidP="007E3362">
      <w:pPr>
        <w:pStyle w:val="ListParagraph"/>
        <w:numPr>
          <w:ilvl w:val="0"/>
          <w:numId w:val="30"/>
        </w:numPr>
        <w:spacing w:line="360" w:lineRule="auto"/>
      </w:pPr>
      <w:r>
        <w:t>Potentially missing variables: resource rents, fractionalisation</w:t>
      </w:r>
      <w:r w:rsidR="00DC3DAD">
        <w:t xml:space="preserve">. </w:t>
      </w:r>
      <w:r w:rsidR="00426F7E">
        <w:t>Many</w:t>
      </w:r>
      <w:r w:rsidR="007F464F" w:rsidRPr="007F464F">
        <w:t xml:space="preserve"> studies test climate policy adoption against per capita emissions </w:t>
      </w:r>
      <w:r w:rsidR="007F464F" w:rsidRPr="007F464F">
        <w:fldChar w:fldCharType="begin" w:fldLock="1"/>
      </w:r>
      <w:r w:rsidR="007F464F" w:rsidRPr="007F464F">
        <w:instrText>ADDIN CSL_CITATION {"citationItems":[{"id":"ITEM-1","itemData":{"DOI":"10.1016/j.envres.2017.05.009","ISSN":"10960953","PMID":"28570962","abstract":"The impact of democracy on governments’ choice of environmental policies has attracted significant academic attention in recent years. However, less attention has been devoted to the role of the social cognitive capital of the national population. Does society's cognitive capital matter in governmental choice regarding environmental policies, if at all? This study addresses this question through a large-N analysis of 94 countries accounting for the role of both political regimes and social capital in governmental choice of climate change policies. We find that higher social cognitive capital within a democratic state radically increases that state's commitment to adopt environmental policies. More specifically, a 1-point increase in the democracy index is associated with nearly 5 points increase in the adoption of the Climate Laws, Institutions and Measures Index (CLIMI). In a similar vein, a 10 points increase in social cognitive capital is associated with a nearly 16 points increase in CLIMI. The findings presented in this study aim to contribute to the ongoing debate on the impact of democracy and the cognitive capital of society on international environmentalism. The findings will also be interesting for scholars working on the impact of political institutional factors and the role of society in environmental policy choices made at the international level.","author":[{"dropping-particle":"V.","family":"Obydenkova","given":"Anastassia","non-dropping-particle":"","parse-names":false,"suffix":""},{"dropping-particle":"","family":"Salahodjaev","given":"Raufhon","non-dropping-particle":"","parse-names":false,"suffix":""}],"container-title":"Environmental Research","id":"ITEM-1","issue":"April","issued":{"date-parts":[["2017"]]},"page":"182-189","publisher":"Elsevier Inc.","title":"Climate change policies: The role of democracy and social cognitive capital","type":"article-journal","volume":"157"},"uris":["http://www.mendeley.com/documents/?uuid=5f97acc2-08fa-4ccb-84cb-3d19180d1717"]},{"id":"ITEM-2","itemData":{"DOI":"10.2139/ssrn.2456538","ISSN":"1556-5068","PMID":"16716253","abstract":"Anthropogenic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Environment","id":"ITEM-2","issue":"October","issued":{"date-parts":[["2013"]]},"publisher-place":"Oxford","title":"Political Economy of Climate Change Policy","type":"report","volume":"13-06"},"uris":["http://www.mendeley.com/documents/?uuid=dd462bb8-22d5-4711-9e68-cf7fbb4d515e"]}],"mendeley":{"formattedCitation":"(Obydenkova &amp; Salahodjaev, 2017; Steves &amp; Teytelboym, 2013)","plainTextFormattedCitation":"(Obydenkova &amp; Salahodjaev, 2017; Steves &amp; Teytelboym, 2013)","previouslyFormattedCitation":"(Obydenkova &amp; Salahodjaev, 2017; Steves &amp; Teytelboym, 2013)"},"properties":{"noteIndex":0},"schema":"https://github.com/citation-style-language/schema/raw/master/csl-citation.json"}</w:instrText>
      </w:r>
      <w:r w:rsidR="007F464F" w:rsidRPr="007F464F">
        <w:fldChar w:fldCharType="separate"/>
      </w:r>
      <w:r w:rsidR="007F464F" w:rsidRPr="007F464F">
        <w:rPr>
          <w:noProof/>
        </w:rPr>
        <w:t xml:space="preserve">(Obydenkova &amp; Salahodjaev, 2017; Steves &amp; Teytelboym, </w:t>
      </w:r>
      <w:r w:rsidR="007F464F" w:rsidRPr="007F464F">
        <w:rPr>
          <w:noProof/>
        </w:rPr>
        <w:lastRenderedPageBreak/>
        <w:t>2013)</w:t>
      </w:r>
      <w:r w:rsidR="007F464F" w:rsidRPr="007F464F">
        <w:fldChar w:fldCharType="end"/>
      </w:r>
      <w:r w:rsidR="00426F7E">
        <w:t xml:space="preserve">, or shares of industry in general </w:t>
      </w:r>
      <w:r w:rsidR="007F464F">
        <w:t xml:space="preserve">. </w:t>
      </w:r>
      <w:r>
        <w:t>T</w:t>
      </w:r>
      <w:r w:rsidR="007F464F">
        <w:t>autological thinking</w:t>
      </w:r>
      <w:r>
        <w:t>…</w:t>
      </w:r>
      <w:r w:rsidR="007F464F">
        <w:t xml:space="preserve"> </w:t>
      </w:r>
      <w:r w:rsidR="00426F7E">
        <w:t>it is hard to regulate fossil fuels, when there are lots of fossil fuels</w:t>
      </w:r>
    </w:p>
    <w:p w14:paraId="0C649BC5" w14:textId="295F1696" w:rsidR="00DC3DAD" w:rsidRDefault="0060651F" w:rsidP="00DB3858">
      <w:pPr>
        <w:pStyle w:val="ListParagraph"/>
        <w:numPr>
          <w:ilvl w:val="0"/>
          <w:numId w:val="30"/>
        </w:numPr>
        <w:spacing w:line="360" w:lineRule="auto"/>
      </w:pPr>
      <w:r>
        <w:t xml:space="preserve">Above all, </w:t>
      </w:r>
      <w:r w:rsidR="00DC3DAD">
        <w:t>focus is more on identifying individual constraints, and not focusing on their trends and global distribution.</w:t>
      </w:r>
      <w:r w:rsidR="007651C0">
        <w:t xml:space="preserve"> </w:t>
      </w:r>
      <w:r w:rsidR="00DC3DAD">
        <w:t xml:space="preserve">We can speculate that countries are not likely to suffer from individual constraints, but multiple overlapping issues that are strongly </w:t>
      </w:r>
      <w:commentRangeStart w:id="10"/>
      <w:r w:rsidR="00DC3DAD">
        <w:t>interrelated</w:t>
      </w:r>
      <w:commentRangeEnd w:id="10"/>
      <w:r w:rsidR="00DC3DAD">
        <w:rPr>
          <w:rStyle w:val="CommentReference"/>
        </w:rPr>
        <w:commentReference w:id="10"/>
      </w:r>
      <w:r w:rsidR="00DC3DAD">
        <w:t xml:space="preserve">. </w:t>
      </w:r>
    </w:p>
    <w:p w14:paraId="393E7D95" w14:textId="696EBF70" w:rsidR="00DC3DAD" w:rsidRDefault="00DC3DAD" w:rsidP="007F464F">
      <w:pPr>
        <w:pStyle w:val="ListParagraph"/>
        <w:numPr>
          <w:ilvl w:val="0"/>
          <w:numId w:val="30"/>
        </w:numPr>
        <w:spacing w:line="360" w:lineRule="auto"/>
      </w:pPr>
      <w:r>
        <w:t xml:space="preserve">Useful to think about political economy regimes. </w:t>
      </w:r>
      <w:commentRangeStart w:id="11"/>
      <w:r>
        <w:t>Institutions, social cohesion and social provisioning have interlocking roles</w:t>
      </w:r>
      <w:commentRangeEnd w:id="11"/>
      <w:r>
        <w:rPr>
          <w:rStyle w:val="CommentReference"/>
        </w:rPr>
        <w:commentReference w:id="11"/>
      </w:r>
      <w:r>
        <w:t>.</w:t>
      </w:r>
    </w:p>
    <w:p w14:paraId="329B72B0" w14:textId="259276BA" w:rsidR="008D68AC" w:rsidRDefault="00CA4259" w:rsidP="00E77203">
      <w:pPr>
        <w:spacing w:line="360" w:lineRule="auto"/>
      </w:pPr>
      <w:hyperlink r:id="rId10" w:history="1">
        <w:r w:rsidR="008D68AC" w:rsidRPr="004807E1">
          <w:rPr>
            <w:rStyle w:val="Hyperlink"/>
          </w:rPr>
          <w:t>https://www.v-dem.net/en/news-publications/democracy-reports/</w:t>
        </w:r>
      </w:hyperlink>
    </w:p>
    <w:p w14:paraId="7EE175D7" w14:textId="0ADAA474" w:rsidR="008D68AC" w:rsidRDefault="008D68AC" w:rsidP="00E77203">
      <w:pPr>
        <w:spacing w:line="360" w:lineRule="auto"/>
      </w:pPr>
      <w:proofErr w:type="gramStart"/>
      <w:r>
        <w:t>closed</w:t>
      </w:r>
      <w:proofErr w:type="gramEnd"/>
      <w:r>
        <w:t xml:space="preserve"> autocracy, electoral autocracy, electoral democracy, liberal democracy.</w:t>
      </w:r>
    </w:p>
    <w:p w14:paraId="692E4518" w14:textId="1B74E94E" w:rsidR="003A2097" w:rsidRDefault="003A2097" w:rsidP="00E77203">
      <w:pPr>
        <w:spacing w:line="360" w:lineRule="auto"/>
      </w:pPr>
      <w:r>
        <w:t xml:space="preserve">- </w:t>
      </w:r>
      <w:proofErr w:type="gramStart"/>
      <w:r>
        <w:t>rentier</w:t>
      </w:r>
      <w:proofErr w:type="gramEnd"/>
      <w:r>
        <w:t xml:space="preserve"> states</w:t>
      </w:r>
    </w:p>
    <w:p w14:paraId="11E60095" w14:textId="77777777" w:rsidR="00464D44" w:rsidRDefault="00464D44" w:rsidP="00E77203">
      <w:pPr>
        <w:pStyle w:val="NormalWeb"/>
        <w:spacing w:line="360" w:lineRule="auto"/>
        <w:ind w:left="480" w:hanging="480"/>
      </w:pPr>
      <w:proofErr w:type="spellStart"/>
      <w:r>
        <w:t>Chayes</w:t>
      </w:r>
      <w:proofErr w:type="spellEnd"/>
      <w:r>
        <w:t>, S., 2017. When corruption is the operating system: the case of Honduras. Washington, DC.</w:t>
      </w:r>
    </w:p>
    <w:p w14:paraId="7C9973B0" w14:textId="77777777" w:rsidR="00464D44" w:rsidRDefault="00464D44" w:rsidP="00E77203">
      <w:pPr>
        <w:pStyle w:val="NormalWeb"/>
        <w:spacing w:line="360" w:lineRule="auto"/>
        <w:ind w:left="480" w:hanging="480"/>
      </w:pPr>
      <w:proofErr w:type="gramStart"/>
      <w:r>
        <w:t>van</w:t>
      </w:r>
      <w:proofErr w:type="gramEnd"/>
      <w:r>
        <w:t xml:space="preserve"> der </w:t>
      </w:r>
      <w:proofErr w:type="spellStart"/>
      <w:r>
        <w:t>Ploeg</w:t>
      </w:r>
      <w:proofErr w:type="spellEnd"/>
      <w:r>
        <w:t>, F., 2011. Natural Resources: Curse or Blessing? J. Econ. Lit. 49, 366–420. doi:10.1257/jel.49.2.366</w:t>
      </w:r>
    </w:p>
    <w:p w14:paraId="2552BB90" w14:textId="1B7ED28C" w:rsidR="0043530F" w:rsidRDefault="002E435B" w:rsidP="00E77203">
      <w:pPr>
        <w:spacing w:line="360" w:lineRule="auto"/>
      </w:pPr>
      <w:r>
        <w:t xml:space="preserve">- danger of thinking that ‘all good things go together’ </w:t>
      </w:r>
      <w:r>
        <w:fldChar w:fldCharType="begin" w:fldLock="1"/>
      </w:r>
      <w:r w:rsidR="00FD49B5">
        <w:instrText>ADDIN CSL_CITATION {"citationItems":[{"id":"ITEM-1","itemData":{"DOI":"10.1257/jel.20151239","ISBN":"9780415802239","ISSN":"0022-0515","PMID":"17746758","abstract":"This essay tries to bring out some of the complexities that are overlooked in the usual treatment of the state in the institutional economics literature and supplement the latter with a discussion of some alternative approaches to looking at the possible developmental role of the state. It refers to a broader range of development goals (including the structural transformation of the economy) and focuses on problems like the resolution of coordination failures and collective-action problems, the conflicting issues of commitment and accountability and the need for balancing the trade-offs they generate, some ingredients of state capacity and political coalition building usually missed in the literature, the possible importance of rent sharing in a political equilibrium, the advantages and problems of political centralization and decentralization, and the multidimensionality of state functions that may not be addressed by markets or private firms.","author":[{"dropping-particle":"","family":"Bardhan","given":"Pranab","non-dropping-particle":"","parse-names":false,"suffix":""}],"container-title":"Journal of Economic Literature","id":"ITEM-1","issue":"3","issued":{"date-parts":[["2016"]]},"page":"862-892","title":"State and Development: The Need for a Reappraisal of the Current Literature","type":"article-journal","volume":"54"},"uris":["http://www.mendeley.com/documents/?uuid=f9778f5e-3905-4956-9665-4849f07792b2"]}],"mendeley":{"formattedCitation":"(Bardhan, 2016)","plainTextFormattedCitation":"(Bardhan, 2016)","previouslyFormattedCitation":"(Bardhan, 2016)"},"properties":{"noteIndex":0},"schema":"https://github.com/citation-style-language/schema/raw/master/csl-citation.json"}</w:instrText>
      </w:r>
      <w:r>
        <w:fldChar w:fldCharType="separate"/>
      </w:r>
      <w:r w:rsidRPr="002E435B">
        <w:rPr>
          <w:noProof/>
        </w:rPr>
        <w:t>(Bardhan, 2016)</w:t>
      </w:r>
      <w:r>
        <w:fldChar w:fldCharType="end"/>
      </w:r>
    </w:p>
    <w:p w14:paraId="48805263" w14:textId="77777777" w:rsidR="002E435B" w:rsidRDefault="002E435B" w:rsidP="00E77203">
      <w:pPr>
        <w:spacing w:line="360" w:lineRule="auto"/>
      </w:pPr>
    </w:p>
    <w:p w14:paraId="12E22B12" w14:textId="77777777" w:rsidR="00281CD9" w:rsidRDefault="00281CD9" w:rsidP="00281CD9">
      <w:pPr>
        <w:pStyle w:val="ListParagraph"/>
        <w:numPr>
          <w:ilvl w:val="0"/>
          <w:numId w:val="32"/>
        </w:numPr>
        <w:spacing w:line="360" w:lineRule="auto"/>
        <w:rPr>
          <w:b/>
        </w:rPr>
      </w:pPr>
      <w:r>
        <w:rPr>
          <w:b/>
        </w:rPr>
        <w:t>PA Agreement offers no international enforcement mechanism. Normal routes of accountability (courts, justification, etc.) are available to countries with a ‘rule of law’, but those without are not likely to face sanctions, or even stigmatization!! (</w:t>
      </w:r>
      <w:proofErr w:type="spellStart"/>
      <w:r>
        <w:rPr>
          <w:b/>
        </w:rPr>
        <w:t>Karlsson-Vinkhuyzen</w:t>
      </w:r>
      <w:proofErr w:type="spellEnd"/>
      <w:r>
        <w:rPr>
          <w:b/>
        </w:rPr>
        <w:t xml:space="preserve"> 2018). See three pathways</w:t>
      </w:r>
    </w:p>
    <w:p w14:paraId="6078BC71" w14:textId="77777777" w:rsidR="00281CD9" w:rsidRDefault="00281CD9" w:rsidP="00E77203">
      <w:pPr>
        <w:spacing w:line="360" w:lineRule="auto"/>
      </w:pPr>
    </w:p>
    <w:p w14:paraId="099B1A39" w14:textId="77777777" w:rsidR="00281CD9" w:rsidRDefault="00281CD9" w:rsidP="00E77203">
      <w:pPr>
        <w:spacing w:line="360" w:lineRule="auto"/>
      </w:pPr>
    </w:p>
    <w:p w14:paraId="20C8FE04" w14:textId="77777777" w:rsidR="0043530F" w:rsidRDefault="0043530F" w:rsidP="00E77203">
      <w:pPr>
        <w:spacing w:line="360" w:lineRule="auto"/>
      </w:pPr>
    </w:p>
    <w:p w14:paraId="2D07BF9C" w14:textId="6BAA2003" w:rsidR="000F1BB9" w:rsidRDefault="000F1BB9" w:rsidP="007651C0">
      <w:pPr>
        <w:pStyle w:val="Heading3"/>
        <w:numPr>
          <w:ilvl w:val="0"/>
          <w:numId w:val="19"/>
        </w:numPr>
        <w:spacing w:after="120" w:line="360" w:lineRule="auto"/>
      </w:pPr>
      <w:r>
        <w:t>Stylized facts</w:t>
      </w:r>
    </w:p>
    <w:p w14:paraId="22F2F814" w14:textId="5E23D05C" w:rsidR="00247ACF" w:rsidRDefault="00247ACF" w:rsidP="00E77203">
      <w:pPr>
        <w:spacing w:line="360" w:lineRule="auto"/>
      </w:pPr>
      <w:r>
        <w:t>See Rao &amp; Pachauri 2017 for stylized facts.</w:t>
      </w:r>
    </w:p>
    <w:p w14:paraId="538ED596" w14:textId="77777777" w:rsidR="004B588D" w:rsidRDefault="004B588D" w:rsidP="00E77203">
      <w:pPr>
        <w:spacing w:line="360" w:lineRule="auto"/>
      </w:pPr>
    </w:p>
    <w:p w14:paraId="1D4E9B57" w14:textId="177A1685" w:rsidR="000F1BB9" w:rsidRDefault="0055617A" w:rsidP="007651C0">
      <w:pPr>
        <w:pStyle w:val="Heading3"/>
        <w:numPr>
          <w:ilvl w:val="1"/>
          <w:numId w:val="19"/>
        </w:numPr>
        <w:spacing w:after="120" w:line="360" w:lineRule="auto"/>
      </w:pPr>
      <w:r>
        <w:t>Data</w:t>
      </w:r>
    </w:p>
    <w:tbl>
      <w:tblPr>
        <w:tblStyle w:val="TableGrid"/>
        <w:tblW w:w="0" w:type="auto"/>
        <w:tblLook w:val="04A0" w:firstRow="1" w:lastRow="0" w:firstColumn="1" w:lastColumn="0" w:noHBand="0" w:noVBand="1"/>
      </w:tblPr>
      <w:tblGrid>
        <w:gridCol w:w="2265"/>
        <w:gridCol w:w="2265"/>
        <w:gridCol w:w="2266"/>
        <w:gridCol w:w="2266"/>
      </w:tblGrid>
      <w:tr w:rsidR="007E3362" w14:paraId="784E68CB" w14:textId="77777777" w:rsidTr="007E3362">
        <w:tc>
          <w:tcPr>
            <w:tcW w:w="2265" w:type="dxa"/>
          </w:tcPr>
          <w:p w14:paraId="64BB4FE6" w14:textId="2048C134" w:rsidR="007E3362" w:rsidRDefault="007E3362" w:rsidP="0055617A">
            <w:r>
              <w:t>Variable</w:t>
            </w:r>
          </w:p>
        </w:tc>
        <w:tc>
          <w:tcPr>
            <w:tcW w:w="2265" w:type="dxa"/>
          </w:tcPr>
          <w:p w14:paraId="00F52943" w14:textId="169493BB" w:rsidR="007E3362" w:rsidRDefault="007E3362" w:rsidP="0055617A">
            <w:r>
              <w:t>Unit</w:t>
            </w:r>
          </w:p>
        </w:tc>
        <w:tc>
          <w:tcPr>
            <w:tcW w:w="2266" w:type="dxa"/>
          </w:tcPr>
          <w:p w14:paraId="583CA8BC" w14:textId="034A9B85" w:rsidR="007E3362" w:rsidRDefault="007E3362" w:rsidP="0055617A">
            <w:r>
              <w:t>Date range</w:t>
            </w:r>
          </w:p>
        </w:tc>
        <w:tc>
          <w:tcPr>
            <w:tcW w:w="2266" w:type="dxa"/>
          </w:tcPr>
          <w:p w14:paraId="2A221362" w14:textId="603CE27B" w:rsidR="007E3362" w:rsidRDefault="007E3362" w:rsidP="0055617A">
            <w:r>
              <w:t>Source</w:t>
            </w:r>
          </w:p>
        </w:tc>
      </w:tr>
      <w:tr w:rsidR="007E3362" w14:paraId="41A04063" w14:textId="77777777" w:rsidTr="007E3362">
        <w:tc>
          <w:tcPr>
            <w:tcW w:w="2265" w:type="dxa"/>
          </w:tcPr>
          <w:p w14:paraId="5BCE380E" w14:textId="77777777" w:rsidR="007E3362" w:rsidRDefault="007E3362" w:rsidP="0055617A"/>
        </w:tc>
        <w:tc>
          <w:tcPr>
            <w:tcW w:w="2265" w:type="dxa"/>
          </w:tcPr>
          <w:p w14:paraId="114964DA" w14:textId="77777777" w:rsidR="007E3362" w:rsidRDefault="007E3362" w:rsidP="0055617A"/>
        </w:tc>
        <w:tc>
          <w:tcPr>
            <w:tcW w:w="2266" w:type="dxa"/>
          </w:tcPr>
          <w:p w14:paraId="47AECB06" w14:textId="77777777" w:rsidR="007E3362" w:rsidRDefault="007E3362" w:rsidP="0055617A"/>
        </w:tc>
        <w:tc>
          <w:tcPr>
            <w:tcW w:w="2266" w:type="dxa"/>
          </w:tcPr>
          <w:p w14:paraId="17AF7821" w14:textId="77777777" w:rsidR="007E3362" w:rsidRDefault="007E3362" w:rsidP="0055617A"/>
        </w:tc>
      </w:tr>
    </w:tbl>
    <w:p w14:paraId="34439441" w14:textId="77777777" w:rsidR="0055617A" w:rsidRDefault="0055617A" w:rsidP="0055617A"/>
    <w:p w14:paraId="1F9B47AC" w14:textId="77777777" w:rsidR="0055617A" w:rsidRPr="0055617A" w:rsidRDefault="0055617A" w:rsidP="0055617A"/>
    <w:p w14:paraId="7C08F620" w14:textId="2381202C" w:rsidR="000F1BB9" w:rsidRDefault="000F1BB9" w:rsidP="007651C0">
      <w:pPr>
        <w:pStyle w:val="Heading3"/>
        <w:numPr>
          <w:ilvl w:val="1"/>
          <w:numId w:val="19"/>
        </w:numPr>
        <w:spacing w:after="120" w:line="360" w:lineRule="auto"/>
      </w:pPr>
      <w:r>
        <w:t>Correlations</w:t>
      </w:r>
      <w:r w:rsidR="00A16F8F">
        <w:t xml:space="preserve"> and overlapping constraints</w:t>
      </w:r>
    </w:p>
    <w:p w14:paraId="752DF33E" w14:textId="77777777" w:rsidR="008726A0" w:rsidRDefault="008726A0" w:rsidP="00E77203">
      <w:pPr>
        <w:spacing w:line="360" w:lineRule="auto"/>
      </w:pPr>
    </w:p>
    <w:p w14:paraId="514E7186" w14:textId="77777777" w:rsidR="007E3362" w:rsidRDefault="007E3362" w:rsidP="00E77203">
      <w:pPr>
        <w:spacing w:line="360" w:lineRule="auto"/>
      </w:pPr>
    </w:p>
    <w:p w14:paraId="2FBCE5DA" w14:textId="03BB8905" w:rsidR="008726A0" w:rsidRDefault="000F1BB9" w:rsidP="007651C0">
      <w:pPr>
        <w:pStyle w:val="Heading3"/>
        <w:numPr>
          <w:ilvl w:val="1"/>
          <w:numId w:val="19"/>
        </w:numPr>
        <w:spacing w:after="120" w:line="360" w:lineRule="auto"/>
      </w:pPr>
      <w:r>
        <w:t>Trends</w:t>
      </w:r>
      <w:r w:rsidR="00985C6D">
        <w:t xml:space="preserve"> and </w:t>
      </w:r>
      <w:r w:rsidR="0002451A">
        <w:t>improvements in constraints</w:t>
      </w:r>
    </w:p>
    <w:p w14:paraId="594746F1" w14:textId="77777777" w:rsidR="000F1BB9" w:rsidRDefault="000F1BB9" w:rsidP="00E77203">
      <w:pPr>
        <w:spacing w:line="360" w:lineRule="auto"/>
      </w:pPr>
    </w:p>
    <w:p w14:paraId="12D02B98" w14:textId="57253305" w:rsidR="00CD6957" w:rsidRDefault="00CD6957" w:rsidP="00CD6957">
      <w:pPr>
        <w:spacing w:line="360" w:lineRule="auto"/>
      </w:pPr>
      <w:r>
        <w:t xml:space="preserve">- trend in climate concern, see </w:t>
      </w:r>
      <w:proofErr w:type="spellStart"/>
      <w:r>
        <w:t>Capstick</w:t>
      </w:r>
      <w:proofErr w:type="spellEnd"/>
      <w:r>
        <w:t xml:space="preserve"> et al. 2015</w:t>
      </w:r>
    </w:p>
    <w:p w14:paraId="208C2532" w14:textId="77777777" w:rsidR="00CD6957" w:rsidRDefault="00CD6957" w:rsidP="00E77203">
      <w:pPr>
        <w:spacing w:line="360" w:lineRule="auto"/>
      </w:pPr>
    </w:p>
    <w:p w14:paraId="3B7BAE08" w14:textId="77777777" w:rsidR="00CD6957" w:rsidRDefault="00CD6957" w:rsidP="00E77203">
      <w:pPr>
        <w:spacing w:line="360" w:lineRule="auto"/>
      </w:pPr>
    </w:p>
    <w:p w14:paraId="6EAB90FE" w14:textId="0FD38EA9" w:rsidR="00FA0F2D" w:rsidRDefault="006E0D11" w:rsidP="00E77203">
      <w:pPr>
        <w:spacing w:line="360" w:lineRule="auto"/>
      </w:pPr>
      <w:r>
        <w:t xml:space="preserve">“It appears that we cannot expect climate change policies (and perhaps international environmental policies more generally) to improve rapidly in countries that recently experienced democratization. Only over time do democratic principles penetrate a society and its policymaking apparatus sufficiently to have a positive effect.” </w:t>
      </w:r>
      <w:r>
        <w:fldChar w:fldCharType="begin" w:fldLock="1"/>
      </w:r>
      <w:r w:rsidR="008A1ED6">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important?","type":"article-journal","volume":"95"},"uris":["http://www.mendeley.com/documents/?uuid=2890f790-de48-4005-8c25-704f9a4329f7"]}],"mendeley":{"formattedCitation":"(Fredriksson &amp; Neumayer, 2013)","plainTextFormattedCitation":"(Fredriksson &amp; Neumayer, 2013)","previouslyFormattedCitation":"(Fredriksson &amp; Neumayer, 2013)"},"properties":{"noteIndex":0},"schema":"https://github.com/citation-style-language/schema/raw/master/csl-citation.json"}</w:instrText>
      </w:r>
      <w:r>
        <w:fldChar w:fldCharType="separate"/>
      </w:r>
      <w:r w:rsidR="00E92ABD" w:rsidRPr="00E92ABD">
        <w:rPr>
          <w:noProof/>
        </w:rPr>
        <w:t>(Fredriksson &amp; Neumayer, 2013)</w:t>
      </w:r>
      <w:r>
        <w:fldChar w:fldCharType="end"/>
      </w:r>
    </w:p>
    <w:p w14:paraId="08512D41" w14:textId="5CC54292" w:rsidR="006E0D11" w:rsidRDefault="00915C50" w:rsidP="00E77203">
      <w:pPr>
        <w:spacing w:line="360" w:lineRule="auto"/>
      </w:pPr>
      <w:r>
        <w:t xml:space="preserve">See also, corruption in post-communist states: </w:t>
      </w:r>
      <w:hyperlink r:id="rId11" w:history="1">
        <w:r w:rsidRPr="004807E1">
          <w:rPr>
            <w:rStyle w:val="Hyperlink"/>
          </w:rPr>
          <w:t>https://www.tandfonline.com/doi/full/10.1080/1060586X.2014.931683</w:t>
        </w:r>
      </w:hyperlink>
    </w:p>
    <w:p w14:paraId="35C2CD8E" w14:textId="77777777" w:rsidR="00915C50" w:rsidRDefault="00915C50" w:rsidP="00E77203">
      <w:pPr>
        <w:spacing w:line="360" w:lineRule="auto"/>
      </w:pPr>
    </w:p>
    <w:p w14:paraId="36D55FC3" w14:textId="77777777" w:rsidR="00A12DAC" w:rsidRDefault="00A12DAC" w:rsidP="00E77203">
      <w:pPr>
        <w:pStyle w:val="ListParagraph"/>
        <w:numPr>
          <w:ilvl w:val="0"/>
          <w:numId w:val="7"/>
        </w:numPr>
        <w:spacing w:line="360" w:lineRule="auto"/>
      </w:pPr>
      <w:r>
        <w:t>Shouldn’t misunderstand the development process … democratic bias… no slow progress towards democracy, capable institutions and climate-aware citizens … but a landscape of distinct regime types (</w:t>
      </w:r>
      <w:proofErr w:type="spellStart"/>
      <w:r>
        <w:t>Levitsky</w:t>
      </w:r>
      <w:proofErr w:type="spellEnd"/>
      <w:r>
        <w:t xml:space="preserve"> and Way 2002)… punctuated by periodic upheavals, but otherwise quite stable.</w:t>
      </w:r>
    </w:p>
    <w:p w14:paraId="08209C27" w14:textId="77777777" w:rsidR="0010228D" w:rsidRDefault="0010228D" w:rsidP="00E77203">
      <w:pPr>
        <w:pStyle w:val="ListParagraph"/>
        <w:numPr>
          <w:ilvl w:val="0"/>
          <w:numId w:val="7"/>
        </w:numPr>
        <w:spacing w:line="360" w:lineRule="auto"/>
      </w:pPr>
      <w:r>
        <w:t>“The assumption that hybrid regimes [partial democracies] are (or should be) moving in a democratic direction lacks empirical foundation… these cases should be conceptualized for what they are: a distinct, nondemocratic regime type.” (</w:t>
      </w:r>
      <w:proofErr w:type="spellStart"/>
      <w:r>
        <w:t>Levitsky</w:t>
      </w:r>
      <w:proofErr w:type="spellEnd"/>
      <w:r>
        <w:t xml:space="preserve"> and Way 2002)</w:t>
      </w:r>
    </w:p>
    <w:p w14:paraId="2C44418D" w14:textId="77777777" w:rsidR="00511ED6" w:rsidRDefault="00511ED6" w:rsidP="00E77203">
      <w:pPr>
        <w:spacing w:line="360" w:lineRule="auto"/>
      </w:pPr>
    </w:p>
    <w:p w14:paraId="5193949D" w14:textId="77777777" w:rsidR="00511ED6" w:rsidRDefault="00511ED6" w:rsidP="00E77203">
      <w:pPr>
        <w:spacing w:line="360" w:lineRule="auto"/>
      </w:pPr>
    </w:p>
    <w:p w14:paraId="25B9356F" w14:textId="77777777" w:rsidR="00511ED6" w:rsidRDefault="00511ED6" w:rsidP="00E77203">
      <w:pPr>
        <w:spacing w:line="360" w:lineRule="auto"/>
      </w:pPr>
    </w:p>
    <w:p w14:paraId="4D43BA77" w14:textId="77777777" w:rsidR="00511ED6" w:rsidRDefault="00511ED6" w:rsidP="00E77203">
      <w:pPr>
        <w:spacing w:line="360" w:lineRule="auto"/>
      </w:pPr>
    </w:p>
    <w:p w14:paraId="5431E15D" w14:textId="77777777" w:rsidR="001B7FCE" w:rsidRDefault="001B7FCE" w:rsidP="00E77203">
      <w:pPr>
        <w:spacing w:line="360" w:lineRule="auto"/>
      </w:pPr>
    </w:p>
    <w:p w14:paraId="189FA160" w14:textId="77777777" w:rsidR="001B7FCE" w:rsidRDefault="001B7FCE" w:rsidP="00E77203">
      <w:pPr>
        <w:spacing w:line="360" w:lineRule="auto"/>
      </w:pPr>
    </w:p>
    <w:p w14:paraId="49003E4F" w14:textId="77777777" w:rsidR="00C97A55" w:rsidRDefault="00C97A55" w:rsidP="00E77203">
      <w:pPr>
        <w:spacing w:line="360" w:lineRule="auto"/>
      </w:pPr>
    </w:p>
    <w:p w14:paraId="5F2A328D" w14:textId="77777777" w:rsidR="00B80C60" w:rsidRDefault="00B80C60" w:rsidP="00E77203">
      <w:pPr>
        <w:spacing w:line="360" w:lineRule="auto"/>
      </w:pPr>
    </w:p>
    <w:p w14:paraId="3AE49380" w14:textId="77777777" w:rsidR="00A1695A" w:rsidRPr="00D056A0" w:rsidRDefault="00267753" w:rsidP="00866B91">
      <w:pPr>
        <w:pStyle w:val="Heading3"/>
        <w:numPr>
          <w:ilvl w:val="1"/>
          <w:numId w:val="31"/>
        </w:numPr>
        <w:spacing w:line="360" w:lineRule="auto"/>
      </w:pPr>
      <w:r w:rsidRPr="00D056A0">
        <w:t>Cluster analysis</w:t>
      </w:r>
    </w:p>
    <w:p w14:paraId="6DFB5F74" w14:textId="77777777" w:rsidR="003403CE" w:rsidRDefault="003403CE" w:rsidP="00E77203">
      <w:pPr>
        <w:spacing w:line="360" w:lineRule="auto"/>
        <w:rPr>
          <w:i/>
        </w:rPr>
      </w:pPr>
    </w:p>
    <w:p w14:paraId="5F89C9B1" w14:textId="145BA115" w:rsidR="003403CE" w:rsidRPr="003403CE" w:rsidRDefault="003403CE" w:rsidP="00E77203">
      <w:pPr>
        <w:spacing w:line="360" w:lineRule="auto"/>
      </w:pPr>
      <w:r w:rsidRPr="003403CE">
        <w:t xml:space="preserve">Correspondence analysis </w:t>
      </w:r>
      <w:r>
        <w:fldChar w:fldCharType="begin" w:fldLock="1"/>
      </w:r>
      <w:r w:rsidR="008A1ED6">
        <w:instrText>ADDIN CSL_CITATION {"citationItems":[{"id":"ITEM-1","itemData":{"DOI":"10.1017/S004727941400035X","ISSN":"14697823","abstract":"Authors such as Dryzek, Gough and Meadowcroft have indicated that social-democratic welfare states could be in a better position to deal with development of the ‘green’ or ‘eco’ state, and the intersection of social and environmental policies, than conservative or liberal welfare regimes (synergy hypothesis). However, this hypothesis has as yet not been examined in comparative empirical research. Based on comparative empirical data from EUROSTAT, the World Bank, the OECD, the Global Footprint Network and the International Social Survey Programme, we are carrying out two research operations: First, by applying correspondence analysis, we contrast the macro-structural welfare and sustainability indicators of thirty countries and ask whether clusters largely follow the synergy hypothesis. Second, we raise the issue of whether differences in the institutional and organisational capabilities of combining welfare with environmental policies are reflected in people's attitudes and opinions. With regard to the first issue, our results suggest that there is no ‘automatic’ development of the ecostate based on already existing advanced welfare institutions. Representatives of all welfare regimes are spread across established, deadlocked, failing, emerging and endangered ecostates. As for the second issue, the results are mixed. While responses to the statements ‘economic growth always harms the environment’ and ‘governments should pass laws to make ordinary people protect the environment, even if it interferes with people's rights to make their own decisions’ did not vary according to welfare regimes, people from social-democratic countries expressed more often than average their willingness to accept cuts in their standard of living in order to protect the environment. [ABSTRACT FROM PUBLISHER]","author":[{"dropping-particle":"","family":"Koch","given":"Max","non-dropping-particle":"","parse-names":false,"suffix":""},{"dropping-particle":"","family":"Fritz","given":"Martin","non-dropping-particle":"","parse-names":false,"suffix":""}],"container-title":"Journal of Social Policy","id":"ITEM-1","issue":"4","issued":{"date-parts":[["2014"]]},"page":"679-703","title":"Building the eco-social state: Do welfare regimes matter?","type":"article-journal","volume":"43"},"uris":["http://www.mendeley.com/documents/?uuid=3a076e0c-4603-45b4-b475-68b24141b259"]}],"mendeley":{"formattedCitation":"(Koch &amp; Fritz, 2014)","plainTextFormattedCitation":"(Koch &amp; Fritz, 2014)","previouslyFormattedCitation":"(Koch &amp; Fritz, 2014)"},"properties":{"noteIndex":0},"schema":"https://github.com/citation-style-language/schema/raw/master/csl-citation.json"}</w:instrText>
      </w:r>
      <w:r>
        <w:fldChar w:fldCharType="separate"/>
      </w:r>
      <w:r w:rsidR="00E92ABD" w:rsidRPr="00E92ABD">
        <w:rPr>
          <w:noProof/>
        </w:rPr>
        <w:t>(Koch &amp; Fritz, 2014)</w:t>
      </w:r>
      <w:r>
        <w:fldChar w:fldCharType="end"/>
      </w:r>
    </w:p>
    <w:p w14:paraId="440B8283" w14:textId="044BCF3B" w:rsidR="003403CE" w:rsidRPr="003403CE" w:rsidRDefault="003403CE" w:rsidP="00E77203">
      <w:pPr>
        <w:spacing w:line="360" w:lineRule="auto"/>
      </w:pPr>
      <w:r>
        <w:t xml:space="preserve">DFMA?? </w:t>
      </w:r>
      <w:r>
        <w:fldChar w:fldCharType="begin" w:fldLock="1"/>
      </w:r>
      <w:r w:rsidR="008A1ED6">
        <w:instrText>ADDIN CSL_CITATION {"citationItems":[{"id":"ITEM-1","itemData":{"DOI":"10.1016/j.gloenvcha.2016.02.007","ISBN":"0959-3780","ISSN":"09593780","abstract":"Taking a global perspective this paper sets out to theoretically and empirically identify prosperity patterns for four groups of countries at different levels of economic development. It conceptualizes 'prosperity' in terms of ecological sustainability, social inclusion, and the quality of life and contextualizes this definition in global perspective. Subsequently, it operationalizes and measures these dimensions on the basis of data from sources such as the World Bank, the Global Footprint Network and the OECD for 138 countries and by applying dual multiple factor analysis. Building on earlier research that suggested that higher development levels in terms of GDP per capita are capable of providing social and individual prosperity but at the expense of environmental sustainability, we ask whether other interrelations between prosperity indicators exist on other levels of economic development. Empirically distinguishing between 'rich', 'emerging', 'developing' and 'poor countries' the paper finds that social and individual prosperity indicators largely increase with economic development while ecological sustainability indicators worsen. Our analyses further reveal that 'social cohesion' can be established under different economic and institutional conditions, that subjective wellbeing increases with income rises at all levels of economic development and that a decoupling of carbon emissions from the provision of prosperity is, in principle, achievable, while a reduction of the global matter and energy throughput poses a much greater challenge. The paper concludes by highlighting the repercussions of these findings for the trajectories that countries at different levels of economic development would need to undertake.","author":[{"dropping-particle":"","family":"Fritz","given":"Martin","non-dropping-particle":"","parse-names":false,"suffix":""},{"dropping-particle":"","family":"Koch","given":"Max","non-dropping-particle":"","parse-names":false,"suffix":""}],"container-title":"Global Environmental Change","id":"ITEM-1","issued":{"date-parts":[["2016"]]},"page":"41-48","publisher":"Elsevier Ltd","title":"Economic development and prosperity patterns around the world: Structural challenges for a global steady-state economy","type":"article-journal","volume":"38"},"uris":["http://www.mendeley.com/documents/?uuid=b9aca65d-be81-4c32-86ad-0722c022e9ef"]}],"mendeley":{"formattedCitation":"(Fritz &amp; Koch, 2016)","plainTextFormattedCitation":"(Fritz &amp; Koch, 2016)","previouslyFormattedCitation":"(Fritz &amp; Koch, 2016)"},"properties":{"noteIndex":0},"schema":"https://github.com/citation-style-language/schema/raw/master/csl-citation.json"}</w:instrText>
      </w:r>
      <w:r>
        <w:fldChar w:fldCharType="separate"/>
      </w:r>
      <w:r w:rsidR="00E92ABD" w:rsidRPr="00E92ABD">
        <w:rPr>
          <w:noProof/>
        </w:rPr>
        <w:t>(Fritz &amp; Koch, 2016)</w:t>
      </w:r>
      <w:r>
        <w:fldChar w:fldCharType="end"/>
      </w:r>
    </w:p>
    <w:p w14:paraId="089AB50F" w14:textId="77777777" w:rsidR="003403CE" w:rsidRPr="003403CE" w:rsidRDefault="003403CE" w:rsidP="00E77203">
      <w:pPr>
        <w:spacing w:line="360" w:lineRule="auto"/>
        <w:rPr>
          <w:i/>
        </w:rPr>
      </w:pPr>
    </w:p>
    <w:p w14:paraId="47ED1941" w14:textId="77777777" w:rsidR="009E4A24" w:rsidRDefault="009E4A24" w:rsidP="00E77203">
      <w:pPr>
        <w:spacing w:line="360" w:lineRule="auto"/>
      </w:pPr>
    </w:p>
    <w:p w14:paraId="6DEEADF3" w14:textId="77777777" w:rsidR="00A1695A" w:rsidRDefault="00A1695A" w:rsidP="00E77203">
      <w:pPr>
        <w:spacing w:line="360" w:lineRule="auto"/>
      </w:pPr>
    </w:p>
    <w:p w14:paraId="1F3538F6" w14:textId="6AA6D887" w:rsidR="00D056A0" w:rsidRDefault="00D056A0" w:rsidP="00866B91">
      <w:pPr>
        <w:pStyle w:val="Heading2"/>
        <w:numPr>
          <w:ilvl w:val="0"/>
          <w:numId w:val="31"/>
        </w:numPr>
        <w:spacing w:line="360" w:lineRule="auto"/>
      </w:pPr>
      <w:r>
        <w:t>Discussion</w:t>
      </w:r>
    </w:p>
    <w:p w14:paraId="57D6E89E" w14:textId="77777777" w:rsidR="00D056A0" w:rsidRPr="00A1695A" w:rsidRDefault="00D056A0" w:rsidP="00E77203">
      <w:pPr>
        <w:spacing w:line="360" w:lineRule="auto"/>
      </w:pPr>
    </w:p>
    <w:p w14:paraId="78942D39" w14:textId="77777777" w:rsidR="00A1695A" w:rsidRDefault="00A1695A" w:rsidP="00E77203">
      <w:pPr>
        <w:spacing w:line="360" w:lineRule="auto"/>
      </w:pPr>
    </w:p>
    <w:p w14:paraId="6797DDEA" w14:textId="77777777" w:rsidR="00F63557" w:rsidRPr="00D056A0" w:rsidRDefault="00F63AB1" w:rsidP="00866B91">
      <w:pPr>
        <w:pStyle w:val="Heading2"/>
        <w:numPr>
          <w:ilvl w:val="0"/>
          <w:numId w:val="31"/>
        </w:numPr>
        <w:spacing w:line="360" w:lineRule="auto"/>
      </w:pPr>
      <w:r w:rsidRPr="00D056A0">
        <w:t>Conclusion</w:t>
      </w:r>
    </w:p>
    <w:p w14:paraId="2236FF58" w14:textId="77777777" w:rsidR="00D056A0" w:rsidRDefault="00D056A0" w:rsidP="00E77203">
      <w:pPr>
        <w:spacing w:line="360" w:lineRule="auto"/>
        <w:rPr>
          <w:b/>
        </w:rPr>
      </w:pPr>
    </w:p>
    <w:p w14:paraId="5D247B16" w14:textId="77777777" w:rsidR="0068382C" w:rsidRPr="0068382C" w:rsidRDefault="0068382C" w:rsidP="0068382C">
      <w:pPr>
        <w:spacing w:line="360" w:lineRule="auto"/>
        <w:rPr>
          <w:b/>
        </w:rPr>
      </w:pPr>
    </w:p>
    <w:p w14:paraId="4DF94F19" w14:textId="77777777" w:rsidR="0068382C" w:rsidRDefault="0068382C" w:rsidP="00E77203">
      <w:pPr>
        <w:spacing w:line="360" w:lineRule="auto"/>
        <w:rPr>
          <w:b/>
        </w:rPr>
      </w:pPr>
    </w:p>
    <w:p w14:paraId="705C3E48" w14:textId="77777777" w:rsidR="0068382C" w:rsidRDefault="0068382C" w:rsidP="00E77203">
      <w:pPr>
        <w:spacing w:line="360" w:lineRule="auto"/>
        <w:rPr>
          <w:b/>
        </w:rPr>
      </w:pPr>
    </w:p>
    <w:p w14:paraId="1DCE45F2" w14:textId="77777777" w:rsidR="0068382C" w:rsidRDefault="0068382C" w:rsidP="00E77203">
      <w:pPr>
        <w:spacing w:line="360" w:lineRule="auto"/>
        <w:rPr>
          <w:b/>
        </w:rPr>
      </w:pPr>
    </w:p>
    <w:p w14:paraId="377BB0AA" w14:textId="77777777" w:rsidR="00D056A0" w:rsidRPr="00D056A0" w:rsidRDefault="00D056A0" w:rsidP="00E77203">
      <w:pPr>
        <w:spacing w:line="360" w:lineRule="auto"/>
        <w:rPr>
          <w:b/>
        </w:rPr>
      </w:pPr>
    </w:p>
    <w:p w14:paraId="43C49E60" w14:textId="40D710C7" w:rsidR="00DF0496" w:rsidRDefault="00DF0496" w:rsidP="00E77203">
      <w:pPr>
        <w:spacing w:line="360" w:lineRule="auto"/>
      </w:pPr>
      <w:r>
        <w:t xml:space="preserve">In the face of these political economic challenges, authors have naturally called for packages of climate reform that address multiple underlying issues. For instance, earmarking carbon tax revenues for public goods and infrastructures could enhance the public acceptability of policies </w:t>
      </w:r>
      <w:r>
        <w:fldChar w:fldCharType="begin" w:fldLock="1"/>
      </w:r>
      <w:r w:rsidR="008A1ED6">
        <w:instrText>ADDIN CSL_CITATION {"citationItems":[{"id":"ITEM-1","itemData":{"DOI":"10.1016/j.worlddev.2016.03.001","ISSN":"0305750X","abstract":"Introducing a price on greenhouse gas emissions would not only contribute to reducing the risk of dangerous anthropogenic climate change, but would also generate substantial public revenues. Some of these revenues could be used to cover investment needs for infrastructure providing access to water, sanitation, electricity, telecommunications, and transport. In this way, emission pricing could promote sustainable socio-economic development by safeguarding the stability of natural systems which constitute the material basis of economies, while at the same time providing public goods that are essential for human well-being. For a scenario that is consistent with limiting global warming to below 2°C, we find that domestic carbon pricing (without redistribution of revenues across countries) has substantial potential to close existing access gaps for water, sanitation, electricity, and telecommunication. However, for the majority of countries carbon pricing revenues would not be sufficient to pave all unpaved roads, and for most countries in Sub-Saharan Africa they would be insufficient to provide universal access to all types of infrastructure except water. If some fraction of the global revenues of carbon pricing is redistributed, e.g., via the Green Climate Fund, more ambitious infrastructure access goals could be achieved in developing countries. Our paper also bears relevance for the design of climate finance mechanisms, as it suggests that supporting carbon pricing policies instead of project based finance might not only permit cost-efficient emission reductions, but also leverage public revenues to promote human development goals.","author":[{"dropping-particle":"","family":"Jakob","given":"Michael","non-dropping-particle":"","parse-names":false,"suffix":""},{"dropping-particle":"","family":"Chen","given":"Claudine","non-dropping-particle":"","parse-names":false,"suffix":""},{"dropping-particle":"","family":"Fuss","given":"Sabine","non-dropping-particle":"","parse-names":false,"suffix":""},{"dropping-particle":"","family":"Marxen","given":"Annika","non-dropping-particle":"","parse-names":false,"suffix":""},{"dropping-particle":"","family":"Rao","given":"Narasimha D.","non-dropping-particle":"","parse-names":false,"suffix":""},{"dropping-particle":"","family":"Edenhofer","given":"Ottmar","non-dropping-particle":"","parse-names":false,"suffix":""}],"container-title":"World Development","id":"ITEM-1","issued":{"date-parts":[["2016"]]},"page":"254-265","publisher":"Elsevier Ltd","title":"Carbon Pricing Revenues Could Close Infrastructure Access Gaps","type":"article-journal","volume":"84"},"uris":["http://www.mendeley.com/documents/?uuid=026e06d8-16b8-4322-8d6f-e32dbada6f59"]}],"mendeley":{"formattedCitation":"(Jakob et al., 2016)","plainTextFormattedCitation":"(Jakob et al., 2016)","previouslyFormattedCitation":"(Jakob et al., 2016)"},"properties":{"noteIndex":0},"schema":"https://github.com/citation-style-language/schema/raw/master/csl-citation.json"}</w:instrText>
      </w:r>
      <w:r>
        <w:fldChar w:fldCharType="separate"/>
      </w:r>
      <w:r w:rsidR="00E92ABD" w:rsidRPr="00E92ABD">
        <w:rPr>
          <w:noProof/>
        </w:rPr>
        <w:t>(Jakob et al., 2016)</w:t>
      </w:r>
      <w:r>
        <w:fldChar w:fldCharType="end"/>
      </w:r>
      <w:r>
        <w:t xml:space="preserve">, while pragmatic compensation mechanisms may be needed to buy the support of affected interest groups </w:t>
      </w:r>
      <w:r>
        <w:fldChar w:fldCharType="begin" w:fldLock="1"/>
      </w:r>
      <w:r w:rsidR="008A1ED6">
        <w:instrText>ADDIN CSL_CITATION {"citationItems":[{"id":"ITEM-1","itemData":{"DOI":"10.1002/wene.256","ISSN":"20418396","abstract":"Adrien Vogt-Schilb, Inter-American Development Bank, avogtschilb@iadb.org Stephane Hallegatte, World Bank, shallegatte@worldbank.org Abstract Countries have pledged to stabilize global warming at a 1.5 to 2°C increase. Either target requires reaching net zero emissions before the end of the century, which implies a major transformation of the economic system. This paper reviews the literature on how policymakers can design climate policies and their Nationally Determined Contributions (NDCs) to reach zero-net emissions before the end of the century in a socially and politically-acceptable manner. To get the ambition right, policymakers can use sectoral roadmaps with targets and indicators that track progress towards zero emissions (e.g. regarding renewable power or reforestation). Indeed, monitoring economy-wide emissions reductions alone would not ensure that short-term action contributes meaningfully to the long-term decarbonization goal. To get the political economy right, climate policies can be designed so that they contribute to non-climate objectives and create coalitions of supporters. For instance, revenues from carbon taxes can fund social assistance and infrastructure investment, while reducing tax evasion and informality. To minimize social and economic disruptions and avoid stranded assets, policymakers can start with a low carbon price level and use complementary policies. Designed at the sector level, complementary policies such as performance standards or feebates for cars, building norms, or moratoriums on new coal power plants can be negotiated in partnership with local stakeholders and trigger a transition to zero carbon without creating disruptive stranded assets.","author":[{"dropping-particle":"","family":"Vogt-Schilb","given":"Adrien","non-dropping-particle":"","parse-names":false,"suffix":""},{"dropping-particle":"","family":"Hallegatte","given":"Stephane","non-dropping-particle":"","parse-names":false,"suffix":""}],"container-title":"Wiley Interdisciplinary Reviews: Energy and Environment","id":"ITEM-1","issued":{"date-parts":[["2017"]]},"title":"Climate policies and nationally determined contributions: reconciling the needed ambition with the political economy","type":"article-journal","volume":"e256"},"uris":["http://www.mendeley.com/documents/?uuid=53353736-258a-4980-afad-6f632f9c6d80"]}],"mendeley":{"formattedCitation":"(Vogt-Schilb &amp; Hallegatte, 2017)","plainTextFormattedCitation":"(Vogt-Schilb &amp; Hallegatte, 2017)","previouslyFormattedCitation":"(Vogt-Schilb &amp; Hallegatte, 2017)"},"properties":{"noteIndex":0},"schema":"https://github.com/citation-style-language/schema/raw/master/csl-citation.json"}</w:instrText>
      </w:r>
      <w:r>
        <w:fldChar w:fldCharType="separate"/>
      </w:r>
      <w:r w:rsidR="00E92ABD" w:rsidRPr="00E92ABD">
        <w:rPr>
          <w:noProof/>
        </w:rPr>
        <w:t>(Vogt-Schilb &amp; Hallegatte, 2017)</w:t>
      </w:r>
      <w:r>
        <w:fldChar w:fldCharType="end"/>
      </w:r>
      <w:r>
        <w:t xml:space="preserve">. There is also wide agreement that establishing “enabling environments” and “institutional capacities” are basic pre-conditions for effective climate policy that are currently lacking </w:t>
      </w:r>
      <w:r>
        <w:fldChar w:fldCharType="begin" w:fldLock="1"/>
      </w:r>
      <w:r w:rsidR="008A1ED6">
        <w:instrText>ADDIN CSL_CITATION {"citationItems":[{"id":"ITEM-1","itemData":{"author":[{"dropping-particle":"","family":"Carbon Pricing Leadership Coalition","given":"","non-dropping-particle":"","parse-names":false,"suffix":""}],"id":"ITEM-1","issued":{"date-parts":[["2017"]]},"title":"Report of the High-Level Commission on Carbon Prices","type":"report"},"uris":["http://www.mendeley.com/documents/?uuid=a6a55c58-a507-49d7-81b5-e81d6097859a"]}],"mendeley":{"formattedCitation":"(Carbon Pricing Leadership Coalition, 2017)","plainTextFormattedCitation":"(Carbon Pricing Leadership Coalition, 2017)","previouslyFormattedCitation":"(Carbon Pricing Leadership Coalition, 2017)"},"properties":{"noteIndex":0},"schema":"https://github.com/citation-style-language/schema/raw/master/csl-citation.json"}</w:instrText>
      </w:r>
      <w:r>
        <w:fldChar w:fldCharType="separate"/>
      </w:r>
      <w:r w:rsidR="00E92ABD" w:rsidRPr="00E92ABD">
        <w:rPr>
          <w:noProof/>
        </w:rPr>
        <w:t>(Carbon Pricing Leadership Coalition, 2017)</w:t>
      </w:r>
      <w:r>
        <w:fldChar w:fldCharType="end"/>
      </w:r>
      <w:r>
        <w:t>.</w:t>
      </w:r>
    </w:p>
    <w:p w14:paraId="68FC95F9" w14:textId="12163D2C" w:rsidR="00DF0496" w:rsidRDefault="00DF0496" w:rsidP="00E77203">
      <w:pPr>
        <w:spacing w:line="360" w:lineRule="auto"/>
      </w:pPr>
      <w:r>
        <w:lastRenderedPageBreak/>
        <w:t xml:space="preserve">These are sensible and needed prescriptions, but they risk overlooking a larger architecture of constraints. Fossil fuelled economies are naturally resistant to change: they comprise not just the fixed infrastructures that need to be adapted or retired, but also the social and political systems that have co-evolved with them </w:t>
      </w:r>
      <w:r>
        <w:fldChar w:fldCharType="begin" w:fldLock="1"/>
      </w:r>
      <w:r w:rsidR="008A1ED6">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Transitions","type":"article-journal"},"uris":["http://www.mendeley.com/documents/?uuid=40b0562a-3d11-4ef9-99ae-fc67b5e900e4"]}],"mendeley":{"formattedCitation":"(Geels et al., 2017)","plainTextFormattedCitation":"(Geels et al., 2017)","previouslyFormattedCitation":"(Geels et al., 2017)"},"properties":{"noteIndex":0},"schema":"https://github.com/citation-style-language/schema/raw/master/csl-citation.json"}</w:instrText>
      </w:r>
      <w:r>
        <w:fldChar w:fldCharType="separate"/>
      </w:r>
      <w:r w:rsidR="00E92ABD" w:rsidRPr="00E92ABD">
        <w:rPr>
          <w:noProof/>
        </w:rPr>
        <w:t>(Geels et al., 2017)</w:t>
      </w:r>
      <w:r>
        <w:fldChar w:fldCharType="end"/>
      </w:r>
      <w:r>
        <w:t xml:space="preserve">. These regimes have design features that either preclude the possibilities for reform, or hamstring those agencies that are responsible for implementation. Thus the terminology of ‘weak institutions’ and ‘lacking political will’ masks the </w:t>
      </w:r>
      <w:r w:rsidRPr="00134CF1">
        <w:rPr>
          <w:i/>
        </w:rPr>
        <w:t>deliberate</w:t>
      </w:r>
      <w:r>
        <w:t xml:space="preserve"> nature of such deficiencies </w:t>
      </w:r>
      <w:r>
        <w:fldChar w:fldCharType="begin" w:fldLock="1"/>
      </w:r>
      <w:r w:rsidR="008A1ED6">
        <w:instrText>ADDIN CSL_CITATION {"citationItems":[{"id":"ITEM-1","itemData":{"ISBN":"9780821394755","author":[{"dropping-particle":"","family":"Chayes","given":"Sarah","non-dropping-particle":"","parse-names":false,"suffix":""}],"id":"ITEM-1","issued":{"date-parts":[["2017"]]},"publisher-place":"Washington, DC","title":"When corruption is the operating system: the case of Honduras","type":"report"},"uris":["http://www.mendeley.com/documents/?uuid=6eb21149-96bf-4f31-879a-71a659863422"]}],"mendeley":{"formattedCitation":"(Chayes, 2017)","plainTextFormattedCitation":"(Chayes, 2017)","previouslyFormattedCitation":"(Chayes, 2017)"},"properties":{"noteIndex":0},"schema":"https://github.com/citation-style-language/schema/raw/master/csl-citation.json"}</w:instrText>
      </w:r>
      <w:r>
        <w:fldChar w:fldCharType="separate"/>
      </w:r>
      <w:r w:rsidR="00E92ABD" w:rsidRPr="00E92ABD">
        <w:rPr>
          <w:noProof/>
        </w:rPr>
        <w:t>(Chayes, 2017)</w:t>
      </w:r>
      <w:r>
        <w:fldChar w:fldCharType="end"/>
      </w:r>
      <w:r>
        <w:t xml:space="preserve">. (… </w:t>
      </w:r>
      <w:proofErr w:type="gramStart"/>
      <w:r>
        <w:t>research</w:t>
      </w:r>
      <w:proofErr w:type="gramEnd"/>
      <w:r>
        <w:t xml:space="preserve"> on regimes?)</w:t>
      </w:r>
    </w:p>
    <w:p w14:paraId="69D0BF7C" w14:textId="77777777" w:rsidR="00DF0496" w:rsidRPr="00DF0496" w:rsidRDefault="00DF0496" w:rsidP="00E77203">
      <w:pPr>
        <w:spacing w:line="360" w:lineRule="auto"/>
        <w:rPr>
          <w:b/>
        </w:rPr>
      </w:pPr>
    </w:p>
    <w:p w14:paraId="48293DBD" w14:textId="77777777" w:rsidR="008F7F66" w:rsidRDefault="008F7F66" w:rsidP="00E77203">
      <w:pPr>
        <w:spacing w:line="360" w:lineRule="auto"/>
      </w:pPr>
    </w:p>
    <w:p w14:paraId="13E11783" w14:textId="77777777" w:rsidR="005E6E6C" w:rsidRDefault="005E6E6C" w:rsidP="005E6E6C">
      <w:pPr>
        <w:pStyle w:val="ListParagraph"/>
        <w:numPr>
          <w:ilvl w:val="0"/>
          <w:numId w:val="22"/>
        </w:numPr>
        <w:spacing w:line="360" w:lineRule="auto"/>
      </w:pPr>
      <w:r>
        <w:t>Carbon lock-in literature?? Tends to focus more on individual actions than policies?</w:t>
      </w:r>
    </w:p>
    <w:p w14:paraId="3D4FC1D3" w14:textId="77777777" w:rsidR="005E6E6C" w:rsidRDefault="005E6E6C" w:rsidP="005E6E6C">
      <w:pPr>
        <w:pStyle w:val="ListParagraph"/>
        <w:numPr>
          <w:ilvl w:val="0"/>
          <w:numId w:val="22"/>
        </w:numPr>
        <w:spacing w:line="360" w:lineRule="auto"/>
      </w:pPr>
      <w:r>
        <w:t xml:space="preserve">Theoretical perspectives in </w:t>
      </w:r>
      <w:proofErr w:type="spellStart"/>
      <w:r>
        <w:t>Lachapelle</w:t>
      </w:r>
      <w:proofErr w:type="spellEnd"/>
      <w:r>
        <w:t xml:space="preserve"> &amp; Paterson 2013</w:t>
      </w:r>
    </w:p>
    <w:p w14:paraId="63A150A3" w14:textId="77777777" w:rsidR="005E6E6C" w:rsidRDefault="005E6E6C" w:rsidP="00E77203">
      <w:pPr>
        <w:spacing w:line="360" w:lineRule="auto"/>
      </w:pPr>
    </w:p>
    <w:p w14:paraId="3E9F7B9F" w14:textId="77777777" w:rsidR="005E6E6C" w:rsidRDefault="005E6E6C" w:rsidP="00E77203">
      <w:pPr>
        <w:spacing w:line="360" w:lineRule="auto"/>
      </w:pPr>
    </w:p>
    <w:p w14:paraId="075646A7" w14:textId="77777777" w:rsidR="005E6E6C" w:rsidRDefault="005E6E6C" w:rsidP="00E77203">
      <w:pPr>
        <w:spacing w:line="360" w:lineRule="auto"/>
      </w:pPr>
    </w:p>
    <w:p w14:paraId="71324C6E" w14:textId="77777777" w:rsidR="00621B31" w:rsidRDefault="00621B31" w:rsidP="00E77203">
      <w:pPr>
        <w:spacing w:line="360" w:lineRule="auto"/>
        <w:rPr>
          <w:noProof/>
          <w:szCs w:val="24"/>
        </w:rPr>
      </w:pPr>
      <w:r w:rsidRPr="00547319">
        <w:rPr>
          <w:noProof/>
          <w:szCs w:val="24"/>
        </w:rPr>
        <w:t xml:space="preserve">S. J. Davis and R. H. Socolow, “Commitment accounting of CO2 emissions,” </w:t>
      </w:r>
      <w:r w:rsidRPr="00547319">
        <w:rPr>
          <w:i/>
          <w:iCs/>
          <w:noProof/>
          <w:szCs w:val="24"/>
        </w:rPr>
        <w:t>Environ. Res. Lett.</w:t>
      </w:r>
      <w:r w:rsidRPr="00547319">
        <w:rPr>
          <w:noProof/>
          <w:szCs w:val="24"/>
        </w:rPr>
        <w:t>, vol. 9, no. 8, p. 84018, Aug. 2014.</w:t>
      </w:r>
    </w:p>
    <w:p w14:paraId="31AB10D2" w14:textId="77777777" w:rsidR="002507F8" w:rsidRDefault="00FA3921" w:rsidP="00E77203">
      <w:pPr>
        <w:spacing w:line="360" w:lineRule="auto"/>
        <w:rPr>
          <w:noProof/>
          <w:szCs w:val="24"/>
        </w:rPr>
      </w:pPr>
      <w:r w:rsidRPr="00547319">
        <w:rPr>
          <w:noProof/>
          <w:szCs w:val="24"/>
        </w:rPr>
        <w:t xml:space="preserve">C. McGlade and P. Ekins, “The geographical distribution of fossil fuels unused when limiting global warming to 2 °C,” </w:t>
      </w:r>
      <w:r w:rsidRPr="00547319">
        <w:rPr>
          <w:i/>
          <w:iCs/>
          <w:noProof/>
          <w:szCs w:val="24"/>
        </w:rPr>
        <w:t>Nature</w:t>
      </w:r>
      <w:r w:rsidRPr="00547319">
        <w:rPr>
          <w:noProof/>
          <w:szCs w:val="24"/>
        </w:rPr>
        <w:t>, vol. 517, no. 7533, pp. 187–190, Jan. 2015.</w:t>
      </w:r>
    </w:p>
    <w:p w14:paraId="0AB121AF" w14:textId="77777777" w:rsidR="00FA3921" w:rsidRDefault="00FA3921" w:rsidP="00E77203">
      <w:pPr>
        <w:spacing w:line="360" w:lineRule="auto"/>
      </w:pPr>
    </w:p>
    <w:p w14:paraId="4865DE70" w14:textId="5FA89356" w:rsidR="00426F7E" w:rsidRDefault="00426F7E">
      <w:r>
        <w:br w:type="page"/>
      </w:r>
    </w:p>
    <w:p w14:paraId="2BC8C6AE" w14:textId="465A7298" w:rsidR="00244B27" w:rsidRPr="00244B27" w:rsidRDefault="00426F7E" w:rsidP="00244B27">
      <w:pPr>
        <w:widowControl w:val="0"/>
        <w:autoSpaceDE w:val="0"/>
        <w:autoSpaceDN w:val="0"/>
        <w:adjustRightInd w:val="0"/>
        <w:spacing w:line="360" w:lineRule="auto"/>
        <w:ind w:left="480" w:hanging="480"/>
        <w:rPr>
          <w:rFonts w:ascii="Calibri" w:hAnsi="Calibri" w:cs="Calibri"/>
          <w:noProof/>
          <w:szCs w:val="24"/>
        </w:rPr>
      </w:pPr>
      <w:r>
        <w:lastRenderedPageBreak/>
        <w:fldChar w:fldCharType="begin" w:fldLock="1"/>
      </w:r>
      <w:r w:rsidRPr="00EA67E1">
        <w:rPr>
          <w:lang w:val="de-DE"/>
        </w:rPr>
        <w:instrText xml:space="preserve">ADDIN Mendeley Bibliography CSL_BIBLIOGRAPHY </w:instrText>
      </w:r>
      <w:r>
        <w:fldChar w:fldCharType="separate"/>
      </w:r>
      <w:r w:rsidR="00244B27" w:rsidRPr="0068382C">
        <w:rPr>
          <w:rFonts w:ascii="Calibri" w:hAnsi="Calibri" w:cs="Calibri"/>
          <w:noProof/>
          <w:szCs w:val="24"/>
          <w:lang w:val="de-DE"/>
        </w:rPr>
        <w:t xml:space="preserve">Allen, M., Dube, O. P., Solecki, W., Aragon-Durand, F., Cramer, W., Humphreys, S., … Zickfeld, K. (2018). </w:t>
      </w:r>
      <w:r w:rsidR="00244B27" w:rsidRPr="00244B27">
        <w:rPr>
          <w:rFonts w:ascii="Calibri" w:hAnsi="Calibri" w:cs="Calibri"/>
          <w:noProof/>
          <w:szCs w:val="24"/>
        </w:rPr>
        <w:t xml:space="preserve">Framing and Context. In V. Masson-Delmotte, P. Zhai, H. O. Pörtner, D. Roberts, J. Skea, P. R. Shukla, … T. Waterfield (Eds.), </w:t>
      </w:r>
      <w:r w:rsidR="00244B27" w:rsidRPr="00244B27">
        <w:rPr>
          <w:rFonts w:ascii="Calibri" w:hAnsi="Calibri" w:cs="Calibri"/>
          <w:i/>
          <w:iCs/>
          <w:noProof/>
          <w:szCs w:val="24"/>
        </w:rPr>
        <w:t>Global warming of 1.5°C. An IPCC Special Report on the impacts of global warming of 1.5°C above pre-industrial levels and related global greenhouse gas emission pathways, in the context of strengthening the global response to the threat of climate change,</w:t>
      </w:r>
      <w:r w:rsidR="00244B27" w:rsidRPr="00244B27">
        <w:rPr>
          <w:rFonts w:ascii="Calibri" w:hAnsi="Calibri" w:cs="Calibri"/>
          <w:noProof/>
          <w:szCs w:val="24"/>
        </w:rPr>
        <w:t xml:space="preserve"> (pp. 49–92). Cambridge, United Kingdom and New York, NY, USA: Cambridge University Press.</w:t>
      </w:r>
    </w:p>
    <w:p w14:paraId="507ACCAA"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Bache, I., Reardon, L., Bartle, I., Flinders, M., &amp; Marsden, G. (2015). Symbolic Meta-Policy: (Not) Tackling Climate Change in the Transport Sector. </w:t>
      </w:r>
      <w:r w:rsidRPr="00244B27">
        <w:rPr>
          <w:rFonts w:ascii="Calibri" w:hAnsi="Calibri" w:cs="Calibri"/>
          <w:i/>
          <w:iCs/>
          <w:noProof/>
          <w:szCs w:val="24"/>
        </w:rPr>
        <w:t>Political Studies</w:t>
      </w:r>
      <w:r w:rsidRPr="00244B27">
        <w:rPr>
          <w:rFonts w:ascii="Calibri" w:hAnsi="Calibri" w:cs="Calibri"/>
          <w:noProof/>
          <w:szCs w:val="24"/>
        </w:rPr>
        <w:t xml:space="preserve">, </w:t>
      </w:r>
      <w:r w:rsidRPr="00244B27">
        <w:rPr>
          <w:rFonts w:ascii="Calibri" w:hAnsi="Calibri" w:cs="Calibri"/>
          <w:i/>
          <w:iCs/>
          <w:noProof/>
          <w:szCs w:val="24"/>
        </w:rPr>
        <w:t>63</w:t>
      </w:r>
      <w:r w:rsidRPr="00244B27">
        <w:rPr>
          <w:rFonts w:ascii="Calibri" w:hAnsi="Calibri" w:cs="Calibri"/>
          <w:noProof/>
          <w:szCs w:val="24"/>
        </w:rPr>
        <w:t>(4), 830–851. http://doi.org/10.1111/1467-9248.12123</w:t>
      </w:r>
    </w:p>
    <w:p w14:paraId="120A6C3A"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Baker, L., Newell, P., &amp; Phillips, J. (2014). The Political Economy of Energy Transitions: The Case of South Africa. </w:t>
      </w:r>
      <w:r w:rsidRPr="00244B27">
        <w:rPr>
          <w:rFonts w:ascii="Calibri" w:hAnsi="Calibri" w:cs="Calibri"/>
          <w:i/>
          <w:iCs/>
          <w:noProof/>
          <w:szCs w:val="24"/>
        </w:rPr>
        <w:t>New Political Economy</w:t>
      </w:r>
      <w:r w:rsidRPr="00244B27">
        <w:rPr>
          <w:rFonts w:ascii="Calibri" w:hAnsi="Calibri" w:cs="Calibri"/>
          <w:noProof/>
          <w:szCs w:val="24"/>
        </w:rPr>
        <w:t xml:space="preserve">, </w:t>
      </w:r>
      <w:r w:rsidRPr="00244B27">
        <w:rPr>
          <w:rFonts w:ascii="Calibri" w:hAnsi="Calibri" w:cs="Calibri"/>
          <w:i/>
          <w:iCs/>
          <w:noProof/>
          <w:szCs w:val="24"/>
        </w:rPr>
        <w:t>19</w:t>
      </w:r>
      <w:r w:rsidRPr="00244B27">
        <w:rPr>
          <w:rFonts w:ascii="Calibri" w:hAnsi="Calibri" w:cs="Calibri"/>
          <w:noProof/>
          <w:szCs w:val="24"/>
        </w:rPr>
        <w:t>(6), 791–818. http://doi.org/10.1080/13563467.2013.849674</w:t>
      </w:r>
    </w:p>
    <w:p w14:paraId="34E6B813"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Bardhan, P. (2016). State and Development: The Need for a Reappraisal of the Current Literature. </w:t>
      </w:r>
      <w:r w:rsidRPr="00244B27">
        <w:rPr>
          <w:rFonts w:ascii="Calibri" w:hAnsi="Calibri" w:cs="Calibri"/>
          <w:i/>
          <w:iCs/>
          <w:noProof/>
          <w:szCs w:val="24"/>
        </w:rPr>
        <w:t>Journal of Economic Literature</w:t>
      </w:r>
      <w:r w:rsidRPr="00244B27">
        <w:rPr>
          <w:rFonts w:ascii="Calibri" w:hAnsi="Calibri" w:cs="Calibri"/>
          <w:noProof/>
          <w:szCs w:val="24"/>
        </w:rPr>
        <w:t xml:space="preserve">, </w:t>
      </w:r>
      <w:r w:rsidRPr="00244B27">
        <w:rPr>
          <w:rFonts w:ascii="Calibri" w:hAnsi="Calibri" w:cs="Calibri"/>
          <w:i/>
          <w:iCs/>
          <w:noProof/>
          <w:szCs w:val="24"/>
        </w:rPr>
        <w:t>54</w:t>
      </w:r>
      <w:r w:rsidRPr="00244B27">
        <w:rPr>
          <w:rFonts w:ascii="Calibri" w:hAnsi="Calibri" w:cs="Calibri"/>
          <w:noProof/>
          <w:szCs w:val="24"/>
        </w:rPr>
        <w:t>(3), 862–892. http://doi.org/10.1257/jel.20151239</w:t>
      </w:r>
    </w:p>
    <w:p w14:paraId="123083ED"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Bernauer, T., &amp; Böhmelt, T. (2013). National climate policies in international comparison: The Climate Change Cooperation Index. </w:t>
      </w:r>
      <w:r w:rsidRPr="00244B27">
        <w:rPr>
          <w:rFonts w:ascii="Calibri" w:hAnsi="Calibri" w:cs="Calibri"/>
          <w:i/>
          <w:iCs/>
          <w:noProof/>
          <w:szCs w:val="24"/>
        </w:rPr>
        <w:t>Environmental Science and Policy</w:t>
      </w:r>
      <w:r w:rsidRPr="00244B27">
        <w:rPr>
          <w:rFonts w:ascii="Calibri" w:hAnsi="Calibri" w:cs="Calibri"/>
          <w:noProof/>
          <w:szCs w:val="24"/>
        </w:rPr>
        <w:t xml:space="preserve">, </w:t>
      </w:r>
      <w:r w:rsidRPr="00244B27">
        <w:rPr>
          <w:rFonts w:ascii="Calibri" w:hAnsi="Calibri" w:cs="Calibri"/>
          <w:i/>
          <w:iCs/>
          <w:noProof/>
          <w:szCs w:val="24"/>
        </w:rPr>
        <w:t>25</w:t>
      </w:r>
      <w:r w:rsidRPr="00244B27">
        <w:rPr>
          <w:rFonts w:ascii="Calibri" w:hAnsi="Calibri" w:cs="Calibri"/>
          <w:noProof/>
          <w:szCs w:val="24"/>
        </w:rPr>
        <w:t>, 196–206. http://doi.org/10.1016/j.envsci.2012.09.007</w:t>
      </w:r>
    </w:p>
    <w:p w14:paraId="6A41D876" w14:textId="77777777" w:rsidR="00244B27" w:rsidRPr="0068382C" w:rsidRDefault="00244B27" w:rsidP="00244B27">
      <w:pPr>
        <w:widowControl w:val="0"/>
        <w:autoSpaceDE w:val="0"/>
        <w:autoSpaceDN w:val="0"/>
        <w:adjustRightInd w:val="0"/>
        <w:spacing w:line="360" w:lineRule="auto"/>
        <w:ind w:left="480" w:hanging="480"/>
        <w:rPr>
          <w:rFonts w:ascii="Calibri" w:hAnsi="Calibri" w:cs="Calibri"/>
          <w:noProof/>
          <w:szCs w:val="24"/>
          <w:lang w:val="de-DE"/>
        </w:rPr>
      </w:pPr>
      <w:r w:rsidRPr="00244B27">
        <w:rPr>
          <w:rFonts w:ascii="Calibri" w:hAnsi="Calibri" w:cs="Calibri"/>
          <w:noProof/>
          <w:szCs w:val="24"/>
        </w:rPr>
        <w:t xml:space="preserve">Böhmelt, T., Böker, M., &amp; Ward, H. (2016). Democratic inclusiveness, climate policy outputs, and climate policy outcomes. </w:t>
      </w:r>
      <w:r w:rsidRPr="0068382C">
        <w:rPr>
          <w:rFonts w:ascii="Calibri" w:hAnsi="Calibri" w:cs="Calibri"/>
          <w:i/>
          <w:iCs/>
          <w:noProof/>
          <w:szCs w:val="24"/>
          <w:lang w:val="de-DE"/>
        </w:rPr>
        <w:t>Democratization</w:t>
      </w:r>
      <w:r w:rsidRPr="0068382C">
        <w:rPr>
          <w:rFonts w:ascii="Calibri" w:hAnsi="Calibri" w:cs="Calibri"/>
          <w:noProof/>
          <w:szCs w:val="24"/>
          <w:lang w:val="de-DE"/>
        </w:rPr>
        <w:t xml:space="preserve">, </w:t>
      </w:r>
      <w:r w:rsidRPr="0068382C">
        <w:rPr>
          <w:rFonts w:ascii="Calibri" w:hAnsi="Calibri" w:cs="Calibri"/>
          <w:i/>
          <w:iCs/>
          <w:noProof/>
          <w:szCs w:val="24"/>
          <w:lang w:val="de-DE"/>
        </w:rPr>
        <w:t>23</w:t>
      </w:r>
      <w:r w:rsidRPr="0068382C">
        <w:rPr>
          <w:rFonts w:ascii="Calibri" w:hAnsi="Calibri" w:cs="Calibri"/>
          <w:noProof/>
          <w:szCs w:val="24"/>
          <w:lang w:val="de-DE"/>
        </w:rPr>
        <w:t>(7), 1272–1291. http://doi.org/10.1080/13510347.2015.1094059</w:t>
      </w:r>
    </w:p>
    <w:p w14:paraId="7B1A1E00"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68382C">
        <w:rPr>
          <w:rFonts w:ascii="Calibri" w:hAnsi="Calibri" w:cs="Calibri"/>
          <w:noProof/>
          <w:szCs w:val="24"/>
          <w:lang w:val="de-DE"/>
        </w:rPr>
        <w:t xml:space="preserve">Burck, J., Hagen, U., Marten, F., Höhne, N., &amp; Bals, C. (2019). </w:t>
      </w:r>
      <w:r w:rsidRPr="00244B27">
        <w:rPr>
          <w:rFonts w:ascii="Calibri" w:hAnsi="Calibri" w:cs="Calibri"/>
          <w:i/>
          <w:iCs/>
          <w:noProof/>
          <w:szCs w:val="24"/>
        </w:rPr>
        <w:t>Climate Change Performance Index 2019</w:t>
      </w:r>
      <w:r w:rsidRPr="00244B27">
        <w:rPr>
          <w:rFonts w:ascii="Calibri" w:hAnsi="Calibri" w:cs="Calibri"/>
          <w:noProof/>
          <w:szCs w:val="24"/>
        </w:rPr>
        <w:t>. Bonn. Retrieved from https://www.climate-change-performance-index.org/the-climate-change-performance-index-2019</w:t>
      </w:r>
    </w:p>
    <w:p w14:paraId="33FDDEDC"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Carbon Pricing Leadership Coalition. (2017). </w:t>
      </w:r>
      <w:r w:rsidRPr="00244B27">
        <w:rPr>
          <w:rFonts w:ascii="Calibri" w:hAnsi="Calibri" w:cs="Calibri"/>
          <w:i/>
          <w:iCs/>
          <w:noProof/>
          <w:szCs w:val="24"/>
        </w:rPr>
        <w:t>Report of the High-Level Commission on Carbon Prices</w:t>
      </w:r>
      <w:r w:rsidRPr="00244B27">
        <w:rPr>
          <w:rFonts w:ascii="Calibri" w:hAnsi="Calibri" w:cs="Calibri"/>
          <w:noProof/>
          <w:szCs w:val="24"/>
        </w:rPr>
        <w:t>.</w:t>
      </w:r>
    </w:p>
    <w:p w14:paraId="2D5B7750"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Chayes, S. (2017). </w:t>
      </w:r>
      <w:r w:rsidRPr="00244B27">
        <w:rPr>
          <w:rFonts w:ascii="Calibri" w:hAnsi="Calibri" w:cs="Calibri"/>
          <w:i/>
          <w:iCs/>
          <w:noProof/>
          <w:szCs w:val="24"/>
        </w:rPr>
        <w:t>When corruption is the operating system: the case of Honduras</w:t>
      </w:r>
      <w:r w:rsidRPr="00244B27">
        <w:rPr>
          <w:rFonts w:ascii="Calibri" w:hAnsi="Calibri" w:cs="Calibri"/>
          <w:noProof/>
          <w:szCs w:val="24"/>
        </w:rPr>
        <w:t>. Washington, DC.</w:t>
      </w:r>
    </w:p>
    <w:p w14:paraId="28FD064A"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Compston, H., &amp; Bailey, I. (2016). Climate policy strength compared: China, the US, the EU, India, Russia, and Japan. </w:t>
      </w:r>
      <w:r w:rsidRPr="00244B27">
        <w:rPr>
          <w:rFonts w:ascii="Calibri" w:hAnsi="Calibri" w:cs="Calibri"/>
          <w:i/>
          <w:iCs/>
          <w:noProof/>
          <w:szCs w:val="24"/>
        </w:rPr>
        <w:t>Climate Policy</w:t>
      </w:r>
      <w:r w:rsidRPr="00244B27">
        <w:rPr>
          <w:rFonts w:ascii="Calibri" w:hAnsi="Calibri" w:cs="Calibri"/>
          <w:noProof/>
          <w:szCs w:val="24"/>
        </w:rPr>
        <w:t xml:space="preserve">, </w:t>
      </w:r>
      <w:r w:rsidRPr="00244B27">
        <w:rPr>
          <w:rFonts w:ascii="Calibri" w:hAnsi="Calibri" w:cs="Calibri"/>
          <w:i/>
          <w:iCs/>
          <w:noProof/>
          <w:szCs w:val="24"/>
        </w:rPr>
        <w:t>16</w:t>
      </w:r>
      <w:r w:rsidRPr="00244B27">
        <w:rPr>
          <w:rFonts w:ascii="Calibri" w:hAnsi="Calibri" w:cs="Calibri"/>
          <w:noProof/>
          <w:szCs w:val="24"/>
        </w:rPr>
        <w:t>(2), 145–164. http://doi.org/10.1080/14693062.2014.991908</w:t>
      </w:r>
    </w:p>
    <w:p w14:paraId="0DE710A4"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Conick, H. de, Revi, A., Babiker, M., Bertoldi, P., Buckeridge, M., Cartwright, A., … Sugiyama, T. (2018). Strengthening and Implementing the Global Response. In V. Masson-Delmotte, P. Zhai, H. O. </w:t>
      </w:r>
      <w:r w:rsidRPr="00244B27">
        <w:rPr>
          <w:rFonts w:ascii="Calibri" w:hAnsi="Calibri" w:cs="Calibri"/>
          <w:noProof/>
          <w:szCs w:val="24"/>
        </w:rPr>
        <w:lastRenderedPageBreak/>
        <w:t xml:space="preserve">Pörtner, D. Roberts, J. Skea, P. R. Shukla, … T. Waterfield (Eds.), </w:t>
      </w:r>
      <w:r w:rsidRPr="00244B27">
        <w:rPr>
          <w:rFonts w:ascii="Calibri" w:hAnsi="Calibri" w:cs="Calibri"/>
          <w:i/>
          <w:iCs/>
          <w:noProof/>
          <w:szCs w:val="24"/>
        </w:rPr>
        <w:t>Global warming of 1.5°C. An IPCC Special Report on the impacts of global warming of 1.5°C above pre-industrial levels and related global greenhouse gas emission pathways, in the context of strengthening the global response to the threat of climate change,</w:t>
      </w:r>
      <w:r w:rsidRPr="00244B27">
        <w:rPr>
          <w:rFonts w:ascii="Calibri" w:hAnsi="Calibri" w:cs="Calibri"/>
          <w:noProof/>
          <w:szCs w:val="24"/>
        </w:rPr>
        <w:t xml:space="preserve"> (pp. 313–443). Cambridge, United Kingdom and New York, NY, USA: Cambridge University Press.</w:t>
      </w:r>
    </w:p>
    <w:p w14:paraId="74760930"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Crowley, K. (2017). Up and down with climate politics 2013–2016: the repeal of carbon pricing in Australia. </w:t>
      </w:r>
      <w:r w:rsidRPr="00244B27">
        <w:rPr>
          <w:rFonts w:ascii="Calibri" w:hAnsi="Calibri" w:cs="Calibri"/>
          <w:i/>
          <w:iCs/>
          <w:noProof/>
          <w:szCs w:val="24"/>
        </w:rPr>
        <w:t>Wiley Interdisciplinary Reviews: Climate Change</w:t>
      </w:r>
      <w:r w:rsidRPr="00244B27">
        <w:rPr>
          <w:rFonts w:ascii="Calibri" w:hAnsi="Calibri" w:cs="Calibri"/>
          <w:noProof/>
          <w:szCs w:val="24"/>
        </w:rPr>
        <w:t xml:space="preserve">, </w:t>
      </w:r>
      <w:r w:rsidRPr="00244B27">
        <w:rPr>
          <w:rFonts w:ascii="Calibri" w:hAnsi="Calibri" w:cs="Calibri"/>
          <w:i/>
          <w:iCs/>
          <w:noProof/>
          <w:szCs w:val="24"/>
        </w:rPr>
        <w:t>8</w:t>
      </w:r>
      <w:r w:rsidRPr="00244B27">
        <w:rPr>
          <w:rFonts w:ascii="Calibri" w:hAnsi="Calibri" w:cs="Calibri"/>
          <w:noProof/>
          <w:szCs w:val="24"/>
        </w:rPr>
        <w:t>(e458). http://doi.org/10.1002/wcc.458</w:t>
      </w:r>
    </w:p>
    <w:p w14:paraId="6F4B7DAE"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Davis, S. J., &amp; Socolow, R. H. (2014). Commitment accounting of CO2 emissions. </w:t>
      </w:r>
      <w:r w:rsidRPr="00244B27">
        <w:rPr>
          <w:rFonts w:ascii="Calibri" w:hAnsi="Calibri" w:cs="Calibri"/>
          <w:i/>
          <w:iCs/>
          <w:noProof/>
          <w:szCs w:val="24"/>
        </w:rPr>
        <w:t>Environmental Research Letters</w:t>
      </w:r>
      <w:r w:rsidRPr="00244B27">
        <w:rPr>
          <w:rFonts w:ascii="Calibri" w:hAnsi="Calibri" w:cs="Calibri"/>
          <w:noProof/>
          <w:szCs w:val="24"/>
        </w:rPr>
        <w:t xml:space="preserve">, </w:t>
      </w:r>
      <w:r w:rsidRPr="00244B27">
        <w:rPr>
          <w:rFonts w:ascii="Calibri" w:hAnsi="Calibri" w:cs="Calibri"/>
          <w:i/>
          <w:iCs/>
          <w:noProof/>
          <w:szCs w:val="24"/>
        </w:rPr>
        <w:t>9</w:t>
      </w:r>
      <w:r w:rsidRPr="00244B27">
        <w:rPr>
          <w:rFonts w:ascii="Calibri" w:hAnsi="Calibri" w:cs="Calibri"/>
          <w:noProof/>
          <w:szCs w:val="24"/>
        </w:rPr>
        <w:t>(8), 084018. http://doi.org/10.1088/1748-9326/9/8/084018</w:t>
      </w:r>
    </w:p>
    <w:p w14:paraId="3E21772B"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Deacon, R. T. (2009). Public good provision under dictatorship and democracy. </w:t>
      </w:r>
      <w:r w:rsidRPr="00244B27">
        <w:rPr>
          <w:rFonts w:ascii="Calibri" w:hAnsi="Calibri" w:cs="Calibri"/>
          <w:i/>
          <w:iCs/>
          <w:noProof/>
          <w:szCs w:val="24"/>
        </w:rPr>
        <w:t>Public Choice</w:t>
      </w:r>
      <w:r w:rsidRPr="00244B27">
        <w:rPr>
          <w:rFonts w:ascii="Calibri" w:hAnsi="Calibri" w:cs="Calibri"/>
          <w:noProof/>
          <w:szCs w:val="24"/>
        </w:rPr>
        <w:t xml:space="preserve">, </w:t>
      </w:r>
      <w:r w:rsidRPr="00244B27">
        <w:rPr>
          <w:rFonts w:ascii="Calibri" w:hAnsi="Calibri" w:cs="Calibri"/>
          <w:i/>
          <w:iCs/>
          <w:noProof/>
          <w:szCs w:val="24"/>
        </w:rPr>
        <w:t>139</w:t>
      </w:r>
      <w:r w:rsidRPr="00244B27">
        <w:rPr>
          <w:rFonts w:ascii="Calibri" w:hAnsi="Calibri" w:cs="Calibri"/>
          <w:noProof/>
          <w:szCs w:val="24"/>
        </w:rPr>
        <w:t>(1–2), 241–262. http://doi.org/10.1007/s11127-008-9391-x</w:t>
      </w:r>
    </w:p>
    <w:p w14:paraId="24E5894F"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Dietz, T. (2017). Drivers of Human Stress on the Environment in the Twenty-First Century. </w:t>
      </w:r>
      <w:r w:rsidRPr="00244B27">
        <w:rPr>
          <w:rFonts w:ascii="Calibri" w:hAnsi="Calibri" w:cs="Calibri"/>
          <w:i/>
          <w:iCs/>
          <w:noProof/>
          <w:szCs w:val="24"/>
        </w:rPr>
        <w:t>Annual Review of Environment and Resources</w:t>
      </w:r>
      <w:r w:rsidRPr="00244B27">
        <w:rPr>
          <w:rFonts w:ascii="Calibri" w:hAnsi="Calibri" w:cs="Calibri"/>
          <w:noProof/>
          <w:szCs w:val="24"/>
        </w:rPr>
        <w:t xml:space="preserve">, </w:t>
      </w:r>
      <w:r w:rsidRPr="00244B27">
        <w:rPr>
          <w:rFonts w:ascii="Calibri" w:hAnsi="Calibri" w:cs="Calibri"/>
          <w:i/>
          <w:iCs/>
          <w:noProof/>
          <w:szCs w:val="24"/>
        </w:rPr>
        <w:t>42</w:t>
      </w:r>
      <w:r w:rsidRPr="00244B27">
        <w:rPr>
          <w:rFonts w:ascii="Calibri" w:hAnsi="Calibri" w:cs="Calibri"/>
          <w:noProof/>
          <w:szCs w:val="24"/>
        </w:rPr>
        <w:t>, 189–213. http://doi.org/10.1146/annurev-environ-110615-085440</w:t>
      </w:r>
    </w:p>
    <w:p w14:paraId="14D169A1" w14:textId="77777777" w:rsidR="00244B27" w:rsidRPr="0068382C" w:rsidRDefault="00244B27" w:rsidP="00244B27">
      <w:pPr>
        <w:widowControl w:val="0"/>
        <w:autoSpaceDE w:val="0"/>
        <w:autoSpaceDN w:val="0"/>
        <w:adjustRightInd w:val="0"/>
        <w:spacing w:line="360" w:lineRule="auto"/>
        <w:ind w:left="480" w:hanging="480"/>
        <w:rPr>
          <w:rFonts w:ascii="Calibri" w:hAnsi="Calibri" w:cs="Calibri"/>
          <w:noProof/>
          <w:szCs w:val="24"/>
          <w:lang w:val="de-DE"/>
        </w:rPr>
      </w:pPr>
      <w:r w:rsidRPr="00244B27">
        <w:rPr>
          <w:rFonts w:ascii="Calibri" w:hAnsi="Calibri" w:cs="Calibri"/>
          <w:noProof/>
          <w:szCs w:val="24"/>
        </w:rPr>
        <w:t xml:space="preserve">Dolphin, G. G., Pollitt, M. G., &amp; Newbery, D. G. (2016). </w:t>
      </w:r>
      <w:r w:rsidRPr="00244B27">
        <w:rPr>
          <w:rFonts w:ascii="Calibri" w:hAnsi="Calibri" w:cs="Calibri"/>
          <w:i/>
          <w:iCs/>
          <w:noProof/>
          <w:szCs w:val="24"/>
        </w:rPr>
        <w:t>The Political Economy of Carbon Pricing: a Panel Analysis</w:t>
      </w:r>
      <w:r w:rsidRPr="00244B27">
        <w:rPr>
          <w:rFonts w:ascii="Calibri" w:hAnsi="Calibri" w:cs="Calibri"/>
          <w:noProof/>
          <w:szCs w:val="24"/>
        </w:rPr>
        <w:t xml:space="preserve"> (Cambridge Working Paper Economics No. 1663). </w:t>
      </w:r>
      <w:r w:rsidRPr="0068382C">
        <w:rPr>
          <w:rFonts w:ascii="Calibri" w:hAnsi="Calibri" w:cs="Calibri"/>
          <w:noProof/>
          <w:szCs w:val="24"/>
          <w:lang w:val="de-DE"/>
        </w:rPr>
        <w:t>Cambrdige, UK. Retrieved from www.eprg.group.cam.ac.uk</w:t>
      </w:r>
    </w:p>
    <w:p w14:paraId="40CDF55E"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68382C">
        <w:rPr>
          <w:rFonts w:ascii="Calibri" w:hAnsi="Calibri" w:cs="Calibri"/>
          <w:noProof/>
          <w:szCs w:val="24"/>
          <w:lang w:val="de-DE"/>
        </w:rPr>
        <w:t xml:space="preserve">Dorband, I. I., Jakob, M., Kalkuhl, M., &amp; Steckel, J. C. (2019). </w:t>
      </w:r>
      <w:r w:rsidRPr="00244B27">
        <w:rPr>
          <w:rFonts w:ascii="Calibri" w:hAnsi="Calibri" w:cs="Calibri"/>
          <w:noProof/>
          <w:szCs w:val="24"/>
        </w:rPr>
        <w:t xml:space="preserve">Poverty and distributional effects of carbon pricing in low- and middle-income countries – A global comparative analysis. </w:t>
      </w:r>
      <w:r w:rsidRPr="00244B27">
        <w:rPr>
          <w:rFonts w:ascii="Calibri" w:hAnsi="Calibri" w:cs="Calibri"/>
          <w:i/>
          <w:iCs/>
          <w:noProof/>
          <w:szCs w:val="24"/>
        </w:rPr>
        <w:t>World Development</w:t>
      </w:r>
      <w:r w:rsidRPr="00244B27">
        <w:rPr>
          <w:rFonts w:ascii="Calibri" w:hAnsi="Calibri" w:cs="Calibri"/>
          <w:noProof/>
          <w:szCs w:val="24"/>
        </w:rPr>
        <w:t xml:space="preserve">, </w:t>
      </w:r>
      <w:r w:rsidRPr="00244B27">
        <w:rPr>
          <w:rFonts w:ascii="Calibri" w:hAnsi="Calibri" w:cs="Calibri"/>
          <w:i/>
          <w:iCs/>
          <w:noProof/>
          <w:szCs w:val="24"/>
        </w:rPr>
        <w:t>115</w:t>
      </w:r>
      <w:r w:rsidRPr="00244B27">
        <w:rPr>
          <w:rFonts w:ascii="Calibri" w:hAnsi="Calibri" w:cs="Calibri"/>
          <w:noProof/>
          <w:szCs w:val="24"/>
        </w:rPr>
        <w:t>, 246–257. http://doi.org/10.1016/j.worlddev.2018.11.015</w:t>
      </w:r>
    </w:p>
    <w:p w14:paraId="384AF39C"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Drews, S., &amp; van den Bergh, J. C. J. M. (2016). What explains public support for climate policies? A review of empirical and experimental studies. </w:t>
      </w:r>
      <w:r w:rsidRPr="00244B27">
        <w:rPr>
          <w:rFonts w:ascii="Calibri" w:hAnsi="Calibri" w:cs="Calibri"/>
          <w:i/>
          <w:iCs/>
          <w:noProof/>
          <w:szCs w:val="24"/>
        </w:rPr>
        <w:t>Climate Policy</w:t>
      </w:r>
      <w:r w:rsidRPr="00244B27">
        <w:rPr>
          <w:rFonts w:ascii="Calibri" w:hAnsi="Calibri" w:cs="Calibri"/>
          <w:noProof/>
          <w:szCs w:val="24"/>
        </w:rPr>
        <w:t xml:space="preserve">, </w:t>
      </w:r>
      <w:r w:rsidRPr="00244B27">
        <w:rPr>
          <w:rFonts w:ascii="Calibri" w:hAnsi="Calibri" w:cs="Calibri"/>
          <w:i/>
          <w:iCs/>
          <w:noProof/>
          <w:szCs w:val="24"/>
        </w:rPr>
        <w:t>16</w:t>
      </w:r>
      <w:r w:rsidRPr="00244B27">
        <w:rPr>
          <w:rFonts w:ascii="Calibri" w:hAnsi="Calibri" w:cs="Calibri"/>
          <w:noProof/>
          <w:szCs w:val="24"/>
        </w:rPr>
        <w:t>(7), 855–876. http://doi.org/10.1080/14693062.2015.1058240</w:t>
      </w:r>
    </w:p>
    <w:p w14:paraId="2E70870F"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68382C">
        <w:rPr>
          <w:rFonts w:ascii="Calibri" w:hAnsi="Calibri" w:cs="Calibri"/>
          <w:noProof/>
          <w:szCs w:val="24"/>
          <w:lang w:val="de-DE"/>
        </w:rPr>
        <w:t xml:space="preserve">Edenhofer, O., Steckel, J. C., Jakob, M., &amp; Bertram, C. (2018). </w:t>
      </w:r>
      <w:r w:rsidRPr="00244B27">
        <w:rPr>
          <w:rFonts w:ascii="Calibri" w:hAnsi="Calibri" w:cs="Calibri"/>
          <w:noProof/>
          <w:szCs w:val="24"/>
        </w:rPr>
        <w:t xml:space="preserve">Reports of coal’s terminal decline may be exaggerated. </w:t>
      </w:r>
      <w:r w:rsidRPr="00244B27">
        <w:rPr>
          <w:rFonts w:ascii="Calibri" w:hAnsi="Calibri" w:cs="Calibri"/>
          <w:i/>
          <w:iCs/>
          <w:noProof/>
          <w:szCs w:val="24"/>
        </w:rPr>
        <w:t>Environ. Res. Lett</w:t>
      </w:r>
      <w:r w:rsidRPr="00244B27">
        <w:rPr>
          <w:rFonts w:ascii="Calibri" w:hAnsi="Calibri" w:cs="Calibri"/>
          <w:noProof/>
          <w:szCs w:val="24"/>
        </w:rPr>
        <w:t xml:space="preserve">, </w:t>
      </w:r>
      <w:r w:rsidRPr="00244B27">
        <w:rPr>
          <w:rFonts w:ascii="Calibri" w:hAnsi="Calibri" w:cs="Calibri"/>
          <w:i/>
          <w:iCs/>
          <w:noProof/>
          <w:szCs w:val="24"/>
        </w:rPr>
        <w:t>13</w:t>
      </w:r>
      <w:r w:rsidRPr="00244B27">
        <w:rPr>
          <w:rFonts w:ascii="Calibri" w:hAnsi="Calibri" w:cs="Calibri"/>
          <w:noProof/>
          <w:szCs w:val="24"/>
        </w:rPr>
        <w:t>, 1–9. http://doi.org/10.1088/1748-9326/aaa3a2</w:t>
      </w:r>
    </w:p>
    <w:p w14:paraId="2DFA06B1"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Fairbrother, M. (2016). Trust and public support for environmental protection in diverse national contexts. </w:t>
      </w:r>
      <w:r w:rsidRPr="00244B27">
        <w:rPr>
          <w:rFonts w:ascii="Calibri" w:hAnsi="Calibri" w:cs="Calibri"/>
          <w:i/>
          <w:iCs/>
          <w:noProof/>
          <w:szCs w:val="24"/>
        </w:rPr>
        <w:t>Sociological Science</w:t>
      </w:r>
      <w:r w:rsidRPr="00244B27">
        <w:rPr>
          <w:rFonts w:ascii="Calibri" w:hAnsi="Calibri" w:cs="Calibri"/>
          <w:noProof/>
          <w:szCs w:val="24"/>
        </w:rPr>
        <w:t xml:space="preserve">, </w:t>
      </w:r>
      <w:r w:rsidRPr="00244B27">
        <w:rPr>
          <w:rFonts w:ascii="Calibri" w:hAnsi="Calibri" w:cs="Calibri"/>
          <w:i/>
          <w:iCs/>
          <w:noProof/>
          <w:szCs w:val="24"/>
        </w:rPr>
        <w:t>3</w:t>
      </w:r>
      <w:r w:rsidRPr="00244B27">
        <w:rPr>
          <w:rFonts w:ascii="Calibri" w:hAnsi="Calibri" w:cs="Calibri"/>
          <w:noProof/>
          <w:szCs w:val="24"/>
        </w:rPr>
        <w:t>, 359–382. http://doi.org/10.15195/v3.a17</w:t>
      </w:r>
    </w:p>
    <w:p w14:paraId="6BDF8FA3"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Fairbrother, M. (2017). Environmental attitudes and the politics of distrust. </w:t>
      </w:r>
      <w:r w:rsidRPr="00244B27">
        <w:rPr>
          <w:rFonts w:ascii="Calibri" w:hAnsi="Calibri" w:cs="Calibri"/>
          <w:i/>
          <w:iCs/>
          <w:noProof/>
          <w:szCs w:val="24"/>
        </w:rPr>
        <w:t>Sociology Compass</w:t>
      </w:r>
      <w:r w:rsidRPr="00244B27">
        <w:rPr>
          <w:rFonts w:ascii="Calibri" w:hAnsi="Calibri" w:cs="Calibri"/>
          <w:noProof/>
          <w:szCs w:val="24"/>
        </w:rPr>
        <w:t xml:space="preserve">, </w:t>
      </w:r>
      <w:r w:rsidRPr="00244B27">
        <w:rPr>
          <w:rFonts w:ascii="Calibri" w:hAnsi="Calibri" w:cs="Calibri"/>
          <w:i/>
          <w:iCs/>
          <w:noProof/>
          <w:szCs w:val="24"/>
        </w:rPr>
        <w:t>11</w:t>
      </w:r>
      <w:r w:rsidRPr="00244B27">
        <w:rPr>
          <w:rFonts w:ascii="Calibri" w:hAnsi="Calibri" w:cs="Calibri"/>
          <w:noProof/>
          <w:szCs w:val="24"/>
        </w:rPr>
        <w:t>(5), 1–10. http://doi.org/10.1111/soc4.12482</w:t>
      </w:r>
    </w:p>
    <w:p w14:paraId="7A964A29"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Fankhauser, S., Gennaioli, C., &amp; Collins, M. (2015). The political economy of passing climate change </w:t>
      </w:r>
      <w:r w:rsidRPr="00244B27">
        <w:rPr>
          <w:rFonts w:ascii="Calibri" w:hAnsi="Calibri" w:cs="Calibri"/>
          <w:noProof/>
          <w:szCs w:val="24"/>
        </w:rPr>
        <w:lastRenderedPageBreak/>
        <w:t xml:space="preserve">legislation: evidence from a survey. </w:t>
      </w:r>
      <w:r w:rsidRPr="00244B27">
        <w:rPr>
          <w:rFonts w:ascii="Calibri" w:hAnsi="Calibri" w:cs="Calibri"/>
          <w:i/>
          <w:iCs/>
          <w:noProof/>
          <w:szCs w:val="24"/>
        </w:rPr>
        <w:t>Global Environmental Change</w:t>
      </w:r>
      <w:r w:rsidRPr="00244B27">
        <w:rPr>
          <w:rFonts w:ascii="Calibri" w:hAnsi="Calibri" w:cs="Calibri"/>
          <w:noProof/>
          <w:szCs w:val="24"/>
        </w:rPr>
        <w:t xml:space="preserve">, </w:t>
      </w:r>
      <w:r w:rsidRPr="00244B27">
        <w:rPr>
          <w:rFonts w:ascii="Calibri" w:hAnsi="Calibri" w:cs="Calibri"/>
          <w:i/>
          <w:iCs/>
          <w:noProof/>
          <w:szCs w:val="24"/>
        </w:rPr>
        <w:t>35</w:t>
      </w:r>
      <w:r w:rsidRPr="00244B27">
        <w:rPr>
          <w:rFonts w:ascii="Calibri" w:hAnsi="Calibri" w:cs="Calibri"/>
          <w:noProof/>
          <w:szCs w:val="24"/>
        </w:rPr>
        <w:t>, 52–61. http://doi.org/10.1016/j.gloenvcha.2015.08.008</w:t>
      </w:r>
    </w:p>
    <w:p w14:paraId="72A8011A"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Farrell, J. (2016). Network structure and influence of the climate change counter-movement. </w:t>
      </w:r>
      <w:r w:rsidRPr="00244B27">
        <w:rPr>
          <w:rFonts w:ascii="Calibri" w:hAnsi="Calibri" w:cs="Calibri"/>
          <w:i/>
          <w:iCs/>
          <w:noProof/>
          <w:szCs w:val="24"/>
        </w:rPr>
        <w:t>Nature Climate Change</w:t>
      </w:r>
      <w:r w:rsidRPr="00244B27">
        <w:rPr>
          <w:rFonts w:ascii="Calibri" w:hAnsi="Calibri" w:cs="Calibri"/>
          <w:noProof/>
          <w:szCs w:val="24"/>
        </w:rPr>
        <w:t xml:space="preserve">, </w:t>
      </w:r>
      <w:r w:rsidRPr="00244B27">
        <w:rPr>
          <w:rFonts w:ascii="Calibri" w:hAnsi="Calibri" w:cs="Calibri"/>
          <w:i/>
          <w:iCs/>
          <w:noProof/>
          <w:szCs w:val="24"/>
        </w:rPr>
        <w:t>6</w:t>
      </w:r>
      <w:r w:rsidRPr="00244B27">
        <w:rPr>
          <w:rFonts w:ascii="Calibri" w:hAnsi="Calibri" w:cs="Calibri"/>
          <w:noProof/>
          <w:szCs w:val="24"/>
        </w:rPr>
        <w:t>(4), 370–374. http://doi.org/10.1038/nclimate2875</w:t>
      </w:r>
    </w:p>
    <w:p w14:paraId="323F262D"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Farrell, J., McConnell, K., &amp; Brulle, R. (2019). Evidence-based strategies to combat scientific misinformation. </w:t>
      </w:r>
      <w:r w:rsidRPr="00244B27">
        <w:rPr>
          <w:rFonts w:ascii="Calibri" w:hAnsi="Calibri" w:cs="Calibri"/>
          <w:i/>
          <w:iCs/>
          <w:noProof/>
          <w:szCs w:val="24"/>
        </w:rPr>
        <w:t>Nature Climate Change</w:t>
      </w:r>
      <w:r w:rsidRPr="00244B27">
        <w:rPr>
          <w:rFonts w:ascii="Calibri" w:hAnsi="Calibri" w:cs="Calibri"/>
          <w:noProof/>
          <w:szCs w:val="24"/>
        </w:rPr>
        <w:t xml:space="preserve">, </w:t>
      </w:r>
      <w:r w:rsidRPr="00244B27">
        <w:rPr>
          <w:rFonts w:ascii="Calibri" w:hAnsi="Calibri" w:cs="Calibri"/>
          <w:i/>
          <w:iCs/>
          <w:noProof/>
          <w:szCs w:val="24"/>
        </w:rPr>
        <w:t>9</w:t>
      </w:r>
      <w:r w:rsidRPr="00244B27">
        <w:rPr>
          <w:rFonts w:ascii="Calibri" w:hAnsi="Calibri" w:cs="Calibri"/>
          <w:noProof/>
          <w:szCs w:val="24"/>
        </w:rPr>
        <w:t>(March), 191–195. http://doi.org/10.1038/s41558-018-0368-6</w:t>
      </w:r>
    </w:p>
    <w:p w14:paraId="3BA85D32"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Foxon, T. J., Pearson, P. J. G., Arapostathis, S., Carlsson-Hyslop, A., &amp; Thornton, J. (2013). Branching points for transition pathways: assessing responses of actors to challenges on pathways to a low carbon future. </w:t>
      </w:r>
      <w:r w:rsidRPr="00244B27">
        <w:rPr>
          <w:rFonts w:ascii="Calibri" w:hAnsi="Calibri" w:cs="Calibri"/>
          <w:i/>
          <w:iCs/>
          <w:noProof/>
          <w:szCs w:val="24"/>
        </w:rPr>
        <w:t>Energy Policy</w:t>
      </w:r>
      <w:r w:rsidRPr="00244B27">
        <w:rPr>
          <w:rFonts w:ascii="Calibri" w:hAnsi="Calibri" w:cs="Calibri"/>
          <w:noProof/>
          <w:szCs w:val="24"/>
        </w:rPr>
        <w:t xml:space="preserve">, </w:t>
      </w:r>
      <w:r w:rsidRPr="00244B27">
        <w:rPr>
          <w:rFonts w:ascii="Calibri" w:hAnsi="Calibri" w:cs="Calibri"/>
          <w:i/>
          <w:iCs/>
          <w:noProof/>
          <w:szCs w:val="24"/>
        </w:rPr>
        <w:t>52</w:t>
      </w:r>
      <w:r w:rsidRPr="00244B27">
        <w:rPr>
          <w:rFonts w:ascii="Calibri" w:hAnsi="Calibri" w:cs="Calibri"/>
          <w:noProof/>
          <w:szCs w:val="24"/>
        </w:rPr>
        <w:t>, 146–158. http://doi.org/10.1016/j.enpol.2012.04.030</w:t>
      </w:r>
    </w:p>
    <w:p w14:paraId="450C20A1"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Fredriksson, P. G., &amp; Neumayer, E. (2013). Democracy and climate change policies: Is history important? </w:t>
      </w:r>
      <w:r w:rsidRPr="00244B27">
        <w:rPr>
          <w:rFonts w:ascii="Calibri" w:hAnsi="Calibri" w:cs="Calibri"/>
          <w:i/>
          <w:iCs/>
          <w:noProof/>
          <w:szCs w:val="24"/>
        </w:rPr>
        <w:t>Ecological Economics</w:t>
      </w:r>
      <w:r w:rsidRPr="00244B27">
        <w:rPr>
          <w:rFonts w:ascii="Calibri" w:hAnsi="Calibri" w:cs="Calibri"/>
          <w:noProof/>
          <w:szCs w:val="24"/>
        </w:rPr>
        <w:t xml:space="preserve">, </w:t>
      </w:r>
      <w:r w:rsidRPr="00244B27">
        <w:rPr>
          <w:rFonts w:ascii="Calibri" w:hAnsi="Calibri" w:cs="Calibri"/>
          <w:i/>
          <w:iCs/>
          <w:noProof/>
          <w:szCs w:val="24"/>
        </w:rPr>
        <w:t>95</w:t>
      </w:r>
      <w:r w:rsidRPr="00244B27">
        <w:rPr>
          <w:rFonts w:ascii="Calibri" w:hAnsi="Calibri" w:cs="Calibri"/>
          <w:noProof/>
          <w:szCs w:val="24"/>
        </w:rPr>
        <w:t>, 11–19. http://doi.org/10.1016/j.ecolecon.2013.08.002</w:t>
      </w:r>
    </w:p>
    <w:p w14:paraId="7D4C95AE"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Fritz, M., &amp; Koch, M. (2016). Economic development and prosperity patterns around the world: Structural challenges for a global steady-state economy. </w:t>
      </w:r>
      <w:r w:rsidRPr="00244B27">
        <w:rPr>
          <w:rFonts w:ascii="Calibri" w:hAnsi="Calibri" w:cs="Calibri"/>
          <w:i/>
          <w:iCs/>
          <w:noProof/>
          <w:szCs w:val="24"/>
        </w:rPr>
        <w:t>Global Environmental Change</w:t>
      </w:r>
      <w:r w:rsidRPr="00244B27">
        <w:rPr>
          <w:rFonts w:ascii="Calibri" w:hAnsi="Calibri" w:cs="Calibri"/>
          <w:noProof/>
          <w:szCs w:val="24"/>
        </w:rPr>
        <w:t xml:space="preserve">, </w:t>
      </w:r>
      <w:r w:rsidRPr="00244B27">
        <w:rPr>
          <w:rFonts w:ascii="Calibri" w:hAnsi="Calibri" w:cs="Calibri"/>
          <w:i/>
          <w:iCs/>
          <w:noProof/>
          <w:szCs w:val="24"/>
        </w:rPr>
        <w:t>38</w:t>
      </w:r>
      <w:r w:rsidRPr="00244B27">
        <w:rPr>
          <w:rFonts w:ascii="Calibri" w:hAnsi="Calibri" w:cs="Calibri"/>
          <w:noProof/>
          <w:szCs w:val="24"/>
        </w:rPr>
        <w:t>, 41–48. http://doi.org/10.1016/j.gloenvcha.2016.02.007</w:t>
      </w:r>
    </w:p>
    <w:p w14:paraId="7E172234"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Fuchs, D., Di Giulio, A., Glaab, K., Lorek, S., Maniates, M., Princen, T., &amp; Røpke, I. (2015). Power: The missing element in sustainable consumption and absolute reductions research and action. </w:t>
      </w:r>
      <w:r w:rsidRPr="00244B27">
        <w:rPr>
          <w:rFonts w:ascii="Calibri" w:hAnsi="Calibri" w:cs="Calibri"/>
          <w:i/>
          <w:iCs/>
          <w:noProof/>
          <w:szCs w:val="24"/>
        </w:rPr>
        <w:t>Journal of Cleaner Production</w:t>
      </w:r>
      <w:r w:rsidRPr="00244B27">
        <w:rPr>
          <w:rFonts w:ascii="Calibri" w:hAnsi="Calibri" w:cs="Calibri"/>
          <w:noProof/>
          <w:szCs w:val="24"/>
        </w:rPr>
        <w:t xml:space="preserve">, </w:t>
      </w:r>
      <w:r w:rsidRPr="00244B27">
        <w:rPr>
          <w:rFonts w:ascii="Calibri" w:hAnsi="Calibri" w:cs="Calibri"/>
          <w:i/>
          <w:iCs/>
          <w:noProof/>
          <w:szCs w:val="24"/>
        </w:rPr>
        <w:t>132</w:t>
      </w:r>
      <w:r w:rsidRPr="00244B27">
        <w:rPr>
          <w:rFonts w:ascii="Calibri" w:hAnsi="Calibri" w:cs="Calibri"/>
          <w:noProof/>
          <w:szCs w:val="24"/>
        </w:rPr>
        <w:t>, 298–307. http://doi.org/10.1016/j.jclepro.2015.02.006</w:t>
      </w:r>
    </w:p>
    <w:p w14:paraId="5888179B"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Gardiner, S. M. (2011). </w:t>
      </w:r>
      <w:r w:rsidRPr="00244B27">
        <w:rPr>
          <w:rFonts w:ascii="Calibri" w:hAnsi="Calibri" w:cs="Calibri"/>
          <w:i/>
          <w:iCs/>
          <w:noProof/>
          <w:szCs w:val="24"/>
        </w:rPr>
        <w:t>A Perfect Moral Storm: The Ethical Tragedy of Climate Change</w:t>
      </w:r>
      <w:r w:rsidRPr="00244B27">
        <w:rPr>
          <w:rFonts w:ascii="Calibri" w:hAnsi="Calibri" w:cs="Calibri"/>
          <w:noProof/>
          <w:szCs w:val="24"/>
        </w:rPr>
        <w:t>. Oxford: Oxford University Press.</w:t>
      </w:r>
    </w:p>
    <w:p w14:paraId="77FE72BE"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Geels, F. W., &amp; Schot, J. (2007). Typology of sociotechnical transition pathways. </w:t>
      </w:r>
      <w:r w:rsidRPr="00244B27">
        <w:rPr>
          <w:rFonts w:ascii="Calibri" w:hAnsi="Calibri" w:cs="Calibri"/>
          <w:i/>
          <w:iCs/>
          <w:noProof/>
          <w:szCs w:val="24"/>
        </w:rPr>
        <w:t>Research Policy</w:t>
      </w:r>
      <w:r w:rsidRPr="00244B27">
        <w:rPr>
          <w:rFonts w:ascii="Calibri" w:hAnsi="Calibri" w:cs="Calibri"/>
          <w:noProof/>
          <w:szCs w:val="24"/>
        </w:rPr>
        <w:t xml:space="preserve">, </w:t>
      </w:r>
      <w:r w:rsidRPr="00244B27">
        <w:rPr>
          <w:rFonts w:ascii="Calibri" w:hAnsi="Calibri" w:cs="Calibri"/>
          <w:i/>
          <w:iCs/>
          <w:noProof/>
          <w:szCs w:val="24"/>
        </w:rPr>
        <w:t>36</w:t>
      </w:r>
      <w:r w:rsidRPr="00244B27">
        <w:rPr>
          <w:rFonts w:ascii="Calibri" w:hAnsi="Calibri" w:cs="Calibri"/>
          <w:noProof/>
          <w:szCs w:val="24"/>
        </w:rPr>
        <w:t>(3), 399–417. http://doi.org/10.1016/j.respol.2007.01.003</w:t>
      </w:r>
    </w:p>
    <w:p w14:paraId="7784D044"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Geels, F. W., Sovacool, B. K., Schwanen, T., &amp; Sorrell, S. (2017). The Socio-Technical Dynamics of Low-Carbon Transitions. </w:t>
      </w:r>
      <w:r w:rsidRPr="00244B27">
        <w:rPr>
          <w:rFonts w:ascii="Calibri" w:hAnsi="Calibri" w:cs="Calibri"/>
          <w:i/>
          <w:iCs/>
          <w:noProof/>
          <w:szCs w:val="24"/>
        </w:rPr>
        <w:t>Joule</w:t>
      </w:r>
      <w:r w:rsidRPr="00244B27">
        <w:rPr>
          <w:rFonts w:ascii="Calibri" w:hAnsi="Calibri" w:cs="Calibri"/>
          <w:noProof/>
          <w:szCs w:val="24"/>
        </w:rPr>
        <w:t>, 1–17. http://doi.org/10.1016/j.joule.2017.09.018</w:t>
      </w:r>
    </w:p>
    <w:p w14:paraId="3D36BA9D"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Gifford, R. (2011). The Dragons of Inaction: Psychological Barriers That Limit Climate Change Mitigation and Adaptation. </w:t>
      </w:r>
      <w:r w:rsidRPr="00244B27">
        <w:rPr>
          <w:rFonts w:ascii="Calibri" w:hAnsi="Calibri" w:cs="Calibri"/>
          <w:i/>
          <w:iCs/>
          <w:noProof/>
          <w:szCs w:val="24"/>
        </w:rPr>
        <w:t>American Psychologist</w:t>
      </w:r>
      <w:r w:rsidRPr="00244B27">
        <w:rPr>
          <w:rFonts w:ascii="Calibri" w:hAnsi="Calibri" w:cs="Calibri"/>
          <w:noProof/>
          <w:szCs w:val="24"/>
        </w:rPr>
        <w:t xml:space="preserve">, </w:t>
      </w:r>
      <w:r w:rsidRPr="00244B27">
        <w:rPr>
          <w:rFonts w:ascii="Calibri" w:hAnsi="Calibri" w:cs="Calibri"/>
          <w:i/>
          <w:iCs/>
          <w:noProof/>
          <w:szCs w:val="24"/>
        </w:rPr>
        <w:t>66</w:t>
      </w:r>
      <w:r w:rsidRPr="00244B27">
        <w:rPr>
          <w:rFonts w:ascii="Calibri" w:hAnsi="Calibri" w:cs="Calibri"/>
          <w:noProof/>
          <w:szCs w:val="24"/>
        </w:rPr>
        <w:t>(4), 290–302. http://doi.org/10.1037/a0023566</w:t>
      </w:r>
    </w:p>
    <w:p w14:paraId="77A1E0E3"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Gough, I. (2016). Welfare states and environmental states: a comparative analysis. </w:t>
      </w:r>
      <w:r w:rsidRPr="00244B27">
        <w:rPr>
          <w:rFonts w:ascii="Calibri" w:hAnsi="Calibri" w:cs="Calibri"/>
          <w:i/>
          <w:iCs/>
          <w:noProof/>
          <w:szCs w:val="24"/>
        </w:rPr>
        <w:t>Environmental Politics</w:t>
      </w:r>
      <w:r w:rsidRPr="00244B27">
        <w:rPr>
          <w:rFonts w:ascii="Calibri" w:hAnsi="Calibri" w:cs="Calibri"/>
          <w:noProof/>
          <w:szCs w:val="24"/>
        </w:rPr>
        <w:t xml:space="preserve">, </w:t>
      </w:r>
      <w:r w:rsidRPr="00244B27">
        <w:rPr>
          <w:rFonts w:ascii="Calibri" w:hAnsi="Calibri" w:cs="Calibri"/>
          <w:i/>
          <w:iCs/>
          <w:noProof/>
          <w:szCs w:val="24"/>
        </w:rPr>
        <w:t>25</w:t>
      </w:r>
      <w:r w:rsidRPr="00244B27">
        <w:rPr>
          <w:rFonts w:ascii="Calibri" w:hAnsi="Calibri" w:cs="Calibri"/>
          <w:noProof/>
          <w:szCs w:val="24"/>
        </w:rPr>
        <w:t>(1), 24–47. http://doi.org/10.1080/09644016.2015.1074382</w:t>
      </w:r>
    </w:p>
    <w:p w14:paraId="183D6C16"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Grandin, J., Haarstad, H., Kjærås, K., &amp; Bouzarovski, S. (2018). The politics of rapid urban transformation. </w:t>
      </w:r>
      <w:r w:rsidRPr="00244B27">
        <w:rPr>
          <w:rFonts w:ascii="Calibri" w:hAnsi="Calibri" w:cs="Calibri"/>
          <w:i/>
          <w:iCs/>
          <w:noProof/>
          <w:szCs w:val="24"/>
        </w:rPr>
        <w:t>Current Opinion in Environmental Sustainability</w:t>
      </w:r>
      <w:r w:rsidRPr="00244B27">
        <w:rPr>
          <w:rFonts w:ascii="Calibri" w:hAnsi="Calibri" w:cs="Calibri"/>
          <w:noProof/>
          <w:szCs w:val="24"/>
        </w:rPr>
        <w:t xml:space="preserve">, </w:t>
      </w:r>
      <w:r w:rsidRPr="00244B27">
        <w:rPr>
          <w:rFonts w:ascii="Calibri" w:hAnsi="Calibri" w:cs="Calibri"/>
          <w:i/>
          <w:iCs/>
          <w:noProof/>
          <w:szCs w:val="24"/>
        </w:rPr>
        <w:t>31</w:t>
      </w:r>
      <w:r w:rsidRPr="00244B27">
        <w:rPr>
          <w:rFonts w:ascii="Calibri" w:hAnsi="Calibri" w:cs="Calibri"/>
          <w:noProof/>
          <w:szCs w:val="24"/>
        </w:rPr>
        <w:t xml:space="preserve">, 16–22. </w:t>
      </w:r>
      <w:r w:rsidRPr="00244B27">
        <w:rPr>
          <w:rFonts w:ascii="Calibri" w:hAnsi="Calibri" w:cs="Calibri"/>
          <w:noProof/>
          <w:szCs w:val="24"/>
        </w:rPr>
        <w:lastRenderedPageBreak/>
        <w:t>http://doi.org/10.1016/j.cosust.2017.12.002</w:t>
      </w:r>
    </w:p>
    <w:p w14:paraId="07685925"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68382C">
        <w:rPr>
          <w:rFonts w:ascii="Calibri" w:hAnsi="Calibri" w:cs="Calibri"/>
          <w:noProof/>
          <w:szCs w:val="24"/>
          <w:lang w:val="de-DE"/>
        </w:rPr>
        <w:t xml:space="preserve">Gupta, S., Harnisch, J., Barua, D. C., Chingambo, L., Frankel, P., Vazguez, R. J. G., … </w:t>
      </w:r>
      <w:r w:rsidRPr="00244B27">
        <w:rPr>
          <w:rFonts w:ascii="Calibri" w:hAnsi="Calibri" w:cs="Calibri"/>
          <w:noProof/>
          <w:szCs w:val="24"/>
        </w:rPr>
        <w:t xml:space="preserve">Massetti, E. (2014). Cross-cutting Investment and Finance Issues. In O. Edenhofer, R. Pichs-Madruga, Y. Sokona, E. Farahani, S. Kadner, K. Seyboth, … J. C. Minx (Eds.), </w:t>
      </w:r>
      <w:r w:rsidRPr="00244B27">
        <w:rPr>
          <w:rFonts w:ascii="Calibri" w:hAnsi="Calibri" w:cs="Calibri"/>
          <w:i/>
          <w:iCs/>
          <w:noProof/>
          <w:szCs w:val="24"/>
        </w:rPr>
        <w:t>Climate Change 2014: Mitigation of Climate Change. Contribution of Working Group III to the Fifth Assessment Report of the Intergovernmental Panel on Climate Change</w:t>
      </w:r>
      <w:r w:rsidRPr="00244B27">
        <w:rPr>
          <w:rFonts w:ascii="Calibri" w:hAnsi="Calibri" w:cs="Calibri"/>
          <w:noProof/>
          <w:szCs w:val="24"/>
        </w:rPr>
        <w:t xml:space="preserve"> (pp. 1207–1246). Cambridge, United Kingdom and New York, NY, USA: Cambridge University Press. http://doi.org/10.1017/CBO9781107415416.022</w:t>
      </w:r>
    </w:p>
    <w:p w14:paraId="4930890D"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Hall, P. A. (1997). The role of interests, institutions, and ideas in the comparative political economy of the industrialized natoins. In M. I. Lichbach &amp; A. S. Zuckerman (Eds.), </w:t>
      </w:r>
      <w:r w:rsidRPr="00244B27">
        <w:rPr>
          <w:rFonts w:ascii="Calibri" w:hAnsi="Calibri" w:cs="Calibri"/>
          <w:i/>
          <w:iCs/>
          <w:noProof/>
          <w:szCs w:val="24"/>
        </w:rPr>
        <w:t>Comparative Politics: Rationality, Culture, and Structure</w:t>
      </w:r>
      <w:r w:rsidRPr="00244B27">
        <w:rPr>
          <w:rFonts w:ascii="Calibri" w:hAnsi="Calibri" w:cs="Calibri"/>
          <w:noProof/>
          <w:szCs w:val="24"/>
        </w:rPr>
        <w:t xml:space="preserve"> (pp. 174–207). Cambrdige, UK: Cambridge University Press.</w:t>
      </w:r>
    </w:p>
    <w:p w14:paraId="6606A2CB"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Hammar, H., &amp; Jagers, S. C. (2006). Can trust in politicians explain individuals’ support for climate policy? The case of CO2 tax. </w:t>
      </w:r>
      <w:r w:rsidRPr="00244B27">
        <w:rPr>
          <w:rFonts w:ascii="Calibri" w:hAnsi="Calibri" w:cs="Calibri"/>
          <w:i/>
          <w:iCs/>
          <w:noProof/>
          <w:szCs w:val="24"/>
        </w:rPr>
        <w:t>Climate Policy</w:t>
      </w:r>
      <w:r w:rsidRPr="00244B27">
        <w:rPr>
          <w:rFonts w:ascii="Calibri" w:hAnsi="Calibri" w:cs="Calibri"/>
          <w:noProof/>
          <w:szCs w:val="24"/>
        </w:rPr>
        <w:t xml:space="preserve">, </w:t>
      </w:r>
      <w:r w:rsidRPr="00244B27">
        <w:rPr>
          <w:rFonts w:ascii="Calibri" w:hAnsi="Calibri" w:cs="Calibri"/>
          <w:i/>
          <w:iCs/>
          <w:noProof/>
          <w:szCs w:val="24"/>
        </w:rPr>
        <w:t>5</w:t>
      </w:r>
      <w:r w:rsidRPr="00244B27">
        <w:rPr>
          <w:rFonts w:ascii="Calibri" w:hAnsi="Calibri" w:cs="Calibri"/>
          <w:noProof/>
          <w:szCs w:val="24"/>
        </w:rPr>
        <w:t>(6), 613–625. http://doi.org/10.1080/14693062.2006.9685582</w:t>
      </w:r>
    </w:p>
    <w:p w14:paraId="27A0353E"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Harring, N. (2014). Corruption, inequalities and the perceived effectiveness of economic pro-environmental policy instruments: A European cross-national study. </w:t>
      </w:r>
      <w:r w:rsidRPr="00244B27">
        <w:rPr>
          <w:rFonts w:ascii="Calibri" w:hAnsi="Calibri" w:cs="Calibri"/>
          <w:i/>
          <w:iCs/>
          <w:noProof/>
          <w:szCs w:val="24"/>
        </w:rPr>
        <w:t>Environmental Science and Policy</w:t>
      </w:r>
      <w:r w:rsidRPr="00244B27">
        <w:rPr>
          <w:rFonts w:ascii="Calibri" w:hAnsi="Calibri" w:cs="Calibri"/>
          <w:noProof/>
          <w:szCs w:val="24"/>
        </w:rPr>
        <w:t xml:space="preserve">, </w:t>
      </w:r>
      <w:r w:rsidRPr="00244B27">
        <w:rPr>
          <w:rFonts w:ascii="Calibri" w:hAnsi="Calibri" w:cs="Calibri"/>
          <w:i/>
          <w:iCs/>
          <w:noProof/>
          <w:szCs w:val="24"/>
        </w:rPr>
        <w:t>39</w:t>
      </w:r>
      <w:r w:rsidRPr="00244B27">
        <w:rPr>
          <w:rFonts w:ascii="Calibri" w:hAnsi="Calibri" w:cs="Calibri"/>
          <w:noProof/>
          <w:szCs w:val="24"/>
        </w:rPr>
        <w:t>, 119–128. http://doi.org/10.1016/j.envsci.2013.08.011</w:t>
      </w:r>
    </w:p>
    <w:p w14:paraId="482749CA"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Harvey, D. (2005). </w:t>
      </w:r>
      <w:r w:rsidRPr="00244B27">
        <w:rPr>
          <w:rFonts w:ascii="Calibri" w:hAnsi="Calibri" w:cs="Calibri"/>
          <w:i/>
          <w:iCs/>
          <w:noProof/>
          <w:szCs w:val="24"/>
        </w:rPr>
        <w:t>A Brief History of Neoliberalism</w:t>
      </w:r>
      <w:r w:rsidRPr="00244B27">
        <w:rPr>
          <w:rFonts w:ascii="Calibri" w:hAnsi="Calibri" w:cs="Calibri"/>
          <w:noProof/>
          <w:szCs w:val="24"/>
        </w:rPr>
        <w:t>. New York: Oxford University Press.</w:t>
      </w:r>
    </w:p>
    <w:p w14:paraId="2646A20D"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Heilbroner, R. L. (1985). </w:t>
      </w:r>
      <w:r w:rsidRPr="00244B27">
        <w:rPr>
          <w:rFonts w:ascii="Calibri" w:hAnsi="Calibri" w:cs="Calibri"/>
          <w:i/>
          <w:iCs/>
          <w:noProof/>
          <w:szCs w:val="24"/>
        </w:rPr>
        <w:t>The Nature and Logic of Capitalism</w:t>
      </w:r>
      <w:r w:rsidRPr="00244B27">
        <w:rPr>
          <w:rFonts w:ascii="Calibri" w:hAnsi="Calibri" w:cs="Calibri"/>
          <w:noProof/>
          <w:szCs w:val="24"/>
        </w:rPr>
        <w:t>. London: W.W. Norton &amp; Company, Inc.</w:t>
      </w:r>
    </w:p>
    <w:p w14:paraId="7EC39420"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Holmberg, S., Rothstein, B., &amp; Nasiritousi, N. (2009). Quality of Government: What You Get. </w:t>
      </w:r>
      <w:r w:rsidRPr="00244B27">
        <w:rPr>
          <w:rFonts w:ascii="Calibri" w:hAnsi="Calibri" w:cs="Calibri"/>
          <w:i/>
          <w:iCs/>
          <w:noProof/>
          <w:szCs w:val="24"/>
        </w:rPr>
        <w:t>Annual Review of Political Science</w:t>
      </w:r>
      <w:r w:rsidRPr="00244B27">
        <w:rPr>
          <w:rFonts w:ascii="Calibri" w:hAnsi="Calibri" w:cs="Calibri"/>
          <w:noProof/>
          <w:szCs w:val="24"/>
        </w:rPr>
        <w:t xml:space="preserve">, </w:t>
      </w:r>
      <w:r w:rsidRPr="00244B27">
        <w:rPr>
          <w:rFonts w:ascii="Calibri" w:hAnsi="Calibri" w:cs="Calibri"/>
          <w:i/>
          <w:iCs/>
          <w:noProof/>
          <w:szCs w:val="24"/>
        </w:rPr>
        <w:t>12</w:t>
      </w:r>
      <w:r w:rsidRPr="00244B27">
        <w:rPr>
          <w:rFonts w:ascii="Calibri" w:hAnsi="Calibri" w:cs="Calibri"/>
          <w:noProof/>
          <w:szCs w:val="24"/>
        </w:rPr>
        <w:t>(1), 135–161. http://doi.org/10.1146/annurev-polisci-100608-104510</w:t>
      </w:r>
    </w:p>
    <w:p w14:paraId="301693CD"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Iacobuta, G., Dubash, N. K., Upadhyaya, P., Deribe, M., &amp; Höhne, N. (2018). National climate change mitigation legislation, strategy and targets: a global update. </w:t>
      </w:r>
      <w:r w:rsidRPr="00244B27">
        <w:rPr>
          <w:rFonts w:ascii="Calibri" w:hAnsi="Calibri" w:cs="Calibri"/>
          <w:i/>
          <w:iCs/>
          <w:noProof/>
          <w:szCs w:val="24"/>
        </w:rPr>
        <w:t>Climate Policy</w:t>
      </w:r>
      <w:r w:rsidRPr="00244B27">
        <w:rPr>
          <w:rFonts w:ascii="Calibri" w:hAnsi="Calibri" w:cs="Calibri"/>
          <w:noProof/>
          <w:szCs w:val="24"/>
        </w:rPr>
        <w:t xml:space="preserve">, </w:t>
      </w:r>
      <w:r w:rsidRPr="00244B27">
        <w:rPr>
          <w:rFonts w:ascii="Calibri" w:hAnsi="Calibri" w:cs="Calibri"/>
          <w:i/>
          <w:iCs/>
          <w:noProof/>
          <w:szCs w:val="24"/>
        </w:rPr>
        <w:t>3062</w:t>
      </w:r>
      <w:r w:rsidRPr="00244B27">
        <w:rPr>
          <w:rFonts w:ascii="Calibri" w:hAnsi="Calibri" w:cs="Calibri"/>
          <w:noProof/>
          <w:szCs w:val="24"/>
        </w:rPr>
        <w:t>, 1–19. http://doi.org/10.1080/14693062.2018.1489772</w:t>
      </w:r>
    </w:p>
    <w:p w14:paraId="6D30E2D5"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Ivanova, D., Vita, G., Wood, R., Lausselet, C., Dumitru, A., Krause, K., … Hertwich, E. G. (2018). Carbon mitigation in domains of high consumer lock-in. </w:t>
      </w:r>
      <w:r w:rsidRPr="00244B27">
        <w:rPr>
          <w:rFonts w:ascii="Calibri" w:hAnsi="Calibri" w:cs="Calibri"/>
          <w:i/>
          <w:iCs/>
          <w:noProof/>
          <w:szCs w:val="24"/>
        </w:rPr>
        <w:t>Global Environmental Change</w:t>
      </w:r>
      <w:r w:rsidRPr="00244B27">
        <w:rPr>
          <w:rFonts w:ascii="Calibri" w:hAnsi="Calibri" w:cs="Calibri"/>
          <w:noProof/>
          <w:szCs w:val="24"/>
        </w:rPr>
        <w:t xml:space="preserve">, </w:t>
      </w:r>
      <w:r w:rsidRPr="00244B27">
        <w:rPr>
          <w:rFonts w:ascii="Calibri" w:hAnsi="Calibri" w:cs="Calibri"/>
          <w:i/>
          <w:iCs/>
          <w:noProof/>
          <w:szCs w:val="24"/>
        </w:rPr>
        <w:t>52</w:t>
      </w:r>
      <w:r w:rsidRPr="00244B27">
        <w:rPr>
          <w:rFonts w:ascii="Calibri" w:hAnsi="Calibri" w:cs="Calibri"/>
          <w:noProof/>
          <w:szCs w:val="24"/>
        </w:rPr>
        <w:t>, 117–130. http://doi.org/10.1016/j.gloenvcha.2018.06.006</w:t>
      </w:r>
    </w:p>
    <w:p w14:paraId="077AEA89"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Jakob, M., Chen, C., Fuss, S., Marxen, A., Rao, N. D., &amp; Edenhofer, O. (2016). Carbon Pricing Revenues Could Close Infrastructure Access Gaps. </w:t>
      </w:r>
      <w:r w:rsidRPr="00244B27">
        <w:rPr>
          <w:rFonts w:ascii="Calibri" w:hAnsi="Calibri" w:cs="Calibri"/>
          <w:i/>
          <w:iCs/>
          <w:noProof/>
          <w:szCs w:val="24"/>
        </w:rPr>
        <w:t>World Development</w:t>
      </w:r>
      <w:r w:rsidRPr="00244B27">
        <w:rPr>
          <w:rFonts w:ascii="Calibri" w:hAnsi="Calibri" w:cs="Calibri"/>
          <w:noProof/>
          <w:szCs w:val="24"/>
        </w:rPr>
        <w:t xml:space="preserve">, </w:t>
      </w:r>
      <w:r w:rsidRPr="00244B27">
        <w:rPr>
          <w:rFonts w:ascii="Calibri" w:hAnsi="Calibri" w:cs="Calibri"/>
          <w:i/>
          <w:iCs/>
          <w:noProof/>
          <w:szCs w:val="24"/>
        </w:rPr>
        <w:t>84</w:t>
      </w:r>
      <w:r w:rsidRPr="00244B27">
        <w:rPr>
          <w:rFonts w:ascii="Calibri" w:hAnsi="Calibri" w:cs="Calibri"/>
          <w:noProof/>
          <w:szCs w:val="24"/>
        </w:rPr>
        <w:t>, 254–265. http://doi.org/10.1016/j.worlddev.2016.03.001</w:t>
      </w:r>
    </w:p>
    <w:p w14:paraId="118445A4"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68382C">
        <w:rPr>
          <w:rFonts w:ascii="Calibri" w:hAnsi="Calibri" w:cs="Calibri"/>
          <w:noProof/>
          <w:szCs w:val="24"/>
          <w:lang w:val="de-DE"/>
        </w:rPr>
        <w:lastRenderedPageBreak/>
        <w:t xml:space="preserve">Jakob, M., Steckel, J. C., Klasen, S., Lay, J., Grunewald, N., Martínez-Zarzoso, I., … </w:t>
      </w:r>
      <w:r w:rsidRPr="00244B27">
        <w:rPr>
          <w:rFonts w:ascii="Calibri" w:hAnsi="Calibri" w:cs="Calibri"/>
          <w:noProof/>
          <w:szCs w:val="24"/>
        </w:rPr>
        <w:t xml:space="preserve">Edenhofer, O. (2014). Feasible mitigation actions in developing countries. </w:t>
      </w:r>
      <w:r w:rsidRPr="00244B27">
        <w:rPr>
          <w:rFonts w:ascii="Calibri" w:hAnsi="Calibri" w:cs="Calibri"/>
          <w:i/>
          <w:iCs/>
          <w:noProof/>
          <w:szCs w:val="24"/>
        </w:rPr>
        <w:t>Nature Climate Change</w:t>
      </w:r>
      <w:r w:rsidRPr="00244B27">
        <w:rPr>
          <w:rFonts w:ascii="Calibri" w:hAnsi="Calibri" w:cs="Calibri"/>
          <w:noProof/>
          <w:szCs w:val="24"/>
        </w:rPr>
        <w:t xml:space="preserve">, </w:t>
      </w:r>
      <w:r w:rsidRPr="00244B27">
        <w:rPr>
          <w:rFonts w:ascii="Calibri" w:hAnsi="Calibri" w:cs="Calibri"/>
          <w:i/>
          <w:iCs/>
          <w:noProof/>
          <w:szCs w:val="24"/>
        </w:rPr>
        <w:t>4</w:t>
      </w:r>
      <w:r w:rsidRPr="00244B27">
        <w:rPr>
          <w:rFonts w:ascii="Calibri" w:hAnsi="Calibri" w:cs="Calibri"/>
          <w:noProof/>
          <w:szCs w:val="24"/>
        </w:rPr>
        <w:t>(11), 961–968. http://doi.org/10.1038/nclimate2370</w:t>
      </w:r>
    </w:p>
    <w:p w14:paraId="1A705D14"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Jorgenson, A. K., Fiske, S., Hubacek, K., Li, J., McGovern, T., Rick, T., … Zycherman, A. (2018). Social science perspectives on drivers of and responses to global climate change. </w:t>
      </w:r>
      <w:r w:rsidRPr="00244B27">
        <w:rPr>
          <w:rFonts w:ascii="Calibri" w:hAnsi="Calibri" w:cs="Calibri"/>
          <w:i/>
          <w:iCs/>
          <w:noProof/>
          <w:szCs w:val="24"/>
        </w:rPr>
        <w:t>Wiley Interdisciplinary Reviews: Climate Change</w:t>
      </w:r>
      <w:r w:rsidRPr="00244B27">
        <w:rPr>
          <w:rFonts w:ascii="Calibri" w:hAnsi="Calibri" w:cs="Calibri"/>
          <w:noProof/>
          <w:szCs w:val="24"/>
        </w:rPr>
        <w:t>, (June), e554. http://doi.org/10.1002/wcc.554</w:t>
      </w:r>
    </w:p>
    <w:p w14:paraId="63AF7A17"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Jost, J. T., Banaji, M. R., &amp; Nosek, B. a. (2004). A Decade of System Justification Theory: Accumulated Evidence of Conscious and Unconscious Bolstering of the Status Quo. </w:t>
      </w:r>
      <w:r w:rsidRPr="00244B27">
        <w:rPr>
          <w:rFonts w:ascii="Calibri" w:hAnsi="Calibri" w:cs="Calibri"/>
          <w:i/>
          <w:iCs/>
          <w:noProof/>
          <w:szCs w:val="24"/>
        </w:rPr>
        <w:t>Political Psychology</w:t>
      </w:r>
      <w:r w:rsidRPr="00244B27">
        <w:rPr>
          <w:rFonts w:ascii="Calibri" w:hAnsi="Calibri" w:cs="Calibri"/>
          <w:noProof/>
          <w:szCs w:val="24"/>
        </w:rPr>
        <w:t xml:space="preserve">, </w:t>
      </w:r>
      <w:r w:rsidRPr="00244B27">
        <w:rPr>
          <w:rFonts w:ascii="Calibri" w:hAnsi="Calibri" w:cs="Calibri"/>
          <w:i/>
          <w:iCs/>
          <w:noProof/>
          <w:szCs w:val="24"/>
        </w:rPr>
        <w:t>25</w:t>
      </w:r>
      <w:r w:rsidRPr="00244B27">
        <w:rPr>
          <w:rFonts w:ascii="Calibri" w:hAnsi="Calibri" w:cs="Calibri"/>
          <w:noProof/>
          <w:szCs w:val="24"/>
        </w:rPr>
        <w:t>(6), 881–919. http://doi.org/10.1111/j.1467-9221.2004.00402.x</w:t>
      </w:r>
    </w:p>
    <w:p w14:paraId="5DEBBC8A"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Kaufmann, D., &amp; Kraay, A. (2015). World Governance Indicators. Retrieved from http://info.worldbank.org/governance/wgi/index.aspx</w:t>
      </w:r>
    </w:p>
    <w:p w14:paraId="37ACE176"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Koch, M., &amp; Fritz, M. (2014). Building the eco-social state: Do welfare regimes matter? </w:t>
      </w:r>
      <w:r w:rsidRPr="00244B27">
        <w:rPr>
          <w:rFonts w:ascii="Calibri" w:hAnsi="Calibri" w:cs="Calibri"/>
          <w:i/>
          <w:iCs/>
          <w:noProof/>
          <w:szCs w:val="24"/>
        </w:rPr>
        <w:t>Journal of Social Policy</w:t>
      </w:r>
      <w:r w:rsidRPr="00244B27">
        <w:rPr>
          <w:rFonts w:ascii="Calibri" w:hAnsi="Calibri" w:cs="Calibri"/>
          <w:noProof/>
          <w:szCs w:val="24"/>
        </w:rPr>
        <w:t xml:space="preserve">, </w:t>
      </w:r>
      <w:r w:rsidRPr="00244B27">
        <w:rPr>
          <w:rFonts w:ascii="Calibri" w:hAnsi="Calibri" w:cs="Calibri"/>
          <w:i/>
          <w:iCs/>
          <w:noProof/>
          <w:szCs w:val="24"/>
        </w:rPr>
        <w:t>43</w:t>
      </w:r>
      <w:r w:rsidRPr="00244B27">
        <w:rPr>
          <w:rFonts w:ascii="Calibri" w:hAnsi="Calibri" w:cs="Calibri"/>
          <w:noProof/>
          <w:szCs w:val="24"/>
        </w:rPr>
        <w:t>(4), 679–703. http://doi.org/10.1017/S004727941400035X</w:t>
      </w:r>
    </w:p>
    <w:p w14:paraId="7E5231D9"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Kolstad, C., Urama, K., Broome, J., Bruvoll, A., Olvera, M. C., Fullerton, D., … Mundaca, L. (2014). Social, Economic and Ethical Concepts and Methods. In O. Edenhofer, R. Pichs-Madruga, Y. Sokona, E. Farahani, S. Kadner, K. Seyboth, … J. C. Minx (Eds.), </w:t>
      </w:r>
      <w:r w:rsidRPr="00244B27">
        <w:rPr>
          <w:rFonts w:ascii="Calibri" w:hAnsi="Calibri" w:cs="Calibri"/>
          <w:i/>
          <w:iCs/>
          <w:noProof/>
          <w:szCs w:val="24"/>
        </w:rPr>
        <w:t>Climate Change 2014: Mitigation of Climate Change. Contribution of Working Group III to the Fifth Assessment Report of the Intergovernmental Panel on Climate Change</w:t>
      </w:r>
      <w:r w:rsidRPr="00244B27">
        <w:rPr>
          <w:rFonts w:ascii="Calibri" w:hAnsi="Calibri" w:cs="Calibri"/>
          <w:noProof/>
          <w:szCs w:val="24"/>
        </w:rPr>
        <w:t>. Cambridge, United Kingdom and New York, NY, USA: Cambridge University Press.</w:t>
      </w:r>
    </w:p>
    <w:p w14:paraId="324F44B3"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68382C">
        <w:rPr>
          <w:rFonts w:ascii="Calibri" w:hAnsi="Calibri" w:cs="Calibri"/>
          <w:noProof/>
          <w:szCs w:val="24"/>
          <w:lang w:val="de-DE"/>
        </w:rPr>
        <w:t xml:space="preserve">Kotchen, M. J., Boyle, K. J., &amp; Leiserowitz, A. A. (2013). </w:t>
      </w:r>
      <w:r w:rsidRPr="00244B27">
        <w:rPr>
          <w:rFonts w:ascii="Calibri" w:hAnsi="Calibri" w:cs="Calibri"/>
          <w:noProof/>
          <w:szCs w:val="24"/>
        </w:rPr>
        <w:t xml:space="preserve">Willingness-to-pay and policy-instrument choice for climate-change policy in the United States. </w:t>
      </w:r>
      <w:r w:rsidRPr="00244B27">
        <w:rPr>
          <w:rFonts w:ascii="Calibri" w:hAnsi="Calibri" w:cs="Calibri"/>
          <w:i/>
          <w:iCs/>
          <w:noProof/>
          <w:szCs w:val="24"/>
        </w:rPr>
        <w:t>Energy Policy</w:t>
      </w:r>
      <w:r w:rsidRPr="00244B27">
        <w:rPr>
          <w:rFonts w:ascii="Calibri" w:hAnsi="Calibri" w:cs="Calibri"/>
          <w:noProof/>
          <w:szCs w:val="24"/>
        </w:rPr>
        <w:t xml:space="preserve">, </w:t>
      </w:r>
      <w:r w:rsidRPr="00244B27">
        <w:rPr>
          <w:rFonts w:ascii="Calibri" w:hAnsi="Calibri" w:cs="Calibri"/>
          <w:i/>
          <w:iCs/>
          <w:noProof/>
          <w:szCs w:val="24"/>
        </w:rPr>
        <w:t>55</w:t>
      </w:r>
      <w:r w:rsidRPr="00244B27">
        <w:rPr>
          <w:rFonts w:ascii="Calibri" w:hAnsi="Calibri" w:cs="Calibri"/>
          <w:noProof/>
          <w:szCs w:val="24"/>
        </w:rPr>
        <w:t>, 617–625. http://doi.org/10.1016/j.enpol.2012.12.058</w:t>
      </w:r>
    </w:p>
    <w:p w14:paraId="260B4C0A"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Kuyper, J. W., Linnér, B. O., &amp; Schroeder, H. (2018). Non-state actors in hybrid global climate governance: justice, legitimacy, and effectiveness in a post-Paris era. </w:t>
      </w:r>
      <w:r w:rsidRPr="00244B27">
        <w:rPr>
          <w:rFonts w:ascii="Calibri" w:hAnsi="Calibri" w:cs="Calibri"/>
          <w:i/>
          <w:iCs/>
          <w:noProof/>
          <w:szCs w:val="24"/>
        </w:rPr>
        <w:t>Wiley Interdisciplinary Reviews: Climate Change</w:t>
      </w:r>
      <w:r w:rsidRPr="00244B27">
        <w:rPr>
          <w:rFonts w:ascii="Calibri" w:hAnsi="Calibri" w:cs="Calibri"/>
          <w:noProof/>
          <w:szCs w:val="24"/>
        </w:rPr>
        <w:t xml:space="preserve">, </w:t>
      </w:r>
      <w:r w:rsidRPr="00244B27">
        <w:rPr>
          <w:rFonts w:ascii="Calibri" w:hAnsi="Calibri" w:cs="Calibri"/>
          <w:i/>
          <w:iCs/>
          <w:noProof/>
          <w:szCs w:val="24"/>
        </w:rPr>
        <w:t>9</w:t>
      </w:r>
      <w:r w:rsidRPr="00244B27">
        <w:rPr>
          <w:rFonts w:ascii="Calibri" w:hAnsi="Calibri" w:cs="Calibri"/>
          <w:noProof/>
          <w:szCs w:val="24"/>
        </w:rPr>
        <w:t>(1), 1–18. http://doi.org/10.1002/wcc.497</w:t>
      </w:r>
    </w:p>
    <w:p w14:paraId="1A70DA47"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Lachapelle, E., &amp; Paterson, M. (2013). Drivers of national climate policy. </w:t>
      </w:r>
      <w:r w:rsidRPr="00244B27">
        <w:rPr>
          <w:rFonts w:ascii="Calibri" w:hAnsi="Calibri" w:cs="Calibri"/>
          <w:i/>
          <w:iCs/>
          <w:noProof/>
          <w:szCs w:val="24"/>
        </w:rPr>
        <w:t>Climate Policy</w:t>
      </w:r>
      <w:r w:rsidRPr="00244B27">
        <w:rPr>
          <w:rFonts w:ascii="Calibri" w:hAnsi="Calibri" w:cs="Calibri"/>
          <w:noProof/>
          <w:szCs w:val="24"/>
        </w:rPr>
        <w:t xml:space="preserve">, </w:t>
      </w:r>
      <w:r w:rsidRPr="00244B27">
        <w:rPr>
          <w:rFonts w:ascii="Calibri" w:hAnsi="Calibri" w:cs="Calibri"/>
          <w:i/>
          <w:iCs/>
          <w:noProof/>
          <w:szCs w:val="24"/>
        </w:rPr>
        <w:t>13</w:t>
      </w:r>
      <w:r w:rsidRPr="00244B27">
        <w:rPr>
          <w:rFonts w:ascii="Calibri" w:hAnsi="Calibri" w:cs="Calibri"/>
          <w:noProof/>
          <w:szCs w:val="24"/>
        </w:rPr>
        <w:t>(5), 547–571. http://doi.org/10.1080/14693062.2013.811333</w:t>
      </w:r>
    </w:p>
    <w:p w14:paraId="76728392"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Lee, T. M., Markowitz, E. M., Howe, P. D., Ko, C. Y., &amp; Leiserowitz, A. A. (2015). Predictors of public climate change awareness and risk perception around the world. </w:t>
      </w:r>
      <w:r w:rsidRPr="00244B27">
        <w:rPr>
          <w:rFonts w:ascii="Calibri" w:hAnsi="Calibri" w:cs="Calibri"/>
          <w:i/>
          <w:iCs/>
          <w:noProof/>
          <w:szCs w:val="24"/>
        </w:rPr>
        <w:t>Nature Climate Change</w:t>
      </w:r>
      <w:r w:rsidRPr="00244B27">
        <w:rPr>
          <w:rFonts w:ascii="Calibri" w:hAnsi="Calibri" w:cs="Calibri"/>
          <w:noProof/>
          <w:szCs w:val="24"/>
        </w:rPr>
        <w:t xml:space="preserve">, </w:t>
      </w:r>
      <w:r w:rsidRPr="00244B27">
        <w:rPr>
          <w:rFonts w:ascii="Calibri" w:hAnsi="Calibri" w:cs="Calibri"/>
          <w:i/>
          <w:iCs/>
          <w:noProof/>
          <w:szCs w:val="24"/>
        </w:rPr>
        <w:t>5</w:t>
      </w:r>
      <w:r w:rsidRPr="00244B27">
        <w:rPr>
          <w:rFonts w:ascii="Calibri" w:hAnsi="Calibri" w:cs="Calibri"/>
          <w:noProof/>
          <w:szCs w:val="24"/>
        </w:rPr>
        <w:t>(11), 1014–1020. http://doi.org/10.1038/nclimate2728</w:t>
      </w:r>
    </w:p>
    <w:p w14:paraId="222E7792"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Levi, S., Flachsland, C., &amp; Jakob, M. (2019). </w:t>
      </w:r>
      <w:r w:rsidRPr="00244B27">
        <w:rPr>
          <w:rFonts w:ascii="Calibri" w:hAnsi="Calibri" w:cs="Calibri"/>
          <w:i/>
          <w:iCs/>
          <w:noProof/>
          <w:szCs w:val="24"/>
        </w:rPr>
        <w:t>Political Economy Determinants of Carbon Pricing</w:t>
      </w:r>
      <w:r w:rsidRPr="00244B27">
        <w:rPr>
          <w:rFonts w:ascii="Calibri" w:hAnsi="Calibri" w:cs="Calibri"/>
          <w:noProof/>
          <w:szCs w:val="24"/>
        </w:rPr>
        <w:t>.</w:t>
      </w:r>
    </w:p>
    <w:p w14:paraId="6BADD582"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lastRenderedPageBreak/>
        <w:t xml:space="preserve">Lewis, G. B., Palm, R., &amp; Feng, B. (2018). Cross-national variation in determinants of climate change concern. </w:t>
      </w:r>
      <w:r w:rsidRPr="00244B27">
        <w:rPr>
          <w:rFonts w:ascii="Calibri" w:hAnsi="Calibri" w:cs="Calibri"/>
          <w:i/>
          <w:iCs/>
          <w:noProof/>
          <w:szCs w:val="24"/>
        </w:rPr>
        <w:t>Environmental Politics</w:t>
      </w:r>
      <w:r w:rsidRPr="00244B27">
        <w:rPr>
          <w:rFonts w:ascii="Calibri" w:hAnsi="Calibri" w:cs="Calibri"/>
          <w:noProof/>
          <w:szCs w:val="24"/>
        </w:rPr>
        <w:t>. http://doi.org/10.1080/09644016.2018.1512261</w:t>
      </w:r>
    </w:p>
    <w:p w14:paraId="06E4C248"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Lockwood, M. (2015). Fossil Fuel Subsidy Reform , Rent Management and Political Fragmentation in Developing Countries. </w:t>
      </w:r>
      <w:r w:rsidRPr="00244B27">
        <w:rPr>
          <w:rFonts w:ascii="Calibri" w:hAnsi="Calibri" w:cs="Calibri"/>
          <w:i/>
          <w:iCs/>
          <w:noProof/>
          <w:szCs w:val="24"/>
        </w:rPr>
        <w:t>New Political Economy</w:t>
      </w:r>
      <w:r w:rsidRPr="00244B27">
        <w:rPr>
          <w:rFonts w:ascii="Calibri" w:hAnsi="Calibri" w:cs="Calibri"/>
          <w:noProof/>
          <w:szCs w:val="24"/>
        </w:rPr>
        <w:t xml:space="preserve">, </w:t>
      </w:r>
      <w:r w:rsidRPr="00244B27">
        <w:rPr>
          <w:rFonts w:ascii="Calibri" w:hAnsi="Calibri" w:cs="Calibri"/>
          <w:i/>
          <w:iCs/>
          <w:noProof/>
          <w:szCs w:val="24"/>
        </w:rPr>
        <w:t>20</w:t>
      </w:r>
      <w:r w:rsidRPr="00244B27">
        <w:rPr>
          <w:rFonts w:ascii="Calibri" w:hAnsi="Calibri" w:cs="Calibri"/>
          <w:noProof/>
          <w:szCs w:val="24"/>
        </w:rPr>
        <w:t>(4), 475–494. http://doi.org/10.1080/13563467.2014.923826</w:t>
      </w:r>
    </w:p>
    <w:p w14:paraId="10FE06EC"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Lockwood, M. (2018). Right-wing populism and the climate change agenda: exploring the linkages. </w:t>
      </w:r>
      <w:r w:rsidRPr="00244B27">
        <w:rPr>
          <w:rFonts w:ascii="Calibri" w:hAnsi="Calibri" w:cs="Calibri"/>
          <w:i/>
          <w:iCs/>
          <w:noProof/>
          <w:szCs w:val="24"/>
        </w:rPr>
        <w:t>Environmental Politics</w:t>
      </w:r>
      <w:r w:rsidRPr="00244B27">
        <w:rPr>
          <w:rFonts w:ascii="Calibri" w:hAnsi="Calibri" w:cs="Calibri"/>
          <w:noProof/>
          <w:szCs w:val="24"/>
        </w:rPr>
        <w:t xml:space="preserve">, </w:t>
      </w:r>
      <w:r w:rsidRPr="00244B27">
        <w:rPr>
          <w:rFonts w:ascii="Calibri" w:hAnsi="Calibri" w:cs="Calibri"/>
          <w:i/>
          <w:iCs/>
          <w:noProof/>
          <w:szCs w:val="24"/>
        </w:rPr>
        <w:t>27</w:t>
      </w:r>
      <w:r w:rsidRPr="00244B27">
        <w:rPr>
          <w:rFonts w:ascii="Calibri" w:hAnsi="Calibri" w:cs="Calibri"/>
          <w:noProof/>
          <w:szCs w:val="24"/>
        </w:rPr>
        <w:t>(4), 1–21. http://doi.org/10.1080/09644016.2018.1458411</w:t>
      </w:r>
    </w:p>
    <w:p w14:paraId="7C5C3923"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Lockwood, M., Kuzemko, C., Mitchell, C., &amp; Hoggett, R. (2016). Historical institutionalism and the politics of sustainable energy transitions : A research agenda. </w:t>
      </w:r>
      <w:r w:rsidRPr="00244B27">
        <w:rPr>
          <w:rFonts w:ascii="Calibri" w:hAnsi="Calibri" w:cs="Calibri"/>
          <w:i/>
          <w:iCs/>
          <w:noProof/>
          <w:szCs w:val="24"/>
        </w:rPr>
        <w:t>Environment and Planning C: Government and Policy</w:t>
      </w:r>
      <w:r w:rsidRPr="00244B27">
        <w:rPr>
          <w:rFonts w:ascii="Calibri" w:hAnsi="Calibri" w:cs="Calibri"/>
          <w:noProof/>
          <w:szCs w:val="24"/>
        </w:rPr>
        <w:t xml:space="preserve">, </w:t>
      </w:r>
      <w:r w:rsidRPr="00244B27">
        <w:rPr>
          <w:rFonts w:ascii="Calibri" w:hAnsi="Calibri" w:cs="Calibri"/>
          <w:i/>
          <w:iCs/>
          <w:noProof/>
          <w:szCs w:val="24"/>
        </w:rPr>
        <w:t>0</w:t>
      </w:r>
      <w:r w:rsidRPr="00244B27">
        <w:rPr>
          <w:rFonts w:ascii="Calibri" w:hAnsi="Calibri" w:cs="Calibri"/>
          <w:noProof/>
          <w:szCs w:val="24"/>
        </w:rPr>
        <w:t>(0), 1–22. http://doi.org/10.1177/0263774X16660561</w:t>
      </w:r>
    </w:p>
    <w:p w14:paraId="7908F6C3"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Malm, A. (2016). </w:t>
      </w:r>
      <w:r w:rsidRPr="00244B27">
        <w:rPr>
          <w:rFonts w:ascii="Calibri" w:hAnsi="Calibri" w:cs="Calibri"/>
          <w:i/>
          <w:iCs/>
          <w:noProof/>
          <w:szCs w:val="24"/>
        </w:rPr>
        <w:t>Fossil Capital: The Rise of Steam Power and the Roots of Global Warming</w:t>
      </w:r>
      <w:r w:rsidRPr="00244B27">
        <w:rPr>
          <w:rFonts w:ascii="Calibri" w:hAnsi="Calibri" w:cs="Calibri"/>
          <w:noProof/>
          <w:szCs w:val="24"/>
        </w:rPr>
        <w:t>. London: Verso.</w:t>
      </w:r>
    </w:p>
    <w:p w14:paraId="67EF8B34"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McGlade, C., &amp; Ekins, P. (2015). The geographical distribution of fossil fuels unused when limiting global warming to 2 °C. </w:t>
      </w:r>
      <w:r w:rsidRPr="00244B27">
        <w:rPr>
          <w:rFonts w:ascii="Calibri" w:hAnsi="Calibri" w:cs="Calibri"/>
          <w:i/>
          <w:iCs/>
          <w:noProof/>
          <w:szCs w:val="24"/>
        </w:rPr>
        <w:t>Nature</w:t>
      </w:r>
      <w:r w:rsidRPr="00244B27">
        <w:rPr>
          <w:rFonts w:ascii="Calibri" w:hAnsi="Calibri" w:cs="Calibri"/>
          <w:noProof/>
          <w:szCs w:val="24"/>
        </w:rPr>
        <w:t xml:space="preserve">, </w:t>
      </w:r>
      <w:r w:rsidRPr="00244B27">
        <w:rPr>
          <w:rFonts w:ascii="Calibri" w:hAnsi="Calibri" w:cs="Calibri"/>
          <w:i/>
          <w:iCs/>
          <w:noProof/>
          <w:szCs w:val="24"/>
        </w:rPr>
        <w:t>517</w:t>
      </w:r>
      <w:r w:rsidRPr="00244B27">
        <w:rPr>
          <w:rFonts w:ascii="Calibri" w:hAnsi="Calibri" w:cs="Calibri"/>
          <w:noProof/>
          <w:szCs w:val="24"/>
        </w:rPr>
        <w:t>(7533), 187–190. http://doi.org/10.1038/nature14016</w:t>
      </w:r>
    </w:p>
    <w:p w14:paraId="6BBC272D"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Meckling, J. (2015). Oppose, Support, or Hedge? Distributional Effects, Regulatory Pressure, and Business Strategy in Environmental Politics. </w:t>
      </w:r>
      <w:r w:rsidRPr="00244B27">
        <w:rPr>
          <w:rFonts w:ascii="Calibri" w:hAnsi="Calibri" w:cs="Calibri"/>
          <w:i/>
          <w:iCs/>
          <w:noProof/>
          <w:szCs w:val="24"/>
        </w:rPr>
        <w:t>Global Environmental Politics</w:t>
      </w:r>
      <w:r w:rsidRPr="00244B27">
        <w:rPr>
          <w:rFonts w:ascii="Calibri" w:hAnsi="Calibri" w:cs="Calibri"/>
          <w:noProof/>
          <w:szCs w:val="24"/>
        </w:rPr>
        <w:t xml:space="preserve">, </w:t>
      </w:r>
      <w:r w:rsidRPr="00244B27">
        <w:rPr>
          <w:rFonts w:ascii="Calibri" w:hAnsi="Calibri" w:cs="Calibri"/>
          <w:i/>
          <w:iCs/>
          <w:noProof/>
          <w:szCs w:val="24"/>
        </w:rPr>
        <w:t>15</w:t>
      </w:r>
      <w:r w:rsidRPr="00244B27">
        <w:rPr>
          <w:rFonts w:ascii="Calibri" w:hAnsi="Calibri" w:cs="Calibri"/>
          <w:noProof/>
          <w:szCs w:val="24"/>
        </w:rPr>
        <w:t>(2), 19–37. http://doi.org/10.1162/GLEP_a_00296</w:t>
      </w:r>
    </w:p>
    <w:p w14:paraId="2C37C8A8"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Meckling, J., &amp; Nahm, J. (2018). The power of process: State capacity and climate policy. </w:t>
      </w:r>
      <w:r w:rsidRPr="00244B27">
        <w:rPr>
          <w:rFonts w:ascii="Calibri" w:hAnsi="Calibri" w:cs="Calibri"/>
          <w:i/>
          <w:iCs/>
          <w:noProof/>
          <w:szCs w:val="24"/>
        </w:rPr>
        <w:t>Governance</w:t>
      </w:r>
      <w:r w:rsidRPr="00244B27">
        <w:rPr>
          <w:rFonts w:ascii="Calibri" w:hAnsi="Calibri" w:cs="Calibri"/>
          <w:noProof/>
          <w:szCs w:val="24"/>
        </w:rPr>
        <w:t xml:space="preserve">, </w:t>
      </w:r>
      <w:r w:rsidRPr="00244B27">
        <w:rPr>
          <w:rFonts w:ascii="Calibri" w:hAnsi="Calibri" w:cs="Calibri"/>
          <w:i/>
          <w:iCs/>
          <w:noProof/>
          <w:szCs w:val="24"/>
        </w:rPr>
        <w:t>31</w:t>
      </w:r>
      <w:r w:rsidRPr="00244B27">
        <w:rPr>
          <w:rFonts w:ascii="Calibri" w:hAnsi="Calibri" w:cs="Calibri"/>
          <w:noProof/>
          <w:szCs w:val="24"/>
        </w:rPr>
        <w:t>(4), 741–757. http://doi.org/10.1111/gove.12338</w:t>
      </w:r>
    </w:p>
    <w:p w14:paraId="7319B0AA"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Meckling, J., Sterner, T., &amp; Wagner, G. (2017). Policy sequencing toward decarbonization. </w:t>
      </w:r>
      <w:r w:rsidRPr="00244B27">
        <w:rPr>
          <w:rFonts w:ascii="Calibri" w:hAnsi="Calibri" w:cs="Calibri"/>
          <w:i/>
          <w:iCs/>
          <w:noProof/>
          <w:szCs w:val="24"/>
        </w:rPr>
        <w:t>Nature Energy</w:t>
      </w:r>
      <w:r w:rsidRPr="00244B27">
        <w:rPr>
          <w:rFonts w:ascii="Calibri" w:hAnsi="Calibri" w:cs="Calibri"/>
          <w:noProof/>
          <w:szCs w:val="24"/>
        </w:rPr>
        <w:t xml:space="preserve">, </w:t>
      </w:r>
      <w:r w:rsidRPr="00244B27">
        <w:rPr>
          <w:rFonts w:ascii="Calibri" w:hAnsi="Calibri" w:cs="Calibri"/>
          <w:i/>
          <w:iCs/>
          <w:noProof/>
          <w:szCs w:val="24"/>
        </w:rPr>
        <w:t>2</w:t>
      </w:r>
      <w:r w:rsidRPr="00244B27">
        <w:rPr>
          <w:rFonts w:ascii="Calibri" w:hAnsi="Calibri" w:cs="Calibri"/>
          <w:noProof/>
          <w:szCs w:val="24"/>
        </w:rPr>
        <w:t>(12), 918–922. http://doi.org/10.1038/s41560-017-0025-8</w:t>
      </w:r>
    </w:p>
    <w:p w14:paraId="3B9B6F95"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Moe, E. (2010). Energy, industry and politics: Energy, vested interests, and long-term economic growth and development. </w:t>
      </w:r>
      <w:r w:rsidRPr="00244B27">
        <w:rPr>
          <w:rFonts w:ascii="Calibri" w:hAnsi="Calibri" w:cs="Calibri"/>
          <w:i/>
          <w:iCs/>
          <w:noProof/>
          <w:szCs w:val="24"/>
        </w:rPr>
        <w:t>Energy</w:t>
      </w:r>
      <w:r w:rsidRPr="00244B27">
        <w:rPr>
          <w:rFonts w:ascii="Calibri" w:hAnsi="Calibri" w:cs="Calibri"/>
          <w:noProof/>
          <w:szCs w:val="24"/>
        </w:rPr>
        <w:t xml:space="preserve">, </w:t>
      </w:r>
      <w:r w:rsidRPr="00244B27">
        <w:rPr>
          <w:rFonts w:ascii="Calibri" w:hAnsi="Calibri" w:cs="Calibri"/>
          <w:i/>
          <w:iCs/>
          <w:noProof/>
          <w:szCs w:val="24"/>
        </w:rPr>
        <w:t>35</w:t>
      </w:r>
      <w:r w:rsidRPr="00244B27">
        <w:rPr>
          <w:rFonts w:ascii="Calibri" w:hAnsi="Calibri" w:cs="Calibri"/>
          <w:noProof/>
          <w:szCs w:val="24"/>
        </w:rPr>
        <w:t>(4), 1730–1740. http://doi.org/10.1016/j.energy.2009.12.026</w:t>
      </w:r>
    </w:p>
    <w:p w14:paraId="55146A7D"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Moe, E. (2015). </w:t>
      </w:r>
      <w:r w:rsidRPr="00244B27">
        <w:rPr>
          <w:rFonts w:ascii="Calibri" w:hAnsi="Calibri" w:cs="Calibri"/>
          <w:i/>
          <w:iCs/>
          <w:noProof/>
          <w:szCs w:val="24"/>
        </w:rPr>
        <w:t>Renewable Energy Transformation or Fossil Fuel Backlash - Vested Interests in the Political Economy</w:t>
      </w:r>
      <w:r w:rsidRPr="00244B27">
        <w:rPr>
          <w:rFonts w:ascii="Calibri" w:hAnsi="Calibri" w:cs="Calibri"/>
          <w:noProof/>
          <w:szCs w:val="24"/>
        </w:rPr>
        <w:t>. London: Palgrave Macmillan.</w:t>
      </w:r>
    </w:p>
    <w:p w14:paraId="0B462291"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Obydenkova, A. V., &amp; Salahodjaev, R. (2017). Climate change policies: The role of democracy and social cognitive capital. </w:t>
      </w:r>
      <w:r w:rsidRPr="00244B27">
        <w:rPr>
          <w:rFonts w:ascii="Calibri" w:hAnsi="Calibri" w:cs="Calibri"/>
          <w:i/>
          <w:iCs/>
          <w:noProof/>
          <w:szCs w:val="24"/>
        </w:rPr>
        <w:t>Environmental Research</w:t>
      </w:r>
      <w:r w:rsidRPr="00244B27">
        <w:rPr>
          <w:rFonts w:ascii="Calibri" w:hAnsi="Calibri" w:cs="Calibri"/>
          <w:noProof/>
          <w:szCs w:val="24"/>
        </w:rPr>
        <w:t xml:space="preserve">, </w:t>
      </w:r>
      <w:r w:rsidRPr="00244B27">
        <w:rPr>
          <w:rFonts w:ascii="Calibri" w:hAnsi="Calibri" w:cs="Calibri"/>
          <w:i/>
          <w:iCs/>
          <w:noProof/>
          <w:szCs w:val="24"/>
        </w:rPr>
        <w:t>157</w:t>
      </w:r>
      <w:r w:rsidRPr="00244B27">
        <w:rPr>
          <w:rFonts w:ascii="Calibri" w:hAnsi="Calibri" w:cs="Calibri"/>
          <w:noProof/>
          <w:szCs w:val="24"/>
        </w:rPr>
        <w:t>(April), 182–189. http://doi.org/10.1016/j.envres.2017.05.009</w:t>
      </w:r>
    </w:p>
    <w:p w14:paraId="1CA8D065"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Ohlendorf, N., Jakob, M., Minx, J. C., Schröder, C., &amp; Steckel, J. C. (2018). </w:t>
      </w:r>
      <w:r w:rsidRPr="00244B27">
        <w:rPr>
          <w:rFonts w:ascii="Calibri" w:hAnsi="Calibri" w:cs="Calibri"/>
          <w:i/>
          <w:iCs/>
          <w:noProof/>
          <w:szCs w:val="24"/>
        </w:rPr>
        <w:t>Distributional Impacts of Climate Mitigation Policies - A Meta-Analysis</w:t>
      </w:r>
      <w:r w:rsidRPr="00244B27">
        <w:rPr>
          <w:rFonts w:ascii="Calibri" w:hAnsi="Calibri" w:cs="Calibri"/>
          <w:noProof/>
          <w:szCs w:val="24"/>
        </w:rPr>
        <w:t xml:space="preserve"> (No. 1776). </w:t>
      </w:r>
      <w:r w:rsidRPr="00244B27">
        <w:rPr>
          <w:rFonts w:ascii="Calibri" w:hAnsi="Calibri" w:cs="Calibri"/>
          <w:i/>
          <w:iCs/>
          <w:noProof/>
          <w:szCs w:val="24"/>
        </w:rPr>
        <w:t>DIW Berlin Discussion Papers</w:t>
      </w:r>
      <w:r w:rsidRPr="00244B27">
        <w:rPr>
          <w:rFonts w:ascii="Calibri" w:hAnsi="Calibri" w:cs="Calibri"/>
          <w:noProof/>
          <w:szCs w:val="24"/>
        </w:rPr>
        <w:t>. Berlin.</w:t>
      </w:r>
    </w:p>
    <w:p w14:paraId="134F839E" w14:textId="77777777" w:rsidR="00244B27" w:rsidRPr="0068382C" w:rsidRDefault="00244B27" w:rsidP="00244B27">
      <w:pPr>
        <w:widowControl w:val="0"/>
        <w:autoSpaceDE w:val="0"/>
        <w:autoSpaceDN w:val="0"/>
        <w:adjustRightInd w:val="0"/>
        <w:spacing w:line="360" w:lineRule="auto"/>
        <w:ind w:left="480" w:hanging="480"/>
        <w:rPr>
          <w:rFonts w:ascii="Calibri" w:hAnsi="Calibri" w:cs="Calibri"/>
          <w:noProof/>
          <w:szCs w:val="24"/>
          <w:lang w:val="de-DE"/>
        </w:rPr>
      </w:pPr>
      <w:r w:rsidRPr="00244B27">
        <w:rPr>
          <w:rFonts w:ascii="Calibri" w:hAnsi="Calibri" w:cs="Calibri"/>
          <w:noProof/>
          <w:szCs w:val="24"/>
        </w:rPr>
        <w:lastRenderedPageBreak/>
        <w:t xml:space="preserve">Oreskes, N., &amp; Conway, E. M. (2010). Defeating the merchants of doubt. </w:t>
      </w:r>
      <w:r w:rsidRPr="0068382C">
        <w:rPr>
          <w:rFonts w:ascii="Calibri" w:hAnsi="Calibri" w:cs="Calibri"/>
          <w:i/>
          <w:iCs/>
          <w:noProof/>
          <w:szCs w:val="24"/>
          <w:lang w:val="de-DE"/>
        </w:rPr>
        <w:t>Nature</w:t>
      </w:r>
      <w:r w:rsidRPr="0068382C">
        <w:rPr>
          <w:rFonts w:ascii="Calibri" w:hAnsi="Calibri" w:cs="Calibri"/>
          <w:noProof/>
          <w:szCs w:val="24"/>
          <w:lang w:val="de-DE"/>
        </w:rPr>
        <w:t xml:space="preserve">, </w:t>
      </w:r>
      <w:r w:rsidRPr="0068382C">
        <w:rPr>
          <w:rFonts w:ascii="Calibri" w:hAnsi="Calibri" w:cs="Calibri"/>
          <w:i/>
          <w:iCs/>
          <w:noProof/>
          <w:szCs w:val="24"/>
          <w:lang w:val="de-DE"/>
        </w:rPr>
        <w:t>465</w:t>
      </w:r>
      <w:r w:rsidRPr="0068382C">
        <w:rPr>
          <w:rFonts w:ascii="Calibri" w:hAnsi="Calibri" w:cs="Calibri"/>
          <w:noProof/>
          <w:szCs w:val="24"/>
          <w:lang w:val="de-DE"/>
        </w:rPr>
        <w:t>(7299), 686–687. http://doi.org/10.1038/465686a</w:t>
      </w:r>
    </w:p>
    <w:p w14:paraId="6C78FE77"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68382C">
        <w:rPr>
          <w:rFonts w:ascii="Calibri" w:hAnsi="Calibri" w:cs="Calibri"/>
          <w:noProof/>
          <w:szCs w:val="24"/>
          <w:lang w:val="de-DE"/>
        </w:rPr>
        <w:t xml:space="preserve">Pahle, M., Burtraw, D., Flachsland, C., Kelsey, N., Biber, E., Meckling, J., … </w:t>
      </w:r>
      <w:r w:rsidRPr="00244B27">
        <w:rPr>
          <w:rFonts w:ascii="Calibri" w:hAnsi="Calibri" w:cs="Calibri"/>
          <w:noProof/>
          <w:szCs w:val="24"/>
        </w:rPr>
        <w:t xml:space="preserve">Zysman, J. (2018). Sequencing to ratchet up climate policy stringency. </w:t>
      </w:r>
      <w:r w:rsidRPr="00244B27">
        <w:rPr>
          <w:rFonts w:ascii="Calibri" w:hAnsi="Calibri" w:cs="Calibri"/>
          <w:i/>
          <w:iCs/>
          <w:noProof/>
          <w:szCs w:val="24"/>
        </w:rPr>
        <w:t>Nature Climate Change</w:t>
      </w:r>
      <w:r w:rsidRPr="00244B27">
        <w:rPr>
          <w:rFonts w:ascii="Calibri" w:hAnsi="Calibri" w:cs="Calibri"/>
          <w:noProof/>
          <w:szCs w:val="24"/>
        </w:rPr>
        <w:t xml:space="preserve">, </w:t>
      </w:r>
      <w:r w:rsidRPr="00244B27">
        <w:rPr>
          <w:rFonts w:ascii="Calibri" w:hAnsi="Calibri" w:cs="Calibri"/>
          <w:i/>
          <w:iCs/>
          <w:noProof/>
          <w:szCs w:val="24"/>
        </w:rPr>
        <w:t>8</w:t>
      </w:r>
      <w:r w:rsidRPr="00244B27">
        <w:rPr>
          <w:rFonts w:ascii="Calibri" w:hAnsi="Calibri" w:cs="Calibri"/>
          <w:noProof/>
          <w:szCs w:val="24"/>
        </w:rPr>
        <w:t>(10), 861–867. http://doi.org/10.1038/s41558-018-0287-6</w:t>
      </w:r>
    </w:p>
    <w:p w14:paraId="78C712AA"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Painter, J. (2011). </w:t>
      </w:r>
      <w:r w:rsidRPr="00244B27">
        <w:rPr>
          <w:rFonts w:ascii="Calibri" w:hAnsi="Calibri" w:cs="Calibri"/>
          <w:i/>
          <w:iCs/>
          <w:noProof/>
          <w:szCs w:val="24"/>
        </w:rPr>
        <w:t>Poles Apart: the international reporting of climate scepticism</w:t>
      </w:r>
      <w:r w:rsidRPr="00244B27">
        <w:rPr>
          <w:rFonts w:ascii="Calibri" w:hAnsi="Calibri" w:cs="Calibri"/>
          <w:noProof/>
          <w:szCs w:val="24"/>
        </w:rPr>
        <w:t>. Oxford: Reuters Institute for the Study of Journalism.</w:t>
      </w:r>
    </w:p>
    <w:p w14:paraId="0823F248"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Paterson, M., &amp; P‐Laberge, X. (2018). Political economies of climate change. </w:t>
      </w:r>
      <w:r w:rsidRPr="00244B27">
        <w:rPr>
          <w:rFonts w:ascii="Calibri" w:hAnsi="Calibri" w:cs="Calibri"/>
          <w:i/>
          <w:iCs/>
          <w:noProof/>
          <w:szCs w:val="24"/>
        </w:rPr>
        <w:t>Wiley Interdisciplinary Reviews: Climate Change</w:t>
      </w:r>
      <w:r w:rsidRPr="00244B27">
        <w:rPr>
          <w:rFonts w:ascii="Calibri" w:hAnsi="Calibri" w:cs="Calibri"/>
          <w:noProof/>
          <w:szCs w:val="24"/>
        </w:rPr>
        <w:t>, (November 2017), 1–16. http://doi.org/10.1002/WCC.506</w:t>
      </w:r>
    </w:p>
    <w:p w14:paraId="661264A2"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Peters, G. P., Andrew, R. M., Canadell, J. G., Fuss, S., Jackson, R. B., Korsbakken, J. I., … Nakicenovic, N. (2017). Key indicators to track current progress and future ambition of the Paris Agreement. </w:t>
      </w:r>
      <w:r w:rsidRPr="00244B27">
        <w:rPr>
          <w:rFonts w:ascii="Calibri" w:hAnsi="Calibri" w:cs="Calibri"/>
          <w:i/>
          <w:iCs/>
          <w:noProof/>
          <w:szCs w:val="24"/>
        </w:rPr>
        <w:t>Nature Climate Change</w:t>
      </w:r>
      <w:r w:rsidRPr="00244B27">
        <w:rPr>
          <w:rFonts w:ascii="Calibri" w:hAnsi="Calibri" w:cs="Calibri"/>
          <w:noProof/>
          <w:szCs w:val="24"/>
        </w:rPr>
        <w:t xml:space="preserve">, </w:t>
      </w:r>
      <w:r w:rsidRPr="00244B27">
        <w:rPr>
          <w:rFonts w:ascii="Calibri" w:hAnsi="Calibri" w:cs="Calibri"/>
          <w:i/>
          <w:iCs/>
          <w:noProof/>
          <w:szCs w:val="24"/>
        </w:rPr>
        <w:t>7</w:t>
      </w:r>
      <w:r w:rsidRPr="00244B27">
        <w:rPr>
          <w:rFonts w:ascii="Calibri" w:hAnsi="Calibri" w:cs="Calibri"/>
          <w:noProof/>
          <w:szCs w:val="24"/>
        </w:rPr>
        <w:t>(118). http://doi.org/10.1038/nclimate3202</w:t>
      </w:r>
    </w:p>
    <w:p w14:paraId="6AAB88B2"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Peters, G. P., Minx, J. C., Weber, C. L., &amp; Edenhofer, O. (2011). Growth in emission transfers via international trade from 1990 to 2008. </w:t>
      </w:r>
      <w:r w:rsidRPr="00244B27">
        <w:rPr>
          <w:rFonts w:ascii="Calibri" w:hAnsi="Calibri" w:cs="Calibri"/>
          <w:i/>
          <w:iCs/>
          <w:noProof/>
          <w:szCs w:val="24"/>
        </w:rPr>
        <w:t>Proceedings of the National Academy of Sciences of the United States of America</w:t>
      </w:r>
      <w:r w:rsidRPr="00244B27">
        <w:rPr>
          <w:rFonts w:ascii="Calibri" w:hAnsi="Calibri" w:cs="Calibri"/>
          <w:noProof/>
          <w:szCs w:val="24"/>
        </w:rPr>
        <w:t xml:space="preserve">, </w:t>
      </w:r>
      <w:r w:rsidRPr="00244B27">
        <w:rPr>
          <w:rFonts w:ascii="Calibri" w:hAnsi="Calibri" w:cs="Calibri"/>
          <w:i/>
          <w:iCs/>
          <w:noProof/>
          <w:szCs w:val="24"/>
        </w:rPr>
        <w:t>108</w:t>
      </w:r>
      <w:r w:rsidRPr="00244B27">
        <w:rPr>
          <w:rFonts w:ascii="Calibri" w:hAnsi="Calibri" w:cs="Calibri"/>
          <w:noProof/>
          <w:szCs w:val="24"/>
        </w:rPr>
        <w:t>(21), 8903–8. http://doi.org/10.1073/pnas.1006388108</w:t>
      </w:r>
    </w:p>
    <w:p w14:paraId="51A7F971"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68382C">
        <w:rPr>
          <w:rFonts w:ascii="Calibri" w:hAnsi="Calibri" w:cs="Calibri"/>
          <w:noProof/>
          <w:szCs w:val="24"/>
          <w:lang w:val="de-DE"/>
        </w:rPr>
        <w:t xml:space="preserve">Quéré, C. Le, Andrew, R. M., Friedlingstein, P., Sitch, S., Hauck, J., Pongratz, J., … </w:t>
      </w:r>
      <w:r w:rsidRPr="00244B27">
        <w:rPr>
          <w:rFonts w:ascii="Calibri" w:hAnsi="Calibri" w:cs="Calibri"/>
          <w:noProof/>
          <w:szCs w:val="24"/>
        </w:rPr>
        <w:t xml:space="preserve">Zheng, B. (2018). Global Carbon Budget 2018. </w:t>
      </w:r>
      <w:r w:rsidRPr="00244B27">
        <w:rPr>
          <w:rFonts w:ascii="Calibri" w:hAnsi="Calibri" w:cs="Calibri"/>
          <w:i/>
          <w:iCs/>
          <w:noProof/>
          <w:szCs w:val="24"/>
        </w:rPr>
        <w:t>Earth System Science Data</w:t>
      </w:r>
      <w:r w:rsidRPr="00244B27">
        <w:rPr>
          <w:rFonts w:ascii="Calibri" w:hAnsi="Calibri" w:cs="Calibri"/>
          <w:noProof/>
          <w:szCs w:val="24"/>
        </w:rPr>
        <w:t xml:space="preserve">, </w:t>
      </w:r>
      <w:r w:rsidRPr="00244B27">
        <w:rPr>
          <w:rFonts w:ascii="Calibri" w:hAnsi="Calibri" w:cs="Calibri"/>
          <w:i/>
          <w:iCs/>
          <w:noProof/>
          <w:szCs w:val="24"/>
        </w:rPr>
        <w:t>10</w:t>
      </w:r>
      <w:r w:rsidRPr="00244B27">
        <w:rPr>
          <w:rFonts w:ascii="Calibri" w:hAnsi="Calibri" w:cs="Calibri"/>
          <w:noProof/>
          <w:szCs w:val="24"/>
        </w:rPr>
        <w:t>, 2141–2194. http://doi.org/10.5194/essd-8-605-2016</w:t>
      </w:r>
    </w:p>
    <w:p w14:paraId="341949A8"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Rao, N. D. (2012). Kerosene subsidies in India: When energy policy fails as social policy. </w:t>
      </w:r>
      <w:r w:rsidRPr="00244B27">
        <w:rPr>
          <w:rFonts w:ascii="Calibri" w:hAnsi="Calibri" w:cs="Calibri"/>
          <w:i/>
          <w:iCs/>
          <w:noProof/>
          <w:szCs w:val="24"/>
        </w:rPr>
        <w:t>Energy for Sustainable Development</w:t>
      </w:r>
      <w:r w:rsidRPr="00244B27">
        <w:rPr>
          <w:rFonts w:ascii="Calibri" w:hAnsi="Calibri" w:cs="Calibri"/>
          <w:noProof/>
          <w:szCs w:val="24"/>
        </w:rPr>
        <w:t xml:space="preserve">, </w:t>
      </w:r>
      <w:r w:rsidRPr="00244B27">
        <w:rPr>
          <w:rFonts w:ascii="Calibri" w:hAnsi="Calibri" w:cs="Calibri"/>
          <w:i/>
          <w:iCs/>
          <w:noProof/>
          <w:szCs w:val="24"/>
        </w:rPr>
        <w:t>16</w:t>
      </w:r>
      <w:r w:rsidRPr="00244B27">
        <w:rPr>
          <w:rFonts w:ascii="Calibri" w:hAnsi="Calibri" w:cs="Calibri"/>
          <w:noProof/>
          <w:szCs w:val="24"/>
        </w:rPr>
        <w:t>(1), 35–43. http://doi.org/10.1016/j.esd.2011.12.007</w:t>
      </w:r>
    </w:p>
    <w:p w14:paraId="492B7132"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Roberts, C., Geels, F. W., Lockwood, M., Newell, P., Schmitz, H., Turnheim, B., &amp; Jordan, A. (2018). The politics of accelerating low-carbon transitions: Towards a new research agenda. </w:t>
      </w:r>
      <w:r w:rsidRPr="00244B27">
        <w:rPr>
          <w:rFonts w:ascii="Calibri" w:hAnsi="Calibri" w:cs="Calibri"/>
          <w:i/>
          <w:iCs/>
          <w:noProof/>
          <w:szCs w:val="24"/>
        </w:rPr>
        <w:t>Energy Research and Social Science</w:t>
      </w:r>
      <w:r w:rsidRPr="00244B27">
        <w:rPr>
          <w:rFonts w:ascii="Calibri" w:hAnsi="Calibri" w:cs="Calibri"/>
          <w:noProof/>
          <w:szCs w:val="24"/>
        </w:rPr>
        <w:t xml:space="preserve">, </w:t>
      </w:r>
      <w:r w:rsidRPr="00244B27">
        <w:rPr>
          <w:rFonts w:ascii="Calibri" w:hAnsi="Calibri" w:cs="Calibri"/>
          <w:i/>
          <w:iCs/>
          <w:noProof/>
          <w:szCs w:val="24"/>
        </w:rPr>
        <w:t>44</w:t>
      </w:r>
      <w:r w:rsidRPr="00244B27">
        <w:rPr>
          <w:rFonts w:ascii="Calibri" w:hAnsi="Calibri" w:cs="Calibri"/>
          <w:noProof/>
          <w:szCs w:val="24"/>
        </w:rPr>
        <w:t>(February), 304–311. http://doi.org/10.1016/j.erss.2018.06.001</w:t>
      </w:r>
    </w:p>
    <w:p w14:paraId="22A269BA"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Rodrik, D., &amp; World Bank. (2006). Goodbye Washington Consensus, Hellow Washington Confusion? A Review of the World Bank’s “Economic Growth in the 1990s: Learning from a Decade of Reform.” </w:t>
      </w:r>
      <w:r w:rsidRPr="00244B27">
        <w:rPr>
          <w:rFonts w:ascii="Calibri" w:hAnsi="Calibri" w:cs="Calibri"/>
          <w:i/>
          <w:iCs/>
          <w:noProof/>
          <w:szCs w:val="24"/>
        </w:rPr>
        <w:t>Journal of Economic Literature</w:t>
      </w:r>
      <w:r w:rsidRPr="00244B27">
        <w:rPr>
          <w:rFonts w:ascii="Calibri" w:hAnsi="Calibri" w:cs="Calibri"/>
          <w:noProof/>
          <w:szCs w:val="24"/>
        </w:rPr>
        <w:t xml:space="preserve">, </w:t>
      </w:r>
      <w:r w:rsidRPr="00244B27">
        <w:rPr>
          <w:rFonts w:ascii="Calibri" w:hAnsi="Calibri" w:cs="Calibri"/>
          <w:i/>
          <w:iCs/>
          <w:noProof/>
          <w:szCs w:val="24"/>
        </w:rPr>
        <w:t>44</w:t>
      </w:r>
      <w:r w:rsidRPr="00244B27">
        <w:rPr>
          <w:rFonts w:ascii="Calibri" w:hAnsi="Calibri" w:cs="Calibri"/>
          <w:noProof/>
          <w:szCs w:val="24"/>
        </w:rPr>
        <w:t>(4), 973–987.</w:t>
      </w:r>
    </w:p>
    <w:p w14:paraId="4BBEC0E3"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Rosa, E. a., &amp; Dietz, T. (2012). Human drivers of national greenhouse-gas emissions. </w:t>
      </w:r>
      <w:r w:rsidRPr="00244B27">
        <w:rPr>
          <w:rFonts w:ascii="Calibri" w:hAnsi="Calibri" w:cs="Calibri"/>
          <w:i/>
          <w:iCs/>
          <w:noProof/>
          <w:szCs w:val="24"/>
        </w:rPr>
        <w:t>Nature Climate Change</w:t>
      </w:r>
      <w:r w:rsidRPr="00244B27">
        <w:rPr>
          <w:rFonts w:ascii="Calibri" w:hAnsi="Calibri" w:cs="Calibri"/>
          <w:noProof/>
          <w:szCs w:val="24"/>
        </w:rPr>
        <w:t xml:space="preserve">, </w:t>
      </w:r>
      <w:r w:rsidRPr="00244B27">
        <w:rPr>
          <w:rFonts w:ascii="Calibri" w:hAnsi="Calibri" w:cs="Calibri"/>
          <w:i/>
          <w:iCs/>
          <w:noProof/>
          <w:szCs w:val="24"/>
        </w:rPr>
        <w:t>2</w:t>
      </w:r>
      <w:r w:rsidRPr="00244B27">
        <w:rPr>
          <w:rFonts w:ascii="Calibri" w:hAnsi="Calibri" w:cs="Calibri"/>
          <w:noProof/>
          <w:szCs w:val="24"/>
        </w:rPr>
        <w:t>(August), 581–586. http://doi.org/10.1038/NCLIMATE1506</w:t>
      </w:r>
    </w:p>
    <w:p w14:paraId="6FFAA6C5"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Savoia, A., &amp; Sen, K. (2015). Measurement, evolution, determinants, and consequences of state capacity: A review of recent research. </w:t>
      </w:r>
      <w:r w:rsidRPr="00244B27">
        <w:rPr>
          <w:rFonts w:ascii="Calibri" w:hAnsi="Calibri" w:cs="Calibri"/>
          <w:i/>
          <w:iCs/>
          <w:noProof/>
          <w:szCs w:val="24"/>
        </w:rPr>
        <w:t>Journal of Economic Surveys</w:t>
      </w:r>
      <w:r w:rsidRPr="00244B27">
        <w:rPr>
          <w:rFonts w:ascii="Calibri" w:hAnsi="Calibri" w:cs="Calibri"/>
          <w:noProof/>
          <w:szCs w:val="24"/>
        </w:rPr>
        <w:t xml:space="preserve">, </w:t>
      </w:r>
      <w:r w:rsidRPr="00244B27">
        <w:rPr>
          <w:rFonts w:ascii="Calibri" w:hAnsi="Calibri" w:cs="Calibri"/>
          <w:i/>
          <w:iCs/>
          <w:noProof/>
          <w:szCs w:val="24"/>
        </w:rPr>
        <w:t>29</w:t>
      </w:r>
      <w:r w:rsidRPr="00244B27">
        <w:rPr>
          <w:rFonts w:ascii="Calibri" w:hAnsi="Calibri" w:cs="Calibri"/>
          <w:noProof/>
          <w:szCs w:val="24"/>
        </w:rPr>
        <w:t>(3), 441–458. http://doi.org/10.1111/joes.12065</w:t>
      </w:r>
    </w:p>
    <w:p w14:paraId="7DDCB964"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lastRenderedPageBreak/>
        <w:t xml:space="preserve">Schmidt, N. M., &amp; Fleig, A. (2018). Global patterns of national climate policies: Analyzing 171 country portfolios on climate policy integration. </w:t>
      </w:r>
      <w:r w:rsidRPr="00244B27">
        <w:rPr>
          <w:rFonts w:ascii="Calibri" w:hAnsi="Calibri" w:cs="Calibri"/>
          <w:i/>
          <w:iCs/>
          <w:noProof/>
          <w:szCs w:val="24"/>
        </w:rPr>
        <w:t>Environmental Science and Policy</w:t>
      </w:r>
      <w:r w:rsidRPr="00244B27">
        <w:rPr>
          <w:rFonts w:ascii="Calibri" w:hAnsi="Calibri" w:cs="Calibri"/>
          <w:noProof/>
          <w:szCs w:val="24"/>
        </w:rPr>
        <w:t xml:space="preserve">, </w:t>
      </w:r>
      <w:r w:rsidRPr="00244B27">
        <w:rPr>
          <w:rFonts w:ascii="Calibri" w:hAnsi="Calibri" w:cs="Calibri"/>
          <w:i/>
          <w:iCs/>
          <w:noProof/>
          <w:szCs w:val="24"/>
        </w:rPr>
        <w:t>84</w:t>
      </w:r>
      <w:r w:rsidRPr="00244B27">
        <w:rPr>
          <w:rFonts w:ascii="Calibri" w:hAnsi="Calibri" w:cs="Calibri"/>
          <w:noProof/>
          <w:szCs w:val="24"/>
        </w:rPr>
        <w:t>(February), 177–185. http://doi.org/10.1016/j.envsci.2018.03.003</w:t>
      </w:r>
    </w:p>
    <w:p w14:paraId="17C12BD7"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Seto, K. C., Davis, S. J., Mitchell, R. B., Stokes, E. C., Unruh, G., &amp; Ürge-Vorsatz, D. (2016). Carbon Lock-In: Types, Causes, and Policy Implications. </w:t>
      </w:r>
      <w:r w:rsidRPr="00244B27">
        <w:rPr>
          <w:rFonts w:ascii="Calibri" w:hAnsi="Calibri" w:cs="Calibri"/>
          <w:i/>
          <w:iCs/>
          <w:noProof/>
          <w:szCs w:val="24"/>
        </w:rPr>
        <w:t>Annual Review of Environment and Resources</w:t>
      </w:r>
      <w:r w:rsidRPr="00244B27">
        <w:rPr>
          <w:rFonts w:ascii="Calibri" w:hAnsi="Calibri" w:cs="Calibri"/>
          <w:noProof/>
          <w:szCs w:val="24"/>
        </w:rPr>
        <w:t xml:space="preserve">, </w:t>
      </w:r>
      <w:r w:rsidRPr="00244B27">
        <w:rPr>
          <w:rFonts w:ascii="Calibri" w:hAnsi="Calibri" w:cs="Calibri"/>
          <w:i/>
          <w:iCs/>
          <w:noProof/>
          <w:szCs w:val="24"/>
        </w:rPr>
        <w:t>41</w:t>
      </w:r>
      <w:r w:rsidRPr="00244B27">
        <w:rPr>
          <w:rFonts w:ascii="Calibri" w:hAnsi="Calibri" w:cs="Calibri"/>
          <w:noProof/>
          <w:szCs w:val="24"/>
        </w:rPr>
        <w:t>(1), 425–452. http://doi.org/10.1146/annurev-environ-110615-085934</w:t>
      </w:r>
    </w:p>
    <w:p w14:paraId="68BB89FB"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Smith, E. K., &amp; Mayer, A. (2018). A social trap for the climate? Collective action, trust and climate change risk perception in 35 countries. </w:t>
      </w:r>
      <w:r w:rsidRPr="00244B27">
        <w:rPr>
          <w:rFonts w:ascii="Calibri" w:hAnsi="Calibri" w:cs="Calibri"/>
          <w:i/>
          <w:iCs/>
          <w:noProof/>
          <w:szCs w:val="24"/>
        </w:rPr>
        <w:t>Global Environmental Change</w:t>
      </w:r>
      <w:r w:rsidRPr="00244B27">
        <w:rPr>
          <w:rFonts w:ascii="Calibri" w:hAnsi="Calibri" w:cs="Calibri"/>
          <w:noProof/>
          <w:szCs w:val="24"/>
        </w:rPr>
        <w:t xml:space="preserve">, </w:t>
      </w:r>
      <w:r w:rsidRPr="00244B27">
        <w:rPr>
          <w:rFonts w:ascii="Calibri" w:hAnsi="Calibri" w:cs="Calibri"/>
          <w:i/>
          <w:iCs/>
          <w:noProof/>
          <w:szCs w:val="24"/>
        </w:rPr>
        <w:t>49</w:t>
      </w:r>
      <w:r w:rsidRPr="00244B27">
        <w:rPr>
          <w:rFonts w:ascii="Calibri" w:hAnsi="Calibri" w:cs="Calibri"/>
          <w:noProof/>
          <w:szCs w:val="24"/>
        </w:rPr>
        <w:t>(February), 140–153. http://doi.org/10.1016/j.gloenvcha.2018.02.014</w:t>
      </w:r>
    </w:p>
    <w:p w14:paraId="7DA948D5"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Somanthan, E., Sterner, T., Sugiyama, T., Chimanikire, D., Dubash, N. K., Essandoh-Yeddu, J., … Zylicz, T. (2014). National and Sub-national Policies and Institutions. In O. Edenhofer, R. Pichs-Madruga, Y. Sokona, E. Farahani, S. Kadner, K. Seyboth, … J. C. Minx (Eds.), </w:t>
      </w:r>
      <w:r w:rsidRPr="00244B27">
        <w:rPr>
          <w:rFonts w:ascii="Calibri" w:hAnsi="Calibri" w:cs="Calibri"/>
          <w:i/>
          <w:iCs/>
          <w:noProof/>
          <w:szCs w:val="24"/>
        </w:rPr>
        <w:t>Climate Change 2014: Mitigation of Climate Change. Contribution of Working Group III to the Fifth Assessment Report of the Intergovernmental Panel on Climate Change</w:t>
      </w:r>
      <w:r w:rsidRPr="00244B27">
        <w:rPr>
          <w:rFonts w:ascii="Calibri" w:hAnsi="Calibri" w:cs="Calibri"/>
          <w:noProof/>
          <w:szCs w:val="24"/>
        </w:rPr>
        <w:t xml:space="preserve"> (pp. 1141–1206). Cambridge, United Kingdom and New York, NY, USA: Cambridge University Press.</w:t>
      </w:r>
    </w:p>
    <w:p w14:paraId="625C0DBC"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Sovacool, B. K. (2017). Reviewing, Reforming, and Rethinking Global Energy Subsidies: Towards a Political Economy Research Agenda. </w:t>
      </w:r>
      <w:r w:rsidRPr="00244B27">
        <w:rPr>
          <w:rFonts w:ascii="Calibri" w:hAnsi="Calibri" w:cs="Calibri"/>
          <w:i/>
          <w:iCs/>
          <w:noProof/>
          <w:szCs w:val="24"/>
        </w:rPr>
        <w:t>Ecological Economics</w:t>
      </w:r>
      <w:r w:rsidRPr="00244B27">
        <w:rPr>
          <w:rFonts w:ascii="Calibri" w:hAnsi="Calibri" w:cs="Calibri"/>
          <w:noProof/>
          <w:szCs w:val="24"/>
        </w:rPr>
        <w:t xml:space="preserve">, </w:t>
      </w:r>
      <w:r w:rsidRPr="00244B27">
        <w:rPr>
          <w:rFonts w:ascii="Calibri" w:hAnsi="Calibri" w:cs="Calibri"/>
          <w:i/>
          <w:iCs/>
          <w:noProof/>
          <w:szCs w:val="24"/>
        </w:rPr>
        <w:t>135</w:t>
      </w:r>
      <w:r w:rsidRPr="00244B27">
        <w:rPr>
          <w:rFonts w:ascii="Calibri" w:hAnsi="Calibri" w:cs="Calibri"/>
          <w:noProof/>
          <w:szCs w:val="24"/>
        </w:rPr>
        <w:t>, 150–163. http://doi.org/10.1016/j.ecolecon.2016.12.009</w:t>
      </w:r>
    </w:p>
    <w:p w14:paraId="0087D6F8"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Spencer, T., Colombier, M., Sartor, O., Garg, A., Tiwari, V., Burton, J., … Wiseman, J. (2018). The 1.5°C target and coal sector transition: at the limits of societal feasibility. </w:t>
      </w:r>
      <w:r w:rsidRPr="00244B27">
        <w:rPr>
          <w:rFonts w:ascii="Calibri" w:hAnsi="Calibri" w:cs="Calibri"/>
          <w:i/>
          <w:iCs/>
          <w:noProof/>
          <w:szCs w:val="24"/>
        </w:rPr>
        <w:t>Climate Policy</w:t>
      </w:r>
      <w:r w:rsidRPr="00244B27">
        <w:rPr>
          <w:rFonts w:ascii="Calibri" w:hAnsi="Calibri" w:cs="Calibri"/>
          <w:noProof/>
          <w:szCs w:val="24"/>
        </w:rPr>
        <w:t xml:space="preserve">, </w:t>
      </w:r>
      <w:r w:rsidRPr="00244B27">
        <w:rPr>
          <w:rFonts w:ascii="Calibri" w:hAnsi="Calibri" w:cs="Calibri"/>
          <w:i/>
          <w:iCs/>
          <w:noProof/>
          <w:szCs w:val="24"/>
        </w:rPr>
        <w:t>18</w:t>
      </w:r>
      <w:r w:rsidRPr="00244B27">
        <w:rPr>
          <w:rFonts w:ascii="Calibri" w:hAnsi="Calibri" w:cs="Calibri"/>
          <w:noProof/>
          <w:szCs w:val="24"/>
        </w:rPr>
        <w:t>(3), 335–351. http://doi.org/10.1080/14693062.2017.1386540</w:t>
      </w:r>
    </w:p>
    <w:p w14:paraId="764E8A42"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Steves, F., &amp; Teytelboym, A. (2013). </w:t>
      </w:r>
      <w:r w:rsidRPr="00244B27">
        <w:rPr>
          <w:rFonts w:ascii="Calibri" w:hAnsi="Calibri" w:cs="Calibri"/>
          <w:i/>
          <w:iCs/>
          <w:noProof/>
          <w:szCs w:val="24"/>
        </w:rPr>
        <w:t>Political Economy of Climate Change Policy</w:t>
      </w:r>
      <w:r w:rsidRPr="00244B27">
        <w:rPr>
          <w:rFonts w:ascii="Calibri" w:hAnsi="Calibri" w:cs="Calibri"/>
          <w:noProof/>
          <w:szCs w:val="24"/>
        </w:rPr>
        <w:t xml:space="preserve">. </w:t>
      </w:r>
      <w:r w:rsidRPr="00244B27">
        <w:rPr>
          <w:rFonts w:ascii="Calibri" w:hAnsi="Calibri" w:cs="Calibri"/>
          <w:i/>
          <w:iCs/>
          <w:noProof/>
          <w:szCs w:val="24"/>
        </w:rPr>
        <w:t>Smith School of Enterprise and the Environment</w:t>
      </w:r>
      <w:r w:rsidRPr="00244B27">
        <w:rPr>
          <w:rFonts w:ascii="Calibri" w:hAnsi="Calibri" w:cs="Calibri"/>
          <w:noProof/>
          <w:szCs w:val="24"/>
        </w:rPr>
        <w:t xml:space="preserve"> (Vol. 13-06). Oxford.</w:t>
      </w:r>
    </w:p>
    <w:p w14:paraId="3E1AFF96"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Tjernström, E., &amp; Tietenberg, T. (2008). Do differences in attitudes explain differences in national climate change policies? </w:t>
      </w:r>
      <w:r w:rsidRPr="00244B27">
        <w:rPr>
          <w:rFonts w:ascii="Calibri" w:hAnsi="Calibri" w:cs="Calibri"/>
          <w:i/>
          <w:iCs/>
          <w:noProof/>
          <w:szCs w:val="24"/>
        </w:rPr>
        <w:t>Ecological Economics</w:t>
      </w:r>
      <w:r w:rsidRPr="00244B27">
        <w:rPr>
          <w:rFonts w:ascii="Calibri" w:hAnsi="Calibri" w:cs="Calibri"/>
          <w:noProof/>
          <w:szCs w:val="24"/>
        </w:rPr>
        <w:t xml:space="preserve">, </w:t>
      </w:r>
      <w:r w:rsidRPr="00244B27">
        <w:rPr>
          <w:rFonts w:ascii="Calibri" w:hAnsi="Calibri" w:cs="Calibri"/>
          <w:i/>
          <w:iCs/>
          <w:noProof/>
          <w:szCs w:val="24"/>
        </w:rPr>
        <w:t>65</w:t>
      </w:r>
      <w:r w:rsidRPr="00244B27">
        <w:rPr>
          <w:rFonts w:ascii="Calibri" w:hAnsi="Calibri" w:cs="Calibri"/>
          <w:noProof/>
          <w:szCs w:val="24"/>
        </w:rPr>
        <w:t>(2), 315–324. http://doi.org/10.1016/j.ecolecon.2007.06.019</w:t>
      </w:r>
    </w:p>
    <w:p w14:paraId="2CCBFB61"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UNEP. (2017). </w:t>
      </w:r>
      <w:r w:rsidRPr="00244B27">
        <w:rPr>
          <w:rFonts w:ascii="Calibri" w:hAnsi="Calibri" w:cs="Calibri"/>
          <w:i/>
          <w:iCs/>
          <w:noProof/>
          <w:szCs w:val="24"/>
        </w:rPr>
        <w:t>The Emissions Gap Report 2017</w:t>
      </w:r>
      <w:r w:rsidRPr="00244B27">
        <w:rPr>
          <w:rFonts w:ascii="Calibri" w:hAnsi="Calibri" w:cs="Calibri"/>
          <w:noProof/>
          <w:szCs w:val="24"/>
        </w:rPr>
        <w:t>. Nairobi: United Nations Environment Program. http://doi.org/ISBN 978-92-9253-062-4</w:t>
      </w:r>
    </w:p>
    <w:p w14:paraId="28778292"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UNEP. (2018). </w:t>
      </w:r>
      <w:r w:rsidRPr="00244B27">
        <w:rPr>
          <w:rFonts w:ascii="Calibri" w:hAnsi="Calibri" w:cs="Calibri"/>
          <w:i/>
          <w:iCs/>
          <w:noProof/>
          <w:szCs w:val="24"/>
        </w:rPr>
        <w:t>The Emissions Gap Report 2018</w:t>
      </w:r>
      <w:r w:rsidRPr="00244B27">
        <w:rPr>
          <w:rFonts w:ascii="Calibri" w:hAnsi="Calibri" w:cs="Calibri"/>
          <w:noProof/>
          <w:szCs w:val="24"/>
        </w:rPr>
        <w:t>. Nairobi: United Nations Environment Program. Retrieved from http://www.un.org/Depts/Cartographic/english/htmain.htm</w:t>
      </w:r>
    </w:p>
    <w:p w14:paraId="0BD8D5B6"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UNFCCC. (2001). </w:t>
      </w:r>
      <w:r w:rsidRPr="00244B27">
        <w:rPr>
          <w:rFonts w:ascii="Calibri" w:hAnsi="Calibri" w:cs="Calibri"/>
          <w:i/>
          <w:iCs/>
          <w:noProof/>
          <w:szCs w:val="24"/>
        </w:rPr>
        <w:t>Report of the Conference of the Parties on its Seventh Session</w:t>
      </w:r>
      <w:r w:rsidRPr="00244B27">
        <w:rPr>
          <w:rFonts w:ascii="Calibri" w:hAnsi="Calibri" w:cs="Calibri"/>
          <w:noProof/>
          <w:szCs w:val="24"/>
        </w:rPr>
        <w:t xml:space="preserve">. Geneva (Switzerland). </w:t>
      </w:r>
      <w:r w:rsidRPr="00244B27">
        <w:rPr>
          <w:rFonts w:ascii="Calibri" w:hAnsi="Calibri" w:cs="Calibri"/>
          <w:noProof/>
          <w:szCs w:val="24"/>
        </w:rPr>
        <w:lastRenderedPageBreak/>
        <w:t>Retrieved from https://unfccc.int/resource/docs/cop7/13a01.pdf</w:t>
      </w:r>
    </w:p>
    <w:p w14:paraId="188B6336"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van Beers, C., &amp; Strand, J. (2013). </w:t>
      </w:r>
      <w:r w:rsidRPr="00244B27">
        <w:rPr>
          <w:rFonts w:ascii="Calibri" w:hAnsi="Calibri" w:cs="Calibri"/>
          <w:i/>
          <w:iCs/>
          <w:noProof/>
          <w:szCs w:val="24"/>
        </w:rPr>
        <w:t>Political determinants of fossil fuel pricing</w:t>
      </w:r>
      <w:r w:rsidRPr="00244B27">
        <w:rPr>
          <w:rFonts w:ascii="Calibri" w:hAnsi="Calibri" w:cs="Calibri"/>
          <w:noProof/>
          <w:szCs w:val="24"/>
        </w:rPr>
        <w:t xml:space="preserve"> (Policy Research Working Paper No. 6470). Retrieved from http://documents.worldbank.org/curated/en/2013/05/17784262/political-determinants-fossil-fuel-pricing</w:t>
      </w:r>
    </w:p>
    <w:p w14:paraId="3669DC05"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Victor, D. G. (2009). </w:t>
      </w:r>
      <w:r w:rsidRPr="00244B27">
        <w:rPr>
          <w:rFonts w:ascii="Calibri" w:hAnsi="Calibri" w:cs="Calibri"/>
          <w:i/>
          <w:iCs/>
          <w:noProof/>
          <w:szCs w:val="24"/>
        </w:rPr>
        <w:t>The Politics of Fossil-Fuel Subsidies</w:t>
      </w:r>
      <w:r w:rsidRPr="00244B27">
        <w:rPr>
          <w:rFonts w:ascii="Calibri" w:hAnsi="Calibri" w:cs="Calibri"/>
          <w:noProof/>
          <w:szCs w:val="24"/>
        </w:rPr>
        <w:t>. Geneva, Switzerland. Retrieved from http://papers.ssrn.com/abstract=1520984</w:t>
      </w:r>
    </w:p>
    <w:p w14:paraId="162A77A6"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68382C">
        <w:rPr>
          <w:rFonts w:ascii="Calibri" w:hAnsi="Calibri" w:cs="Calibri"/>
          <w:noProof/>
          <w:szCs w:val="24"/>
          <w:lang w:val="de-DE"/>
        </w:rPr>
        <w:t xml:space="preserve">Vogt-Schilb, A., &amp; Hallegatte, S. (2017). </w:t>
      </w:r>
      <w:r w:rsidRPr="00244B27">
        <w:rPr>
          <w:rFonts w:ascii="Calibri" w:hAnsi="Calibri" w:cs="Calibri"/>
          <w:noProof/>
          <w:szCs w:val="24"/>
        </w:rPr>
        <w:t xml:space="preserve">Climate policies and nationally determined contributions: reconciling the needed ambition with the political economy. </w:t>
      </w:r>
      <w:r w:rsidRPr="00244B27">
        <w:rPr>
          <w:rFonts w:ascii="Calibri" w:hAnsi="Calibri" w:cs="Calibri"/>
          <w:i/>
          <w:iCs/>
          <w:noProof/>
          <w:szCs w:val="24"/>
        </w:rPr>
        <w:t>Wiley Interdisciplinary Reviews: Energy and Environment</w:t>
      </w:r>
      <w:r w:rsidRPr="00244B27">
        <w:rPr>
          <w:rFonts w:ascii="Calibri" w:hAnsi="Calibri" w:cs="Calibri"/>
          <w:noProof/>
          <w:szCs w:val="24"/>
        </w:rPr>
        <w:t xml:space="preserve">, </w:t>
      </w:r>
      <w:r w:rsidRPr="00244B27">
        <w:rPr>
          <w:rFonts w:ascii="Calibri" w:hAnsi="Calibri" w:cs="Calibri"/>
          <w:i/>
          <w:iCs/>
          <w:noProof/>
          <w:szCs w:val="24"/>
        </w:rPr>
        <w:t>e256</w:t>
      </w:r>
      <w:r w:rsidRPr="00244B27">
        <w:rPr>
          <w:rFonts w:ascii="Calibri" w:hAnsi="Calibri" w:cs="Calibri"/>
          <w:noProof/>
          <w:szCs w:val="24"/>
        </w:rPr>
        <w:t>. http://doi.org/10.1002/wene.256</w:t>
      </w:r>
    </w:p>
    <w:p w14:paraId="763CC7E2"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World Bank. (2019). World Bank Carbon Pricing Dashboard. Retrieved January 9, 2019, from https://carbonpricingdashboard.worldbank.org/</w:t>
      </w:r>
    </w:p>
    <w:p w14:paraId="14CD2C3B"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szCs w:val="24"/>
        </w:rPr>
      </w:pPr>
      <w:r w:rsidRPr="00244B27">
        <w:rPr>
          <w:rFonts w:ascii="Calibri" w:hAnsi="Calibri" w:cs="Calibri"/>
          <w:noProof/>
          <w:szCs w:val="24"/>
        </w:rPr>
        <w:t xml:space="preserve">Ylä-Anttila, T., Gronow, A., Stoddart, M. C. J., Broadbent, J., Schneider, V., &amp; Tindall, D. B. (2018). Climate change policy networks: Why and how to compare them across countries. </w:t>
      </w:r>
      <w:r w:rsidRPr="00244B27">
        <w:rPr>
          <w:rFonts w:ascii="Calibri" w:hAnsi="Calibri" w:cs="Calibri"/>
          <w:i/>
          <w:iCs/>
          <w:noProof/>
          <w:szCs w:val="24"/>
        </w:rPr>
        <w:t>Energy Research and Social Science</w:t>
      </w:r>
      <w:r w:rsidRPr="00244B27">
        <w:rPr>
          <w:rFonts w:ascii="Calibri" w:hAnsi="Calibri" w:cs="Calibri"/>
          <w:noProof/>
          <w:szCs w:val="24"/>
        </w:rPr>
        <w:t xml:space="preserve">, </w:t>
      </w:r>
      <w:r w:rsidRPr="00244B27">
        <w:rPr>
          <w:rFonts w:ascii="Calibri" w:hAnsi="Calibri" w:cs="Calibri"/>
          <w:i/>
          <w:iCs/>
          <w:noProof/>
          <w:szCs w:val="24"/>
        </w:rPr>
        <w:t>45</w:t>
      </w:r>
      <w:r w:rsidRPr="00244B27">
        <w:rPr>
          <w:rFonts w:ascii="Calibri" w:hAnsi="Calibri" w:cs="Calibri"/>
          <w:noProof/>
          <w:szCs w:val="24"/>
        </w:rPr>
        <w:t>(November 2017), 258–265. http://doi.org/10.1016/j.erss.2018.06.020</w:t>
      </w:r>
    </w:p>
    <w:p w14:paraId="1E26821E" w14:textId="77777777" w:rsidR="00244B27" w:rsidRPr="00244B27" w:rsidRDefault="00244B27" w:rsidP="00244B27">
      <w:pPr>
        <w:widowControl w:val="0"/>
        <w:autoSpaceDE w:val="0"/>
        <w:autoSpaceDN w:val="0"/>
        <w:adjustRightInd w:val="0"/>
        <w:spacing w:line="360" w:lineRule="auto"/>
        <w:ind w:left="480" w:hanging="480"/>
        <w:rPr>
          <w:rFonts w:ascii="Calibri" w:hAnsi="Calibri" w:cs="Calibri"/>
          <w:noProof/>
        </w:rPr>
      </w:pPr>
      <w:r w:rsidRPr="00244B27">
        <w:rPr>
          <w:rFonts w:ascii="Calibri" w:hAnsi="Calibri" w:cs="Calibri"/>
          <w:noProof/>
          <w:szCs w:val="24"/>
        </w:rPr>
        <w:t xml:space="preserve">Ziegler, A. (2017). Political orientation, environmental values, and climate change beliefs and attitudes: An empirical cross country analysis. </w:t>
      </w:r>
      <w:r w:rsidRPr="00244B27">
        <w:rPr>
          <w:rFonts w:ascii="Calibri" w:hAnsi="Calibri" w:cs="Calibri"/>
          <w:i/>
          <w:iCs/>
          <w:noProof/>
          <w:szCs w:val="24"/>
        </w:rPr>
        <w:t>Energy Economics</w:t>
      </w:r>
      <w:r w:rsidRPr="00244B27">
        <w:rPr>
          <w:rFonts w:ascii="Calibri" w:hAnsi="Calibri" w:cs="Calibri"/>
          <w:noProof/>
          <w:szCs w:val="24"/>
        </w:rPr>
        <w:t xml:space="preserve">, </w:t>
      </w:r>
      <w:r w:rsidRPr="00244B27">
        <w:rPr>
          <w:rFonts w:ascii="Calibri" w:hAnsi="Calibri" w:cs="Calibri"/>
          <w:i/>
          <w:iCs/>
          <w:noProof/>
          <w:szCs w:val="24"/>
        </w:rPr>
        <w:t>63</w:t>
      </w:r>
      <w:r w:rsidRPr="00244B27">
        <w:rPr>
          <w:rFonts w:ascii="Calibri" w:hAnsi="Calibri" w:cs="Calibri"/>
          <w:noProof/>
          <w:szCs w:val="24"/>
        </w:rPr>
        <w:t>, 144–153. http://doi.org/10.1016/j.eneco.2017.01.022</w:t>
      </w:r>
    </w:p>
    <w:p w14:paraId="61293BC2" w14:textId="0039BE70" w:rsidR="00CA62C1" w:rsidRDefault="00426F7E" w:rsidP="00E77203">
      <w:pPr>
        <w:spacing w:line="360" w:lineRule="auto"/>
      </w:pPr>
      <w:r>
        <w:fldChar w:fldCharType="end"/>
      </w:r>
    </w:p>
    <w:p w14:paraId="424B866F" w14:textId="77777777" w:rsidR="00CA62C1" w:rsidRDefault="00CA62C1">
      <w:r>
        <w:br w:type="page"/>
      </w:r>
    </w:p>
    <w:p w14:paraId="1418386F" w14:textId="66712F8F" w:rsidR="002507F8" w:rsidRDefault="00CA62C1" w:rsidP="00CA62C1">
      <w:pPr>
        <w:pStyle w:val="Heading1"/>
      </w:pPr>
      <w:r>
        <w:lastRenderedPageBreak/>
        <w:t>Old text</w:t>
      </w:r>
    </w:p>
    <w:p w14:paraId="0DACB36A" w14:textId="77777777" w:rsidR="00CA62C1" w:rsidRPr="00CA62C1" w:rsidRDefault="00CA62C1" w:rsidP="00CA62C1"/>
    <w:p w14:paraId="5CB762BF" w14:textId="482D51EC" w:rsidR="00CA62C1" w:rsidRPr="00CA62C1" w:rsidRDefault="00CA62C1" w:rsidP="00CA62C1">
      <w:pPr>
        <w:pStyle w:val="Heading2"/>
      </w:pPr>
      <w:r>
        <w:t>Assessment literature on political economy constraints</w:t>
      </w:r>
    </w:p>
    <w:p w14:paraId="262B6B3C" w14:textId="77777777" w:rsidR="00CA62C1" w:rsidRDefault="00CA62C1" w:rsidP="00CA62C1">
      <w:pPr>
        <w:spacing w:line="360" w:lineRule="auto"/>
      </w:pPr>
      <w:r>
        <w:t xml:space="preserve">How does the assessment literature on climate change mitigation address political economic constraints to climate policy? This is a useful starting point, as it points to the emergence of the issue in recent years, and on-going confusion as to how to define the problem and structure its components. </w:t>
      </w:r>
    </w:p>
    <w:p w14:paraId="6ABD97C3" w14:textId="77777777" w:rsidR="00CA62C1" w:rsidRDefault="00CA62C1" w:rsidP="00CA62C1">
      <w:pPr>
        <w:spacing w:line="360" w:lineRule="auto"/>
      </w:pPr>
      <w:r>
        <w:t xml:space="preserve">In the early assessment literature, there was surprisingly little discussion. The Intergovernmental Panel on Climate Change (IPCC) reports have traditionally discussed ‘enabling environments’ or ‘enabling conditions’: terms coined by the UNFCCC </w:t>
      </w:r>
      <w:r>
        <w:fldChar w:fldCharType="begin" w:fldLock="1"/>
      </w:r>
      <w:r>
        <w:instrText>ADDIN CSL_CITATION {"citationItems":[{"id":"ITEM-1","itemData":{"author":[{"dropping-particle":"","family":"UNFCCC","given":"","non-dropping-particle":"","parse-names":false,"suffix":""}],"id":"ITEM-1","issued":{"date-parts":[["2001"]]},"publisher-place":"Geneva (Switzerland)","title":"Report of the Conference of the Parties on its Seventh Session","type":"report"},"suppress-author":1,"uris":["http://www.mendeley.com/documents/?uuid=6102645e-303c-4ea0-ab8c-70137ebce776"]}],"mendeley":{"formattedCitation":"(2001)","plainTextFormattedCitation":"(2001)","previouslyFormattedCitation":"(2001)"},"properties":{"noteIndex":0},"schema":"https://github.com/citation-style-language/schema/raw/master/csl-citation.json"}</w:instrText>
      </w:r>
      <w:r>
        <w:fldChar w:fldCharType="separate"/>
      </w:r>
      <w:r w:rsidRPr="00E92ABD">
        <w:rPr>
          <w:noProof/>
        </w:rPr>
        <w:t>(2001)</w:t>
      </w:r>
      <w:r>
        <w:fldChar w:fldCharType="end"/>
      </w:r>
      <w:r>
        <w:t xml:space="preserve"> to promote the removal of barriers to upscaling ‘environmentally sound technologies’. In AR5, reference to enabling environments is sparse, but largely focused on technology policy and the macroeconomic context. Constraints are conceived of as institutional in nature (e.g. systems of formal and informal rules that determine the playing field for competition), involving social norms and preferences (e.g. consumer demand for low-carbon technologies), or financial considerations (e.g. tax regimes, labour markets) </w:t>
      </w:r>
      <w:r>
        <w:fldChar w:fldCharType="begin" w:fldLock="1"/>
      </w:r>
      <w:r>
        <w:instrText>ADDIN CSL_CITATION {"citationItems":[{"id":"ITEM-1","itemData":{"author":[{"dropping-particle":"","family":"Somanthan","given":"E.","non-dropping-particle":"","parse-names":false,"suffix":""},{"dropping-particle":"","family":"Sterner","given":"T.","non-dropping-particle":"","parse-names":false,"suffix":""},{"dropping-particle":"","family":"Sugiyama","given":"T.","non-dropping-particle":"","parse-names":false,"suffix":""},{"dropping-particle":"","family":"Chimanikire","given":"D.","non-dropping-particle":"","parse-names":false,"suffix":""},{"dropping-particle":"","family":"Dubash","given":"N.K.","non-dropping-particle":"","parse-names":false,"suffix":""},{"dropping-particle":"","family":"Essandoh-Yeddu","given":"J.","non-dropping-particle":"","parse-names":false,"suffix":""},{"dropping-particle":"","family":"Fifita","given":"S.","non-dropping-particle":"","parse-names":false,"suffix":""},{"dropping-particle":"","family":"Goulder","given":"L.","non-dropping-particle":"","parse-names":false,"suffix":""},{"dropping-particle":"","family":"Jaffe","given":"A.","non-dropping-particle":"","parse-names":false,"suffix":""},{"dropping-particle":"","family":"Labandeira","given":"X.","non-dropping-particle":"","parse-names":false,"suffix":""},{"dropping-particle":"","family":"Managi","given":"S.","non-dropping-particle":"","parse-names":false,"suffix":""},{"dropping-particle":"","family":"Mitchell","given":"C.","non-dropping-particle":"","parse-names":false,"suffix":""},{"dropping-particle":"","family":"Montero","given":"J.P.","non-dropping-particle":"","parse-names":false,"suffix":""},{"dropping-particle":"","family":"Teng","given":"F.","non-dropping-particle":"","parse-names":false,"suffix":""},{"dropping-particle":"","family":"Zylicz","given":"T.","non-dropping-particle":"","parse-names":false,"suffix":""}],"chapter-number":"15","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 C.","non-dropping-particle":"","parse-names":false,"suffix":""}],"id":"ITEM-1","issued":{"date-parts":[["2014"]]},"page":"1141-1206","publisher":"Cambridge University Press","publisher-place":"Cambridge, United Kingdom and New York, NY, USA","title":"National and Sub-national Policies and Institutions","type":"chapter"},"uris":["http://www.mendeley.com/documents/?uuid=f5669f01-ebbb-4a9e-8ff6-e1e20f99842c"]},{"id":"ITEM-2","itemData":{"author":[{"dropping-particle":"","family":"Kolstad","given":"C.","non-dropping-particle":"","parse-names":false,"suffix":""},{"dropping-particle":"","family":"Urama","given":"K.","non-dropping-particle":"","parse-names":false,"suffix":""},{"dropping-particle":"","family":"Broome","given":"J.","non-dropping-particle":"","parse-names":false,"suffix":""},{"dropping-particle":"","family":"Bruvoll","given":"A.","non-dropping-particle":"","parse-names":false,"suffix":""},{"dropping-particle":"","family":"Olvera","given":"M. Cariño","non-dropping-particle":"","parse-names":false,"suffix":""},{"dropping-particle":"","family":"Fullerton","given":"D.","non-dropping-particle":"","parse-names":false,"suffix":""},{"dropping-particle":"","family":"Gollier","given":"C.","non-dropping-particle":"","parse-names":false,"suffix":""},{"dropping-particle":"","family":"Hanemann","given":"W.M.","non-dropping-particle":"","parse-names":false,"suffix":""},{"dropping-particle":"","family":"Hassan","given":"R.","non-dropping-particle":"","parse-names":false,"suffix":""},{"dropping-particle":"","family":"Jotzo","given":"F.","non-dropping-particle":"","parse-names":false,"suffix":""},{"dropping-particle":"","family":"Khan","given":"M.R.","non-dropping-particle":"","parse-names":false,"suffix":""},{"dropping-particle":"","family":"Meyer","given":"L.","non-dropping-particle":"","parse-names":false,"suffix":""},{"dropping-particle":"","family":"Mundaca","given":"L.","non-dropping-particle":"","parse-names":false,"suffix":""}],"chapter-number":"3","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C.","non-dropping-particle":"","parse-names":false,"suffix":""}],"id":"ITEM-2","issued":{"date-parts":[["2014"]]},"publisher":"Cambridge University Press","publisher-place":"Cambridge, United Kingdom and New York, NY, USA","title":"Social, Economic and Ethical Concepts and Methods","type":"chapter"},"uris":["http://www.mendeley.com/documents/?uuid=59792c78-3fbf-4a22-9830-a6f45bb39ff5"]},{"id":"ITEM-3","itemData":{"DOI":"10.1017/CBO9781107415416.022","ISSN":"01903063","author":[{"dropping-particle":"","family":"Gupta","given":"Sujata","non-dropping-particle":"","parse-names":false,"suffix":""},{"dropping-particle":"","family":"Harnisch","given":"Jochen","non-dropping-particle":"","parse-names":false,"suffix":""},{"dropping-particle":"","family":"Barua","given":"Dipal Chandra","non-dropping-particle":"","parse-names":false,"suffix":""},{"dropping-particle":"","family":"Chingambo","given":"Lloyd","non-dropping-particle":"","parse-names":false,"suffix":""},{"dropping-particle":"","family":"Frankel","given":"Paul","non-dropping-particle":"","parse-names":false,"suffix":""},{"dropping-particle":"","family":"Vazguez","given":"Raul Jorge Garrido","non-dropping-particle":"","parse-names":false,"suffix":""},{"dropping-particle":"","family":"Echeverri","given":"Luis Gomez","non-dropping-particle":"","parse-names":false,"suffix":""},{"dropping-particle":"","family":"Haites","given":"Erik","non-dropping-particle":"","parse-names":false,"suffix":""},{"dropping-particle":"","family":"Huang","given":"Yongfu","non-dropping-particle":"","parse-names":false,"suffix":""},{"dropping-particle":"","family":"Kopp","given":"Raymond","non-dropping-particle":"","parse-names":false,"suffix":""},{"dropping-particle":"","family":"Lefevre","given":"Benoit","non-dropping-particle":"","parse-names":false,"suffix":""},{"dropping-particle":"","family":"Machado-Filho","given":"Haroldo de Oliveira","non-dropping-particle":"","parse-names":false,"suffix":""},{"dropping-particle":"","family":"Massetti","given":"Emanuele","non-dropping-particle":"","parse-names":false,"suffix":""}],"chapter-number":"16","container-title":"Climate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 C.","non-dropping-particle":"","parse-names":false,"suffix":""}],"id":"ITEM-3","issued":{"date-parts":[["2014"]]},"page":"1207-1246","publisher":"Cambridge University Press","publisher-place":"Cambridge, United Kingdom and New York, NY, USA","title":"Cross-cutting Investment and Finance Issues","type":"chapter"},"uris":["http://www.mendeley.com/documents/?uuid=955a2f17-f4e0-4674-9894-d6d62b34c7db"]}],"mendeley":{"formattedCitation":"(Gupta et al., 2014; Kolstad et al., 2014; Somanthan et al., 2014)","plainTextFormattedCitation":"(Gupta et al., 2014; Kolstad et al., 2014; Somanthan et al., 2014)","previouslyFormattedCitation":"(Gupta et al., 2014; Kolstad et al., 2014; Somanthan et al., 2014)"},"properties":{"noteIndex":0},"schema":"https://github.com/citation-style-language/schema/raw/master/csl-citation.json"}</w:instrText>
      </w:r>
      <w:r>
        <w:fldChar w:fldCharType="separate"/>
      </w:r>
      <w:r w:rsidRPr="00E92ABD">
        <w:rPr>
          <w:noProof/>
        </w:rPr>
        <w:t>(Gupta et al., 2014; Kolstad et al., 2014; Somanthan et al., 2014)</w:t>
      </w:r>
      <w:r>
        <w:fldChar w:fldCharType="end"/>
      </w:r>
      <w:r>
        <w:t xml:space="preserve">. </w:t>
      </w:r>
    </w:p>
    <w:p w14:paraId="0674122C" w14:textId="77777777" w:rsidR="00CA62C1" w:rsidRDefault="00CA62C1" w:rsidP="00CA62C1">
      <w:pPr>
        <w:spacing w:line="360" w:lineRule="auto"/>
      </w:pPr>
      <w:r>
        <w:t>The recent IPCC Special Report on 1.5</w:t>
      </w:r>
      <w:r>
        <w:rPr>
          <w:rFonts w:cstheme="minorHAnsi"/>
        </w:rPr>
        <w:t>°</w:t>
      </w:r>
      <w:r>
        <w:t xml:space="preserve">C reframes enabling conditions as an issue of ‘feasibility’. This is highlighted as a core concept in Cross-Chapter Box 3 </w:t>
      </w:r>
      <w:r>
        <w:fldChar w:fldCharType="begin" w:fldLock="1"/>
      </w:r>
      <w:r>
        <w:instrText>ADDIN CSL_CITATION {"citationItems":[{"id":"ITEM-1","itemData":{"author":[{"dropping-particle":"","family":"Allen","given":"Myles","non-dropping-particle":"","parse-names":false,"suffix":""},{"dropping-particle":"","family":"Dube","given":"Opha Pauline","non-dropping-particle":"","parse-names":false,"suffix":""},{"dropping-particle":"","family":"Solecki","given":"William","non-dropping-particle":"","parse-names":false,"suffix":""},{"dropping-particle":"","family":"Aragon-Durand","given":"Fernando","non-dropping-particle":"","parse-names":false,"suffix":""},{"dropping-particle":"","family":"Cramer","given":"Wolfgang","non-dropping-particle":"","parse-names":false,"suffix":""},{"dropping-particle":"","family":"Humphreys","given":"Stephen","non-dropping-particle":"","parse-names":false,"suffix":""},{"dropping-particle":"","family":"Kainuma","given":"Mikiko","non-dropping-particle":"","parse-names":false,"suffix":""},{"dropping-particle":"","family":"Kala","given":"Jatin","non-dropping-particle":"","parse-names":false,"suffix":""},{"dropping-particle":"","family":"Mahowald","given":"Natalie","non-dropping-particle":"","parse-names":false,"suffix":""},{"dropping-particle":"","family":"Mulugetta","given":"Yacob","non-dropping-particle":"","parse-names":false,"suffix":""},{"dropping-particle":"","family":"Perez","given":"Rosa","non-dropping-particle":"","parse-names":false,"suffix":""},{"dropping-particle":"","family":"Wairiu","given":"Morgan","non-dropping-particle":"","parse-names":false,"suffix":""},{"dropping-particle":"","family":"Zickfeld","given":"Kirsten","non-dropping-particle":"","parse-names":false,"suffix":""}],"chapter-number":"1","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49-92","publisher":"Cambridge University Press","publisher-place":"Cambridge, United Kingdom and New York, NY, USA","title":"Framing and Context","type":"chapter"},"uris":["http://www.mendeley.com/documents/?uuid=9329d9c9-81aa-49fb-bf86-d7d4c463b4b7"]}],"mendeley":{"formattedCitation":"(Allen et al., 2018)","plainTextFormattedCitation":"(Allen et al., 2018)","previouslyFormattedCitation":"(Allen et al., 2018)"},"properties":{"noteIndex":0},"schema":"https://github.com/citation-style-language/schema/raw/master/csl-citation.json"}</w:instrText>
      </w:r>
      <w:r>
        <w:fldChar w:fldCharType="separate"/>
      </w:r>
      <w:r w:rsidRPr="00F5337B">
        <w:rPr>
          <w:noProof/>
        </w:rPr>
        <w:t>(Allen et al., 2018)</w:t>
      </w:r>
      <w:r>
        <w:fldChar w:fldCharType="end"/>
      </w:r>
      <w:r>
        <w:t xml:space="preserve">, followed by extensive discussion in the Chapter 4 section titled ‘Enabling Rapid and Far-Reaching Change’ </w:t>
      </w:r>
      <w:r>
        <w:fldChar w:fldCharType="begin" w:fldLock="1"/>
      </w:r>
      <w:r>
        <w:instrText>ADDIN CSL_CITATION {"citationItems":[{"id":"ITEM-1","itemData":{"author":[{"dropping-particle":"de","family":"Conick","given":"Heleen","non-dropping-particle":"","parse-names":false,"suffix":""},{"dropping-particle":"","family":"Revi","given":"Aromar","non-dropping-particle":"","parse-names":false,"suffix":""},{"dropping-particle":"","family":"Babiker","given":"Mustafa","non-dropping-particle":"","parse-names":false,"suffix":""},{"dropping-particle":"","family":"Bertoldi","given":"Paolo","non-dropping-particle":"","parse-names":false,"suffix":""},{"dropping-particle":"","family":"Buckeridge","given":"Marcos","non-dropping-particle":"","parse-names":false,"suffix":""},{"dropping-particle":"","family":"Cartwright","given":"Anton","non-dropping-particle":"","parse-names":false,"suffix":""},{"dropping-particle":"","family":"Dong","given":"Wenjie","non-dropping-particle":"","parse-names":false,"suffix":""},{"dropping-particle":"","family":"Ford","given":"James","non-dropping-particle":"","parse-names":false,"suffix":""},{"dropping-particle":"","family":"Fuss","given":"Sabine","non-dropping-particle":"","parse-names":false,"suffix":""},{"dropping-particle":"","family":"Hourcade","given":"Jean-Charles","non-dropping-particle":"","parse-names":false,"suffix":""},{"dropping-particle":"","family":"Ley","given":"Debora","non-dropping-particle":"","parse-names":false,"suffix":""},{"dropping-particle":"","family":"Mechler","given":"Reinhard","non-dropping-particle":"","parse-names":false,"suffix":""},{"dropping-particle":"","family":"Newman","given":"Peter","non-dropping-particle":"","parse-names":false,"suffix":""},{"dropping-particle":"","family":"Revokatova","given":"Anastasia","non-dropping-particle":"","parse-names":false,"suffix":""},{"dropping-particle":"","family":"Shultz","given":"Seth","non-dropping-particle":"","parse-names":false,"suffix":""},{"dropping-particle":"","family":"Steg","given":"Linda","non-dropping-particle":"","parse-names":false,"suffix":""},{"dropping-particle":"","family":"Sugiyama","given":"Taishi","non-dropping-particle":"","parse-names":false,"suffix":""}],"chapter-number":"4","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313-443","publisher":"Cambridge University Press","publisher-place":"Cambridge, United Kingdom and New York, NY, USA","title":"Strengthening and Implementing the Global Response","type":"chapter"},"uris":["http://www.mendeley.com/documents/?uuid=a1701267-c190-4f1f-a61d-a472f8c6e7c8"]}],"mendeley":{"formattedCitation":"(Conick et al., 2018)","plainTextFormattedCitation":"(Conick et al., 2018)","previouslyFormattedCitation":"(Conick et al., 2018)"},"properties":{"noteIndex":0},"schema":"https://github.com/citation-style-language/schema/raw/master/csl-citation.json"}</w:instrText>
      </w:r>
      <w:r>
        <w:fldChar w:fldCharType="separate"/>
      </w:r>
      <w:r w:rsidRPr="00E92ABD">
        <w:rPr>
          <w:noProof/>
        </w:rPr>
        <w:t>(Conick et al., 2018)</w:t>
      </w:r>
      <w:r>
        <w:fldChar w:fldCharType="end"/>
      </w:r>
      <w:r>
        <w:t xml:space="preserve">. Several key issues are reviewed: the role of coordinated multi-level governance in strengthening policy implementation and outcomes; the need to establish institutional capacities such as monitoring, legal frameworks and consultation methods; the importance of public awareness and support; and the potentially adverse distributional consequences of climate policy implementation </w:t>
      </w:r>
      <w:r>
        <w:fldChar w:fldCharType="begin" w:fldLock="1"/>
      </w:r>
      <w:r>
        <w:instrText>ADDIN CSL_CITATION {"citationItems":[{"id":"ITEM-1","itemData":{"author":[{"dropping-particle":"de","family":"Conick","given":"Heleen","non-dropping-particle":"","parse-names":false,"suffix":""},{"dropping-particle":"","family":"Revi","given":"Aromar","non-dropping-particle":"","parse-names":false,"suffix":""},{"dropping-particle":"","family":"Babiker","given":"Mustafa","non-dropping-particle":"","parse-names":false,"suffix":""},{"dropping-particle":"","family":"Bertoldi","given":"Paolo","non-dropping-particle":"","parse-names":false,"suffix":""},{"dropping-particle":"","family":"Buckeridge","given":"Marcos","non-dropping-particle":"","parse-names":false,"suffix":""},{"dropping-particle":"","family":"Cartwright","given":"Anton","non-dropping-particle":"","parse-names":false,"suffix":""},{"dropping-particle":"","family":"Dong","given":"Wenjie","non-dropping-particle":"","parse-names":false,"suffix":""},{"dropping-particle":"","family":"Ford","given":"James","non-dropping-particle":"","parse-names":false,"suffix":""},{"dropping-particle":"","family":"Fuss","given":"Sabine","non-dropping-particle":"","parse-names":false,"suffix":""},{"dropping-particle":"","family":"Hourcade","given":"Jean-Charles","non-dropping-particle":"","parse-names":false,"suffix":""},{"dropping-particle":"","family":"Ley","given":"Debora","non-dropping-particle":"","parse-names":false,"suffix":""},{"dropping-particle":"","family":"Mechler","given":"Reinhard","non-dropping-particle":"","parse-names":false,"suffix":""},{"dropping-particle":"","family":"Newman","given":"Peter","non-dropping-particle":"","parse-names":false,"suffix":""},{"dropping-particle":"","family":"Revokatova","given":"Anastasia","non-dropping-particle":"","parse-names":false,"suffix":""},{"dropping-particle":"","family":"Shultz","given":"Seth","non-dropping-particle":"","parse-names":false,"suffix":""},{"dropping-particle":"","family":"Steg","given":"Linda","non-dropping-particle":"","parse-names":false,"suffix":""},{"dropping-particle":"","family":"Sugiyama","given":"Taishi","non-dropping-particle":"","parse-names":false,"suffix":""}],"chapter-number":"4","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313-443","publisher":"Cambridge University Press","publisher-place":"Cambridge, United Kingdom and New York, NY, USA","title":"Strengthening and Implementing the Global Response","type":"chapter"},"uris":["http://www.mendeley.com/documents/?uuid=a1701267-c190-4f1f-a61d-a472f8c6e7c8"]}],"mendeley":{"formattedCitation":"(Conick et al., 2018)","plainTextFormattedCitation":"(Conick et al., 2018)","previouslyFormattedCitation":"(Conick et al., 2018)"},"properties":{"noteIndex":0},"schema":"https://github.com/citation-style-language/schema/raw/master/csl-citation.json"}</w:instrText>
      </w:r>
      <w:r>
        <w:fldChar w:fldCharType="separate"/>
      </w:r>
      <w:r w:rsidRPr="00E92ABD">
        <w:rPr>
          <w:noProof/>
        </w:rPr>
        <w:t>(Conick et al., 2018)</w:t>
      </w:r>
      <w:r>
        <w:fldChar w:fldCharType="end"/>
      </w:r>
      <w:r>
        <w:t>.</w:t>
      </w:r>
    </w:p>
    <w:p w14:paraId="2DE9DEE7" w14:textId="77777777" w:rsidR="00CA62C1" w:rsidRDefault="00CA62C1" w:rsidP="00CA62C1">
      <w:pPr>
        <w:spacing w:line="360" w:lineRule="auto"/>
      </w:pPr>
      <w:r>
        <w:t xml:space="preserve">Recent UNEP Emissions Gap Reports have also given political economic issues a more prominent position, notably in chapters on the phase-out of coal </w:t>
      </w:r>
      <w:r>
        <w:fldChar w:fldCharType="begin" w:fldLock="1"/>
      </w:r>
      <w:r>
        <w:instrText>ADDIN CSL_CITATION {"citationItems":[{"id":"ITEM-1","itemData":{"DOI":"ISBN 978-92-9253-062-4","ISBN":"9789280733037","ISSN":"1873-2518","PMID":"23510772","abstract":"Current global emissions are already considerably higher than the emissions level consistent with the 2 2020 and are still growing. The estimated emissions gap in 2020 for a “likely” chance of being on track to stay below the 2 C target is 8 to 13 GtCO 2 o e (depending on how emission reduction pledges are implemented), as compared to 6 to 11 GtCO e in last years’ Bridging the Emissions Gap Report. The gap is larger because of higher than expected economic growth and the inclusion of “double counting” of emission offsets in the calculations. To stay within the 2°C limit global emissions will have to peak before 2020 . Scenarios that meet the 2 o C limit show a maximum emission level in 2030 of 37 GtCO2e. Scenarios that meet the 2 o C limit have global emissions in 2050 roughly 40% below 1990 emission levels and roughly 60% below 2010 emission levels. The technical potential for reducing emissions by 2020 is estimated to be about 17 ± 3 GtCO 2 e, at marginal costs below US$ 50-100/ t CO 2 e reduced. This is enough to close the gap between BaU emissions and emissions that meet the 2°C or 1.5°C target.","author":[{"dropping-particle":"","family":"UNEP","given":"","non-dropping-particle":"","parse-names":false,"suffix":""}],"id":"ITEM-1","issued":{"date-parts":[["2017"]]},"publisher":"United Nations Environment Program","publisher-place":"Nairobi","title":"The Emissions Gap Report 2017","type":"book"},"uris":["http://www.mendeley.com/documents/?uuid=edc0a780-5eaa-4891-851e-7c5158829acf"]}],"mendeley":{"formattedCitation":"(UNEP, 2017)","plainTextFormattedCitation":"(UNEP, 2017)","previouslyFormattedCitation":"(UNEP, 2017)"},"properties":{"noteIndex":0},"schema":"https://github.com/citation-style-language/schema/raw/master/csl-citation.json"}</w:instrText>
      </w:r>
      <w:r>
        <w:fldChar w:fldCharType="separate"/>
      </w:r>
      <w:r w:rsidRPr="00E92ABD">
        <w:rPr>
          <w:noProof/>
        </w:rPr>
        <w:t>(UNEP, 2017)</w:t>
      </w:r>
      <w:r>
        <w:fldChar w:fldCharType="end"/>
      </w:r>
      <w:r>
        <w:t xml:space="preserve"> and fiscal reforms for a low-carbon transition </w:t>
      </w:r>
      <w:r>
        <w:fldChar w:fldCharType="begin" w:fldLock="1"/>
      </w:r>
      <w:r>
        <w:instrText>ADDIN CSL_CITATION {"citationItems":[{"id":"ITEM-1","itemData":{"ISBN":"978-92-807-3726-4","author":[{"dropping-particle":"","family":"UNEP","given":"","non-dropping-particle":"","parse-names":false,"suffix":""}],"id":"ITEM-1","issued":{"date-parts":[["2018"]]},"publisher":"United Nations Environment Program","publisher-place":"Nairobi","title":"The Emissions Gap Report 2018","type":"book"},"uris":["http://www.mendeley.com/documents/?uuid=d2c072e7-66c7-491f-9ab2-4cb7e6bcf892"]}],"mendeley":{"formattedCitation":"(UNEP, 2018)","plainTextFormattedCitation":"(UNEP, 2018)","previouslyFormattedCitation":"(UNEP, 2018)"},"properties":{"noteIndex":0},"schema":"https://github.com/citation-style-language/schema/raw/master/csl-citation.json"}</w:instrText>
      </w:r>
      <w:r>
        <w:fldChar w:fldCharType="separate"/>
      </w:r>
      <w:r w:rsidRPr="00E92ABD">
        <w:rPr>
          <w:noProof/>
        </w:rPr>
        <w:t>(UNEP, 2018)</w:t>
      </w:r>
      <w:r>
        <w:fldChar w:fldCharType="end"/>
      </w:r>
      <w:r>
        <w:t xml:space="preserve">. Again, these underline the need to ensure an equitable distribution of costs, the importance of public support and trust in policy processes, and the likely need to compensate affected industries, regions and workers due to stranded assets and the loss of income. </w:t>
      </w:r>
    </w:p>
    <w:p w14:paraId="71E62BCE" w14:textId="77777777" w:rsidR="00CA62C1" w:rsidRPr="00CA62C1" w:rsidRDefault="00CA62C1" w:rsidP="00CA62C1"/>
    <w:sectPr w:rsidR="00CA62C1" w:rsidRPr="00CA62C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Lamb" w:date="2019-02-27T13:10:00Z" w:initials="WL">
    <w:p w14:paraId="746A3434" w14:textId="1A7C6F90" w:rsidR="00CA4259" w:rsidRDefault="00CA4259">
      <w:pPr>
        <w:pStyle w:val="CommentText"/>
      </w:pPr>
      <w:r>
        <w:rPr>
          <w:rStyle w:val="CommentReference"/>
        </w:rPr>
        <w:annotationRef/>
      </w:r>
      <w:r>
        <w:t>Edit and better justify. Read starting section here:</w:t>
      </w:r>
    </w:p>
    <w:p w14:paraId="709EE321" w14:textId="77777777" w:rsidR="00CA4259" w:rsidRDefault="00CA4259">
      <w:pPr>
        <w:pStyle w:val="CommentText"/>
      </w:pPr>
    </w:p>
    <w:p w14:paraId="32D0A37B" w14:textId="091C7A0E" w:rsidR="00CA4259" w:rsidRDefault="00CA4259">
      <w:pPr>
        <w:pStyle w:val="CommentText"/>
      </w:pPr>
      <w:r>
        <w:t>[1]</w:t>
      </w:r>
      <w:r>
        <w:tab/>
        <w:t xml:space="preserve">I. Gough, Welfare states and environmental states: a comparative analysis, </w:t>
      </w:r>
      <w:proofErr w:type="spellStart"/>
      <w:r>
        <w:t>Env</w:t>
      </w:r>
      <w:proofErr w:type="spellEnd"/>
      <w:r>
        <w:t>. Polit. 25 (2016) 24–47. doi:10.1080/09644016.2015.1074382.</w:t>
      </w:r>
    </w:p>
  </w:comment>
  <w:comment w:id="1" w:author="William Lamb" w:date="2019-03-29T16:27:00Z" w:initials="WL">
    <w:p w14:paraId="1B7F155F" w14:textId="51D0CF8C" w:rsidR="00CA4259" w:rsidRDefault="00CA4259">
      <w:pPr>
        <w:pStyle w:val="CommentText"/>
      </w:pPr>
      <w:r>
        <w:rPr>
          <w:rStyle w:val="CommentReference"/>
        </w:rPr>
        <w:annotationRef/>
      </w:r>
      <w:r w:rsidRPr="00244B27">
        <w:t>https://www.vox.com/energy-and-environment/2018/9/28/17899804/washington-1631-results-carbon-fee-green-new-deal</w:t>
      </w:r>
    </w:p>
  </w:comment>
  <w:comment w:id="2" w:author="William Lamb" w:date="2019-01-22T11:18:00Z" w:initials="WL">
    <w:p w14:paraId="5B53B1F6" w14:textId="77777777" w:rsidR="00CA4259" w:rsidRDefault="00CA4259" w:rsidP="00866B91">
      <w:pPr>
        <w:pStyle w:val="CommentText"/>
      </w:pPr>
      <w:r>
        <w:rPr>
          <w:rStyle w:val="CommentReference"/>
        </w:rPr>
        <w:annotationRef/>
      </w:r>
      <w:r>
        <w:t xml:space="preserve">See </w:t>
      </w:r>
      <w:proofErr w:type="spellStart"/>
      <w:r>
        <w:t>Lachapelle</w:t>
      </w:r>
      <w:proofErr w:type="spellEnd"/>
      <w:r>
        <w:t xml:space="preserve"> for contra refs.</w:t>
      </w:r>
    </w:p>
  </w:comment>
  <w:comment w:id="3" w:author="William Lamb" w:date="2019-01-23T10:24:00Z" w:initials="WL">
    <w:p w14:paraId="34DF14D7" w14:textId="77777777" w:rsidR="00CA4259" w:rsidRDefault="00CA4259" w:rsidP="00866B91">
      <w:pPr>
        <w:pStyle w:val="CommentText"/>
      </w:pPr>
      <w:r>
        <w:rPr>
          <w:rStyle w:val="CommentReference"/>
        </w:rPr>
        <w:annotationRef/>
      </w:r>
      <w:r>
        <w:t>Deploy more refs</w:t>
      </w:r>
    </w:p>
  </w:comment>
  <w:comment w:id="4" w:author="William Lamb" w:date="2019-03-01T16:22:00Z" w:initials="WL">
    <w:p w14:paraId="41C22D3E" w14:textId="77777777" w:rsidR="00CA4259" w:rsidRPr="001B7FCE" w:rsidRDefault="00CA4259" w:rsidP="007E3362">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Pr>
          <w:rStyle w:val="CommentReference"/>
        </w:rPr>
        <w:annotationRef/>
      </w:r>
      <w:r w:rsidRPr="001B7FCE">
        <w:rPr>
          <w:rFonts w:ascii="Times New Roman" w:eastAsia="Times New Roman" w:hAnsi="Times New Roman" w:cs="Times New Roman"/>
          <w:sz w:val="24"/>
          <w:szCs w:val="24"/>
          <w:lang w:eastAsia="en-GB"/>
        </w:rPr>
        <w:t xml:space="preserve">Tobin, P., 2017. Leaders and Laggards: Climate Policy Ambition in Developed States. Glob. Environ. Polit. 17, 28–47. </w:t>
      </w:r>
      <w:proofErr w:type="gramStart"/>
      <w:r w:rsidRPr="001B7FCE">
        <w:rPr>
          <w:rFonts w:ascii="Times New Roman" w:eastAsia="Times New Roman" w:hAnsi="Times New Roman" w:cs="Times New Roman"/>
          <w:sz w:val="24"/>
          <w:szCs w:val="24"/>
          <w:lang w:eastAsia="en-GB"/>
        </w:rPr>
        <w:t>doi:</w:t>
      </w:r>
      <w:proofErr w:type="gramEnd"/>
      <w:r w:rsidRPr="001B7FCE">
        <w:rPr>
          <w:rFonts w:ascii="Times New Roman" w:eastAsia="Times New Roman" w:hAnsi="Times New Roman" w:cs="Times New Roman"/>
          <w:sz w:val="24"/>
          <w:szCs w:val="24"/>
          <w:lang w:eastAsia="en-GB"/>
        </w:rPr>
        <w:t>10.1162/GLEP</w:t>
      </w:r>
    </w:p>
    <w:p w14:paraId="2588CC0C" w14:textId="0C089ED6" w:rsidR="00CA4259" w:rsidRDefault="00CA4259">
      <w:pPr>
        <w:pStyle w:val="CommentText"/>
      </w:pPr>
    </w:p>
  </w:comment>
  <w:comment w:id="5" w:author="William Lamb" w:date="2019-03-01T15:54:00Z" w:initials="WL">
    <w:p w14:paraId="60125743" w14:textId="77777777" w:rsidR="00CA4259" w:rsidRDefault="00CA4259"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Pr>
          <w:rStyle w:val="CommentReference"/>
        </w:rPr>
        <w:annotationRef/>
      </w:r>
      <w:proofErr w:type="spellStart"/>
      <w:r w:rsidRPr="008726A0">
        <w:rPr>
          <w:rFonts w:ascii="Times New Roman" w:eastAsia="Times New Roman" w:hAnsi="Times New Roman" w:cs="Times New Roman"/>
          <w:sz w:val="24"/>
          <w:szCs w:val="24"/>
          <w:lang w:eastAsia="en-GB"/>
        </w:rPr>
        <w:t>Dellepiane</w:t>
      </w:r>
      <w:proofErr w:type="spellEnd"/>
      <w:r w:rsidRPr="008726A0">
        <w:rPr>
          <w:rFonts w:ascii="Times New Roman" w:eastAsia="Times New Roman" w:hAnsi="Times New Roman" w:cs="Times New Roman"/>
          <w:sz w:val="24"/>
          <w:szCs w:val="24"/>
          <w:lang w:eastAsia="en-GB"/>
        </w:rPr>
        <w:t xml:space="preserve">-Avellaneda, S., 2009. Review Article: Good Governance, Institutions and Economic Development: Beyond the Conventional Wisdom. Br. J. Polit. Sci. 40, 195. </w:t>
      </w:r>
      <w:proofErr w:type="gramStart"/>
      <w:r w:rsidRPr="008726A0">
        <w:rPr>
          <w:rFonts w:ascii="Times New Roman" w:eastAsia="Times New Roman" w:hAnsi="Times New Roman" w:cs="Times New Roman"/>
          <w:sz w:val="24"/>
          <w:szCs w:val="24"/>
          <w:lang w:eastAsia="en-GB"/>
        </w:rPr>
        <w:t>doi:</w:t>
      </w:r>
      <w:proofErr w:type="gramEnd"/>
      <w:r w:rsidRPr="008726A0">
        <w:rPr>
          <w:rFonts w:ascii="Times New Roman" w:eastAsia="Times New Roman" w:hAnsi="Times New Roman" w:cs="Times New Roman"/>
          <w:sz w:val="24"/>
          <w:szCs w:val="24"/>
          <w:lang w:eastAsia="en-GB"/>
        </w:rPr>
        <w:t>10.1017/S0007123409990287</w:t>
      </w:r>
    </w:p>
    <w:p w14:paraId="7F16ABF1" w14:textId="77777777" w:rsidR="00CA4259" w:rsidRDefault="00CA4259"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p>
    <w:p w14:paraId="3AAA81F4" w14:textId="77777777" w:rsidR="00CA4259" w:rsidRDefault="00CA4259"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sidRPr="008726A0">
        <w:rPr>
          <w:rFonts w:ascii="Times New Roman" w:eastAsia="Times New Roman" w:hAnsi="Times New Roman" w:cs="Times New Roman"/>
          <w:sz w:val="24"/>
          <w:szCs w:val="24"/>
          <w:lang w:eastAsia="en-GB"/>
        </w:rPr>
        <w:t xml:space="preserve">Easterly, W., </w:t>
      </w:r>
      <w:proofErr w:type="spellStart"/>
      <w:r w:rsidRPr="008726A0">
        <w:rPr>
          <w:rFonts w:ascii="Times New Roman" w:eastAsia="Times New Roman" w:hAnsi="Times New Roman" w:cs="Times New Roman"/>
          <w:sz w:val="24"/>
          <w:szCs w:val="24"/>
          <w:lang w:eastAsia="en-GB"/>
        </w:rPr>
        <w:t>Ritzan</w:t>
      </w:r>
      <w:proofErr w:type="spellEnd"/>
      <w:r w:rsidRPr="008726A0">
        <w:rPr>
          <w:rFonts w:ascii="Times New Roman" w:eastAsia="Times New Roman" w:hAnsi="Times New Roman" w:cs="Times New Roman"/>
          <w:sz w:val="24"/>
          <w:szCs w:val="24"/>
          <w:lang w:eastAsia="en-GB"/>
        </w:rPr>
        <w:t xml:space="preserve">, J., </w:t>
      </w:r>
      <w:proofErr w:type="spellStart"/>
      <w:r w:rsidRPr="008726A0">
        <w:rPr>
          <w:rFonts w:ascii="Times New Roman" w:eastAsia="Times New Roman" w:hAnsi="Times New Roman" w:cs="Times New Roman"/>
          <w:sz w:val="24"/>
          <w:szCs w:val="24"/>
          <w:lang w:eastAsia="en-GB"/>
        </w:rPr>
        <w:t>Woolcock</w:t>
      </w:r>
      <w:proofErr w:type="spellEnd"/>
      <w:r w:rsidRPr="008726A0">
        <w:rPr>
          <w:rFonts w:ascii="Times New Roman" w:eastAsia="Times New Roman" w:hAnsi="Times New Roman" w:cs="Times New Roman"/>
          <w:sz w:val="24"/>
          <w:szCs w:val="24"/>
          <w:lang w:eastAsia="en-GB"/>
        </w:rPr>
        <w:t>, M., 2006. Social Cohesion, Institutions, and Growth (No. 94).</w:t>
      </w:r>
    </w:p>
    <w:p w14:paraId="23CF3F01" w14:textId="77777777" w:rsidR="00CA4259" w:rsidRDefault="00CA4259"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p>
    <w:p w14:paraId="3A483499" w14:textId="77777777" w:rsidR="00CA4259" w:rsidRDefault="00CA4259" w:rsidP="00DC3DAD">
      <w:pPr>
        <w:pStyle w:val="NormalWeb"/>
        <w:spacing w:line="360" w:lineRule="auto"/>
        <w:ind w:left="480" w:hanging="480"/>
      </w:pPr>
      <w:r>
        <w:t xml:space="preserve">Holmberg, S., Rothstein, B., </w:t>
      </w:r>
      <w:proofErr w:type="spellStart"/>
      <w:r>
        <w:t>Nasiritousi</w:t>
      </w:r>
      <w:proofErr w:type="spellEnd"/>
      <w:r>
        <w:t xml:space="preserve">, N., 2009. Quality of Government: What You Get. </w:t>
      </w:r>
      <w:proofErr w:type="spellStart"/>
      <w:r>
        <w:t>Annu</w:t>
      </w:r>
      <w:proofErr w:type="spellEnd"/>
      <w:r>
        <w:t xml:space="preserve">. Rev. Polit. Sci. 12, 135–161. </w:t>
      </w:r>
      <w:proofErr w:type="gramStart"/>
      <w:r>
        <w:t>doi:</w:t>
      </w:r>
      <w:proofErr w:type="gramEnd"/>
      <w:r>
        <w:t>10.1146/annurev-polisci-100608-104510</w:t>
      </w:r>
    </w:p>
    <w:p w14:paraId="1B800579" w14:textId="195EACA8" w:rsidR="00CA4259" w:rsidRDefault="00CA4259">
      <w:pPr>
        <w:pStyle w:val="CommentText"/>
      </w:pPr>
    </w:p>
  </w:comment>
  <w:comment w:id="6" w:author="William Lamb" w:date="2019-03-01T11:19:00Z" w:initials="WL">
    <w:p w14:paraId="622E1992" w14:textId="2E0072F6" w:rsidR="00CA4259" w:rsidRPr="00EA67E1" w:rsidRDefault="00CA4259" w:rsidP="00EA67E1">
      <w:pPr>
        <w:spacing w:line="360" w:lineRule="auto"/>
      </w:pPr>
      <w:r>
        <w:rPr>
          <w:rStyle w:val="CommentReference"/>
        </w:rPr>
        <w:annotationRef/>
      </w:r>
      <w:r w:rsidRPr="00EA67E1">
        <w:t>Other factors raised:</w:t>
      </w:r>
    </w:p>
    <w:p w14:paraId="65594D89" w14:textId="77777777" w:rsidR="00CA4259" w:rsidRPr="00EA67E1" w:rsidRDefault="00CA4259" w:rsidP="00EA67E1">
      <w:pPr>
        <w:spacing w:line="360" w:lineRule="auto"/>
      </w:pPr>
    </w:p>
    <w:p w14:paraId="7922198E" w14:textId="1EEBD740" w:rsidR="00CA4259" w:rsidRPr="00EA67E1" w:rsidRDefault="00CA4259" w:rsidP="00EA67E1">
      <w:pPr>
        <w:spacing w:line="360" w:lineRule="auto"/>
      </w:pPr>
      <w:r w:rsidRPr="00EA67E1">
        <w:t xml:space="preserve">- </w:t>
      </w:r>
      <w:r>
        <w:t>D</w:t>
      </w:r>
      <w:r w:rsidRPr="00EA67E1">
        <w:t xml:space="preserve">ivision of political labour between legislatures and bureaucracies </w:t>
      </w:r>
      <w:r w:rsidRPr="00EA67E1">
        <w:fldChar w:fldCharType="begin" w:fldLock="1"/>
      </w:r>
      <w:r w:rsidRPr="00EA67E1">
        <w:instrText>ADDIN CSL_CITATION {"citationItems":[{"id":"ITEM-1","itemData":{"DOI":"10.1111/gove.12338","ISSN":"14680491","abstract":"© 2018 Wiley Periodicals, Inc. State capacity is central to the provision of public goods, including environmental protection. Drawing on climate policy making, this article argues that the division of labor between the bureaucracy and legislature in policy formulation is a critical source of state capacity. In cases of bureaucratic policy design, the legislature sets policy goals and delegates policy design to bureaucracies. This division of labor shifts distributional conflict to autonomous bureaucracies, allowing for effective policy design. California followed this path in climate policy making, setting it on track to meet climate goals. In cases of legislative policy design, bureaucracies set goals and legislatures design policy measures. Since legislators have incentives to respond to vested interests, legislative policy design is vulnerable to regulatory capture. In Germany, legislative policy design in climate policy making is preventing attainment of emissions reduction goals, as industry interests succeeded in blocking key policy measures. Our findings highlight procedural sources of state capacity.","author":[{"dropping-particle":"","family":"Meckling","given":"Jonas","non-dropping-particle":"","parse-names":false,"suffix":""},{"dropping-particle":"","family":"Nahm","given":"Jonas","non-dropping-particle":"","parse-names":false,"suffix":""}],"container-title":"Governance","id":"ITEM-1","issue":"4","issued":{"date-parts":[["2018"]]},"page":"741-757","title":"The power of process: State capacity and climate policy","type":"article-journal","volume":"31"},"uris":["http://www.mendeley.com/documents/?uuid=0e29249a-891a-47de-8799-0b4d6c9e9f29"]}],"mendeley":{"formattedCitation":"(Meckling &amp; Nahm, 2018)","plainTextFormattedCitation":"(Meckling &amp; Nahm, 2018)","previouslyFormattedCitation":"(Meckling &amp; Nahm, 2018)"},"properties":{"noteIndex":0},"schema":"https://github.com/citation-style-language/schema/raw/master/csl-citation.json"}</w:instrText>
      </w:r>
      <w:r w:rsidRPr="00EA67E1">
        <w:fldChar w:fldCharType="separate"/>
      </w:r>
      <w:r w:rsidRPr="00EA67E1">
        <w:rPr>
          <w:noProof/>
        </w:rPr>
        <w:t>(Meckling &amp; Nahm, 2018)</w:t>
      </w:r>
      <w:r w:rsidRPr="00EA67E1">
        <w:fldChar w:fldCharType="end"/>
      </w:r>
    </w:p>
    <w:p w14:paraId="75BD2C68" w14:textId="77777777" w:rsidR="00CA4259" w:rsidRPr="00EA67E1" w:rsidRDefault="00CA4259" w:rsidP="00EA67E1">
      <w:pPr>
        <w:spacing w:line="360" w:lineRule="auto"/>
      </w:pPr>
      <w:r w:rsidRPr="00EA67E1">
        <w:t>- Variety of capitalism</w:t>
      </w:r>
    </w:p>
    <w:p w14:paraId="79664CF1" w14:textId="77777777" w:rsidR="00CA4259" w:rsidRPr="00EA67E1" w:rsidRDefault="00CA4259" w:rsidP="00EA67E1">
      <w:pPr>
        <w:spacing w:line="360" w:lineRule="auto"/>
      </w:pPr>
      <w:r w:rsidRPr="00EA67E1">
        <w:t>- Multi-level governance</w:t>
      </w:r>
    </w:p>
    <w:p w14:paraId="30F49428" w14:textId="01778331" w:rsidR="00CA4259" w:rsidRDefault="00CA4259" w:rsidP="00EA67E1">
      <w:pPr>
        <w:spacing w:line="360" w:lineRule="auto"/>
      </w:pPr>
      <w:r w:rsidRPr="00EA67E1">
        <w:t>- Electoral cycle</w:t>
      </w:r>
    </w:p>
  </w:comment>
  <w:comment w:id="7" w:author="William Lamb" w:date="2019-04-01T14:53:00Z" w:initials="WL">
    <w:p w14:paraId="2363B264" w14:textId="114F5E8E" w:rsidR="005C055F" w:rsidRDefault="005C055F">
      <w:pPr>
        <w:pStyle w:val="CommentText"/>
      </w:pPr>
      <w:r>
        <w:rPr>
          <w:rStyle w:val="CommentReference"/>
        </w:rPr>
        <w:annotationRef/>
      </w:r>
      <w:r w:rsidRPr="005C055F">
        <w:t>https://journals.sagepub.com/doi/abs/10.1177/106591290305600103</w:t>
      </w:r>
    </w:p>
  </w:comment>
  <w:comment w:id="8" w:author="William Lamb" w:date="2019-03-01T13:21:00Z" w:initials="WL">
    <w:p w14:paraId="103A22B0" w14:textId="32105E30" w:rsidR="00CA4259" w:rsidRDefault="00CA4259">
      <w:pPr>
        <w:pStyle w:val="CommentText"/>
      </w:pPr>
      <w:r>
        <w:rPr>
          <w:rStyle w:val="CommentReference"/>
        </w:rPr>
        <w:annotationRef/>
      </w:r>
      <w:r>
        <w:t>Other possible discussion points:</w:t>
      </w:r>
    </w:p>
    <w:p w14:paraId="13CAEF3F" w14:textId="77777777" w:rsidR="00CA4259" w:rsidRDefault="00CA4259">
      <w:pPr>
        <w:pStyle w:val="CommentText"/>
      </w:pPr>
      <w:r>
        <w:t>- Commitment to democratic values matters (Lewis et al.)</w:t>
      </w:r>
    </w:p>
    <w:p w14:paraId="1657D646" w14:textId="77777777" w:rsidR="00CA4259" w:rsidRDefault="00CA4259">
      <w:pPr>
        <w:pStyle w:val="CommentText"/>
      </w:pPr>
      <w:r>
        <w:t>- merging of trust issues with populism (Lockwood)</w:t>
      </w:r>
    </w:p>
    <w:p w14:paraId="747933FF" w14:textId="6D297C24" w:rsidR="00CA4259" w:rsidRDefault="00CA4259" w:rsidP="00A32060">
      <w:pPr>
        <w:spacing w:line="360" w:lineRule="auto"/>
      </w:pPr>
      <w:r>
        <w:t xml:space="preserve">- Exclusion from democratic decision making could undermine pro-social behaviour and reciprocity </w:t>
      </w:r>
      <w:r>
        <w:fldChar w:fldCharType="begin" w:fldLock="1"/>
      </w:r>
      <w:r>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fldChar w:fldCharType="separate"/>
      </w:r>
      <w:r w:rsidRPr="002E73D4">
        <w:rPr>
          <w:noProof/>
        </w:rPr>
        <w:t>(Böhmelt et al., 2016)</w:t>
      </w:r>
      <w:r>
        <w:fldChar w:fldCharType="end"/>
      </w:r>
      <w:r>
        <w:t xml:space="preserve">. </w:t>
      </w:r>
    </w:p>
  </w:comment>
  <w:comment w:id="10" w:author="William Lamb" w:date="2019-03-01T15:55:00Z" w:initials="WL">
    <w:p w14:paraId="51670C4A" w14:textId="77777777" w:rsidR="00CA4259" w:rsidRDefault="00CA4259">
      <w:pPr>
        <w:pStyle w:val="CommentText"/>
      </w:pPr>
      <w:r>
        <w:rPr>
          <w:rStyle w:val="CommentReference"/>
        </w:rPr>
        <w:annotationRef/>
      </w:r>
      <w:r>
        <w:t>Also the case for health interventions:</w:t>
      </w:r>
    </w:p>
    <w:p w14:paraId="70F1B5E1" w14:textId="77777777" w:rsidR="00CA4259" w:rsidRDefault="00CA4259">
      <w:pPr>
        <w:pStyle w:val="CommentText"/>
      </w:pPr>
    </w:p>
    <w:p w14:paraId="1296AB83" w14:textId="77777777" w:rsidR="00CA4259" w:rsidRPr="008726A0" w:rsidRDefault="00CA4259"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sidRPr="008726A0">
        <w:rPr>
          <w:rFonts w:ascii="Times New Roman" w:eastAsia="Times New Roman" w:hAnsi="Times New Roman" w:cs="Times New Roman"/>
          <w:sz w:val="24"/>
          <w:szCs w:val="24"/>
          <w:lang w:eastAsia="en-GB"/>
        </w:rPr>
        <w:t xml:space="preserve">Hanson, K., </w:t>
      </w:r>
      <w:proofErr w:type="spellStart"/>
      <w:r w:rsidRPr="008726A0">
        <w:rPr>
          <w:rFonts w:ascii="Times New Roman" w:eastAsia="Times New Roman" w:hAnsi="Times New Roman" w:cs="Times New Roman"/>
          <w:sz w:val="24"/>
          <w:szCs w:val="24"/>
          <w:lang w:eastAsia="en-GB"/>
        </w:rPr>
        <w:t>Ranson</w:t>
      </w:r>
      <w:proofErr w:type="spellEnd"/>
      <w:r w:rsidRPr="008726A0">
        <w:rPr>
          <w:rFonts w:ascii="Times New Roman" w:eastAsia="Times New Roman" w:hAnsi="Times New Roman" w:cs="Times New Roman"/>
          <w:sz w:val="24"/>
          <w:szCs w:val="24"/>
          <w:lang w:eastAsia="en-GB"/>
        </w:rPr>
        <w:t>, M.K., Oliveira-Cruz, V., Mills, A., 2003. Expanding access to priority health interventions: A framework for understanding the constraints to scaling-up. J. Int. Dev. 15, 1–14. doi:10.1002/jid.963</w:t>
      </w:r>
    </w:p>
    <w:p w14:paraId="60FB0357" w14:textId="794F4407" w:rsidR="00CA4259" w:rsidRDefault="00CA4259">
      <w:pPr>
        <w:pStyle w:val="CommentText"/>
      </w:pPr>
    </w:p>
  </w:comment>
  <w:comment w:id="11" w:author="William Lamb" w:date="2019-03-01T15:57:00Z" w:initials="WL">
    <w:p w14:paraId="58B315DC" w14:textId="5027BB09" w:rsidR="00CA4259" w:rsidRDefault="00CA4259">
      <w:pPr>
        <w:pStyle w:val="CommentText"/>
      </w:pPr>
      <w:r>
        <w:rPr>
          <w:rStyle w:val="CommentReference"/>
        </w:rPr>
        <w:annotationRef/>
      </w:r>
      <w:r>
        <w:t>Sen, Development as Freedom p40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0A37B" w15:done="0"/>
  <w15:commentEx w15:paraId="1B7F155F" w15:done="0"/>
  <w15:commentEx w15:paraId="5B53B1F6" w15:done="0"/>
  <w15:commentEx w15:paraId="34DF14D7" w15:done="0"/>
  <w15:commentEx w15:paraId="2588CC0C" w15:done="0"/>
  <w15:commentEx w15:paraId="1B800579" w15:done="0"/>
  <w15:commentEx w15:paraId="30F49428" w15:done="0"/>
  <w15:commentEx w15:paraId="2363B264" w15:done="0"/>
  <w15:commentEx w15:paraId="747933FF" w15:done="0"/>
  <w15:commentEx w15:paraId="60FB0357" w15:done="0"/>
  <w15:commentEx w15:paraId="58B315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75A40" w14:textId="77777777" w:rsidR="002E3CBE" w:rsidRDefault="002E3CBE" w:rsidP="008A7B7D">
      <w:pPr>
        <w:spacing w:after="0" w:line="240" w:lineRule="auto"/>
      </w:pPr>
      <w:r>
        <w:separator/>
      </w:r>
    </w:p>
  </w:endnote>
  <w:endnote w:type="continuationSeparator" w:id="0">
    <w:p w14:paraId="3F0F267B" w14:textId="77777777" w:rsidR="002E3CBE" w:rsidRDefault="002E3CBE" w:rsidP="008A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6D6E3" w14:textId="77777777" w:rsidR="002E3CBE" w:rsidRDefault="002E3CBE" w:rsidP="008A7B7D">
      <w:pPr>
        <w:spacing w:after="0" w:line="240" w:lineRule="auto"/>
      </w:pPr>
      <w:r>
        <w:separator/>
      </w:r>
    </w:p>
  </w:footnote>
  <w:footnote w:type="continuationSeparator" w:id="0">
    <w:p w14:paraId="6CF10050" w14:textId="77777777" w:rsidR="002E3CBE" w:rsidRDefault="002E3CBE" w:rsidP="008A7B7D">
      <w:pPr>
        <w:spacing w:after="0" w:line="240" w:lineRule="auto"/>
      </w:pPr>
      <w:r>
        <w:continuationSeparator/>
      </w:r>
    </w:p>
  </w:footnote>
  <w:footnote w:id="1">
    <w:p w14:paraId="4D46ED72" w14:textId="26EB910F" w:rsidR="00CA4259" w:rsidRDefault="00CA4259">
      <w:pPr>
        <w:pStyle w:val="FootnoteText"/>
      </w:pPr>
      <w:r>
        <w:rPr>
          <w:rStyle w:val="FootnoteReference"/>
        </w:rPr>
        <w:footnoteRef/>
      </w:r>
      <w:r>
        <w:t xml:space="preserve"> Thanks to Giulio Mattioli for this insight</w:t>
      </w:r>
    </w:p>
  </w:footnote>
  <w:footnote w:id="2">
    <w:p w14:paraId="2D80ED48" w14:textId="31615FF7" w:rsidR="00CA4259" w:rsidRDefault="00CA4259" w:rsidP="006174EA">
      <w:pPr>
        <w:pStyle w:val="FootnoteText"/>
      </w:pPr>
      <w:r>
        <w:rPr>
          <w:rStyle w:val="FootnoteReference"/>
        </w:rPr>
        <w:footnoteRef/>
      </w:r>
      <w:r>
        <w:t xml:space="preserve"> </w:t>
      </w:r>
      <w:proofErr w:type="spellStart"/>
      <w:r>
        <w:t>Dophin</w:t>
      </w:r>
      <w:proofErr w:type="spellEnd"/>
      <w:r>
        <w:t xml:space="preserve"> et al. </w:t>
      </w:r>
      <w:r>
        <w:fldChar w:fldCharType="begin" w:fldLock="1"/>
      </w:r>
      <w:r>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suppress-author":1,"uris":["http://www.mendeley.com/documents/?uuid=6e269377-11ab-4240-a1eb-07b94f1ee52b"]}],"mendeley":{"formattedCitation":"(2016)","plainTextFormattedCitation":"(2016)","previouslyFormattedCitation":"(2016)"},"properties":{"noteIndex":0},"schema":"https://github.com/citation-style-language/schema/raw/master/csl-citation.json"}</w:instrText>
      </w:r>
      <w:r>
        <w:fldChar w:fldCharType="separate"/>
      </w:r>
      <w:r w:rsidRPr="001A19E0">
        <w:rPr>
          <w:noProof/>
        </w:rPr>
        <w:t>(2016)</w:t>
      </w:r>
      <w:r>
        <w:fldChar w:fldCharType="end"/>
      </w:r>
      <w:r>
        <w:t xml:space="preserve"> do not find a significant effect of these indicators on carbon price adoption or stringency. However, their study is based on a smaller sample of mostly wealthier states with strong institutions.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5095"/>
    <w:multiLevelType w:val="hybridMultilevel"/>
    <w:tmpl w:val="40485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20723"/>
    <w:multiLevelType w:val="hybridMultilevel"/>
    <w:tmpl w:val="365264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7532E9"/>
    <w:multiLevelType w:val="hybridMultilevel"/>
    <w:tmpl w:val="A5703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5E6E8D"/>
    <w:multiLevelType w:val="hybridMultilevel"/>
    <w:tmpl w:val="B6C07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186FF4"/>
    <w:multiLevelType w:val="hybridMultilevel"/>
    <w:tmpl w:val="5F281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B0D20"/>
    <w:multiLevelType w:val="hybridMultilevel"/>
    <w:tmpl w:val="593C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46A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23064"/>
    <w:multiLevelType w:val="hybridMultilevel"/>
    <w:tmpl w:val="4ED6C1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650EFA"/>
    <w:multiLevelType w:val="hybridMultilevel"/>
    <w:tmpl w:val="6CE8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205127"/>
    <w:multiLevelType w:val="hybridMultilevel"/>
    <w:tmpl w:val="1D6CF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792D33"/>
    <w:multiLevelType w:val="hybridMultilevel"/>
    <w:tmpl w:val="8026B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BF3688"/>
    <w:multiLevelType w:val="hybridMultilevel"/>
    <w:tmpl w:val="A21A3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1AC504D"/>
    <w:multiLevelType w:val="hybridMultilevel"/>
    <w:tmpl w:val="BF628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6B08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EF64F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BB2EBD"/>
    <w:multiLevelType w:val="hybridMultilevel"/>
    <w:tmpl w:val="9B847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883521"/>
    <w:multiLevelType w:val="hybridMultilevel"/>
    <w:tmpl w:val="04963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BD0BD9"/>
    <w:multiLevelType w:val="hybridMultilevel"/>
    <w:tmpl w:val="4BB49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382B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0B5E04"/>
    <w:multiLevelType w:val="hybridMultilevel"/>
    <w:tmpl w:val="4F388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2A08A8"/>
    <w:multiLevelType w:val="hybridMultilevel"/>
    <w:tmpl w:val="9446D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AD5D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011DCD"/>
    <w:multiLevelType w:val="hybridMultilevel"/>
    <w:tmpl w:val="1A488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157E3C"/>
    <w:multiLevelType w:val="hybridMultilevel"/>
    <w:tmpl w:val="25E8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794F1E"/>
    <w:multiLevelType w:val="hybridMultilevel"/>
    <w:tmpl w:val="F23EE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0E269F"/>
    <w:multiLevelType w:val="hybridMultilevel"/>
    <w:tmpl w:val="022EF194"/>
    <w:lvl w:ilvl="0" w:tplc="08090001">
      <w:start w:val="1"/>
      <w:numFmt w:val="bullet"/>
      <w:lvlText w:val=""/>
      <w:lvlJc w:val="left"/>
      <w:pPr>
        <w:ind w:left="720" w:hanging="360"/>
      </w:pPr>
      <w:rPr>
        <w:rFonts w:ascii="Symbol" w:hAnsi="Symbol" w:hint="default"/>
      </w:rPr>
    </w:lvl>
    <w:lvl w:ilvl="1" w:tplc="3FACFEF4">
      <w:numFmt w:val="bullet"/>
      <w:lvlText w:val="-"/>
      <w:lvlJc w:val="left"/>
      <w:pPr>
        <w:ind w:left="1440" w:hanging="360"/>
      </w:pPr>
      <w:rPr>
        <w:rFonts w:ascii="Calibri" w:eastAsiaTheme="minorHAnsi" w:hAnsi="Calibri" w:cs="Calibri" w:hint="default"/>
        <w:sz w:val="2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9E3309"/>
    <w:multiLevelType w:val="hybridMultilevel"/>
    <w:tmpl w:val="3A0A0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BE1D84"/>
    <w:multiLevelType w:val="hybridMultilevel"/>
    <w:tmpl w:val="0F988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1144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596B47"/>
    <w:multiLevelType w:val="hybridMultilevel"/>
    <w:tmpl w:val="B9F2E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C10A98"/>
    <w:multiLevelType w:val="hybridMultilevel"/>
    <w:tmpl w:val="3F202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3B4730"/>
    <w:multiLevelType w:val="hybridMultilevel"/>
    <w:tmpl w:val="7FE62E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9"/>
  </w:num>
  <w:num w:numId="2">
    <w:abstractNumId w:val="27"/>
  </w:num>
  <w:num w:numId="3">
    <w:abstractNumId w:val="22"/>
  </w:num>
  <w:num w:numId="4">
    <w:abstractNumId w:val="0"/>
  </w:num>
  <w:num w:numId="5">
    <w:abstractNumId w:val="6"/>
  </w:num>
  <w:num w:numId="6">
    <w:abstractNumId w:val="18"/>
  </w:num>
  <w:num w:numId="7">
    <w:abstractNumId w:val="7"/>
  </w:num>
  <w:num w:numId="8">
    <w:abstractNumId w:val="10"/>
  </w:num>
  <w:num w:numId="9">
    <w:abstractNumId w:val="1"/>
  </w:num>
  <w:num w:numId="10">
    <w:abstractNumId w:val="2"/>
  </w:num>
  <w:num w:numId="11">
    <w:abstractNumId w:val="28"/>
  </w:num>
  <w:num w:numId="12">
    <w:abstractNumId w:val="11"/>
  </w:num>
  <w:num w:numId="13">
    <w:abstractNumId w:val="24"/>
  </w:num>
  <w:num w:numId="14">
    <w:abstractNumId w:val="15"/>
  </w:num>
  <w:num w:numId="15">
    <w:abstractNumId w:val="30"/>
  </w:num>
  <w:num w:numId="16">
    <w:abstractNumId w:val="5"/>
  </w:num>
  <w:num w:numId="17">
    <w:abstractNumId w:val="20"/>
  </w:num>
  <w:num w:numId="18">
    <w:abstractNumId w:val="14"/>
  </w:num>
  <w:num w:numId="19">
    <w:abstractNumId w:val="13"/>
  </w:num>
  <w:num w:numId="20">
    <w:abstractNumId w:val="25"/>
  </w:num>
  <w:num w:numId="21">
    <w:abstractNumId w:val="26"/>
  </w:num>
  <w:num w:numId="22">
    <w:abstractNumId w:val="9"/>
  </w:num>
  <w:num w:numId="23">
    <w:abstractNumId w:val="19"/>
  </w:num>
  <w:num w:numId="24">
    <w:abstractNumId w:val="8"/>
  </w:num>
  <w:num w:numId="25">
    <w:abstractNumId w:val="12"/>
  </w:num>
  <w:num w:numId="26">
    <w:abstractNumId w:val="17"/>
  </w:num>
  <w:num w:numId="27">
    <w:abstractNumId w:val="16"/>
  </w:num>
  <w:num w:numId="28">
    <w:abstractNumId w:val="23"/>
  </w:num>
  <w:num w:numId="29">
    <w:abstractNumId w:val="4"/>
  </w:num>
  <w:num w:numId="30">
    <w:abstractNumId w:val="31"/>
  </w:num>
  <w:num w:numId="31">
    <w:abstractNumId w:val="21"/>
  </w:num>
  <w:num w:numId="3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6D"/>
    <w:rsid w:val="00007CAA"/>
    <w:rsid w:val="00011045"/>
    <w:rsid w:val="00022CB8"/>
    <w:rsid w:val="0002451A"/>
    <w:rsid w:val="000253AB"/>
    <w:rsid w:val="000255A9"/>
    <w:rsid w:val="0002664B"/>
    <w:rsid w:val="00033403"/>
    <w:rsid w:val="000335FF"/>
    <w:rsid w:val="0003438E"/>
    <w:rsid w:val="00041C4D"/>
    <w:rsid w:val="000435D5"/>
    <w:rsid w:val="0004751E"/>
    <w:rsid w:val="0005057E"/>
    <w:rsid w:val="00051A6F"/>
    <w:rsid w:val="000532BD"/>
    <w:rsid w:val="000551A8"/>
    <w:rsid w:val="00055591"/>
    <w:rsid w:val="00055C36"/>
    <w:rsid w:val="00060E2E"/>
    <w:rsid w:val="00062ECB"/>
    <w:rsid w:val="00070A4D"/>
    <w:rsid w:val="00071284"/>
    <w:rsid w:val="000720ED"/>
    <w:rsid w:val="000810CE"/>
    <w:rsid w:val="00083EC2"/>
    <w:rsid w:val="00084252"/>
    <w:rsid w:val="0009242D"/>
    <w:rsid w:val="00096CFB"/>
    <w:rsid w:val="000A0E09"/>
    <w:rsid w:val="000A5362"/>
    <w:rsid w:val="000A6713"/>
    <w:rsid w:val="000C0D50"/>
    <w:rsid w:val="000C4F8E"/>
    <w:rsid w:val="000C5910"/>
    <w:rsid w:val="000C6212"/>
    <w:rsid w:val="000D0F95"/>
    <w:rsid w:val="000D5C16"/>
    <w:rsid w:val="000D5CD4"/>
    <w:rsid w:val="000E1FA8"/>
    <w:rsid w:val="000E3AB7"/>
    <w:rsid w:val="000E3EB1"/>
    <w:rsid w:val="000E4F21"/>
    <w:rsid w:val="000E78F6"/>
    <w:rsid w:val="000E7F39"/>
    <w:rsid w:val="000F1BB9"/>
    <w:rsid w:val="000F7CBD"/>
    <w:rsid w:val="000F7D64"/>
    <w:rsid w:val="0010228D"/>
    <w:rsid w:val="0010632C"/>
    <w:rsid w:val="00113D51"/>
    <w:rsid w:val="001215B4"/>
    <w:rsid w:val="00123F65"/>
    <w:rsid w:val="001271A5"/>
    <w:rsid w:val="0013440A"/>
    <w:rsid w:val="00134CF1"/>
    <w:rsid w:val="0013511E"/>
    <w:rsid w:val="00141552"/>
    <w:rsid w:val="00143BF0"/>
    <w:rsid w:val="001446C1"/>
    <w:rsid w:val="00146501"/>
    <w:rsid w:val="0015622A"/>
    <w:rsid w:val="00156D8A"/>
    <w:rsid w:val="00161D05"/>
    <w:rsid w:val="0016211A"/>
    <w:rsid w:val="0016219E"/>
    <w:rsid w:val="001644D4"/>
    <w:rsid w:val="00167896"/>
    <w:rsid w:val="00171F95"/>
    <w:rsid w:val="001768FB"/>
    <w:rsid w:val="00177C0C"/>
    <w:rsid w:val="0018086D"/>
    <w:rsid w:val="00190926"/>
    <w:rsid w:val="001948A8"/>
    <w:rsid w:val="001A19E0"/>
    <w:rsid w:val="001A558D"/>
    <w:rsid w:val="001B7FCE"/>
    <w:rsid w:val="001C2247"/>
    <w:rsid w:val="001C2FBD"/>
    <w:rsid w:val="001C5DF9"/>
    <w:rsid w:val="001C7A27"/>
    <w:rsid w:val="001C7D4F"/>
    <w:rsid w:val="001D0956"/>
    <w:rsid w:val="001D32C5"/>
    <w:rsid w:val="001D7979"/>
    <w:rsid w:val="001E6ED1"/>
    <w:rsid w:val="001F0803"/>
    <w:rsid w:val="001F1623"/>
    <w:rsid w:val="001F4AB2"/>
    <w:rsid w:val="001F516B"/>
    <w:rsid w:val="001F52E3"/>
    <w:rsid w:val="002010D9"/>
    <w:rsid w:val="002117B0"/>
    <w:rsid w:val="00211F78"/>
    <w:rsid w:val="0021445B"/>
    <w:rsid w:val="00215485"/>
    <w:rsid w:val="0021679D"/>
    <w:rsid w:val="00217E30"/>
    <w:rsid w:val="00220736"/>
    <w:rsid w:val="00220DE8"/>
    <w:rsid w:val="00224300"/>
    <w:rsid w:val="002262F4"/>
    <w:rsid w:val="00227B35"/>
    <w:rsid w:val="002324EF"/>
    <w:rsid w:val="00234711"/>
    <w:rsid w:val="00235743"/>
    <w:rsid w:val="00235AFC"/>
    <w:rsid w:val="00235CEA"/>
    <w:rsid w:val="002400B4"/>
    <w:rsid w:val="00241395"/>
    <w:rsid w:val="00244B27"/>
    <w:rsid w:val="002464FB"/>
    <w:rsid w:val="00247132"/>
    <w:rsid w:val="00247ACF"/>
    <w:rsid w:val="00247F1E"/>
    <w:rsid w:val="002507F8"/>
    <w:rsid w:val="00250B1C"/>
    <w:rsid w:val="00252038"/>
    <w:rsid w:val="00255554"/>
    <w:rsid w:val="00256FA4"/>
    <w:rsid w:val="0026092C"/>
    <w:rsid w:val="00267753"/>
    <w:rsid w:val="002702C0"/>
    <w:rsid w:val="00273F42"/>
    <w:rsid w:val="002748F0"/>
    <w:rsid w:val="00281CD9"/>
    <w:rsid w:val="00286A5F"/>
    <w:rsid w:val="0028744D"/>
    <w:rsid w:val="00292558"/>
    <w:rsid w:val="00292708"/>
    <w:rsid w:val="00292E0C"/>
    <w:rsid w:val="002A126A"/>
    <w:rsid w:val="002A6501"/>
    <w:rsid w:val="002B2436"/>
    <w:rsid w:val="002B3ABC"/>
    <w:rsid w:val="002B62C4"/>
    <w:rsid w:val="002B6A86"/>
    <w:rsid w:val="002B7F84"/>
    <w:rsid w:val="002C031B"/>
    <w:rsid w:val="002C36B0"/>
    <w:rsid w:val="002C3A90"/>
    <w:rsid w:val="002D08C3"/>
    <w:rsid w:val="002D0FCA"/>
    <w:rsid w:val="002D47C2"/>
    <w:rsid w:val="002D4A34"/>
    <w:rsid w:val="002E0D12"/>
    <w:rsid w:val="002E3CBE"/>
    <w:rsid w:val="002E435B"/>
    <w:rsid w:val="002E54BE"/>
    <w:rsid w:val="002E7047"/>
    <w:rsid w:val="002E73D4"/>
    <w:rsid w:val="002F0B71"/>
    <w:rsid w:val="002F3282"/>
    <w:rsid w:val="002F36DE"/>
    <w:rsid w:val="003018CA"/>
    <w:rsid w:val="00304708"/>
    <w:rsid w:val="0031471A"/>
    <w:rsid w:val="00315C16"/>
    <w:rsid w:val="00315C57"/>
    <w:rsid w:val="003163CC"/>
    <w:rsid w:val="00317524"/>
    <w:rsid w:val="0032147A"/>
    <w:rsid w:val="003218A4"/>
    <w:rsid w:val="00323D12"/>
    <w:rsid w:val="0032506B"/>
    <w:rsid w:val="00333CF1"/>
    <w:rsid w:val="00335539"/>
    <w:rsid w:val="00335769"/>
    <w:rsid w:val="003403CE"/>
    <w:rsid w:val="0034237B"/>
    <w:rsid w:val="003436AC"/>
    <w:rsid w:val="003549F2"/>
    <w:rsid w:val="00355664"/>
    <w:rsid w:val="00356B49"/>
    <w:rsid w:val="00360F9E"/>
    <w:rsid w:val="003671BD"/>
    <w:rsid w:val="00376C8D"/>
    <w:rsid w:val="00385B19"/>
    <w:rsid w:val="003921CF"/>
    <w:rsid w:val="00396E6A"/>
    <w:rsid w:val="003A16B2"/>
    <w:rsid w:val="003A2097"/>
    <w:rsid w:val="003A4D0C"/>
    <w:rsid w:val="003B16C0"/>
    <w:rsid w:val="003B2738"/>
    <w:rsid w:val="003B4124"/>
    <w:rsid w:val="003B4A78"/>
    <w:rsid w:val="003B4BEC"/>
    <w:rsid w:val="003B4E8D"/>
    <w:rsid w:val="003B568E"/>
    <w:rsid w:val="003C3750"/>
    <w:rsid w:val="003C4F5B"/>
    <w:rsid w:val="003C594C"/>
    <w:rsid w:val="003D71F9"/>
    <w:rsid w:val="003E15F6"/>
    <w:rsid w:val="003E1A62"/>
    <w:rsid w:val="003E21B3"/>
    <w:rsid w:val="003E4DAF"/>
    <w:rsid w:val="003F017E"/>
    <w:rsid w:val="003F3E95"/>
    <w:rsid w:val="003F4BF7"/>
    <w:rsid w:val="003F6C5C"/>
    <w:rsid w:val="00400BA3"/>
    <w:rsid w:val="00400F99"/>
    <w:rsid w:val="00402C95"/>
    <w:rsid w:val="00403392"/>
    <w:rsid w:val="00405D76"/>
    <w:rsid w:val="00416A8A"/>
    <w:rsid w:val="00416C2C"/>
    <w:rsid w:val="00417A4F"/>
    <w:rsid w:val="00417B46"/>
    <w:rsid w:val="00417F46"/>
    <w:rsid w:val="0042211B"/>
    <w:rsid w:val="00422E88"/>
    <w:rsid w:val="0042363F"/>
    <w:rsid w:val="00426990"/>
    <w:rsid w:val="00426F7E"/>
    <w:rsid w:val="004310CF"/>
    <w:rsid w:val="004329F2"/>
    <w:rsid w:val="0043530F"/>
    <w:rsid w:val="004400B6"/>
    <w:rsid w:val="00441C6C"/>
    <w:rsid w:val="00443CBE"/>
    <w:rsid w:val="0044778D"/>
    <w:rsid w:val="004545C8"/>
    <w:rsid w:val="00457C91"/>
    <w:rsid w:val="0046283C"/>
    <w:rsid w:val="00464D44"/>
    <w:rsid w:val="00467AD0"/>
    <w:rsid w:val="00474BDC"/>
    <w:rsid w:val="00475EF2"/>
    <w:rsid w:val="004805E3"/>
    <w:rsid w:val="0048129B"/>
    <w:rsid w:val="0048223A"/>
    <w:rsid w:val="004843B1"/>
    <w:rsid w:val="00485770"/>
    <w:rsid w:val="004859A2"/>
    <w:rsid w:val="00487EF6"/>
    <w:rsid w:val="00494958"/>
    <w:rsid w:val="00494AC4"/>
    <w:rsid w:val="00495033"/>
    <w:rsid w:val="00495D21"/>
    <w:rsid w:val="004A0A09"/>
    <w:rsid w:val="004A43F4"/>
    <w:rsid w:val="004A6C2A"/>
    <w:rsid w:val="004A7D32"/>
    <w:rsid w:val="004B1209"/>
    <w:rsid w:val="004B588D"/>
    <w:rsid w:val="004C2E09"/>
    <w:rsid w:val="004C3507"/>
    <w:rsid w:val="004C6081"/>
    <w:rsid w:val="004C7894"/>
    <w:rsid w:val="004D248E"/>
    <w:rsid w:val="004D70AC"/>
    <w:rsid w:val="004D7599"/>
    <w:rsid w:val="004E1F98"/>
    <w:rsid w:val="004E27D2"/>
    <w:rsid w:val="004E4DC2"/>
    <w:rsid w:val="004E61B4"/>
    <w:rsid w:val="004E76A0"/>
    <w:rsid w:val="004F0FC0"/>
    <w:rsid w:val="004F3731"/>
    <w:rsid w:val="004F621F"/>
    <w:rsid w:val="0050039A"/>
    <w:rsid w:val="00503AA1"/>
    <w:rsid w:val="00506773"/>
    <w:rsid w:val="00511ED6"/>
    <w:rsid w:val="00512380"/>
    <w:rsid w:val="00520658"/>
    <w:rsid w:val="00541B41"/>
    <w:rsid w:val="0054365F"/>
    <w:rsid w:val="00544C4C"/>
    <w:rsid w:val="00547B65"/>
    <w:rsid w:val="00550AAB"/>
    <w:rsid w:val="005534C1"/>
    <w:rsid w:val="005534F5"/>
    <w:rsid w:val="00553DA0"/>
    <w:rsid w:val="0055617A"/>
    <w:rsid w:val="00556932"/>
    <w:rsid w:val="005577EA"/>
    <w:rsid w:val="00560189"/>
    <w:rsid w:val="00560936"/>
    <w:rsid w:val="005625B3"/>
    <w:rsid w:val="00565647"/>
    <w:rsid w:val="005677FB"/>
    <w:rsid w:val="00570D67"/>
    <w:rsid w:val="00571707"/>
    <w:rsid w:val="005746CB"/>
    <w:rsid w:val="0057566A"/>
    <w:rsid w:val="00583241"/>
    <w:rsid w:val="00583518"/>
    <w:rsid w:val="005910C9"/>
    <w:rsid w:val="005A218C"/>
    <w:rsid w:val="005A3340"/>
    <w:rsid w:val="005A3E77"/>
    <w:rsid w:val="005B1763"/>
    <w:rsid w:val="005B316C"/>
    <w:rsid w:val="005B7313"/>
    <w:rsid w:val="005C055F"/>
    <w:rsid w:val="005C3EE7"/>
    <w:rsid w:val="005C594D"/>
    <w:rsid w:val="005C7CA4"/>
    <w:rsid w:val="005D0D27"/>
    <w:rsid w:val="005D3284"/>
    <w:rsid w:val="005D5689"/>
    <w:rsid w:val="005D571F"/>
    <w:rsid w:val="005E47E4"/>
    <w:rsid w:val="005E6E6C"/>
    <w:rsid w:val="005E7840"/>
    <w:rsid w:val="005E7EDB"/>
    <w:rsid w:val="005F23D8"/>
    <w:rsid w:val="005F4ED4"/>
    <w:rsid w:val="00602406"/>
    <w:rsid w:val="0060651F"/>
    <w:rsid w:val="00610BD9"/>
    <w:rsid w:val="00611747"/>
    <w:rsid w:val="006132C5"/>
    <w:rsid w:val="00615DF8"/>
    <w:rsid w:val="006174EA"/>
    <w:rsid w:val="006216DB"/>
    <w:rsid w:val="00621B31"/>
    <w:rsid w:val="00623DD9"/>
    <w:rsid w:val="00624731"/>
    <w:rsid w:val="00626F9C"/>
    <w:rsid w:val="0063406B"/>
    <w:rsid w:val="006372D2"/>
    <w:rsid w:val="00651382"/>
    <w:rsid w:val="00653458"/>
    <w:rsid w:val="00654656"/>
    <w:rsid w:val="006552A4"/>
    <w:rsid w:val="006568EF"/>
    <w:rsid w:val="00660C16"/>
    <w:rsid w:val="00671BFD"/>
    <w:rsid w:val="006742CD"/>
    <w:rsid w:val="0067471A"/>
    <w:rsid w:val="006812E8"/>
    <w:rsid w:val="0068158D"/>
    <w:rsid w:val="0068382C"/>
    <w:rsid w:val="00684739"/>
    <w:rsid w:val="0068619D"/>
    <w:rsid w:val="00687DCD"/>
    <w:rsid w:val="0069029C"/>
    <w:rsid w:val="0069289E"/>
    <w:rsid w:val="006931F5"/>
    <w:rsid w:val="00695F67"/>
    <w:rsid w:val="006978F6"/>
    <w:rsid w:val="00697949"/>
    <w:rsid w:val="006A4A23"/>
    <w:rsid w:val="006A7185"/>
    <w:rsid w:val="006B019A"/>
    <w:rsid w:val="006B29DA"/>
    <w:rsid w:val="006B58DE"/>
    <w:rsid w:val="006B66EC"/>
    <w:rsid w:val="006C266C"/>
    <w:rsid w:val="006C2B2B"/>
    <w:rsid w:val="006C311C"/>
    <w:rsid w:val="006D169B"/>
    <w:rsid w:val="006D3C01"/>
    <w:rsid w:val="006D4E86"/>
    <w:rsid w:val="006E0D11"/>
    <w:rsid w:val="006E1150"/>
    <w:rsid w:val="006E27CC"/>
    <w:rsid w:val="006F36B1"/>
    <w:rsid w:val="006F43A3"/>
    <w:rsid w:val="006F5358"/>
    <w:rsid w:val="00701186"/>
    <w:rsid w:val="00705432"/>
    <w:rsid w:val="007115FA"/>
    <w:rsid w:val="00711722"/>
    <w:rsid w:val="00711BDC"/>
    <w:rsid w:val="007143B0"/>
    <w:rsid w:val="00716880"/>
    <w:rsid w:val="00723177"/>
    <w:rsid w:val="00725CBF"/>
    <w:rsid w:val="00727906"/>
    <w:rsid w:val="00731D5A"/>
    <w:rsid w:val="0075109E"/>
    <w:rsid w:val="00755038"/>
    <w:rsid w:val="0075659C"/>
    <w:rsid w:val="00761E04"/>
    <w:rsid w:val="00762E85"/>
    <w:rsid w:val="007635EA"/>
    <w:rsid w:val="007651C0"/>
    <w:rsid w:val="00765296"/>
    <w:rsid w:val="00766CCE"/>
    <w:rsid w:val="00776647"/>
    <w:rsid w:val="00777562"/>
    <w:rsid w:val="007807F9"/>
    <w:rsid w:val="00784330"/>
    <w:rsid w:val="007847EA"/>
    <w:rsid w:val="0078671C"/>
    <w:rsid w:val="007874F1"/>
    <w:rsid w:val="00791A9E"/>
    <w:rsid w:val="007929F1"/>
    <w:rsid w:val="007935CD"/>
    <w:rsid w:val="007954B9"/>
    <w:rsid w:val="007964A2"/>
    <w:rsid w:val="007A0732"/>
    <w:rsid w:val="007A0BDC"/>
    <w:rsid w:val="007A1363"/>
    <w:rsid w:val="007A252B"/>
    <w:rsid w:val="007A29B6"/>
    <w:rsid w:val="007A5E2C"/>
    <w:rsid w:val="007B6785"/>
    <w:rsid w:val="007C05F4"/>
    <w:rsid w:val="007C505A"/>
    <w:rsid w:val="007D03A6"/>
    <w:rsid w:val="007D3495"/>
    <w:rsid w:val="007D65BE"/>
    <w:rsid w:val="007E3362"/>
    <w:rsid w:val="007F3C5B"/>
    <w:rsid w:val="007F464F"/>
    <w:rsid w:val="008014A1"/>
    <w:rsid w:val="00805CA0"/>
    <w:rsid w:val="00812A3B"/>
    <w:rsid w:val="00812E7A"/>
    <w:rsid w:val="00814FD1"/>
    <w:rsid w:val="0081672C"/>
    <w:rsid w:val="008227C0"/>
    <w:rsid w:val="00823361"/>
    <w:rsid w:val="0082390F"/>
    <w:rsid w:val="00823AE0"/>
    <w:rsid w:val="0082590F"/>
    <w:rsid w:val="00825A0A"/>
    <w:rsid w:val="00827DB6"/>
    <w:rsid w:val="00835A4A"/>
    <w:rsid w:val="00835B17"/>
    <w:rsid w:val="00835CA0"/>
    <w:rsid w:val="008368F8"/>
    <w:rsid w:val="008441A5"/>
    <w:rsid w:val="00847453"/>
    <w:rsid w:val="00847825"/>
    <w:rsid w:val="0085068F"/>
    <w:rsid w:val="00853EBB"/>
    <w:rsid w:val="00866B91"/>
    <w:rsid w:val="008726A0"/>
    <w:rsid w:val="008816B0"/>
    <w:rsid w:val="008841BE"/>
    <w:rsid w:val="008856BB"/>
    <w:rsid w:val="008A0556"/>
    <w:rsid w:val="008A1ED6"/>
    <w:rsid w:val="008A788C"/>
    <w:rsid w:val="008A7B7D"/>
    <w:rsid w:val="008B6FB9"/>
    <w:rsid w:val="008B7AFF"/>
    <w:rsid w:val="008C2F7F"/>
    <w:rsid w:val="008D1DC2"/>
    <w:rsid w:val="008D68AC"/>
    <w:rsid w:val="008D6D8B"/>
    <w:rsid w:val="008E6BC8"/>
    <w:rsid w:val="008F0ADA"/>
    <w:rsid w:val="008F3B76"/>
    <w:rsid w:val="008F7F66"/>
    <w:rsid w:val="00903F3E"/>
    <w:rsid w:val="0090494F"/>
    <w:rsid w:val="00910265"/>
    <w:rsid w:val="009102E6"/>
    <w:rsid w:val="00915C50"/>
    <w:rsid w:val="0092103F"/>
    <w:rsid w:val="009216A2"/>
    <w:rsid w:val="009252B0"/>
    <w:rsid w:val="00927C76"/>
    <w:rsid w:val="00927EBB"/>
    <w:rsid w:val="00931F3A"/>
    <w:rsid w:val="009346D3"/>
    <w:rsid w:val="009353F7"/>
    <w:rsid w:val="0093697F"/>
    <w:rsid w:val="00942BCE"/>
    <w:rsid w:val="0094314C"/>
    <w:rsid w:val="0094408B"/>
    <w:rsid w:val="009446BE"/>
    <w:rsid w:val="00952034"/>
    <w:rsid w:val="00953AFE"/>
    <w:rsid w:val="0096107D"/>
    <w:rsid w:val="009618FB"/>
    <w:rsid w:val="00962CC9"/>
    <w:rsid w:val="00974850"/>
    <w:rsid w:val="00975AD8"/>
    <w:rsid w:val="00975FFE"/>
    <w:rsid w:val="00982A90"/>
    <w:rsid w:val="00983A78"/>
    <w:rsid w:val="00983F79"/>
    <w:rsid w:val="00985C6D"/>
    <w:rsid w:val="00992972"/>
    <w:rsid w:val="00993821"/>
    <w:rsid w:val="00996061"/>
    <w:rsid w:val="0099609C"/>
    <w:rsid w:val="009978B8"/>
    <w:rsid w:val="009A786A"/>
    <w:rsid w:val="009B63B4"/>
    <w:rsid w:val="009C1B95"/>
    <w:rsid w:val="009C2B8D"/>
    <w:rsid w:val="009C4EAE"/>
    <w:rsid w:val="009C5C36"/>
    <w:rsid w:val="009D03E3"/>
    <w:rsid w:val="009D27C9"/>
    <w:rsid w:val="009D700F"/>
    <w:rsid w:val="009E1B48"/>
    <w:rsid w:val="009E2B40"/>
    <w:rsid w:val="009E496C"/>
    <w:rsid w:val="009E4A24"/>
    <w:rsid w:val="009F3FFE"/>
    <w:rsid w:val="009F537C"/>
    <w:rsid w:val="00A0780A"/>
    <w:rsid w:val="00A12DAC"/>
    <w:rsid w:val="00A151E2"/>
    <w:rsid w:val="00A1607B"/>
    <w:rsid w:val="00A1695A"/>
    <w:rsid w:val="00A16F8F"/>
    <w:rsid w:val="00A25CC7"/>
    <w:rsid w:val="00A25E33"/>
    <w:rsid w:val="00A26099"/>
    <w:rsid w:val="00A27988"/>
    <w:rsid w:val="00A3093A"/>
    <w:rsid w:val="00A32060"/>
    <w:rsid w:val="00A326CF"/>
    <w:rsid w:val="00A331E1"/>
    <w:rsid w:val="00A3441E"/>
    <w:rsid w:val="00A500B7"/>
    <w:rsid w:val="00A54917"/>
    <w:rsid w:val="00A603E1"/>
    <w:rsid w:val="00A7154A"/>
    <w:rsid w:val="00A73969"/>
    <w:rsid w:val="00A86C0A"/>
    <w:rsid w:val="00A90790"/>
    <w:rsid w:val="00AA38BD"/>
    <w:rsid w:val="00AA4656"/>
    <w:rsid w:val="00AA73AB"/>
    <w:rsid w:val="00AC34FA"/>
    <w:rsid w:val="00AC5A5D"/>
    <w:rsid w:val="00AC60CD"/>
    <w:rsid w:val="00AC7C78"/>
    <w:rsid w:val="00AD1222"/>
    <w:rsid w:val="00AD2C9D"/>
    <w:rsid w:val="00AD47F1"/>
    <w:rsid w:val="00AD7420"/>
    <w:rsid w:val="00AE1981"/>
    <w:rsid w:val="00AE6167"/>
    <w:rsid w:val="00AE6548"/>
    <w:rsid w:val="00AE7E8A"/>
    <w:rsid w:val="00AF2AAF"/>
    <w:rsid w:val="00B00074"/>
    <w:rsid w:val="00B00BBB"/>
    <w:rsid w:val="00B06AE4"/>
    <w:rsid w:val="00B15999"/>
    <w:rsid w:val="00B15CC3"/>
    <w:rsid w:val="00B20BC7"/>
    <w:rsid w:val="00B22E5C"/>
    <w:rsid w:val="00B266AA"/>
    <w:rsid w:val="00B27730"/>
    <w:rsid w:val="00B32181"/>
    <w:rsid w:val="00B34144"/>
    <w:rsid w:val="00B3557E"/>
    <w:rsid w:val="00B359B2"/>
    <w:rsid w:val="00B36D8D"/>
    <w:rsid w:val="00B37140"/>
    <w:rsid w:val="00B40C57"/>
    <w:rsid w:val="00B43FAB"/>
    <w:rsid w:val="00B4630E"/>
    <w:rsid w:val="00B4791D"/>
    <w:rsid w:val="00B50098"/>
    <w:rsid w:val="00B50F0A"/>
    <w:rsid w:val="00B51274"/>
    <w:rsid w:val="00B51EEC"/>
    <w:rsid w:val="00B53B65"/>
    <w:rsid w:val="00B54092"/>
    <w:rsid w:val="00B56106"/>
    <w:rsid w:val="00B66435"/>
    <w:rsid w:val="00B667AF"/>
    <w:rsid w:val="00B778D5"/>
    <w:rsid w:val="00B80C60"/>
    <w:rsid w:val="00B84954"/>
    <w:rsid w:val="00B86CF6"/>
    <w:rsid w:val="00B87B91"/>
    <w:rsid w:val="00B9150F"/>
    <w:rsid w:val="00BA20AD"/>
    <w:rsid w:val="00BA299D"/>
    <w:rsid w:val="00BA3D0E"/>
    <w:rsid w:val="00BA7FAF"/>
    <w:rsid w:val="00BB3860"/>
    <w:rsid w:val="00BC15CD"/>
    <w:rsid w:val="00BC2AC1"/>
    <w:rsid w:val="00BC45E5"/>
    <w:rsid w:val="00BC6016"/>
    <w:rsid w:val="00BC7C14"/>
    <w:rsid w:val="00BD4C91"/>
    <w:rsid w:val="00BE2B31"/>
    <w:rsid w:val="00BF7761"/>
    <w:rsid w:val="00C01562"/>
    <w:rsid w:val="00C05B3F"/>
    <w:rsid w:val="00C062F4"/>
    <w:rsid w:val="00C13753"/>
    <w:rsid w:val="00C1518A"/>
    <w:rsid w:val="00C15381"/>
    <w:rsid w:val="00C15386"/>
    <w:rsid w:val="00C15D5A"/>
    <w:rsid w:val="00C2155F"/>
    <w:rsid w:val="00C23B5C"/>
    <w:rsid w:val="00C26ADA"/>
    <w:rsid w:val="00C31193"/>
    <w:rsid w:val="00C33D9D"/>
    <w:rsid w:val="00C36819"/>
    <w:rsid w:val="00C40B3A"/>
    <w:rsid w:val="00C44294"/>
    <w:rsid w:val="00C469C5"/>
    <w:rsid w:val="00C46B8D"/>
    <w:rsid w:val="00C51B64"/>
    <w:rsid w:val="00C51CED"/>
    <w:rsid w:val="00C56E2C"/>
    <w:rsid w:val="00C60F9A"/>
    <w:rsid w:val="00C61ACB"/>
    <w:rsid w:val="00C6727F"/>
    <w:rsid w:val="00C7244B"/>
    <w:rsid w:val="00C80768"/>
    <w:rsid w:val="00C84265"/>
    <w:rsid w:val="00C84491"/>
    <w:rsid w:val="00C8650E"/>
    <w:rsid w:val="00C944D5"/>
    <w:rsid w:val="00C95343"/>
    <w:rsid w:val="00C961F9"/>
    <w:rsid w:val="00C97A55"/>
    <w:rsid w:val="00CA4259"/>
    <w:rsid w:val="00CA62C1"/>
    <w:rsid w:val="00CA7D8D"/>
    <w:rsid w:val="00CB232A"/>
    <w:rsid w:val="00CB244F"/>
    <w:rsid w:val="00CB3643"/>
    <w:rsid w:val="00CB3A48"/>
    <w:rsid w:val="00CB3D05"/>
    <w:rsid w:val="00CB691F"/>
    <w:rsid w:val="00CB7B76"/>
    <w:rsid w:val="00CC29F6"/>
    <w:rsid w:val="00CC52CD"/>
    <w:rsid w:val="00CD581C"/>
    <w:rsid w:val="00CD611C"/>
    <w:rsid w:val="00CD6141"/>
    <w:rsid w:val="00CD6957"/>
    <w:rsid w:val="00CE61B9"/>
    <w:rsid w:val="00CF10E4"/>
    <w:rsid w:val="00CF4D3E"/>
    <w:rsid w:val="00CF687C"/>
    <w:rsid w:val="00D0406F"/>
    <w:rsid w:val="00D0483D"/>
    <w:rsid w:val="00D056A0"/>
    <w:rsid w:val="00D06B54"/>
    <w:rsid w:val="00D07764"/>
    <w:rsid w:val="00D136F3"/>
    <w:rsid w:val="00D161F7"/>
    <w:rsid w:val="00D20208"/>
    <w:rsid w:val="00D261E5"/>
    <w:rsid w:val="00D266BF"/>
    <w:rsid w:val="00D2695B"/>
    <w:rsid w:val="00D310F1"/>
    <w:rsid w:val="00D324D3"/>
    <w:rsid w:val="00D32DE3"/>
    <w:rsid w:val="00D36AD1"/>
    <w:rsid w:val="00D402F7"/>
    <w:rsid w:val="00D40CB8"/>
    <w:rsid w:val="00D431C5"/>
    <w:rsid w:val="00D5094D"/>
    <w:rsid w:val="00D51E1D"/>
    <w:rsid w:val="00D52B4B"/>
    <w:rsid w:val="00D54791"/>
    <w:rsid w:val="00D56C6C"/>
    <w:rsid w:val="00D57418"/>
    <w:rsid w:val="00D60C87"/>
    <w:rsid w:val="00D61333"/>
    <w:rsid w:val="00D656DD"/>
    <w:rsid w:val="00D74166"/>
    <w:rsid w:val="00D751D7"/>
    <w:rsid w:val="00D75563"/>
    <w:rsid w:val="00D76A74"/>
    <w:rsid w:val="00D82B23"/>
    <w:rsid w:val="00D84076"/>
    <w:rsid w:val="00D9200C"/>
    <w:rsid w:val="00D95BF4"/>
    <w:rsid w:val="00D96DE3"/>
    <w:rsid w:val="00D96FDA"/>
    <w:rsid w:val="00DA00CF"/>
    <w:rsid w:val="00DA0DD4"/>
    <w:rsid w:val="00DA0E05"/>
    <w:rsid w:val="00DA4B47"/>
    <w:rsid w:val="00DB10FD"/>
    <w:rsid w:val="00DB3892"/>
    <w:rsid w:val="00DB4091"/>
    <w:rsid w:val="00DC3DAD"/>
    <w:rsid w:val="00DC561B"/>
    <w:rsid w:val="00DC7277"/>
    <w:rsid w:val="00DD37AE"/>
    <w:rsid w:val="00DE131C"/>
    <w:rsid w:val="00DE3726"/>
    <w:rsid w:val="00DE49A3"/>
    <w:rsid w:val="00DE6775"/>
    <w:rsid w:val="00DF0496"/>
    <w:rsid w:val="00DF482A"/>
    <w:rsid w:val="00E02B92"/>
    <w:rsid w:val="00E05A38"/>
    <w:rsid w:val="00E10EBB"/>
    <w:rsid w:val="00E151B5"/>
    <w:rsid w:val="00E200DF"/>
    <w:rsid w:val="00E2033A"/>
    <w:rsid w:val="00E2148D"/>
    <w:rsid w:val="00E216F9"/>
    <w:rsid w:val="00E2192D"/>
    <w:rsid w:val="00E21D87"/>
    <w:rsid w:val="00E34187"/>
    <w:rsid w:val="00E43913"/>
    <w:rsid w:val="00E45179"/>
    <w:rsid w:val="00E47D4C"/>
    <w:rsid w:val="00E51682"/>
    <w:rsid w:val="00E52A6F"/>
    <w:rsid w:val="00E54F63"/>
    <w:rsid w:val="00E56E8C"/>
    <w:rsid w:val="00E62C0D"/>
    <w:rsid w:val="00E6611F"/>
    <w:rsid w:val="00E701C0"/>
    <w:rsid w:val="00E70940"/>
    <w:rsid w:val="00E719D1"/>
    <w:rsid w:val="00E71C1D"/>
    <w:rsid w:val="00E76CB4"/>
    <w:rsid w:val="00E77203"/>
    <w:rsid w:val="00E808A5"/>
    <w:rsid w:val="00E83ACA"/>
    <w:rsid w:val="00E83E6C"/>
    <w:rsid w:val="00E85272"/>
    <w:rsid w:val="00E85817"/>
    <w:rsid w:val="00E86148"/>
    <w:rsid w:val="00E91A06"/>
    <w:rsid w:val="00E92ABD"/>
    <w:rsid w:val="00E931F1"/>
    <w:rsid w:val="00E94542"/>
    <w:rsid w:val="00E963C4"/>
    <w:rsid w:val="00EA13A7"/>
    <w:rsid w:val="00EA2FC1"/>
    <w:rsid w:val="00EA67E1"/>
    <w:rsid w:val="00EA718D"/>
    <w:rsid w:val="00EA7B0B"/>
    <w:rsid w:val="00EB5030"/>
    <w:rsid w:val="00EB7D62"/>
    <w:rsid w:val="00EC2958"/>
    <w:rsid w:val="00EC3234"/>
    <w:rsid w:val="00EC51E3"/>
    <w:rsid w:val="00EC596C"/>
    <w:rsid w:val="00EE1410"/>
    <w:rsid w:val="00EE2254"/>
    <w:rsid w:val="00EE2A6A"/>
    <w:rsid w:val="00EE4210"/>
    <w:rsid w:val="00EE5B83"/>
    <w:rsid w:val="00EE7FAE"/>
    <w:rsid w:val="00EF4598"/>
    <w:rsid w:val="00EF6F8A"/>
    <w:rsid w:val="00F03070"/>
    <w:rsid w:val="00F040B4"/>
    <w:rsid w:val="00F0607D"/>
    <w:rsid w:val="00F07D04"/>
    <w:rsid w:val="00F14903"/>
    <w:rsid w:val="00F20284"/>
    <w:rsid w:val="00F24BB1"/>
    <w:rsid w:val="00F2579F"/>
    <w:rsid w:val="00F265BA"/>
    <w:rsid w:val="00F32C62"/>
    <w:rsid w:val="00F34FDA"/>
    <w:rsid w:val="00F4075B"/>
    <w:rsid w:val="00F409EC"/>
    <w:rsid w:val="00F44B1B"/>
    <w:rsid w:val="00F51D59"/>
    <w:rsid w:val="00F5219E"/>
    <w:rsid w:val="00F5337B"/>
    <w:rsid w:val="00F55526"/>
    <w:rsid w:val="00F63557"/>
    <w:rsid w:val="00F63AB1"/>
    <w:rsid w:val="00F728C0"/>
    <w:rsid w:val="00F871A3"/>
    <w:rsid w:val="00F91256"/>
    <w:rsid w:val="00F9312B"/>
    <w:rsid w:val="00F94DFA"/>
    <w:rsid w:val="00F94FF6"/>
    <w:rsid w:val="00F97169"/>
    <w:rsid w:val="00FA0EFA"/>
    <w:rsid w:val="00FA0F2D"/>
    <w:rsid w:val="00FA1B61"/>
    <w:rsid w:val="00FA3921"/>
    <w:rsid w:val="00FA6139"/>
    <w:rsid w:val="00FB02AF"/>
    <w:rsid w:val="00FB0CFD"/>
    <w:rsid w:val="00FB35C4"/>
    <w:rsid w:val="00FB3F47"/>
    <w:rsid w:val="00FB46D6"/>
    <w:rsid w:val="00FB482A"/>
    <w:rsid w:val="00FB5FF8"/>
    <w:rsid w:val="00FB64D7"/>
    <w:rsid w:val="00FB69AA"/>
    <w:rsid w:val="00FC16B3"/>
    <w:rsid w:val="00FD0C23"/>
    <w:rsid w:val="00FD36E7"/>
    <w:rsid w:val="00FD49B5"/>
    <w:rsid w:val="00FE172D"/>
    <w:rsid w:val="00FE33AF"/>
    <w:rsid w:val="00FE4EDA"/>
    <w:rsid w:val="00FE5AD8"/>
    <w:rsid w:val="00FF32DF"/>
    <w:rsid w:val="00FF347E"/>
    <w:rsid w:val="00FF5C16"/>
    <w:rsid w:val="00FF6F8F"/>
    <w:rsid w:val="00FF7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BF447"/>
  <w15:chartTrackingRefBased/>
  <w15:docId w15:val="{24087206-DBAE-4C9B-A4D7-3F342828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21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05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5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53DA0"/>
    <w:pPr>
      <w:ind w:left="720"/>
      <w:contextualSpacing/>
    </w:pPr>
  </w:style>
  <w:style w:type="character" w:customStyle="1" w:styleId="messagehtml-01">
    <w:name w:val="messagehtml-01"/>
    <w:rsid w:val="00FD36E7"/>
    <w:rPr>
      <w:rFonts w:ascii="Arial" w:hAnsi="Arial" w:cs="Arial" w:hint="default"/>
      <w:b w:val="0"/>
      <w:bCs w:val="0"/>
      <w:sz w:val="18"/>
      <w:szCs w:val="18"/>
    </w:rPr>
  </w:style>
  <w:style w:type="table" w:styleId="TableGrid">
    <w:name w:val="Table Grid"/>
    <w:basedOn w:val="TableNormal"/>
    <w:uiPriority w:val="39"/>
    <w:rsid w:val="00D5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6CB4"/>
    <w:rPr>
      <w:sz w:val="16"/>
      <w:szCs w:val="16"/>
    </w:rPr>
  </w:style>
  <w:style w:type="paragraph" w:styleId="CommentText">
    <w:name w:val="annotation text"/>
    <w:basedOn w:val="Normal"/>
    <w:link w:val="CommentTextChar"/>
    <w:uiPriority w:val="99"/>
    <w:semiHidden/>
    <w:unhideWhenUsed/>
    <w:rsid w:val="00E76CB4"/>
    <w:pPr>
      <w:spacing w:line="240" w:lineRule="auto"/>
    </w:pPr>
    <w:rPr>
      <w:sz w:val="20"/>
      <w:szCs w:val="20"/>
    </w:rPr>
  </w:style>
  <w:style w:type="character" w:customStyle="1" w:styleId="CommentTextChar">
    <w:name w:val="Comment Text Char"/>
    <w:basedOn w:val="DefaultParagraphFont"/>
    <w:link w:val="CommentText"/>
    <w:uiPriority w:val="99"/>
    <w:semiHidden/>
    <w:rsid w:val="00E76CB4"/>
    <w:rPr>
      <w:sz w:val="20"/>
      <w:szCs w:val="20"/>
    </w:rPr>
  </w:style>
  <w:style w:type="paragraph" w:styleId="CommentSubject">
    <w:name w:val="annotation subject"/>
    <w:basedOn w:val="CommentText"/>
    <w:next w:val="CommentText"/>
    <w:link w:val="CommentSubjectChar"/>
    <w:uiPriority w:val="99"/>
    <w:semiHidden/>
    <w:unhideWhenUsed/>
    <w:rsid w:val="00E76CB4"/>
    <w:rPr>
      <w:b/>
      <w:bCs/>
    </w:rPr>
  </w:style>
  <w:style w:type="character" w:customStyle="1" w:styleId="CommentSubjectChar">
    <w:name w:val="Comment Subject Char"/>
    <w:basedOn w:val="CommentTextChar"/>
    <w:link w:val="CommentSubject"/>
    <w:uiPriority w:val="99"/>
    <w:semiHidden/>
    <w:rsid w:val="00E76CB4"/>
    <w:rPr>
      <w:b/>
      <w:bCs/>
      <w:sz w:val="20"/>
      <w:szCs w:val="20"/>
    </w:rPr>
  </w:style>
  <w:style w:type="paragraph" w:styleId="BalloonText">
    <w:name w:val="Balloon Text"/>
    <w:basedOn w:val="Normal"/>
    <w:link w:val="BalloonTextChar"/>
    <w:uiPriority w:val="99"/>
    <w:semiHidden/>
    <w:unhideWhenUsed/>
    <w:rsid w:val="00E76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CB4"/>
    <w:rPr>
      <w:rFonts w:ascii="Segoe UI" w:hAnsi="Segoe UI" w:cs="Segoe UI"/>
      <w:sz w:val="18"/>
      <w:szCs w:val="18"/>
    </w:rPr>
  </w:style>
  <w:style w:type="character" w:styleId="Hyperlink">
    <w:name w:val="Hyperlink"/>
    <w:basedOn w:val="DefaultParagraphFont"/>
    <w:uiPriority w:val="99"/>
    <w:unhideWhenUsed/>
    <w:rsid w:val="004A7D32"/>
    <w:rPr>
      <w:color w:val="0563C1" w:themeColor="hyperlink"/>
      <w:u w:val="single"/>
    </w:rPr>
  </w:style>
  <w:style w:type="character" w:customStyle="1" w:styleId="Heading1Char">
    <w:name w:val="Heading 1 Char"/>
    <w:basedOn w:val="DefaultParagraphFont"/>
    <w:link w:val="Heading1"/>
    <w:uiPriority w:val="9"/>
    <w:rsid w:val="00F521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1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21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55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43FAB"/>
    <w:rPr>
      <w:color w:val="954F72" w:themeColor="followedHyperlink"/>
      <w:u w:val="single"/>
    </w:rPr>
  </w:style>
  <w:style w:type="paragraph" w:styleId="Header">
    <w:name w:val="header"/>
    <w:basedOn w:val="Normal"/>
    <w:link w:val="HeaderChar"/>
    <w:uiPriority w:val="99"/>
    <w:unhideWhenUsed/>
    <w:rsid w:val="008A7B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7B7D"/>
  </w:style>
  <w:style w:type="paragraph" w:styleId="Footer">
    <w:name w:val="footer"/>
    <w:basedOn w:val="Normal"/>
    <w:link w:val="FooterChar"/>
    <w:uiPriority w:val="99"/>
    <w:unhideWhenUsed/>
    <w:rsid w:val="008A7B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7B7D"/>
  </w:style>
  <w:style w:type="paragraph" w:styleId="FootnoteText">
    <w:name w:val="footnote text"/>
    <w:basedOn w:val="Normal"/>
    <w:link w:val="FootnoteTextChar"/>
    <w:uiPriority w:val="99"/>
    <w:semiHidden/>
    <w:unhideWhenUsed/>
    <w:rsid w:val="00385B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5B19"/>
    <w:rPr>
      <w:sz w:val="20"/>
      <w:szCs w:val="20"/>
    </w:rPr>
  </w:style>
  <w:style w:type="character" w:styleId="FootnoteReference">
    <w:name w:val="footnote reference"/>
    <w:basedOn w:val="DefaultParagraphFont"/>
    <w:uiPriority w:val="99"/>
    <w:semiHidden/>
    <w:unhideWhenUsed/>
    <w:rsid w:val="00385B19"/>
    <w:rPr>
      <w:vertAlign w:val="superscript"/>
    </w:rPr>
  </w:style>
  <w:style w:type="paragraph" w:styleId="Caption">
    <w:name w:val="caption"/>
    <w:basedOn w:val="Normal"/>
    <w:next w:val="Normal"/>
    <w:uiPriority w:val="35"/>
    <w:unhideWhenUsed/>
    <w:qFormat/>
    <w:rsid w:val="005534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3654">
      <w:bodyDiv w:val="1"/>
      <w:marLeft w:val="0"/>
      <w:marRight w:val="0"/>
      <w:marTop w:val="0"/>
      <w:marBottom w:val="0"/>
      <w:divBdr>
        <w:top w:val="none" w:sz="0" w:space="0" w:color="auto"/>
        <w:left w:val="none" w:sz="0" w:space="0" w:color="auto"/>
        <w:bottom w:val="none" w:sz="0" w:space="0" w:color="auto"/>
        <w:right w:val="none" w:sz="0" w:space="0" w:color="auto"/>
      </w:divBdr>
    </w:div>
    <w:div w:id="106390248">
      <w:bodyDiv w:val="1"/>
      <w:marLeft w:val="0"/>
      <w:marRight w:val="0"/>
      <w:marTop w:val="0"/>
      <w:marBottom w:val="0"/>
      <w:divBdr>
        <w:top w:val="none" w:sz="0" w:space="0" w:color="auto"/>
        <w:left w:val="none" w:sz="0" w:space="0" w:color="auto"/>
        <w:bottom w:val="none" w:sz="0" w:space="0" w:color="auto"/>
        <w:right w:val="none" w:sz="0" w:space="0" w:color="auto"/>
      </w:divBdr>
    </w:div>
    <w:div w:id="182788045">
      <w:bodyDiv w:val="1"/>
      <w:marLeft w:val="0"/>
      <w:marRight w:val="0"/>
      <w:marTop w:val="0"/>
      <w:marBottom w:val="0"/>
      <w:divBdr>
        <w:top w:val="none" w:sz="0" w:space="0" w:color="auto"/>
        <w:left w:val="none" w:sz="0" w:space="0" w:color="auto"/>
        <w:bottom w:val="none" w:sz="0" w:space="0" w:color="auto"/>
        <w:right w:val="none" w:sz="0" w:space="0" w:color="auto"/>
      </w:divBdr>
    </w:div>
    <w:div w:id="195001173">
      <w:bodyDiv w:val="1"/>
      <w:marLeft w:val="0"/>
      <w:marRight w:val="0"/>
      <w:marTop w:val="0"/>
      <w:marBottom w:val="0"/>
      <w:divBdr>
        <w:top w:val="none" w:sz="0" w:space="0" w:color="auto"/>
        <w:left w:val="none" w:sz="0" w:space="0" w:color="auto"/>
        <w:bottom w:val="none" w:sz="0" w:space="0" w:color="auto"/>
        <w:right w:val="none" w:sz="0" w:space="0" w:color="auto"/>
      </w:divBdr>
    </w:div>
    <w:div w:id="290941340">
      <w:bodyDiv w:val="1"/>
      <w:marLeft w:val="0"/>
      <w:marRight w:val="0"/>
      <w:marTop w:val="0"/>
      <w:marBottom w:val="0"/>
      <w:divBdr>
        <w:top w:val="none" w:sz="0" w:space="0" w:color="auto"/>
        <w:left w:val="none" w:sz="0" w:space="0" w:color="auto"/>
        <w:bottom w:val="none" w:sz="0" w:space="0" w:color="auto"/>
        <w:right w:val="none" w:sz="0" w:space="0" w:color="auto"/>
      </w:divBdr>
    </w:div>
    <w:div w:id="316305681">
      <w:bodyDiv w:val="1"/>
      <w:marLeft w:val="0"/>
      <w:marRight w:val="0"/>
      <w:marTop w:val="0"/>
      <w:marBottom w:val="0"/>
      <w:divBdr>
        <w:top w:val="none" w:sz="0" w:space="0" w:color="auto"/>
        <w:left w:val="none" w:sz="0" w:space="0" w:color="auto"/>
        <w:bottom w:val="none" w:sz="0" w:space="0" w:color="auto"/>
        <w:right w:val="none" w:sz="0" w:space="0" w:color="auto"/>
      </w:divBdr>
    </w:div>
    <w:div w:id="413209256">
      <w:bodyDiv w:val="1"/>
      <w:marLeft w:val="0"/>
      <w:marRight w:val="0"/>
      <w:marTop w:val="0"/>
      <w:marBottom w:val="0"/>
      <w:divBdr>
        <w:top w:val="none" w:sz="0" w:space="0" w:color="auto"/>
        <w:left w:val="none" w:sz="0" w:space="0" w:color="auto"/>
        <w:bottom w:val="none" w:sz="0" w:space="0" w:color="auto"/>
        <w:right w:val="none" w:sz="0" w:space="0" w:color="auto"/>
      </w:divBdr>
    </w:div>
    <w:div w:id="503978501">
      <w:bodyDiv w:val="1"/>
      <w:marLeft w:val="0"/>
      <w:marRight w:val="0"/>
      <w:marTop w:val="0"/>
      <w:marBottom w:val="0"/>
      <w:divBdr>
        <w:top w:val="none" w:sz="0" w:space="0" w:color="auto"/>
        <w:left w:val="none" w:sz="0" w:space="0" w:color="auto"/>
        <w:bottom w:val="none" w:sz="0" w:space="0" w:color="auto"/>
        <w:right w:val="none" w:sz="0" w:space="0" w:color="auto"/>
      </w:divBdr>
    </w:div>
    <w:div w:id="562570061">
      <w:bodyDiv w:val="1"/>
      <w:marLeft w:val="0"/>
      <w:marRight w:val="0"/>
      <w:marTop w:val="0"/>
      <w:marBottom w:val="0"/>
      <w:divBdr>
        <w:top w:val="none" w:sz="0" w:space="0" w:color="auto"/>
        <w:left w:val="none" w:sz="0" w:space="0" w:color="auto"/>
        <w:bottom w:val="none" w:sz="0" w:space="0" w:color="auto"/>
        <w:right w:val="none" w:sz="0" w:space="0" w:color="auto"/>
      </w:divBdr>
    </w:div>
    <w:div w:id="563637300">
      <w:bodyDiv w:val="1"/>
      <w:marLeft w:val="0"/>
      <w:marRight w:val="0"/>
      <w:marTop w:val="0"/>
      <w:marBottom w:val="0"/>
      <w:divBdr>
        <w:top w:val="none" w:sz="0" w:space="0" w:color="auto"/>
        <w:left w:val="none" w:sz="0" w:space="0" w:color="auto"/>
        <w:bottom w:val="none" w:sz="0" w:space="0" w:color="auto"/>
        <w:right w:val="none" w:sz="0" w:space="0" w:color="auto"/>
      </w:divBdr>
    </w:div>
    <w:div w:id="573711180">
      <w:bodyDiv w:val="1"/>
      <w:marLeft w:val="0"/>
      <w:marRight w:val="0"/>
      <w:marTop w:val="0"/>
      <w:marBottom w:val="0"/>
      <w:divBdr>
        <w:top w:val="none" w:sz="0" w:space="0" w:color="auto"/>
        <w:left w:val="none" w:sz="0" w:space="0" w:color="auto"/>
        <w:bottom w:val="none" w:sz="0" w:space="0" w:color="auto"/>
        <w:right w:val="none" w:sz="0" w:space="0" w:color="auto"/>
      </w:divBdr>
    </w:div>
    <w:div w:id="621426298">
      <w:bodyDiv w:val="1"/>
      <w:marLeft w:val="0"/>
      <w:marRight w:val="0"/>
      <w:marTop w:val="0"/>
      <w:marBottom w:val="0"/>
      <w:divBdr>
        <w:top w:val="none" w:sz="0" w:space="0" w:color="auto"/>
        <w:left w:val="none" w:sz="0" w:space="0" w:color="auto"/>
        <w:bottom w:val="none" w:sz="0" w:space="0" w:color="auto"/>
        <w:right w:val="none" w:sz="0" w:space="0" w:color="auto"/>
      </w:divBdr>
    </w:div>
    <w:div w:id="656343413">
      <w:bodyDiv w:val="1"/>
      <w:marLeft w:val="0"/>
      <w:marRight w:val="0"/>
      <w:marTop w:val="0"/>
      <w:marBottom w:val="0"/>
      <w:divBdr>
        <w:top w:val="none" w:sz="0" w:space="0" w:color="auto"/>
        <w:left w:val="none" w:sz="0" w:space="0" w:color="auto"/>
        <w:bottom w:val="none" w:sz="0" w:space="0" w:color="auto"/>
        <w:right w:val="none" w:sz="0" w:space="0" w:color="auto"/>
      </w:divBdr>
    </w:div>
    <w:div w:id="675502827">
      <w:bodyDiv w:val="1"/>
      <w:marLeft w:val="0"/>
      <w:marRight w:val="0"/>
      <w:marTop w:val="0"/>
      <w:marBottom w:val="0"/>
      <w:divBdr>
        <w:top w:val="none" w:sz="0" w:space="0" w:color="auto"/>
        <w:left w:val="none" w:sz="0" w:space="0" w:color="auto"/>
        <w:bottom w:val="none" w:sz="0" w:space="0" w:color="auto"/>
        <w:right w:val="none" w:sz="0" w:space="0" w:color="auto"/>
      </w:divBdr>
    </w:div>
    <w:div w:id="675839375">
      <w:bodyDiv w:val="1"/>
      <w:marLeft w:val="0"/>
      <w:marRight w:val="0"/>
      <w:marTop w:val="0"/>
      <w:marBottom w:val="0"/>
      <w:divBdr>
        <w:top w:val="none" w:sz="0" w:space="0" w:color="auto"/>
        <w:left w:val="none" w:sz="0" w:space="0" w:color="auto"/>
        <w:bottom w:val="none" w:sz="0" w:space="0" w:color="auto"/>
        <w:right w:val="none" w:sz="0" w:space="0" w:color="auto"/>
      </w:divBdr>
    </w:div>
    <w:div w:id="699622382">
      <w:bodyDiv w:val="1"/>
      <w:marLeft w:val="0"/>
      <w:marRight w:val="0"/>
      <w:marTop w:val="0"/>
      <w:marBottom w:val="0"/>
      <w:divBdr>
        <w:top w:val="none" w:sz="0" w:space="0" w:color="auto"/>
        <w:left w:val="none" w:sz="0" w:space="0" w:color="auto"/>
        <w:bottom w:val="none" w:sz="0" w:space="0" w:color="auto"/>
        <w:right w:val="none" w:sz="0" w:space="0" w:color="auto"/>
      </w:divBdr>
    </w:div>
    <w:div w:id="793522707">
      <w:bodyDiv w:val="1"/>
      <w:marLeft w:val="0"/>
      <w:marRight w:val="0"/>
      <w:marTop w:val="0"/>
      <w:marBottom w:val="0"/>
      <w:divBdr>
        <w:top w:val="none" w:sz="0" w:space="0" w:color="auto"/>
        <w:left w:val="none" w:sz="0" w:space="0" w:color="auto"/>
        <w:bottom w:val="none" w:sz="0" w:space="0" w:color="auto"/>
        <w:right w:val="none" w:sz="0" w:space="0" w:color="auto"/>
      </w:divBdr>
    </w:div>
    <w:div w:id="920869355">
      <w:bodyDiv w:val="1"/>
      <w:marLeft w:val="0"/>
      <w:marRight w:val="0"/>
      <w:marTop w:val="0"/>
      <w:marBottom w:val="0"/>
      <w:divBdr>
        <w:top w:val="none" w:sz="0" w:space="0" w:color="auto"/>
        <w:left w:val="none" w:sz="0" w:space="0" w:color="auto"/>
        <w:bottom w:val="none" w:sz="0" w:space="0" w:color="auto"/>
        <w:right w:val="none" w:sz="0" w:space="0" w:color="auto"/>
      </w:divBdr>
    </w:div>
    <w:div w:id="984552645">
      <w:bodyDiv w:val="1"/>
      <w:marLeft w:val="0"/>
      <w:marRight w:val="0"/>
      <w:marTop w:val="0"/>
      <w:marBottom w:val="0"/>
      <w:divBdr>
        <w:top w:val="none" w:sz="0" w:space="0" w:color="auto"/>
        <w:left w:val="none" w:sz="0" w:space="0" w:color="auto"/>
        <w:bottom w:val="none" w:sz="0" w:space="0" w:color="auto"/>
        <w:right w:val="none" w:sz="0" w:space="0" w:color="auto"/>
      </w:divBdr>
    </w:div>
    <w:div w:id="1034962288">
      <w:bodyDiv w:val="1"/>
      <w:marLeft w:val="0"/>
      <w:marRight w:val="0"/>
      <w:marTop w:val="0"/>
      <w:marBottom w:val="0"/>
      <w:divBdr>
        <w:top w:val="none" w:sz="0" w:space="0" w:color="auto"/>
        <w:left w:val="none" w:sz="0" w:space="0" w:color="auto"/>
        <w:bottom w:val="none" w:sz="0" w:space="0" w:color="auto"/>
        <w:right w:val="none" w:sz="0" w:space="0" w:color="auto"/>
      </w:divBdr>
    </w:div>
    <w:div w:id="1047484085">
      <w:bodyDiv w:val="1"/>
      <w:marLeft w:val="0"/>
      <w:marRight w:val="0"/>
      <w:marTop w:val="0"/>
      <w:marBottom w:val="0"/>
      <w:divBdr>
        <w:top w:val="none" w:sz="0" w:space="0" w:color="auto"/>
        <w:left w:val="none" w:sz="0" w:space="0" w:color="auto"/>
        <w:bottom w:val="none" w:sz="0" w:space="0" w:color="auto"/>
        <w:right w:val="none" w:sz="0" w:space="0" w:color="auto"/>
      </w:divBdr>
    </w:div>
    <w:div w:id="1155955638">
      <w:bodyDiv w:val="1"/>
      <w:marLeft w:val="0"/>
      <w:marRight w:val="0"/>
      <w:marTop w:val="0"/>
      <w:marBottom w:val="0"/>
      <w:divBdr>
        <w:top w:val="none" w:sz="0" w:space="0" w:color="auto"/>
        <w:left w:val="none" w:sz="0" w:space="0" w:color="auto"/>
        <w:bottom w:val="none" w:sz="0" w:space="0" w:color="auto"/>
        <w:right w:val="none" w:sz="0" w:space="0" w:color="auto"/>
      </w:divBdr>
    </w:div>
    <w:div w:id="1171798496">
      <w:bodyDiv w:val="1"/>
      <w:marLeft w:val="0"/>
      <w:marRight w:val="0"/>
      <w:marTop w:val="0"/>
      <w:marBottom w:val="0"/>
      <w:divBdr>
        <w:top w:val="none" w:sz="0" w:space="0" w:color="auto"/>
        <w:left w:val="none" w:sz="0" w:space="0" w:color="auto"/>
        <w:bottom w:val="none" w:sz="0" w:space="0" w:color="auto"/>
        <w:right w:val="none" w:sz="0" w:space="0" w:color="auto"/>
      </w:divBdr>
    </w:div>
    <w:div w:id="1232305651">
      <w:bodyDiv w:val="1"/>
      <w:marLeft w:val="0"/>
      <w:marRight w:val="0"/>
      <w:marTop w:val="0"/>
      <w:marBottom w:val="0"/>
      <w:divBdr>
        <w:top w:val="none" w:sz="0" w:space="0" w:color="auto"/>
        <w:left w:val="none" w:sz="0" w:space="0" w:color="auto"/>
        <w:bottom w:val="none" w:sz="0" w:space="0" w:color="auto"/>
        <w:right w:val="none" w:sz="0" w:space="0" w:color="auto"/>
      </w:divBdr>
    </w:div>
    <w:div w:id="1394888216">
      <w:bodyDiv w:val="1"/>
      <w:marLeft w:val="0"/>
      <w:marRight w:val="0"/>
      <w:marTop w:val="0"/>
      <w:marBottom w:val="0"/>
      <w:divBdr>
        <w:top w:val="none" w:sz="0" w:space="0" w:color="auto"/>
        <w:left w:val="none" w:sz="0" w:space="0" w:color="auto"/>
        <w:bottom w:val="none" w:sz="0" w:space="0" w:color="auto"/>
        <w:right w:val="none" w:sz="0" w:space="0" w:color="auto"/>
      </w:divBdr>
    </w:div>
    <w:div w:id="1469010545">
      <w:bodyDiv w:val="1"/>
      <w:marLeft w:val="0"/>
      <w:marRight w:val="0"/>
      <w:marTop w:val="0"/>
      <w:marBottom w:val="0"/>
      <w:divBdr>
        <w:top w:val="none" w:sz="0" w:space="0" w:color="auto"/>
        <w:left w:val="none" w:sz="0" w:space="0" w:color="auto"/>
        <w:bottom w:val="none" w:sz="0" w:space="0" w:color="auto"/>
        <w:right w:val="none" w:sz="0" w:space="0" w:color="auto"/>
      </w:divBdr>
    </w:div>
    <w:div w:id="1668097463">
      <w:bodyDiv w:val="1"/>
      <w:marLeft w:val="0"/>
      <w:marRight w:val="0"/>
      <w:marTop w:val="0"/>
      <w:marBottom w:val="0"/>
      <w:divBdr>
        <w:top w:val="none" w:sz="0" w:space="0" w:color="auto"/>
        <w:left w:val="none" w:sz="0" w:space="0" w:color="auto"/>
        <w:bottom w:val="none" w:sz="0" w:space="0" w:color="auto"/>
        <w:right w:val="none" w:sz="0" w:space="0" w:color="auto"/>
      </w:divBdr>
    </w:div>
    <w:div w:id="1724478164">
      <w:bodyDiv w:val="1"/>
      <w:marLeft w:val="0"/>
      <w:marRight w:val="0"/>
      <w:marTop w:val="0"/>
      <w:marBottom w:val="0"/>
      <w:divBdr>
        <w:top w:val="none" w:sz="0" w:space="0" w:color="auto"/>
        <w:left w:val="none" w:sz="0" w:space="0" w:color="auto"/>
        <w:bottom w:val="none" w:sz="0" w:space="0" w:color="auto"/>
        <w:right w:val="none" w:sz="0" w:space="0" w:color="auto"/>
      </w:divBdr>
    </w:div>
    <w:div w:id="1754354265">
      <w:bodyDiv w:val="1"/>
      <w:marLeft w:val="0"/>
      <w:marRight w:val="0"/>
      <w:marTop w:val="0"/>
      <w:marBottom w:val="0"/>
      <w:divBdr>
        <w:top w:val="none" w:sz="0" w:space="0" w:color="auto"/>
        <w:left w:val="none" w:sz="0" w:space="0" w:color="auto"/>
        <w:bottom w:val="none" w:sz="0" w:space="0" w:color="auto"/>
        <w:right w:val="none" w:sz="0" w:space="0" w:color="auto"/>
      </w:divBdr>
    </w:div>
    <w:div w:id="1833251583">
      <w:bodyDiv w:val="1"/>
      <w:marLeft w:val="0"/>
      <w:marRight w:val="0"/>
      <w:marTop w:val="0"/>
      <w:marBottom w:val="0"/>
      <w:divBdr>
        <w:top w:val="none" w:sz="0" w:space="0" w:color="auto"/>
        <w:left w:val="none" w:sz="0" w:space="0" w:color="auto"/>
        <w:bottom w:val="none" w:sz="0" w:space="0" w:color="auto"/>
        <w:right w:val="none" w:sz="0" w:space="0" w:color="auto"/>
      </w:divBdr>
    </w:div>
    <w:div w:id="1893080997">
      <w:bodyDiv w:val="1"/>
      <w:marLeft w:val="0"/>
      <w:marRight w:val="0"/>
      <w:marTop w:val="0"/>
      <w:marBottom w:val="0"/>
      <w:divBdr>
        <w:top w:val="none" w:sz="0" w:space="0" w:color="auto"/>
        <w:left w:val="none" w:sz="0" w:space="0" w:color="auto"/>
        <w:bottom w:val="none" w:sz="0" w:space="0" w:color="auto"/>
        <w:right w:val="none" w:sz="0" w:space="0" w:color="auto"/>
      </w:divBdr>
    </w:div>
    <w:div w:id="1910455886">
      <w:bodyDiv w:val="1"/>
      <w:marLeft w:val="0"/>
      <w:marRight w:val="0"/>
      <w:marTop w:val="0"/>
      <w:marBottom w:val="0"/>
      <w:divBdr>
        <w:top w:val="none" w:sz="0" w:space="0" w:color="auto"/>
        <w:left w:val="none" w:sz="0" w:space="0" w:color="auto"/>
        <w:bottom w:val="none" w:sz="0" w:space="0" w:color="auto"/>
        <w:right w:val="none" w:sz="0" w:space="0" w:color="auto"/>
      </w:divBdr>
    </w:div>
    <w:div w:id="1986735353">
      <w:bodyDiv w:val="1"/>
      <w:marLeft w:val="0"/>
      <w:marRight w:val="0"/>
      <w:marTop w:val="0"/>
      <w:marBottom w:val="0"/>
      <w:divBdr>
        <w:top w:val="none" w:sz="0" w:space="0" w:color="auto"/>
        <w:left w:val="none" w:sz="0" w:space="0" w:color="auto"/>
        <w:bottom w:val="none" w:sz="0" w:space="0" w:color="auto"/>
        <w:right w:val="none" w:sz="0" w:space="0" w:color="auto"/>
      </w:divBdr>
    </w:div>
    <w:div w:id="212418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full/10.1080/1060586X.2014.931683" TargetMode="External"/><Relationship Id="rId5" Type="http://schemas.openxmlformats.org/officeDocument/2006/relationships/webSettings" Target="webSettings.xml"/><Relationship Id="rId10" Type="http://schemas.openxmlformats.org/officeDocument/2006/relationships/hyperlink" Target="https://www.v-dem.net/en/news-publications/democracy-report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289C9-43CC-40AC-ACDC-093E079F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60922</Words>
  <Characters>347257</Characters>
  <Application>Microsoft Office Word</Application>
  <DocSecurity>0</DocSecurity>
  <Lines>2893</Lines>
  <Paragraphs>814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49</cp:revision>
  <dcterms:created xsi:type="dcterms:W3CDTF">2019-03-01T10:08:00Z</dcterms:created>
  <dcterms:modified xsi:type="dcterms:W3CDTF">2019-04-01T13:33:00Z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http://www.zotero.org/styles/ecological-economics</vt:lpwstr>
  </property>
  <property fmtid="{D5CDD505-2E9C-101B-9397-08002B2CF9AE}" pid="7" name="Mendeley Recent Style Name 2_1">
    <vt:lpwstr>Ecological Economics</vt:lpwstr>
  </property>
  <property fmtid="{D5CDD505-2E9C-101B-9397-08002B2CF9AE}" pid="8" name="Mendeley Recent Style Id 3_1">
    <vt:lpwstr>http://www.zotero.org/styles/environmental-research-letters</vt:lpwstr>
  </property>
  <property fmtid="{D5CDD505-2E9C-101B-9397-08002B2CF9AE}" pid="9" name="Mendeley Recent Style Name 3_1">
    <vt:lpwstr>Environmental Research Letters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http://www.zotero.org/styles/journal-of-cleaner-production</vt:lpwstr>
  </property>
  <property fmtid="{D5CDD505-2E9C-101B-9397-08002B2CF9AE}" pid="13" name="Mendeley Recent Style Name 5_1">
    <vt:lpwstr>Journal of Cleaner Production</vt:lpwstr>
  </property>
  <property fmtid="{D5CDD505-2E9C-101B-9397-08002B2CF9AE}" pid="14" name="Mendeley Recent Style Id 6_1">
    <vt:lpwstr>http://www.zotero.org/styles/journal-of-climate</vt:lpwstr>
  </property>
  <property fmtid="{D5CDD505-2E9C-101B-9397-08002B2CF9AE}" pid="15" name="Mendeley Recent Style Name 6_1">
    <vt:lpwstr>Journal of Climate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http://www.zotero.org/styles/world-development</vt:lpwstr>
  </property>
</Properties>
</file>