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climate</w:t>
      </w:r>
      <w:r>
        <w:t xml:space="preserve"> </w:t>
      </w:r>
      <w:r>
        <w:t xml:space="preserve">policies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Heading2"/>
      </w:pPr>
      <w:bookmarkStart w:id="20" w:name="literature-and-methods"/>
      <w:r>
        <w:t xml:space="preserve">Literature and methods</w:t>
      </w:r>
      <w:bookmarkEnd w:id="20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_outcomes_of_climate_policies_files/figure-docx/literat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olicies-and-geographic-coverage"/>
      <w:r>
        <w:t xml:space="preserve">Policies and geographic coverage</w:t>
      </w:r>
      <w:bookmarkEnd w:id="22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_outcomes_of_climate_policies_files/figure-docx/polic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_outcomes_of_climate_policies_files/figure-docx/polic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_outcomes_of_climate_policies_files/figure-docx/polic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_outcomes_of_climate_policies_files/figure-docx/polic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outcomes of climate policies</dc:title>
  <dc:creator>William F. Lamb</dc:creator>
  <cp:keywords/>
  <dcterms:created xsi:type="dcterms:W3CDTF">2019-10-10T12:10:24Z</dcterms:created>
  <dcterms:modified xsi:type="dcterms:W3CDTF">2019-10-10T12:10:24Z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