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C25BD" w14:textId="77777777" w:rsidR="00A35747" w:rsidRPr="009D5D7E" w:rsidRDefault="00147CCA" w:rsidP="009D5D7E">
      <w:pPr>
        <w:pStyle w:val="Heading1"/>
        <w:jc w:val="center"/>
        <w:rPr>
          <w:sz w:val="28"/>
        </w:rPr>
      </w:pPr>
      <w:r w:rsidRPr="009D5D7E">
        <w:rPr>
          <w:sz w:val="28"/>
        </w:rPr>
        <w:t>The political economy of climate policy: a systematic map of the literature</w:t>
      </w:r>
    </w:p>
    <w:p w14:paraId="24408CDE" w14:textId="77777777" w:rsidR="00147CCA" w:rsidRDefault="00F90DF6" w:rsidP="009D5D7E">
      <w:pPr>
        <w:pStyle w:val="Heading2"/>
        <w:jc w:val="center"/>
      </w:pPr>
      <w:r>
        <w:t>Protocol for a review</w:t>
      </w:r>
    </w:p>
    <w:p w14:paraId="5B68E5E1" w14:textId="77777777" w:rsidR="00F90DF6" w:rsidRPr="00A00051" w:rsidRDefault="00F90DF6"/>
    <w:p w14:paraId="6247E2A5" w14:textId="39634643" w:rsidR="00147CCA" w:rsidRPr="00A00051" w:rsidRDefault="00147CCA">
      <w:r w:rsidRPr="00A00051">
        <w:t xml:space="preserve">William F. Lamb, </w:t>
      </w:r>
      <w:r w:rsidR="005358F0">
        <w:tab/>
      </w:r>
    </w:p>
    <w:p w14:paraId="7ACEC215" w14:textId="77777777" w:rsidR="00147CCA" w:rsidRPr="00A00051" w:rsidRDefault="00147CCA"/>
    <w:p w14:paraId="68F8A047" w14:textId="77777777" w:rsidR="00F50DDE" w:rsidRPr="00F50DDE" w:rsidRDefault="00F50DDE">
      <w:r w:rsidRPr="00F50DDE">
        <w:t xml:space="preserve">Other </w:t>
      </w:r>
      <w:r>
        <w:t xml:space="preserve">people: </w:t>
      </w:r>
      <w:r w:rsidR="009D5D7E">
        <w:t xml:space="preserve">Jan Steckel, </w:t>
      </w:r>
      <w:proofErr w:type="spellStart"/>
      <w:r w:rsidR="009D5D7E">
        <w:t>Navros</w:t>
      </w:r>
      <w:proofErr w:type="spellEnd"/>
      <w:r w:rsidR="009D5D7E">
        <w:t xml:space="preserve"> </w:t>
      </w:r>
      <w:proofErr w:type="spellStart"/>
      <w:r w:rsidR="009D5D7E">
        <w:t>Dubash</w:t>
      </w:r>
      <w:proofErr w:type="spellEnd"/>
      <w:r w:rsidR="009D5D7E">
        <w:t>,</w:t>
      </w:r>
      <w:r w:rsidR="006B1463">
        <w:t xml:space="preserve"> David Victor,</w:t>
      </w:r>
      <w:r w:rsidR="009D5D7E">
        <w:t xml:space="preserve"> Benjamin </w:t>
      </w:r>
      <w:proofErr w:type="spellStart"/>
      <w:r w:rsidR="009D5D7E">
        <w:t>Sovacool</w:t>
      </w:r>
      <w:proofErr w:type="spellEnd"/>
      <w:r w:rsidR="009D5D7E">
        <w:t xml:space="preserve">, </w:t>
      </w:r>
      <w:r w:rsidR="001E1297">
        <w:t xml:space="preserve">Frank Geels, </w:t>
      </w:r>
      <w:r>
        <w:t>Cameron Roberts</w:t>
      </w:r>
      <w:r w:rsidR="009D5D7E" w:rsidRPr="00F50DDE">
        <w:t xml:space="preserve"> </w:t>
      </w:r>
      <w:r w:rsidR="001E1297">
        <w:t>(?)</w:t>
      </w:r>
    </w:p>
    <w:p w14:paraId="2529BF5A" w14:textId="77777777" w:rsidR="00F50DDE" w:rsidRDefault="00F50DDE"/>
    <w:p w14:paraId="4D9EA754" w14:textId="77777777" w:rsidR="00832B4C" w:rsidRDefault="009424C8">
      <w:r w:rsidRPr="009424C8">
        <w:rPr>
          <w:b/>
        </w:rPr>
        <w:t>Abstract</w:t>
      </w:r>
    </w:p>
    <w:p w14:paraId="5A860DDE" w14:textId="41A02F60" w:rsidR="00722D8B" w:rsidRDefault="009424C8">
      <w:r>
        <w:t xml:space="preserve">Background. The implementation and ambition of climate policy </w:t>
      </w:r>
      <w:r w:rsidR="00757ACE">
        <w:t>depends</w:t>
      </w:r>
      <w:r>
        <w:t xml:space="preserve"> on a broad array of social, economic and political factors, collectively known as the ‘political economy’. </w:t>
      </w:r>
      <w:r w:rsidR="003F7F51">
        <w:t>But d</w:t>
      </w:r>
      <w:r>
        <w:t xml:space="preserve">espite increasing attention on the political economy of climate policy, there have been few attempts at consolidation. Synthesis is hindered by </w:t>
      </w:r>
      <w:r w:rsidR="00832B4C">
        <w:t xml:space="preserve">deep disciplinary and ontological divides, a </w:t>
      </w:r>
      <w:r w:rsidR="003F7F51">
        <w:t>diversity in methods</w:t>
      </w:r>
      <w:r w:rsidR="00832B4C">
        <w:t xml:space="preserve"> and epistemologies, and a lack of clear boundaries in the scope of relevant </w:t>
      </w:r>
      <w:r w:rsidR="00EA1348">
        <w:t>drivers and</w:t>
      </w:r>
      <w:r w:rsidR="00832B4C">
        <w:t xml:space="preserve"> conditions.</w:t>
      </w:r>
      <w:r w:rsidR="003F7F51">
        <w:t xml:space="preserve"> The purpose of this review is to characterise the </w:t>
      </w:r>
      <w:r w:rsidR="00722D8B">
        <w:t xml:space="preserve">literature in terms of the </w:t>
      </w:r>
      <w:r w:rsidR="003F7F51">
        <w:t xml:space="preserve">topics, methods and theories that inform political economic analysis </w:t>
      </w:r>
      <w:r w:rsidR="00757ACE">
        <w:t>on</w:t>
      </w:r>
      <w:r w:rsidR="003F7F51">
        <w:t xml:space="preserve"> climate policy</w:t>
      </w:r>
      <w:r w:rsidR="00616C6B">
        <w:t>. This will serve as an entry point to</w:t>
      </w:r>
      <w:r w:rsidR="00832B4C">
        <w:t>:</w:t>
      </w:r>
      <w:r w:rsidR="00722D8B">
        <w:t xml:space="preserve"> (1) exposing the scope of ‘political economy’ in definitional terms; (2) </w:t>
      </w:r>
      <w:r w:rsidR="00832B4C">
        <w:t>identifying common themes that can bridge disciplinary divides in the fi</w:t>
      </w:r>
      <w:bookmarkStart w:id="0" w:name="_GoBack"/>
      <w:bookmarkEnd w:id="0"/>
      <w:r w:rsidR="00832B4C">
        <w:t>eld; and (3)</w:t>
      </w:r>
      <w:r w:rsidR="00743289">
        <w:t xml:space="preserve"> exploring </w:t>
      </w:r>
      <w:r w:rsidR="00722D8B">
        <w:t>op</w:t>
      </w:r>
      <w:r w:rsidR="00832B4C">
        <w:t>portunities for consolidating empirical work</w:t>
      </w:r>
      <w:r w:rsidR="00722D8B">
        <w:t xml:space="preserve">, </w:t>
      </w:r>
      <w:r w:rsidR="00832B4C">
        <w:t>as well as topics that warrant</w:t>
      </w:r>
      <w:r w:rsidR="00722D8B">
        <w:t xml:space="preserve"> further primary research</w:t>
      </w:r>
      <w:r w:rsidR="00832B4C">
        <w:t>.</w:t>
      </w:r>
    </w:p>
    <w:p w14:paraId="63CEDB02" w14:textId="634E75CB" w:rsidR="00832B4C" w:rsidRDefault="00616C6B">
      <w:r>
        <w:t xml:space="preserve">Methods. We engage stakeholders and study review articles to </w:t>
      </w:r>
      <w:r w:rsidR="00832B4C">
        <w:t xml:space="preserve">establish </w:t>
      </w:r>
      <w:r w:rsidR="00757ACE">
        <w:t>key</w:t>
      </w:r>
      <w:r w:rsidR="00832B4C">
        <w:t xml:space="preserve"> </w:t>
      </w:r>
      <w:r>
        <w:t>thematic areas of political economy research</w:t>
      </w:r>
      <w:r w:rsidR="005A5DF9">
        <w:t>, each</w:t>
      </w:r>
      <w:r>
        <w:t xml:space="preserve"> wi</w:t>
      </w:r>
      <w:r w:rsidR="00832B4C">
        <w:t xml:space="preserve">th associated lists of keywords. </w:t>
      </w:r>
      <w:r w:rsidR="00757ACE">
        <w:t xml:space="preserve">4 initial themes have been identified: </w:t>
      </w:r>
      <w:r w:rsidR="00832B4C">
        <w:t>interests, institutions</w:t>
      </w:r>
      <w:r w:rsidR="00B9299B">
        <w:t xml:space="preserve">, </w:t>
      </w:r>
      <w:r w:rsidR="00832B4C">
        <w:t xml:space="preserve">ideas </w:t>
      </w:r>
      <w:r w:rsidR="00B9299B">
        <w:t xml:space="preserve">– and </w:t>
      </w:r>
      <w:r w:rsidR="00832B4C">
        <w:t xml:space="preserve">literature that self-identifies as political economy research. Articles </w:t>
      </w:r>
      <w:r w:rsidR="008713E9">
        <w:t xml:space="preserve">that are framed under these themes and apply them in the context of climate policy (captured by a broad set of relevant keywords) are included in the systematic map. We exclude </w:t>
      </w:r>
      <w:r w:rsidR="005A5DF9">
        <w:t xml:space="preserve">studies on non-energy sector policies (e.g. land use), studies on climate adaptation and studies on international climate policy (e.g. UNFCCC processes). We will issue a call for evidence, in particular to obtain book chapters, which are prevalent in the field. Studies will not be critically appraised. We will classify documents by topic, method, location (if case-study based) and whether or not they include theoretical content. </w:t>
      </w:r>
      <w:r w:rsidR="000B09A9">
        <w:t>We will use computational methods to extract topics and locations; in combination with scientometric methods, these will also allow us to identify epistemic communities, research clusters and gaps. The review will follow the ROSES Systematic Map protocol.</w:t>
      </w:r>
    </w:p>
    <w:p w14:paraId="11B4C202" w14:textId="77777777" w:rsidR="008713E9" w:rsidRDefault="008713E9"/>
    <w:p w14:paraId="1C6892C8" w14:textId="77777777" w:rsidR="00757ACE" w:rsidRDefault="00757ACE"/>
    <w:p w14:paraId="5E8377E1" w14:textId="77777777" w:rsidR="008713E9" w:rsidRDefault="008713E9"/>
    <w:p w14:paraId="749AD292" w14:textId="77777777" w:rsidR="00EA1965" w:rsidRDefault="00EA1965"/>
    <w:p w14:paraId="728D1117" w14:textId="77777777" w:rsidR="008713E9" w:rsidRDefault="008713E9">
      <w:pPr>
        <w:sectPr w:rsidR="008713E9">
          <w:footerReference w:type="default" r:id="rId7"/>
          <w:pgSz w:w="11906" w:h="16838"/>
          <w:pgMar w:top="1417" w:right="1417" w:bottom="1134" w:left="1417" w:header="708" w:footer="708" w:gutter="0"/>
          <w:cols w:space="708"/>
          <w:docGrid w:linePitch="360"/>
        </w:sectPr>
      </w:pPr>
    </w:p>
    <w:tbl>
      <w:tblPr>
        <w:tblStyle w:val="TableGrid"/>
        <w:tblW w:w="14170" w:type="dxa"/>
        <w:tblLook w:val="04A0" w:firstRow="1" w:lastRow="0" w:firstColumn="1" w:lastColumn="0" w:noHBand="0" w:noVBand="1"/>
      </w:tblPr>
      <w:tblGrid>
        <w:gridCol w:w="2995"/>
        <w:gridCol w:w="3556"/>
        <w:gridCol w:w="674"/>
        <w:gridCol w:w="2617"/>
        <w:gridCol w:w="4328"/>
      </w:tblGrid>
      <w:tr w:rsidR="00B9299B" w14:paraId="470DE08B" w14:textId="77777777" w:rsidTr="00B9299B">
        <w:tc>
          <w:tcPr>
            <w:tcW w:w="2995" w:type="dxa"/>
          </w:tcPr>
          <w:p w14:paraId="28D5887B" w14:textId="77777777" w:rsidR="00B9299B" w:rsidRPr="00A03B93" w:rsidRDefault="00B9299B" w:rsidP="002B3F37">
            <w:pPr>
              <w:rPr>
                <w:b/>
              </w:rPr>
            </w:pPr>
            <w:r>
              <w:rPr>
                <w:b/>
              </w:rPr>
              <w:lastRenderedPageBreak/>
              <w:t>Political economy themes</w:t>
            </w:r>
          </w:p>
        </w:tc>
        <w:tc>
          <w:tcPr>
            <w:tcW w:w="3556" w:type="dxa"/>
          </w:tcPr>
          <w:p w14:paraId="22E1AA88" w14:textId="77777777" w:rsidR="00B9299B" w:rsidRPr="002424CA" w:rsidRDefault="00B9299B" w:rsidP="002B3F37">
            <w:pPr>
              <w:rPr>
                <w:b/>
              </w:rPr>
            </w:pPr>
            <w:r>
              <w:rPr>
                <w:b/>
              </w:rPr>
              <w:t>Keywords</w:t>
            </w:r>
          </w:p>
        </w:tc>
        <w:tc>
          <w:tcPr>
            <w:tcW w:w="674" w:type="dxa"/>
            <w:vMerge w:val="restart"/>
            <w:vAlign w:val="center"/>
          </w:tcPr>
          <w:p w14:paraId="4657E0B3" w14:textId="77777777" w:rsidR="00B9299B" w:rsidRDefault="00B9299B" w:rsidP="00EA1965">
            <w:pPr>
              <w:jc w:val="center"/>
              <w:rPr>
                <w:b/>
              </w:rPr>
            </w:pPr>
            <w:r>
              <w:t>AND</w:t>
            </w:r>
          </w:p>
        </w:tc>
        <w:tc>
          <w:tcPr>
            <w:tcW w:w="2617" w:type="dxa"/>
          </w:tcPr>
          <w:p w14:paraId="3453FCD5" w14:textId="77777777" w:rsidR="00B9299B" w:rsidRDefault="00B9299B" w:rsidP="002B3F37">
            <w:pPr>
              <w:rPr>
                <w:b/>
              </w:rPr>
            </w:pPr>
            <w:r>
              <w:rPr>
                <w:b/>
              </w:rPr>
              <w:t>Climate policy themes</w:t>
            </w:r>
          </w:p>
        </w:tc>
        <w:tc>
          <w:tcPr>
            <w:tcW w:w="4328" w:type="dxa"/>
          </w:tcPr>
          <w:p w14:paraId="15174E00" w14:textId="77777777" w:rsidR="00B9299B" w:rsidRDefault="00B9299B" w:rsidP="002B3F37">
            <w:pPr>
              <w:rPr>
                <w:b/>
              </w:rPr>
            </w:pPr>
            <w:r>
              <w:rPr>
                <w:b/>
              </w:rPr>
              <w:t>Keywords</w:t>
            </w:r>
          </w:p>
        </w:tc>
      </w:tr>
      <w:tr w:rsidR="00B9299B" w14:paraId="0581D02E" w14:textId="77777777" w:rsidTr="00B9299B">
        <w:trPr>
          <w:trHeight w:val="1581"/>
        </w:trPr>
        <w:tc>
          <w:tcPr>
            <w:tcW w:w="2995" w:type="dxa"/>
            <w:vAlign w:val="center"/>
          </w:tcPr>
          <w:p w14:paraId="7A6C18F9" w14:textId="77777777" w:rsidR="00B9299B" w:rsidRPr="000A1F74" w:rsidRDefault="00B9299B" w:rsidP="00B9299B">
            <w:pPr>
              <w:rPr>
                <w:b/>
              </w:rPr>
            </w:pPr>
            <w:r w:rsidRPr="000A1F74">
              <w:rPr>
                <w:b/>
              </w:rPr>
              <w:t>Generic</w:t>
            </w:r>
          </w:p>
          <w:p w14:paraId="2006F88D" w14:textId="77777777" w:rsidR="00B9299B" w:rsidRPr="00EA1965" w:rsidRDefault="00B9299B" w:rsidP="00B9299B">
            <w:pPr>
              <w:rPr>
                <w:i/>
              </w:rPr>
            </w:pPr>
            <w:r w:rsidRPr="000A1F74">
              <w:rPr>
                <w:i/>
              </w:rPr>
              <w:t>What literature self-identifies as ‘political economy’</w:t>
            </w:r>
            <w:r>
              <w:rPr>
                <w:i/>
              </w:rPr>
              <w:t xml:space="preserve"> analysis</w:t>
            </w:r>
            <w:r w:rsidRPr="000A1F74">
              <w:rPr>
                <w:i/>
              </w:rPr>
              <w:t>?</w:t>
            </w:r>
          </w:p>
        </w:tc>
        <w:tc>
          <w:tcPr>
            <w:tcW w:w="3556" w:type="dxa"/>
            <w:vAlign w:val="center"/>
          </w:tcPr>
          <w:p w14:paraId="467A08DF" w14:textId="03A88FBD" w:rsidR="00B9299B" w:rsidRPr="00B9299B" w:rsidRDefault="00B9299B" w:rsidP="00B9299B">
            <w:pPr>
              <w:rPr>
                <w:rFonts w:ascii="Calibri" w:hAnsi="Calibri" w:cs="Calibri"/>
                <w:color w:val="000000"/>
              </w:rPr>
            </w:pPr>
            <w:r>
              <w:rPr>
                <w:rFonts w:ascii="Calibri" w:hAnsi="Calibri" w:cs="Calibri"/>
                <w:color w:val="000000"/>
              </w:rPr>
              <w:t xml:space="preserve">(“Political </w:t>
            </w:r>
            <w:proofErr w:type="spellStart"/>
            <w:r>
              <w:rPr>
                <w:rFonts w:ascii="Calibri" w:hAnsi="Calibri" w:cs="Calibri"/>
                <w:color w:val="000000"/>
              </w:rPr>
              <w:t>econom</w:t>
            </w:r>
            <w:proofErr w:type="spellEnd"/>
            <w:r>
              <w:rPr>
                <w:rFonts w:ascii="Calibri" w:hAnsi="Calibri" w:cs="Calibri"/>
                <w:color w:val="000000"/>
              </w:rPr>
              <w:t>*”)</w:t>
            </w:r>
          </w:p>
        </w:tc>
        <w:tc>
          <w:tcPr>
            <w:tcW w:w="674" w:type="dxa"/>
            <w:vMerge/>
            <w:vAlign w:val="center"/>
          </w:tcPr>
          <w:p w14:paraId="52B33012" w14:textId="77777777" w:rsidR="00B9299B" w:rsidRDefault="00B9299B" w:rsidP="00B9299B"/>
        </w:tc>
        <w:tc>
          <w:tcPr>
            <w:tcW w:w="2617" w:type="dxa"/>
            <w:vAlign w:val="center"/>
          </w:tcPr>
          <w:p w14:paraId="3F48134E" w14:textId="77777777" w:rsidR="00B9299B" w:rsidRPr="00EA1965" w:rsidRDefault="00B9299B" w:rsidP="00B9299B">
            <w:pPr>
              <w:rPr>
                <w:b/>
              </w:rPr>
            </w:pPr>
            <w:r w:rsidRPr="00EA1965">
              <w:rPr>
                <w:b/>
              </w:rPr>
              <w:t>Generic</w:t>
            </w:r>
          </w:p>
        </w:tc>
        <w:tc>
          <w:tcPr>
            <w:tcW w:w="4328" w:type="dxa"/>
            <w:vAlign w:val="center"/>
          </w:tcPr>
          <w:p w14:paraId="4B197F56" w14:textId="748D5C11" w:rsidR="00B9299B" w:rsidRPr="00B9299B" w:rsidRDefault="00B9299B" w:rsidP="00B9299B">
            <w:pPr>
              <w:rPr>
                <w:rFonts w:ascii="Calibri" w:hAnsi="Calibri" w:cs="Calibri"/>
                <w:color w:val="000000"/>
              </w:rPr>
            </w:pPr>
            <w:r>
              <w:rPr>
                <w:rFonts w:ascii="Calibri" w:hAnsi="Calibri" w:cs="Calibri"/>
                <w:color w:val="000000"/>
              </w:rPr>
              <w:t>("</w:t>
            </w:r>
            <w:proofErr w:type="spellStart"/>
            <w:r>
              <w:rPr>
                <w:rFonts w:ascii="Calibri" w:hAnsi="Calibri" w:cs="Calibri"/>
                <w:color w:val="000000"/>
              </w:rPr>
              <w:t>decarboni</w:t>
            </w:r>
            <w:proofErr w:type="spellEnd"/>
            <w:r>
              <w:rPr>
                <w:rFonts w:ascii="Calibri" w:hAnsi="Calibri" w:cs="Calibri"/>
                <w:color w:val="000000"/>
              </w:rPr>
              <w:t>*</w:t>
            </w:r>
            <w:proofErr w:type="spellStart"/>
            <w:r>
              <w:rPr>
                <w:rFonts w:ascii="Calibri" w:hAnsi="Calibri" w:cs="Calibri"/>
                <w:color w:val="000000"/>
              </w:rPr>
              <w:t>ation</w:t>
            </w:r>
            <w:proofErr w:type="spellEnd"/>
            <w:r>
              <w:rPr>
                <w:rFonts w:ascii="Calibri" w:hAnsi="Calibri" w:cs="Calibri"/>
                <w:color w:val="000000"/>
              </w:rPr>
              <w:t>" OR low carbon OR (( "energy" OR "carbon" OR "CO2" OR "GHG" OR "greenhouse gas" OR "</w:t>
            </w:r>
            <w:proofErr w:type="spellStart"/>
            <w:r>
              <w:rPr>
                <w:rFonts w:ascii="Calibri" w:hAnsi="Calibri" w:cs="Calibri"/>
                <w:color w:val="000000"/>
              </w:rPr>
              <w:t>climat</w:t>
            </w:r>
            <w:proofErr w:type="spellEnd"/>
            <w:r>
              <w:rPr>
                <w:rFonts w:ascii="Calibri" w:hAnsi="Calibri" w:cs="Calibri"/>
                <w:color w:val="000000"/>
              </w:rPr>
              <w:t>*" OR "emissions") NEAR/3 mitigation) OR (( "energy" OR "carbon" OR "CO2" OR "GHG" OR "greenhouse gas") NEAR/3 ("</w:t>
            </w:r>
            <w:proofErr w:type="spellStart"/>
            <w:r>
              <w:rPr>
                <w:rFonts w:ascii="Calibri" w:hAnsi="Calibri" w:cs="Calibri"/>
                <w:color w:val="000000"/>
              </w:rPr>
              <w:t>reduc</w:t>
            </w:r>
            <w:proofErr w:type="spellEnd"/>
            <w:r>
              <w:rPr>
                <w:rFonts w:ascii="Calibri" w:hAnsi="Calibri" w:cs="Calibri"/>
                <w:color w:val="000000"/>
              </w:rPr>
              <w:t>*" OR "</w:t>
            </w:r>
            <w:proofErr w:type="spellStart"/>
            <w:r>
              <w:rPr>
                <w:rFonts w:ascii="Calibri" w:hAnsi="Calibri" w:cs="Calibri"/>
                <w:color w:val="000000"/>
              </w:rPr>
              <w:t>polic</w:t>
            </w:r>
            <w:proofErr w:type="spellEnd"/>
            <w:r>
              <w:rPr>
                <w:rFonts w:ascii="Calibri" w:hAnsi="Calibri" w:cs="Calibri"/>
                <w:color w:val="000000"/>
              </w:rPr>
              <w:t>*" OR "governance")))</w:t>
            </w:r>
          </w:p>
        </w:tc>
      </w:tr>
      <w:tr w:rsidR="00B9299B" w14:paraId="462AA14A" w14:textId="77777777" w:rsidTr="00B9299B">
        <w:trPr>
          <w:trHeight w:val="1020"/>
        </w:trPr>
        <w:tc>
          <w:tcPr>
            <w:tcW w:w="2995" w:type="dxa"/>
            <w:vAlign w:val="center"/>
          </w:tcPr>
          <w:p w14:paraId="601C2CFB" w14:textId="77777777" w:rsidR="00B9299B" w:rsidRPr="000A1F74" w:rsidRDefault="00B9299B" w:rsidP="00B9299B">
            <w:pPr>
              <w:rPr>
                <w:b/>
              </w:rPr>
            </w:pPr>
            <w:r w:rsidRPr="000A1F74">
              <w:rPr>
                <w:b/>
              </w:rPr>
              <w:t>Interests</w:t>
            </w:r>
          </w:p>
          <w:p w14:paraId="33F68E55" w14:textId="77777777" w:rsidR="00B9299B" w:rsidRPr="00EA1965" w:rsidRDefault="00B9299B" w:rsidP="00B9299B">
            <w:pPr>
              <w:rPr>
                <w:i/>
              </w:rPr>
            </w:pPr>
            <w:r w:rsidRPr="000A1F74">
              <w:rPr>
                <w:i/>
              </w:rPr>
              <w:t>Wh</w:t>
            </w:r>
            <w:r>
              <w:rPr>
                <w:i/>
              </w:rPr>
              <w:t>ich</w:t>
            </w:r>
            <w:r w:rsidRPr="000A1F74">
              <w:rPr>
                <w:i/>
              </w:rPr>
              <w:t xml:space="preserve"> political constituencies influence climate policy and how?</w:t>
            </w:r>
          </w:p>
        </w:tc>
        <w:tc>
          <w:tcPr>
            <w:tcW w:w="3556" w:type="dxa"/>
            <w:vAlign w:val="center"/>
          </w:tcPr>
          <w:p w14:paraId="14BF11BF" w14:textId="69C2525F" w:rsidR="00B9299B" w:rsidRPr="00B9299B" w:rsidRDefault="00B9299B" w:rsidP="00B9299B">
            <w:pPr>
              <w:rPr>
                <w:rFonts w:ascii="Calibri" w:hAnsi="Calibri" w:cs="Calibri"/>
                <w:color w:val="000000"/>
              </w:rPr>
            </w:pPr>
            <w:r>
              <w:rPr>
                <w:rFonts w:ascii="Calibri" w:hAnsi="Calibri" w:cs="Calibri"/>
                <w:color w:val="000000"/>
              </w:rPr>
              <w:t>("Coalitions" OR "corporations" OR "political part*" OR "vested interest*" OR "constituencies" OR "voters" OR "Lobbying" OR "bargaining" OR "voting" OR "rent-seeking" OR "political conflict" OR "political capture" OR "corporate power" OR “acceptability” OR "litigation")</w:t>
            </w:r>
          </w:p>
        </w:tc>
        <w:tc>
          <w:tcPr>
            <w:tcW w:w="674" w:type="dxa"/>
            <w:vMerge/>
            <w:vAlign w:val="center"/>
          </w:tcPr>
          <w:p w14:paraId="01188F14" w14:textId="77777777" w:rsidR="00B9299B" w:rsidRDefault="00B9299B" w:rsidP="00B9299B"/>
        </w:tc>
        <w:tc>
          <w:tcPr>
            <w:tcW w:w="2617" w:type="dxa"/>
            <w:vAlign w:val="center"/>
          </w:tcPr>
          <w:p w14:paraId="263598B5" w14:textId="77777777" w:rsidR="00B9299B" w:rsidRPr="000225BD" w:rsidRDefault="00B9299B" w:rsidP="00B9299B">
            <w:pPr>
              <w:rPr>
                <w:b/>
              </w:rPr>
            </w:pPr>
            <w:r w:rsidRPr="000225BD">
              <w:rPr>
                <w:b/>
              </w:rPr>
              <w:t>Fossil fuels</w:t>
            </w:r>
          </w:p>
        </w:tc>
        <w:tc>
          <w:tcPr>
            <w:tcW w:w="4328" w:type="dxa"/>
            <w:vAlign w:val="center"/>
          </w:tcPr>
          <w:p w14:paraId="71301232" w14:textId="29749A85" w:rsidR="00B9299B" w:rsidRPr="00B9299B" w:rsidRDefault="00B9299B" w:rsidP="00B9299B">
            <w:pPr>
              <w:rPr>
                <w:rFonts w:ascii="Calibri" w:hAnsi="Calibri" w:cs="Calibri"/>
                <w:color w:val="000000"/>
              </w:rPr>
            </w:pPr>
            <w:r>
              <w:rPr>
                <w:rFonts w:ascii="Calibri" w:hAnsi="Calibri" w:cs="Calibri"/>
                <w:color w:val="000000"/>
              </w:rPr>
              <w:t>((coal OR oil OR gas OR “fossil fuel”) AND “</w:t>
            </w:r>
            <w:proofErr w:type="spellStart"/>
            <w:r>
              <w:rPr>
                <w:rFonts w:ascii="Calibri" w:hAnsi="Calibri" w:cs="Calibri"/>
                <w:color w:val="000000"/>
              </w:rPr>
              <w:t>climat</w:t>
            </w:r>
            <w:proofErr w:type="spellEnd"/>
            <w:r>
              <w:rPr>
                <w:rFonts w:ascii="Calibri" w:hAnsi="Calibri" w:cs="Calibri"/>
                <w:color w:val="000000"/>
              </w:rPr>
              <w:t>*”)</w:t>
            </w:r>
          </w:p>
        </w:tc>
      </w:tr>
      <w:tr w:rsidR="00B9299B" w14:paraId="26F2B2EE" w14:textId="77777777" w:rsidTr="00B9299B">
        <w:trPr>
          <w:trHeight w:val="1506"/>
        </w:trPr>
        <w:tc>
          <w:tcPr>
            <w:tcW w:w="2995" w:type="dxa"/>
            <w:vAlign w:val="center"/>
          </w:tcPr>
          <w:p w14:paraId="6C7A7CA1" w14:textId="77777777" w:rsidR="00B9299B" w:rsidRPr="000A1F74" w:rsidRDefault="00B9299B" w:rsidP="00B9299B">
            <w:pPr>
              <w:rPr>
                <w:b/>
              </w:rPr>
            </w:pPr>
            <w:r w:rsidRPr="000A1F74">
              <w:rPr>
                <w:b/>
              </w:rPr>
              <w:t>Institutions</w:t>
            </w:r>
          </w:p>
          <w:p w14:paraId="320C2A25" w14:textId="77777777" w:rsidR="00B9299B" w:rsidRPr="00EA1965" w:rsidRDefault="00B9299B" w:rsidP="00B9299B">
            <w:pPr>
              <w:rPr>
                <w:i/>
              </w:rPr>
            </w:pPr>
            <w:r w:rsidRPr="000A1F74">
              <w:rPr>
                <w:i/>
              </w:rPr>
              <w:t>How do institutions, their rules and organisational forms, shape climate policy?</w:t>
            </w:r>
          </w:p>
        </w:tc>
        <w:tc>
          <w:tcPr>
            <w:tcW w:w="3556" w:type="dxa"/>
            <w:vAlign w:val="center"/>
          </w:tcPr>
          <w:p w14:paraId="17B99873" w14:textId="637A5E67" w:rsidR="00B9299B" w:rsidRPr="00B9299B" w:rsidRDefault="00B9299B" w:rsidP="00B9299B">
            <w:pPr>
              <w:rPr>
                <w:rFonts w:ascii="Calibri" w:hAnsi="Calibri" w:cs="Calibri"/>
                <w:color w:val="000000"/>
              </w:rPr>
            </w:pPr>
            <w:r>
              <w:rPr>
                <w:rFonts w:ascii="Calibri" w:hAnsi="Calibri" w:cs="Calibri"/>
                <w:color w:val="000000"/>
              </w:rPr>
              <w:t>(“institution*”)</w:t>
            </w:r>
          </w:p>
        </w:tc>
        <w:tc>
          <w:tcPr>
            <w:tcW w:w="674" w:type="dxa"/>
            <w:vMerge/>
            <w:vAlign w:val="center"/>
          </w:tcPr>
          <w:p w14:paraId="461A206F" w14:textId="77777777" w:rsidR="00B9299B" w:rsidRDefault="00B9299B" w:rsidP="00B9299B"/>
        </w:tc>
        <w:tc>
          <w:tcPr>
            <w:tcW w:w="2617" w:type="dxa"/>
            <w:vAlign w:val="center"/>
          </w:tcPr>
          <w:p w14:paraId="735B260D" w14:textId="77777777" w:rsidR="00B9299B" w:rsidRPr="00EA1965" w:rsidRDefault="00B9299B" w:rsidP="00B9299B">
            <w:pPr>
              <w:rPr>
                <w:b/>
              </w:rPr>
            </w:pPr>
            <w:r w:rsidRPr="00EA1965">
              <w:rPr>
                <w:b/>
              </w:rPr>
              <w:t>Carbon pricing</w:t>
            </w:r>
          </w:p>
        </w:tc>
        <w:tc>
          <w:tcPr>
            <w:tcW w:w="4328" w:type="dxa"/>
            <w:vAlign w:val="center"/>
          </w:tcPr>
          <w:p w14:paraId="0ACFB7DD" w14:textId="2A33513D" w:rsidR="00B9299B" w:rsidRPr="00B9299B" w:rsidRDefault="00B9299B" w:rsidP="00B9299B">
            <w:pPr>
              <w:rPr>
                <w:rFonts w:ascii="Calibri" w:hAnsi="Calibri" w:cs="Calibri"/>
                <w:color w:val="000000"/>
              </w:rPr>
            </w:pPr>
            <w:r>
              <w:rPr>
                <w:rFonts w:ascii="Calibri" w:hAnsi="Calibri" w:cs="Calibri"/>
                <w:color w:val="000000"/>
              </w:rPr>
              <w:t xml:space="preserve">((“carbon” OR “CO2” OR “GHG”) NEAR/3 (“tax” OR “market” OR “price”)) </w:t>
            </w:r>
          </w:p>
        </w:tc>
      </w:tr>
      <w:tr w:rsidR="00B9299B" w14:paraId="3B97628C" w14:textId="77777777" w:rsidTr="00B9299B">
        <w:trPr>
          <w:trHeight w:val="1020"/>
        </w:trPr>
        <w:tc>
          <w:tcPr>
            <w:tcW w:w="2995" w:type="dxa"/>
            <w:vAlign w:val="center"/>
          </w:tcPr>
          <w:p w14:paraId="47C7137A" w14:textId="77777777" w:rsidR="00B9299B" w:rsidRPr="000A1F74" w:rsidRDefault="00B9299B" w:rsidP="00B9299B">
            <w:pPr>
              <w:rPr>
                <w:b/>
              </w:rPr>
            </w:pPr>
            <w:r w:rsidRPr="000A1F74">
              <w:rPr>
                <w:b/>
              </w:rPr>
              <w:t>Ideas</w:t>
            </w:r>
          </w:p>
          <w:p w14:paraId="3B42FFF2" w14:textId="77777777" w:rsidR="00B9299B" w:rsidRPr="009D5D7E" w:rsidRDefault="00B9299B" w:rsidP="00B9299B">
            <w:pPr>
              <w:rPr>
                <w:i/>
              </w:rPr>
            </w:pPr>
            <w:r w:rsidRPr="000A1F74">
              <w:rPr>
                <w:i/>
              </w:rPr>
              <w:t xml:space="preserve">What discourses, cultural norms and ideologies influence the adoption of climate policy? </w:t>
            </w:r>
          </w:p>
        </w:tc>
        <w:tc>
          <w:tcPr>
            <w:tcW w:w="3556" w:type="dxa"/>
            <w:vAlign w:val="center"/>
          </w:tcPr>
          <w:p w14:paraId="1461AB7A" w14:textId="0ADA9461" w:rsidR="00B9299B" w:rsidRPr="00B9299B" w:rsidRDefault="00B9299B" w:rsidP="00B9299B">
            <w:pPr>
              <w:rPr>
                <w:rFonts w:ascii="Calibri" w:hAnsi="Calibri" w:cs="Calibri"/>
                <w:color w:val="000000"/>
              </w:rPr>
            </w:pPr>
            <w:r>
              <w:rPr>
                <w:rFonts w:ascii="Calibri" w:hAnsi="Calibri" w:cs="Calibri"/>
                <w:color w:val="000000"/>
              </w:rPr>
              <w:t>("Discourse*" OR "norms" OR "</w:t>
            </w:r>
            <w:proofErr w:type="spellStart"/>
            <w:r>
              <w:rPr>
                <w:rFonts w:ascii="Calibri" w:hAnsi="Calibri" w:cs="Calibri"/>
                <w:color w:val="000000"/>
              </w:rPr>
              <w:t>ideolog</w:t>
            </w:r>
            <w:proofErr w:type="spellEnd"/>
            <w:r>
              <w:rPr>
                <w:rFonts w:ascii="Calibri" w:hAnsi="Calibri" w:cs="Calibri"/>
                <w:color w:val="000000"/>
              </w:rPr>
              <w:t>*" OR "</w:t>
            </w:r>
            <w:proofErr w:type="spellStart"/>
            <w:r>
              <w:rPr>
                <w:rFonts w:ascii="Calibri" w:hAnsi="Calibri" w:cs="Calibri"/>
                <w:color w:val="000000"/>
              </w:rPr>
              <w:t>legitimac</w:t>
            </w:r>
            <w:proofErr w:type="spellEnd"/>
            <w:r>
              <w:rPr>
                <w:rFonts w:ascii="Calibri" w:hAnsi="Calibri" w:cs="Calibri"/>
                <w:color w:val="000000"/>
              </w:rPr>
              <w:t>*" OR "Neoliberalism" OR "governmentality" OR "liberalism" OR "populism")</w:t>
            </w:r>
            <w:r>
              <w:rPr>
                <w:rFonts w:ascii="Calibri" w:hAnsi="Calibri" w:cs="Calibri"/>
                <w:color w:val="000000"/>
                <w:sz w:val="16"/>
                <w:szCs w:val="16"/>
              </w:rPr>
              <w:t> </w:t>
            </w:r>
          </w:p>
        </w:tc>
        <w:tc>
          <w:tcPr>
            <w:tcW w:w="674" w:type="dxa"/>
            <w:vMerge/>
            <w:vAlign w:val="center"/>
          </w:tcPr>
          <w:p w14:paraId="01FC2285" w14:textId="77777777" w:rsidR="00B9299B" w:rsidRDefault="00B9299B" w:rsidP="00B9299B"/>
        </w:tc>
        <w:tc>
          <w:tcPr>
            <w:tcW w:w="2617" w:type="dxa"/>
            <w:vAlign w:val="center"/>
          </w:tcPr>
          <w:p w14:paraId="40C4E876" w14:textId="69C14518" w:rsidR="00B9299B" w:rsidRPr="00EA1965" w:rsidRDefault="00B9299B" w:rsidP="00B9299B">
            <w:pPr>
              <w:rPr>
                <w:b/>
              </w:rPr>
            </w:pPr>
            <w:r>
              <w:rPr>
                <w:b/>
              </w:rPr>
              <w:t>Energy transitions &amp; renewables</w:t>
            </w:r>
          </w:p>
        </w:tc>
        <w:tc>
          <w:tcPr>
            <w:tcW w:w="4328" w:type="dxa"/>
            <w:vAlign w:val="center"/>
          </w:tcPr>
          <w:p w14:paraId="34F57851" w14:textId="77777777" w:rsidR="00B9299B" w:rsidRDefault="00B9299B" w:rsidP="00B9299B">
            <w:pPr>
              <w:rPr>
                <w:rFonts w:ascii="Calibri" w:hAnsi="Calibri" w:cs="Calibri"/>
                <w:color w:val="000000"/>
              </w:rPr>
            </w:pPr>
            <w:r>
              <w:rPr>
                <w:rFonts w:ascii="Calibri" w:hAnsi="Calibri" w:cs="Calibri"/>
                <w:color w:val="000000"/>
              </w:rPr>
              <w:t>(("energy" NEAR/3 ("transition*" OR "solar" OR "wind" OR "renewable")) OR "solar PV" OR "wind power")</w:t>
            </w:r>
          </w:p>
          <w:p w14:paraId="5D16CDC9" w14:textId="1A643503" w:rsidR="00B9299B" w:rsidRDefault="00B9299B" w:rsidP="00B9299B"/>
        </w:tc>
      </w:tr>
    </w:tbl>
    <w:p w14:paraId="50E5C17C" w14:textId="18874EAD" w:rsidR="009D5D7E" w:rsidRDefault="00EA1965" w:rsidP="009D5D7E">
      <w:pPr>
        <w:pStyle w:val="Caption"/>
      </w:pPr>
      <w:r>
        <w:t xml:space="preserve">Table </w:t>
      </w:r>
      <w:r w:rsidR="00BF2996">
        <w:rPr>
          <w:noProof/>
        </w:rPr>
        <w:fldChar w:fldCharType="begin"/>
      </w:r>
      <w:r w:rsidR="00BF2996">
        <w:rPr>
          <w:noProof/>
        </w:rPr>
        <w:instrText xml:space="preserve"> SEQ Table \* ARABIC </w:instrText>
      </w:r>
      <w:r w:rsidR="00BF2996">
        <w:rPr>
          <w:noProof/>
        </w:rPr>
        <w:fldChar w:fldCharType="separate"/>
      </w:r>
      <w:r>
        <w:rPr>
          <w:noProof/>
        </w:rPr>
        <w:t>1</w:t>
      </w:r>
      <w:r w:rsidR="00BF2996">
        <w:rPr>
          <w:noProof/>
        </w:rPr>
        <w:fldChar w:fldCharType="end"/>
      </w:r>
      <w:r>
        <w:t>: Polit</w:t>
      </w:r>
      <w:r w:rsidR="009D5D7E">
        <w:t xml:space="preserve">ical economy themes and keywords. </w:t>
      </w:r>
      <w:r w:rsidR="005F41F0">
        <w:t>R</w:t>
      </w:r>
      <w:r w:rsidR="009D5D7E">
        <w:t>ows are combined with an ‘OR’ operator.</w:t>
      </w:r>
    </w:p>
    <w:p w14:paraId="193CA48A" w14:textId="77777777" w:rsidR="00914971" w:rsidRDefault="00914971" w:rsidP="00914971"/>
    <w:p w14:paraId="46810A97" w14:textId="77777777" w:rsidR="00914971" w:rsidRDefault="00914971" w:rsidP="00914971"/>
    <w:p w14:paraId="5F800F22" w14:textId="77777777" w:rsidR="00914971" w:rsidRPr="00914971" w:rsidRDefault="00914971" w:rsidP="00914971">
      <w:pPr>
        <w:sectPr w:rsidR="00914971" w:rsidRPr="00914971" w:rsidSect="00EA1965">
          <w:pgSz w:w="16838" w:h="11906" w:orient="landscape"/>
          <w:pgMar w:top="1417" w:right="1417" w:bottom="1417" w:left="1134" w:header="708" w:footer="708" w:gutter="0"/>
          <w:cols w:space="708"/>
          <w:docGrid w:linePitch="360"/>
        </w:sectPr>
      </w:pPr>
    </w:p>
    <w:p w14:paraId="4ED161BE" w14:textId="77777777" w:rsidR="000A1F74" w:rsidRPr="008713E9" w:rsidRDefault="008713E9">
      <w:pPr>
        <w:rPr>
          <w:b/>
        </w:rPr>
      </w:pPr>
      <w:r w:rsidRPr="008713E9">
        <w:rPr>
          <w:b/>
        </w:rPr>
        <w:lastRenderedPageBreak/>
        <w:t>Exclusions</w:t>
      </w:r>
    </w:p>
    <w:p w14:paraId="519FA06C" w14:textId="77777777" w:rsidR="008713E9" w:rsidRDefault="008713E9">
      <w:r>
        <w:t>- Studies on international climate policy and associated procedures (UNFCCC, COP negotiations etc.)</w:t>
      </w:r>
    </w:p>
    <w:p w14:paraId="73DA2660" w14:textId="77777777" w:rsidR="008713E9" w:rsidRDefault="008713E9">
      <w:r>
        <w:t>- Studies on climate adaptation, disaster recovery and impacts (i.e. contra climate mitigation)</w:t>
      </w:r>
    </w:p>
    <w:p w14:paraId="12FF143C" w14:textId="77777777" w:rsidR="008713E9" w:rsidRDefault="008713E9">
      <w:r>
        <w:t>- Studies on non-energy sector mitigation (land use, land-use change and forestry)</w:t>
      </w:r>
    </w:p>
    <w:p w14:paraId="5EB7EFE0" w14:textId="77777777" w:rsidR="008713E9" w:rsidRDefault="008713E9">
      <w:r>
        <w:t>- Studies captured by the Web of Science keywords only</w:t>
      </w:r>
    </w:p>
    <w:p w14:paraId="517A596A" w14:textId="77777777" w:rsidR="008713E9" w:rsidRDefault="008713E9"/>
    <w:p w14:paraId="5DC506B5" w14:textId="77777777" w:rsidR="008713E9" w:rsidRDefault="008713E9"/>
    <w:p w14:paraId="6A9F275E" w14:textId="77777777" w:rsidR="008713E9" w:rsidRDefault="008713E9"/>
    <w:p w14:paraId="76B62447" w14:textId="77777777" w:rsidR="008713E9" w:rsidRPr="008713E9" w:rsidRDefault="008713E9">
      <w:pPr>
        <w:rPr>
          <w:b/>
        </w:rPr>
      </w:pPr>
      <w:r w:rsidRPr="008713E9">
        <w:rPr>
          <w:b/>
        </w:rPr>
        <w:t>Review papers</w:t>
      </w:r>
    </w:p>
    <w:tbl>
      <w:tblPr>
        <w:tblStyle w:val="TableGrid"/>
        <w:tblW w:w="0" w:type="auto"/>
        <w:tblLook w:val="04A0" w:firstRow="1" w:lastRow="0" w:firstColumn="1" w:lastColumn="0" w:noHBand="0" w:noVBand="1"/>
      </w:tblPr>
      <w:tblGrid>
        <w:gridCol w:w="3154"/>
        <w:gridCol w:w="1372"/>
        <w:gridCol w:w="4536"/>
      </w:tblGrid>
      <w:tr w:rsidR="00A71C21" w14:paraId="787147EF" w14:textId="77777777" w:rsidTr="000B09A9">
        <w:tc>
          <w:tcPr>
            <w:tcW w:w="3020" w:type="dxa"/>
          </w:tcPr>
          <w:p w14:paraId="449A9D8C" w14:textId="77777777" w:rsidR="00A71C21" w:rsidRDefault="00A71C21">
            <w:r>
              <w:t>Paper</w:t>
            </w:r>
          </w:p>
        </w:tc>
        <w:tc>
          <w:tcPr>
            <w:tcW w:w="1166" w:type="dxa"/>
          </w:tcPr>
          <w:p w14:paraId="7A9AD11B" w14:textId="77777777" w:rsidR="00A71C21" w:rsidRDefault="00A71C21">
            <w:r>
              <w:t>Domain</w:t>
            </w:r>
          </w:p>
        </w:tc>
        <w:tc>
          <w:tcPr>
            <w:tcW w:w="4876" w:type="dxa"/>
          </w:tcPr>
          <w:p w14:paraId="2055036E" w14:textId="77777777" w:rsidR="00A71C21" w:rsidRDefault="00A71C21">
            <w:r>
              <w:t>Explanatory factors/themes</w:t>
            </w:r>
          </w:p>
        </w:tc>
      </w:tr>
      <w:tr w:rsidR="00A71C21" w14:paraId="7B2E9B02" w14:textId="77777777" w:rsidTr="000B09A9">
        <w:tc>
          <w:tcPr>
            <w:tcW w:w="3020" w:type="dxa"/>
          </w:tcPr>
          <w:p w14:paraId="2CE185C6" w14:textId="77777777" w:rsidR="00A71C21" w:rsidRDefault="00A71C21" w:rsidP="00A71C21">
            <w:r w:rsidRPr="00A71C21">
              <w:t>Roberts, C. et al. The politics of accelerating low-carbon transitions: Towards a new research agenda. Energy Res. Soc. Sci. 44, 304–311 (2018).</w:t>
            </w:r>
          </w:p>
        </w:tc>
        <w:tc>
          <w:tcPr>
            <w:tcW w:w="1166" w:type="dxa"/>
          </w:tcPr>
          <w:p w14:paraId="62D5D0C6" w14:textId="77777777" w:rsidR="00A71C21" w:rsidRDefault="00A71C21">
            <w:r>
              <w:t>Energy transitions</w:t>
            </w:r>
          </w:p>
        </w:tc>
        <w:tc>
          <w:tcPr>
            <w:tcW w:w="4876" w:type="dxa"/>
          </w:tcPr>
          <w:p w14:paraId="3FB71F96" w14:textId="77777777" w:rsidR="00A71C21" w:rsidRDefault="00A71C21" w:rsidP="00A71C21">
            <w:pPr>
              <w:pStyle w:val="ListParagraph"/>
              <w:numPr>
                <w:ilvl w:val="0"/>
                <w:numId w:val="1"/>
              </w:numPr>
            </w:pPr>
            <w:r>
              <w:t xml:space="preserve">Coalitions: when actors combine their political agency to initiate </w:t>
            </w:r>
            <w:r w:rsidR="003D32A2">
              <w:t xml:space="preserve">or frustrate </w:t>
            </w:r>
            <w:r w:rsidR="000B09A9">
              <w:t>reform (</w:t>
            </w:r>
            <w:r w:rsidR="000B09A9" w:rsidRPr="000B09A9">
              <w:rPr>
                <w:i/>
              </w:rPr>
              <w:t>interests</w:t>
            </w:r>
            <w:r w:rsidR="000B09A9">
              <w:t>)</w:t>
            </w:r>
          </w:p>
          <w:p w14:paraId="6F43874B" w14:textId="77777777" w:rsidR="00A71C21" w:rsidRDefault="00A71C21" w:rsidP="00A71C21">
            <w:pPr>
              <w:pStyle w:val="ListParagraph"/>
              <w:numPr>
                <w:ilvl w:val="0"/>
                <w:numId w:val="1"/>
              </w:numPr>
            </w:pPr>
            <w:r>
              <w:t xml:space="preserve">Feedbacks/stability: policy as an ongoing process, with opportunities to strengthen and lock-in positive or negative feedbacks </w:t>
            </w:r>
            <w:r w:rsidR="000B09A9">
              <w:t>(</w:t>
            </w:r>
            <w:r w:rsidR="000B09A9" w:rsidRPr="000B09A9">
              <w:rPr>
                <w:i/>
              </w:rPr>
              <w:t>processes</w:t>
            </w:r>
            <w:r w:rsidR="000B09A9">
              <w:t>)</w:t>
            </w:r>
          </w:p>
          <w:p w14:paraId="0CAA453B" w14:textId="77777777" w:rsidR="00A71C21" w:rsidRDefault="00A71C21" w:rsidP="000B09A9">
            <w:pPr>
              <w:pStyle w:val="ListParagraph"/>
              <w:numPr>
                <w:ilvl w:val="0"/>
                <w:numId w:val="1"/>
              </w:numPr>
            </w:pPr>
            <w:r>
              <w:t>Context dependence:</w:t>
            </w:r>
            <w:r w:rsidR="00186B65">
              <w:t xml:space="preserve"> technological capabilities, natural resource endowments, in</w:t>
            </w:r>
            <w:r w:rsidR="00A9342E">
              <w:t>dustrial specialisation</w:t>
            </w:r>
            <w:r w:rsidR="003846AC">
              <w:t>s</w:t>
            </w:r>
            <w:r w:rsidR="00A9342E">
              <w:t>, political norms</w:t>
            </w:r>
            <w:r w:rsidR="003D32A2">
              <w:t>, institutions,</w:t>
            </w:r>
            <w:r w:rsidR="00A9342E">
              <w:t xml:space="preserve"> and </w:t>
            </w:r>
            <w:r w:rsidR="003846AC">
              <w:t xml:space="preserve">the cultural </w:t>
            </w:r>
            <w:r w:rsidR="00A9342E">
              <w:t>legitimac</w:t>
            </w:r>
            <w:r w:rsidR="003846AC">
              <w:t>y of</w:t>
            </w:r>
            <w:r w:rsidR="00A9342E">
              <w:t xml:space="preserve"> different technologies</w:t>
            </w:r>
            <w:r w:rsidR="003D32A2">
              <w:t xml:space="preserve"> – all potentially shaping the policy space</w:t>
            </w:r>
            <w:r>
              <w:t xml:space="preserve"> (</w:t>
            </w:r>
            <w:r w:rsidR="000B09A9" w:rsidRPr="000B09A9">
              <w:rPr>
                <w:i/>
              </w:rPr>
              <w:t>ideas and institutions</w:t>
            </w:r>
            <w:r>
              <w:rPr>
                <w:i/>
              </w:rPr>
              <w:t>)</w:t>
            </w:r>
          </w:p>
        </w:tc>
      </w:tr>
      <w:tr w:rsidR="00A71C21" w14:paraId="48BF1246" w14:textId="77777777" w:rsidTr="000B09A9">
        <w:tc>
          <w:tcPr>
            <w:tcW w:w="3020" w:type="dxa"/>
          </w:tcPr>
          <w:p w14:paraId="45FD8CDE" w14:textId="77777777" w:rsidR="00A71C21" w:rsidRDefault="00A00051">
            <w:r w:rsidRPr="00A00051">
              <w:t xml:space="preserve">Gough, I. Welfare states and environmental states: a comparative analysis. </w:t>
            </w:r>
            <w:proofErr w:type="spellStart"/>
            <w:r w:rsidRPr="00A00051">
              <w:t>Env</w:t>
            </w:r>
            <w:proofErr w:type="spellEnd"/>
            <w:r w:rsidRPr="00A00051">
              <w:t>. Polit. 25, 24–47 (2016).</w:t>
            </w:r>
          </w:p>
        </w:tc>
        <w:tc>
          <w:tcPr>
            <w:tcW w:w="1166" w:type="dxa"/>
          </w:tcPr>
          <w:p w14:paraId="2B120547" w14:textId="77777777" w:rsidR="00A71C21" w:rsidRDefault="00A00051">
            <w:r>
              <w:t>Environment and climate policy</w:t>
            </w:r>
          </w:p>
        </w:tc>
        <w:tc>
          <w:tcPr>
            <w:tcW w:w="4876" w:type="dxa"/>
          </w:tcPr>
          <w:p w14:paraId="6D614C75" w14:textId="77777777" w:rsidR="00A71C21" w:rsidRDefault="00A71C21"/>
        </w:tc>
      </w:tr>
      <w:tr w:rsidR="00A71C21" w14:paraId="7A0374E5" w14:textId="77777777" w:rsidTr="000B09A9">
        <w:tc>
          <w:tcPr>
            <w:tcW w:w="3020" w:type="dxa"/>
          </w:tcPr>
          <w:p w14:paraId="652CE550" w14:textId="77777777" w:rsidR="00A71C21" w:rsidRDefault="00A00051">
            <w:r w:rsidRPr="00A00051">
              <w:t xml:space="preserve">Lockwood, M., </w:t>
            </w:r>
            <w:proofErr w:type="spellStart"/>
            <w:r w:rsidRPr="00A00051">
              <w:t>Kuzemko</w:t>
            </w:r>
            <w:proofErr w:type="spellEnd"/>
            <w:r w:rsidRPr="00A00051">
              <w:t xml:space="preserve">, C., Mitchell, C. &amp; </w:t>
            </w:r>
            <w:proofErr w:type="spellStart"/>
            <w:r w:rsidRPr="00A00051">
              <w:t>Hoggett</w:t>
            </w:r>
            <w:proofErr w:type="spellEnd"/>
            <w:r w:rsidRPr="00A00051">
              <w:t xml:space="preserve">, R. Historical institutionalism and the politics of sustainable energy </w:t>
            </w:r>
            <w:proofErr w:type="gramStart"/>
            <w:r w:rsidRPr="00A00051">
              <w:t>transitions :</w:t>
            </w:r>
            <w:proofErr w:type="gramEnd"/>
            <w:r w:rsidRPr="00A00051">
              <w:t xml:space="preserve"> A research agenda. (2016). doi:10.1177/0263774X16660561</w:t>
            </w:r>
          </w:p>
        </w:tc>
        <w:tc>
          <w:tcPr>
            <w:tcW w:w="1166" w:type="dxa"/>
          </w:tcPr>
          <w:p w14:paraId="06661EC2" w14:textId="77777777" w:rsidR="00A71C21" w:rsidRDefault="00A71C21"/>
        </w:tc>
        <w:tc>
          <w:tcPr>
            <w:tcW w:w="4876" w:type="dxa"/>
          </w:tcPr>
          <w:p w14:paraId="16B6B326" w14:textId="77777777" w:rsidR="00A71C21" w:rsidRDefault="00A71C21"/>
        </w:tc>
      </w:tr>
      <w:tr w:rsidR="00A00051" w14:paraId="733AB6AC" w14:textId="77777777" w:rsidTr="000B09A9">
        <w:tc>
          <w:tcPr>
            <w:tcW w:w="3020" w:type="dxa"/>
          </w:tcPr>
          <w:p w14:paraId="71A868F4" w14:textId="77777777" w:rsidR="00A00051" w:rsidRPr="00A00051" w:rsidRDefault="00A00051">
            <w:r w:rsidRPr="00A00051">
              <w:t>Helm, D. Government failure, rent-seeking, and capture: The design of climate change policy. Oxford Rev. Econ. Policy 26, 182–196 (2010).</w:t>
            </w:r>
          </w:p>
        </w:tc>
        <w:tc>
          <w:tcPr>
            <w:tcW w:w="1166" w:type="dxa"/>
          </w:tcPr>
          <w:p w14:paraId="64CF4AE8" w14:textId="77777777" w:rsidR="00A00051" w:rsidRDefault="00A00051"/>
        </w:tc>
        <w:tc>
          <w:tcPr>
            <w:tcW w:w="4876" w:type="dxa"/>
          </w:tcPr>
          <w:p w14:paraId="7F798044" w14:textId="77777777" w:rsidR="00A00051" w:rsidRDefault="00A00051"/>
        </w:tc>
      </w:tr>
      <w:tr w:rsidR="00A00051" w14:paraId="0E134569" w14:textId="77777777" w:rsidTr="000B09A9">
        <w:tc>
          <w:tcPr>
            <w:tcW w:w="3020" w:type="dxa"/>
          </w:tcPr>
          <w:p w14:paraId="2E7EDBFF" w14:textId="77777777" w:rsidR="00A00051" w:rsidRPr="00A00051" w:rsidRDefault="00A00051">
            <w:r w:rsidRPr="00A00051">
              <w:t>O’Hara, P. A. Political economy of climate change, ecological destruction and uneven development. Ecol. Econ. 69, 223–234 (2009).</w:t>
            </w:r>
          </w:p>
        </w:tc>
        <w:tc>
          <w:tcPr>
            <w:tcW w:w="1166" w:type="dxa"/>
          </w:tcPr>
          <w:p w14:paraId="53CA94AF" w14:textId="77777777" w:rsidR="00A00051" w:rsidRDefault="00A00051"/>
        </w:tc>
        <w:tc>
          <w:tcPr>
            <w:tcW w:w="4876" w:type="dxa"/>
          </w:tcPr>
          <w:p w14:paraId="1DB6EF9E" w14:textId="77777777" w:rsidR="00A00051" w:rsidRDefault="00A00051"/>
        </w:tc>
      </w:tr>
      <w:tr w:rsidR="00A00051" w14:paraId="52E5A511" w14:textId="77777777" w:rsidTr="000B09A9">
        <w:tc>
          <w:tcPr>
            <w:tcW w:w="3020" w:type="dxa"/>
          </w:tcPr>
          <w:p w14:paraId="145A8BCA" w14:textId="77777777" w:rsidR="00A00051" w:rsidRPr="00A00051" w:rsidRDefault="00A00051">
            <w:r w:rsidRPr="00A00051">
              <w:lastRenderedPageBreak/>
              <w:t>Vogt-</w:t>
            </w:r>
            <w:proofErr w:type="spellStart"/>
            <w:r w:rsidRPr="00A00051">
              <w:t>Schilb</w:t>
            </w:r>
            <w:proofErr w:type="spellEnd"/>
            <w:r w:rsidRPr="00A00051">
              <w:t xml:space="preserve">, A. &amp; </w:t>
            </w:r>
            <w:proofErr w:type="spellStart"/>
            <w:r w:rsidRPr="00A00051">
              <w:t>Hallegatte</w:t>
            </w:r>
            <w:proofErr w:type="spellEnd"/>
            <w:r w:rsidRPr="00A00051">
              <w:t xml:space="preserve">, S. Climate policies and nationally determined contributions: reconciling the needed ambition with the political economy. Wiley </w:t>
            </w:r>
            <w:proofErr w:type="spellStart"/>
            <w:r w:rsidRPr="00A00051">
              <w:t>Interdiscip</w:t>
            </w:r>
            <w:proofErr w:type="spellEnd"/>
            <w:r w:rsidRPr="00A00051">
              <w:t>. Rev. Energy Environ. e256, (2017).</w:t>
            </w:r>
          </w:p>
        </w:tc>
        <w:tc>
          <w:tcPr>
            <w:tcW w:w="1166" w:type="dxa"/>
          </w:tcPr>
          <w:p w14:paraId="70B17229" w14:textId="77777777" w:rsidR="00A00051" w:rsidRDefault="00A00051"/>
        </w:tc>
        <w:tc>
          <w:tcPr>
            <w:tcW w:w="4876" w:type="dxa"/>
          </w:tcPr>
          <w:p w14:paraId="62758E6C" w14:textId="77777777" w:rsidR="00A00051" w:rsidRDefault="00A00051"/>
        </w:tc>
      </w:tr>
    </w:tbl>
    <w:p w14:paraId="4EFA633A" w14:textId="77777777" w:rsidR="00A71C21" w:rsidRDefault="00A71C21"/>
    <w:p w14:paraId="76BD910B" w14:textId="77777777" w:rsidR="00A71C21" w:rsidRPr="00147CCA" w:rsidRDefault="00A71C21"/>
    <w:sectPr w:rsidR="00A71C21" w:rsidRPr="00147CCA" w:rsidSect="009D5D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6E81B" w14:textId="77777777" w:rsidR="000160AA" w:rsidRDefault="000160AA" w:rsidP="009D5D7E">
      <w:pPr>
        <w:spacing w:after="0" w:line="240" w:lineRule="auto"/>
      </w:pPr>
      <w:r>
        <w:separator/>
      </w:r>
    </w:p>
  </w:endnote>
  <w:endnote w:type="continuationSeparator" w:id="0">
    <w:p w14:paraId="73E9346A" w14:textId="77777777" w:rsidR="000160AA" w:rsidRDefault="000160AA" w:rsidP="009D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282376"/>
      <w:docPartObj>
        <w:docPartGallery w:val="Page Numbers (Bottom of Page)"/>
        <w:docPartUnique/>
      </w:docPartObj>
    </w:sdtPr>
    <w:sdtEndPr>
      <w:rPr>
        <w:noProof/>
      </w:rPr>
    </w:sdtEndPr>
    <w:sdtContent>
      <w:p w14:paraId="25343FBA" w14:textId="77777777" w:rsidR="009D5D7E" w:rsidRDefault="009D5D7E">
        <w:pPr>
          <w:pStyle w:val="Footer"/>
          <w:jc w:val="right"/>
        </w:pPr>
        <w:r>
          <w:fldChar w:fldCharType="begin"/>
        </w:r>
        <w:r>
          <w:instrText xml:space="preserve"> PAGE   \* MERGEFORMAT </w:instrText>
        </w:r>
        <w:r>
          <w:fldChar w:fldCharType="separate"/>
        </w:r>
        <w:r w:rsidR="005358F0">
          <w:rPr>
            <w:noProof/>
          </w:rPr>
          <w:t>4</w:t>
        </w:r>
        <w:r>
          <w:rPr>
            <w:noProof/>
          </w:rPr>
          <w:fldChar w:fldCharType="end"/>
        </w:r>
      </w:p>
    </w:sdtContent>
  </w:sdt>
  <w:p w14:paraId="607D7AB1" w14:textId="77777777" w:rsidR="009D5D7E" w:rsidRDefault="009D5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BDDC9" w14:textId="77777777" w:rsidR="000160AA" w:rsidRDefault="000160AA" w:rsidP="009D5D7E">
      <w:pPr>
        <w:spacing w:after="0" w:line="240" w:lineRule="auto"/>
      </w:pPr>
      <w:r>
        <w:separator/>
      </w:r>
    </w:p>
  </w:footnote>
  <w:footnote w:type="continuationSeparator" w:id="0">
    <w:p w14:paraId="6B5EE1D3" w14:textId="77777777" w:rsidR="000160AA" w:rsidRDefault="000160AA" w:rsidP="009D5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66848"/>
    <w:multiLevelType w:val="hybridMultilevel"/>
    <w:tmpl w:val="E1A298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1B651C"/>
    <w:multiLevelType w:val="hybridMultilevel"/>
    <w:tmpl w:val="84ECCF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1425CEA"/>
    <w:multiLevelType w:val="hybridMultilevel"/>
    <w:tmpl w:val="921E23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C"/>
    <w:rsid w:val="00006848"/>
    <w:rsid w:val="000160AA"/>
    <w:rsid w:val="000225BD"/>
    <w:rsid w:val="000255A9"/>
    <w:rsid w:val="0006242B"/>
    <w:rsid w:val="000A1F74"/>
    <w:rsid w:val="000B09A9"/>
    <w:rsid w:val="00126C30"/>
    <w:rsid w:val="00147CCA"/>
    <w:rsid w:val="001518F8"/>
    <w:rsid w:val="00173112"/>
    <w:rsid w:val="00186B65"/>
    <w:rsid w:val="001E1297"/>
    <w:rsid w:val="002424CA"/>
    <w:rsid w:val="002577B4"/>
    <w:rsid w:val="0028612D"/>
    <w:rsid w:val="002B3F8D"/>
    <w:rsid w:val="00347339"/>
    <w:rsid w:val="003846AC"/>
    <w:rsid w:val="003D32A2"/>
    <w:rsid w:val="003D5FFF"/>
    <w:rsid w:val="003F7F51"/>
    <w:rsid w:val="00421F59"/>
    <w:rsid w:val="00485770"/>
    <w:rsid w:val="004D1F30"/>
    <w:rsid w:val="005328E0"/>
    <w:rsid w:val="005358F0"/>
    <w:rsid w:val="005A5DF9"/>
    <w:rsid w:val="005A6D97"/>
    <w:rsid w:val="005F41F0"/>
    <w:rsid w:val="00616C6B"/>
    <w:rsid w:val="00627676"/>
    <w:rsid w:val="00697611"/>
    <w:rsid w:val="006B1463"/>
    <w:rsid w:val="006B65D3"/>
    <w:rsid w:val="006F0A1D"/>
    <w:rsid w:val="00722D8B"/>
    <w:rsid w:val="00743289"/>
    <w:rsid w:val="00757ACE"/>
    <w:rsid w:val="007C7450"/>
    <w:rsid w:val="007F059B"/>
    <w:rsid w:val="00832B4C"/>
    <w:rsid w:val="008713E9"/>
    <w:rsid w:val="00881026"/>
    <w:rsid w:val="00911D46"/>
    <w:rsid w:val="00914971"/>
    <w:rsid w:val="0093589A"/>
    <w:rsid w:val="009424C8"/>
    <w:rsid w:val="00946727"/>
    <w:rsid w:val="009D03E3"/>
    <w:rsid w:val="009D5D7E"/>
    <w:rsid w:val="009E49A4"/>
    <w:rsid w:val="00A00051"/>
    <w:rsid w:val="00A03B93"/>
    <w:rsid w:val="00A35747"/>
    <w:rsid w:val="00A71C21"/>
    <w:rsid w:val="00A9342E"/>
    <w:rsid w:val="00AC5A0E"/>
    <w:rsid w:val="00B44B10"/>
    <w:rsid w:val="00B71DF2"/>
    <w:rsid w:val="00B9299B"/>
    <w:rsid w:val="00BF2996"/>
    <w:rsid w:val="00D526FC"/>
    <w:rsid w:val="00DB10FD"/>
    <w:rsid w:val="00DB1FE5"/>
    <w:rsid w:val="00DB4091"/>
    <w:rsid w:val="00E47D4C"/>
    <w:rsid w:val="00E9741A"/>
    <w:rsid w:val="00EA1348"/>
    <w:rsid w:val="00EA1965"/>
    <w:rsid w:val="00EB421D"/>
    <w:rsid w:val="00EF268E"/>
    <w:rsid w:val="00F50DDE"/>
    <w:rsid w:val="00F90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0801"/>
  <w15:chartTrackingRefBased/>
  <w15:docId w15:val="{190399DE-11D0-4A0D-A0F0-B56296DE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C21"/>
    <w:pPr>
      <w:ind w:left="720"/>
      <w:contextualSpacing/>
    </w:pPr>
  </w:style>
  <w:style w:type="paragraph" w:styleId="Caption">
    <w:name w:val="caption"/>
    <w:basedOn w:val="Normal"/>
    <w:next w:val="Normal"/>
    <w:uiPriority w:val="35"/>
    <w:unhideWhenUsed/>
    <w:qFormat/>
    <w:rsid w:val="00EA19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5D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D7E"/>
  </w:style>
  <w:style w:type="paragraph" w:styleId="Footer">
    <w:name w:val="footer"/>
    <w:basedOn w:val="Normal"/>
    <w:link w:val="FooterChar"/>
    <w:uiPriority w:val="99"/>
    <w:unhideWhenUsed/>
    <w:rsid w:val="009D5D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D7E"/>
  </w:style>
  <w:style w:type="character" w:customStyle="1" w:styleId="Heading1Char">
    <w:name w:val="Heading 1 Char"/>
    <w:basedOn w:val="DefaultParagraphFont"/>
    <w:link w:val="Heading1"/>
    <w:uiPriority w:val="9"/>
    <w:rsid w:val="009D5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D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26C30"/>
    <w:rPr>
      <w:sz w:val="16"/>
      <w:szCs w:val="16"/>
    </w:rPr>
  </w:style>
  <w:style w:type="paragraph" w:styleId="CommentText">
    <w:name w:val="annotation text"/>
    <w:basedOn w:val="Normal"/>
    <w:link w:val="CommentTextChar"/>
    <w:uiPriority w:val="99"/>
    <w:semiHidden/>
    <w:unhideWhenUsed/>
    <w:rsid w:val="00126C30"/>
    <w:pPr>
      <w:spacing w:line="240" w:lineRule="auto"/>
    </w:pPr>
    <w:rPr>
      <w:sz w:val="20"/>
      <w:szCs w:val="20"/>
    </w:rPr>
  </w:style>
  <w:style w:type="character" w:customStyle="1" w:styleId="CommentTextChar">
    <w:name w:val="Comment Text Char"/>
    <w:basedOn w:val="DefaultParagraphFont"/>
    <w:link w:val="CommentText"/>
    <w:uiPriority w:val="99"/>
    <w:semiHidden/>
    <w:rsid w:val="00126C30"/>
    <w:rPr>
      <w:sz w:val="20"/>
      <w:szCs w:val="20"/>
    </w:rPr>
  </w:style>
  <w:style w:type="paragraph" w:styleId="CommentSubject">
    <w:name w:val="annotation subject"/>
    <w:basedOn w:val="CommentText"/>
    <w:next w:val="CommentText"/>
    <w:link w:val="CommentSubjectChar"/>
    <w:uiPriority w:val="99"/>
    <w:semiHidden/>
    <w:unhideWhenUsed/>
    <w:rsid w:val="00126C30"/>
    <w:rPr>
      <w:b/>
      <w:bCs/>
    </w:rPr>
  </w:style>
  <w:style w:type="character" w:customStyle="1" w:styleId="CommentSubjectChar">
    <w:name w:val="Comment Subject Char"/>
    <w:basedOn w:val="CommentTextChar"/>
    <w:link w:val="CommentSubject"/>
    <w:uiPriority w:val="99"/>
    <w:semiHidden/>
    <w:rsid w:val="00126C30"/>
    <w:rPr>
      <w:b/>
      <w:bCs/>
      <w:sz w:val="20"/>
      <w:szCs w:val="20"/>
    </w:rPr>
  </w:style>
  <w:style w:type="paragraph" w:styleId="BalloonText">
    <w:name w:val="Balloon Text"/>
    <w:basedOn w:val="Normal"/>
    <w:link w:val="BalloonTextChar"/>
    <w:uiPriority w:val="99"/>
    <w:semiHidden/>
    <w:unhideWhenUsed/>
    <w:rsid w:val="00126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C30"/>
    <w:rPr>
      <w:rFonts w:ascii="Segoe UI" w:hAnsi="Segoe UI" w:cs="Segoe UI"/>
      <w:sz w:val="18"/>
      <w:szCs w:val="18"/>
    </w:rPr>
  </w:style>
  <w:style w:type="paragraph" w:styleId="Revision">
    <w:name w:val="Revision"/>
    <w:hidden/>
    <w:uiPriority w:val="99"/>
    <w:semiHidden/>
    <w:rsid w:val="00E974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82845">
      <w:bodyDiv w:val="1"/>
      <w:marLeft w:val="0"/>
      <w:marRight w:val="0"/>
      <w:marTop w:val="0"/>
      <w:marBottom w:val="0"/>
      <w:divBdr>
        <w:top w:val="none" w:sz="0" w:space="0" w:color="auto"/>
        <w:left w:val="none" w:sz="0" w:space="0" w:color="auto"/>
        <w:bottom w:val="none" w:sz="0" w:space="0" w:color="auto"/>
        <w:right w:val="none" w:sz="0" w:space="0" w:color="auto"/>
      </w:divBdr>
    </w:div>
    <w:div w:id="679553171">
      <w:bodyDiv w:val="1"/>
      <w:marLeft w:val="0"/>
      <w:marRight w:val="0"/>
      <w:marTop w:val="0"/>
      <w:marBottom w:val="0"/>
      <w:divBdr>
        <w:top w:val="none" w:sz="0" w:space="0" w:color="auto"/>
        <w:left w:val="none" w:sz="0" w:space="0" w:color="auto"/>
        <w:bottom w:val="none" w:sz="0" w:space="0" w:color="auto"/>
        <w:right w:val="none" w:sz="0" w:space="0" w:color="auto"/>
      </w:divBdr>
    </w:div>
    <w:div w:id="834147389">
      <w:bodyDiv w:val="1"/>
      <w:marLeft w:val="0"/>
      <w:marRight w:val="0"/>
      <w:marTop w:val="0"/>
      <w:marBottom w:val="0"/>
      <w:divBdr>
        <w:top w:val="none" w:sz="0" w:space="0" w:color="auto"/>
        <w:left w:val="none" w:sz="0" w:space="0" w:color="auto"/>
        <w:bottom w:val="none" w:sz="0" w:space="0" w:color="auto"/>
        <w:right w:val="none" w:sz="0" w:space="0" w:color="auto"/>
      </w:divBdr>
    </w:div>
    <w:div w:id="1314987684">
      <w:bodyDiv w:val="1"/>
      <w:marLeft w:val="0"/>
      <w:marRight w:val="0"/>
      <w:marTop w:val="0"/>
      <w:marBottom w:val="0"/>
      <w:divBdr>
        <w:top w:val="none" w:sz="0" w:space="0" w:color="auto"/>
        <w:left w:val="none" w:sz="0" w:space="0" w:color="auto"/>
        <w:bottom w:val="none" w:sz="0" w:space="0" w:color="auto"/>
        <w:right w:val="none" w:sz="0" w:space="0" w:color="auto"/>
      </w:divBdr>
    </w:div>
    <w:div w:id="1467505142">
      <w:bodyDiv w:val="1"/>
      <w:marLeft w:val="0"/>
      <w:marRight w:val="0"/>
      <w:marTop w:val="0"/>
      <w:marBottom w:val="0"/>
      <w:divBdr>
        <w:top w:val="none" w:sz="0" w:space="0" w:color="auto"/>
        <w:left w:val="none" w:sz="0" w:space="0" w:color="auto"/>
        <w:bottom w:val="none" w:sz="0" w:space="0" w:color="auto"/>
        <w:right w:val="none" w:sz="0" w:space="0" w:color="auto"/>
      </w:divBdr>
    </w:div>
    <w:div w:id="1796215475">
      <w:bodyDiv w:val="1"/>
      <w:marLeft w:val="0"/>
      <w:marRight w:val="0"/>
      <w:marTop w:val="0"/>
      <w:marBottom w:val="0"/>
      <w:divBdr>
        <w:top w:val="none" w:sz="0" w:space="0" w:color="auto"/>
        <w:left w:val="none" w:sz="0" w:space="0" w:color="auto"/>
        <w:bottom w:val="none" w:sz="0" w:space="0" w:color="auto"/>
        <w:right w:val="none" w:sz="0" w:space="0" w:color="auto"/>
      </w:divBdr>
    </w:div>
    <w:div w:id="1891529505">
      <w:bodyDiv w:val="1"/>
      <w:marLeft w:val="0"/>
      <w:marRight w:val="0"/>
      <w:marTop w:val="0"/>
      <w:marBottom w:val="0"/>
      <w:divBdr>
        <w:top w:val="none" w:sz="0" w:space="0" w:color="auto"/>
        <w:left w:val="none" w:sz="0" w:space="0" w:color="auto"/>
        <w:bottom w:val="none" w:sz="0" w:space="0" w:color="auto"/>
        <w:right w:val="none" w:sz="0" w:space="0" w:color="auto"/>
      </w:divBdr>
    </w:div>
    <w:div w:id="20695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23</cp:revision>
  <dcterms:created xsi:type="dcterms:W3CDTF">2018-09-17T08:33:00Z</dcterms:created>
  <dcterms:modified xsi:type="dcterms:W3CDTF">2018-10-10T08:44:00Z</dcterms:modified>
</cp:coreProperties>
</file>