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E170FA" w14:textId="67A6CB0B" w:rsidR="0087378A" w:rsidRPr="006B1E7A" w:rsidRDefault="002D66C4" w:rsidP="00467D4F">
      <w:pPr>
        <w:rPr>
          <w:b/>
          <w:sz w:val="28"/>
          <w:lang w:val="en-GB"/>
        </w:rPr>
      </w:pPr>
      <w:r w:rsidRPr="006B1E7A">
        <w:rPr>
          <w:b/>
          <w:sz w:val="28"/>
          <w:lang w:val="en-GB"/>
        </w:rPr>
        <w:t>The</w:t>
      </w:r>
      <w:r w:rsidR="00E3654A" w:rsidRPr="006B1E7A">
        <w:rPr>
          <w:b/>
          <w:sz w:val="28"/>
          <w:lang w:val="en-GB"/>
        </w:rPr>
        <w:t xml:space="preserve"> size and</w:t>
      </w:r>
      <w:r w:rsidRPr="006B1E7A">
        <w:rPr>
          <w:b/>
          <w:sz w:val="28"/>
          <w:lang w:val="en-GB"/>
        </w:rPr>
        <w:t xml:space="preserve"> composition of residual emissions</w:t>
      </w:r>
      <w:r w:rsidR="004F7D2D" w:rsidRPr="006B1E7A">
        <w:rPr>
          <w:b/>
          <w:sz w:val="28"/>
          <w:lang w:val="en-GB"/>
        </w:rPr>
        <w:t xml:space="preserve"> in </w:t>
      </w:r>
      <w:r w:rsidR="008B5913">
        <w:rPr>
          <w:b/>
          <w:sz w:val="28"/>
          <w:lang w:val="en-GB"/>
        </w:rPr>
        <w:t xml:space="preserve">integrated assessment </w:t>
      </w:r>
      <w:r w:rsidR="004F7D2D" w:rsidRPr="006B1E7A">
        <w:rPr>
          <w:b/>
          <w:sz w:val="28"/>
          <w:lang w:val="en-GB"/>
        </w:rPr>
        <w:t>scenarios</w:t>
      </w:r>
      <w:r w:rsidR="00203DB1" w:rsidRPr="006B1E7A">
        <w:rPr>
          <w:b/>
          <w:sz w:val="28"/>
          <w:lang w:val="en-GB"/>
        </w:rPr>
        <w:t xml:space="preserve"> at net-zero CO</w:t>
      </w:r>
      <w:r w:rsidR="00203DB1" w:rsidRPr="006B1E7A">
        <w:rPr>
          <w:b/>
          <w:sz w:val="28"/>
          <w:vertAlign w:val="subscript"/>
          <w:lang w:val="en-GB"/>
        </w:rPr>
        <w:t>2</w:t>
      </w:r>
    </w:p>
    <w:p w14:paraId="23B80C93" w14:textId="77777777" w:rsidR="00467D4F" w:rsidRDefault="00467D4F">
      <w:pPr>
        <w:rPr>
          <w:lang w:val="en-GB"/>
        </w:rPr>
      </w:pPr>
      <w:r>
        <w:rPr>
          <w:lang w:val="en-GB"/>
        </w:rPr>
        <w:t>William F. Lamb</w:t>
      </w:r>
      <w:r w:rsidRPr="00467D4F">
        <w:rPr>
          <w:vertAlign w:val="superscript"/>
          <w:lang w:val="en-GB"/>
        </w:rPr>
        <w:t>1</w:t>
      </w:r>
      <w:proofErr w:type="gramStart"/>
      <w:r w:rsidRPr="00467D4F">
        <w:rPr>
          <w:vertAlign w:val="superscript"/>
          <w:lang w:val="en-GB"/>
        </w:rPr>
        <w:t>,2</w:t>
      </w:r>
      <w:proofErr w:type="gramEnd"/>
      <w:r w:rsidRPr="00467D4F">
        <w:rPr>
          <w:vertAlign w:val="superscript"/>
          <w:lang w:val="en-GB"/>
        </w:rPr>
        <w:t>,*</w:t>
      </w:r>
    </w:p>
    <w:p w14:paraId="66C73080" w14:textId="77777777" w:rsidR="006B1E7A" w:rsidRPr="006B1E7A" w:rsidRDefault="006B1E7A" w:rsidP="006B1E7A">
      <w:pPr>
        <w:spacing w:after="0"/>
        <w:rPr>
          <w:i/>
          <w:lang w:val="en-GB"/>
        </w:rPr>
      </w:pPr>
      <w:r>
        <w:rPr>
          <w:i/>
          <w:vertAlign w:val="superscript"/>
          <w:lang w:val="en-GB"/>
        </w:rPr>
        <w:t>1</w:t>
      </w:r>
      <w:r w:rsidRPr="006B1E7A">
        <w:rPr>
          <w:i/>
          <w:lang w:val="en-GB"/>
        </w:rPr>
        <w:t xml:space="preserve"> Mercator Research Institute on Global Commons and Climate Change (MCC)</w:t>
      </w:r>
    </w:p>
    <w:p w14:paraId="029C9B2F" w14:textId="77777777" w:rsidR="006B1E7A" w:rsidRPr="009137D7" w:rsidRDefault="006B1E7A" w:rsidP="006B1E7A">
      <w:pPr>
        <w:spacing w:after="0"/>
        <w:rPr>
          <w:i/>
          <w:lang w:val="en-GB"/>
        </w:rPr>
      </w:pPr>
      <w:r w:rsidRPr="009137D7">
        <w:rPr>
          <w:i/>
          <w:vertAlign w:val="superscript"/>
          <w:lang w:val="en-GB"/>
        </w:rPr>
        <w:t>2</w:t>
      </w:r>
      <w:r w:rsidRPr="009137D7">
        <w:rPr>
          <w:i/>
          <w:lang w:val="en-GB"/>
        </w:rPr>
        <w:t xml:space="preserve"> University of Leeds</w:t>
      </w:r>
    </w:p>
    <w:p w14:paraId="4CFA1724" w14:textId="77777777" w:rsidR="009137D7" w:rsidRPr="009137D7" w:rsidRDefault="009137D7" w:rsidP="009137D7">
      <w:pPr>
        <w:spacing w:after="0"/>
        <w:rPr>
          <w:i/>
          <w:lang w:val="en-GB"/>
        </w:rPr>
      </w:pPr>
      <w:r w:rsidRPr="009137D7">
        <w:rPr>
          <w:i/>
          <w:vertAlign w:val="superscript"/>
          <w:lang w:val="en-GB"/>
        </w:rPr>
        <w:t>*</w:t>
      </w:r>
      <w:r w:rsidRPr="009137D7">
        <w:rPr>
          <w:i/>
          <w:lang w:val="en-GB"/>
        </w:rPr>
        <w:t xml:space="preserve"> lamb@mcc-berlin.net</w:t>
      </w:r>
    </w:p>
    <w:p w14:paraId="31569B58" w14:textId="77777777" w:rsidR="006B1E7A" w:rsidRDefault="006B1E7A">
      <w:pPr>
        <w:rPr>
          <w:lang w:val="en-GB"/>
        </w:rPr>
      </w:pPr>
    </w:p>
    <w:p w14:paraId="62925296" w14:textId="77777777" w:rsidR="00467D4F" w:rsidRPr="00B34A0D" w:rsidRDefault="00467D4F">
      <w:pPr>
        <w:rPr>
          <w:b/>
          <w:lang w:val="en-GB"/>
        </w:rPr>
      </w:pPr>
      <w:r w:rsidRPr="00B34A0D">
        <w:rPr>
          <w:b/>
          <w:lang w:val="en-GB"/>
        </w:rPr>
        <w:t>Abstract</w:t>
      </w:r>
    </w:p>
    <w:p w14:paraId="6B29F283" w14:textId="33FACDA5" w:rsidR="009E05A9" w:rsidRDefault="008B5913" w:rsidP="00BF0B3A">
      <w:pPr>
        <w:rPr>
          <w:lang w:val="en-GB"/>
        </w:rPr>
      </w:pPr>
      <w:r>
        <w:rPr>
          <w:lang w:val="en-GB"/>
        </w:rPr>
        <w:t>Residual emissions are an important category of analysis in climate targets and scenarios, describing the emissions that would need to be compensated by carbon dioxide removal to reach net zero CO</w:t>
      </w:r>
      <w:r w:rsidRPr="008B5913">
        <w:rPr>
          <w:vertAlign w:val="subscript"/>
          <w:lang w:val="en-GB"/>
        </w:rPr>
        <w:t>2</w:t>
      </w:r>
      <w:r>
        <w:rPr>
          <w:lang w:val="en-GB"/>
        </w:rPr>
        <w:t xml:space="preserve">. This article sheds light on the size and composition of residual emissions in integrated assessment </w:t>
      </w:r>
      <w:r w:rsidR="00545D64">
        <w:rPr>
          <w:lang w:val="en-GB"/>
        </w:rPr>
        <w:t xml:space="preserve">modelling (IAM) </w:t>
      </w:r>
      <w:r>
        <w:rPr>
          <w:lang w:val="en-GB"/>
        </w:rPr>
        <w:t>scenarios at net-zero CO</w:t>
      </w:r>
      <w:r w:rsidRPr="008B5913">
        <w:rPr>
          <w:vertAlign w:val="subscript"/>
          <w:lang w:val="en-GB"/>
        </w:rPr>
        <w:t>2</w:t>
      </w:r>
      <w:r w:rsidR="009E1D78">
        <w:rPr>
          <w:lang w:val="en-GB"/>
        </w:rPr>
        <w:t>, using the Inter</w:t>
      </w:r>
      <w:r w:rsidR="006E1A3C">
        <w:rPr>
          <w:lang w:val="en-GB"/>
        </w:rPr>
        <w:t>governmental Panel on Climate Change (IPCC) 6</w:t>
      </w:r>
      <w:r w:rsidR="006E1A3C" w:rsidRPr="006E1A3C">
        <w:rPr>
          <w:vertAlign w:val="superscript"/>
          <w:lang w:val="en-GB"/>
        </w:rPr>
        <w:t>th</w:t>
      </w:r>
      <w:r w:rsidR="006E1A3C">
        <w:rPr>
          <w:lang w:val="en-GB"/>
        </w:rPr>
        <w:t xml:space="preserve"> Assessment Report </w:t>
      </w:r>
      <w:r w:rsidR="00BF0B3A">
        <w:rPr>
          <w:lang w:val="en-GB"/>
        </w:rPr>
        <w:t xml:space="preserve">(AR6) </w:t>
      </w:r>
      <w:r w:rsidR="006E1A3C">
        <w:rPr>
          <w:lang w:val="en-GB"/>
        </w:rPr>
        <w:t xml:space="preserve">scenario database. </w:t>
      </w:r>
      <w:r w:rsidR="00545D64">
        <w:rPr>
          <w:lang w:val="en-GB"/>
        </w:rPr>
        <w:t xml:space="preserve">I find that IAMs depict residual emissions levels of 16 </w:t>
      </w:r>
      <w:r w:rsidR="00545D64" w:rsidRPr="00BA26AB">
        <w:rPr>
          <w:rFonts w:ascii="Calibri" w:hAnsi="Calibri" w:cs="Calibri"/>
          <w:color w:val="000000"/>
          <w:lang w:val="en-GB"/>
        </w:rPr>
        <w:t>[13-22]</w:t>
      </w:r>
      <w:r w:rsidR="00545D64">
        <w:rPr>
          <w:rFonts w:ascii="Calibri" w:hAnsi="Calibri" w:cs="Calibri"/>
          <w:color w:val="000000"/>
          <w:lang w:val="en-GB"/>
        </w:rPr>
        <w:t xml:space="preserve"> GtCO</w:t>
      </w:r>
      <w:r w:rsidR="00545D64" w:rsidRPr="00BA26AB">
        <w:rPr>
          <w:rFonts w:ascii="Calibri" w:hAnsi="Calibri" w:cs="Calibri"/>
          <w:color w:val="000000"/>
          <w:vertAlign w:val="subscript"/>
          <w:lang w:val="en-GB"/>
        </w:rPr>
        <w:t>2</w:t>
      </w:r>
      <w:r w:rsidR="00545D64">
        <w:rPr>
          <w:rFonts w:ascii="Calibri" w:hAnsi="Calibri" w:cs="Calibri"/>
          <w:color w:val="000000"/>
          <w:lang w:val="en-GB"/>
        </w:rPr>
        <w:t>e/</w:t>
      </w:r>
      <w:proofErr w:type="spellStart"/>
      <w:r w:rsidR="00545D64">
        <w:rPr>
          <w:rFonts w:ascii="Calibri" w:hAnsi="Calibri" w:cs="Calibri"/>
          <w:color w:val="000000"/>
          <w:lang w:val="en-GB"/>
        </w:rPr>
        <w:t>yr</w:t>
      </w:r>
      <w:proofErr w:type="spellEnd"/>
      <w:r w:rsidR="00545D64">
        <w:rPr>
          <w:rFonts w:ascii="Calibri" w:hAnsi="Calibri" w:cs="Calibri"/>
          <w:color w:val="000000"/>
          <w:lang w:val="en-GB"/>
        </w:rPr>
        <w:t xml:space="preserve"> across below 1.5°C, below 1.5°C with overshoot</w:t>
      </w:r>
      <w:r w:rsidR="009E05A9">
        <w:rPr>
          <w:rFonts w:ascii="Calibri" w:hAnsi="Calibri" w:cs="Calibri"/>
          <w:color w:val="000000"/>
          <w:lang w:val="en-GB"/>
        </w:rPr>
        <w:t>,</w:t>
      </w:r>
      <w:r w:rsidR="00545D64">
        <w:rPr>
          <w:rFonts w:ascii="Calibri" w:hAnsi="Calibri" w:cs="Calibri"/>
          <w:color w:val="000000"/>
          <w:lang w:val="en-GB"/>
        </w:rPr>
        <w:t xml:space="preserve"> and below 2°C scenarios</w:t>
      </w:r>
      <w:r w:rsidR="006E1A3C">
        <w:rPr>
          <w:rFonts w:ascii="Calibri" w:hAnsi="Calibri" w:cs="Calibri"/>
          <w:color w:val="000000"/>
          <w:lang w:val="en-GB"/>
        </w:rPr>
        <w:t xml:space="preserve"> - representing</w:t>
      </w:r>
      <w:r w:rsidR="00545D64">
        <w:rPr>
          <w:rFonts w:ascii="Calibri" w:hAnsi="Calibri" w:cs="Calibri"/>
          <w:color w:val="000000"/>
          <w:lang w:val="en-GB"/>
        </w:rPr>
        <w:t xml:space="preserve"> gross emissions reductions of </w:t>
      </w:r>
      <w:r w:rsidR="00545D64">
        <w:rPr>
          <w:lang w:val="en-GB"/>
        </w:rPr>
        <w:t>71 [62-77] % from 2020 to the point of net zero CO</w:t>
      </w:r>
      <w:r w:rsidR="00545D64" w:rsidRPr="00545D64">
        <w:rPr>
          <w:vertAlign w:val="subscript"/>
          <w:lang w:val="en-GB"/>
        </w:rPr>
        <w:t>2</w:t>
      </w:r>
      <w:r w:rsidR="00545D64">
        <w:rPr>
          <w:lang w:val="en-GB"/>
        </w:rPr>
        <w:t>.</w:t>
      </w:r>
      <w:r w:rsidR="002F7F1E">
        <w:rPr>
          <w:lang w:val="en-GB"/>
        </w:rPr>
        <w:t xml:space="preserve"> </w:t>
      </w:r>
      <w:r w:rsidR="009E05A9">
        <w:rPr>
          <w:lang w:val="en-GB"/>
        </w:rPr>
        <w:t>Emissions from livestock, agriculture</w:t>
      </w:r>
      <w:r w:rsidR="00D45D04">
        <w:rPr>
          <w:lang w:val="en-GB"/>
        </w:rPr>
        <w:t xml:space="preserve">, transport, waste </w:t>
      </w:r>
      <w:r w:rsidR="009E05A9">
        <w:rPr>
          <w:lang w:val="en-GB"/>
        </w:rPr>
        <w:t xml:space="preserve">and industrial processes remain most prevalent at net zero, with scenario averages tending to depict significantly lower reduction rates and higher residual emissions than those recently published in corporate net zero standards. Nonetheless, scenarios depict a wide range of outcomes across all of these ‘hard-to-abate’ sectors, with lower values characterised by demand-side shifts in the food and energy system, alongside </w:t>
      </w:r>
      <w:r w:rsidR="009E1D78">
        <w:rPr>
          <w:lang w:val="en-GB"/>
        </w:rPr>
        <w:t xml:space="preserve">the </w:t>
      </w:r>
      <w:r w:rsidR="009E05A9">
        <w:rPr>
          <w:lang w:val="en-GB"/>
        </w:rPr>
        <w:t xml:space="preserve">rapid electrification </w:t>
      </w:r>
      <w:r w:rsidR="009E1D78">
        <w:rPr>
          <w:lang w:val="en-GB"/>
        </w:rPr>
        <w:t xml:space="preserve">of end-use sectors </w:t>
      </w:r>
      <w:r w:rsidR="009E05A9">
        <w:rPr>
          <w:lang w:val="en-GB"/>
        </w:rPr>
        <w:t xml:space="preserve">and limits on CDR scaling. </w:t>
      </w:r>
      <w:r w:rsidR="00BF0B3A">
        <w:rPr>
          <w:lang w:val="en-GB"/>
        </w:rPr>
        <w:t>C</w:t>
      </w:r>
      <w:r w:rsidR="009E1D78">
        <w:rPr>
          <w:lang w:val="en-GB"/>
        </w:rPr>
        <w:t xml:space="preserve">urrent scenario reporting </w:t>
      </w:r>
      <w:r w:rsidR="00BF0B3A">
        <w:rPr>
          <w:lang w:val="en-GB"/>
        </w:rPr>
        <w:t>does not easily facilitate the calculation of gross emissions from the AR6 database, which would be a prerequisite to a more systematic exploration of the residual emissions frontier and its implications for climate policy.</w:t>
      </w:r>
    </w:p>
    <w:p w14:paraId="52E9C57A" w14:textId="67F780F9" w:rsidR="00467D4F" w:rsidRDefault="00467D4F">
      <w:pPr>
        <w:rPr>
          <w:lang w:val="en-GB"/>
        </w:rPr>
      </w:pPr>
      <w:r>
        <w:rPr>
          <w:lang w:val="en-GB"/>
        </w:rPr>
        <w:t>Keywords</w:t>
      </w:r>
      <w:r w:rsidR="006A493C">
        <w:rPr>
          <w:lang w:val="en-GB"/>
        </w:rPr>
        <w:t>: climate change, greenhouse gas emissions, residual emissions, carbon dioxide removal</w:t>
      </w:r>
    </w:p>
    <w:p w14:paraId="6D49AED0" w14:textId="77777777" w:rsidR="00467D4F" w:rsidRDefault="00467D4F">
      <w:pPr>
        <w:rPr>
          <w:lang w:val="en-GB"/>
        </w:rPr>
      </w:pPr>
    </w:p>
    <w:p w14:paraId="0A9A7F69" w14:textId="77777777" w:rsidR="00203DB1" w:rsidRPr="00182512" w:rsidRDefault="00E3654A" w:rsidP="00E3654A">
      <w:pPr>
        <w:pStyle w:val="Listenabsatz"/>
        <w:numPr>
          <w:ilvl w:val="0"/>
          <w:numId w:val="5"/>
        </w:numPr>
        <w:rPr>
          <w:b/>
          <w:lang w:val="en-GB"/>
        </w:rPr>
      </w:pPr>
      <w:r w:rsidRPr="00182512">
        <w:rPr>
          <w:b/>
          <w:lang w:val="en-GB"/>
        </w:rPr>
        <w:t>Introduction</w:t>
      </w:r>
    </w:p>
    <w:p w14:paraId="0448423D" w14:textId="0D07BEB0" w:rsidR="00CB20C7" w:rsidRPr="00235718" w:rsidRDefault="00CB20C7" w:rsidP="00235718">
      <w:pPr>
        <w:rPr>
          <w:lang w:val="en-GB"/>
        </w:rPr>
      </w:pPr>
      <w:r>
        <w:rPr>
          <w:lang w:val="en-GB"/>
        </w:rPr>
        <w:t xml:space="preserve">Net-zero </w:t>
      </w:r>
      <w:r w:rsidRPr="004D6011">
        <w:rPr>
          <w:lang w:val="en-GB"/>
        </w:rPr>
        <w:t>CO</w:t>
      </w:r>
      <w:r w:rsidRPr="004D6011">
        <w:rPr>
          <w:vertAlign w:val="subscript"/>
          <w:lang w:val="en-GB"/>
        </w:rPr>
        <w:t>2</w:t>
      </w:r>
      <w:r w:rsidRPr="00CB20C7">
        <w:rPr>
          <w:lang w:val="en-GB"/>
        </w:rPr>
        <w:t xml:space="preserve"> implies </w:t>
      </w:r>
      <w:r>
        <w:rPr>
          <w:lang w:val="en-GB"/>
        </w:rPr>
        <w:t xml:space="preserve">a period of deep reductions in fossil fuel use and deforestation, followed by a balance of emissions and carbon dioxide removals. This future state would be a </w:t>
      </w:r>
      <w:r w:rsidR="00525DBA">
        <w:rPr>
          <w:lang w:val="en-GB"/>
        </w:rPr>
        <w:t>necessary condition for</w:t>
      </w:r>
      <w:r>
        <w:rPr>
          <w:lang w:val="en-GB"/>
        </w:rPr>
        <w:t xml:space="preserve"> stabilising temperatures and limiting dangerous climate change </w:t>
      </w:r>
      <w:r>
        <w:rPr>
          <w:lang w:val="en-GB"/>
        </w:rPr>
        <w:fldChar w:fldCharType="begin"/>
      </w:r>
      <w:r>
        <w:rPr>
          <w:lang w:val="en-GB"/>
        </w:rPr>
        <w:instrText xml:space="preserve"> ADDIN ZOTERO_ITEM CSL_CITATION {"citationID":"YJtSvufj","properties":{"formattedCitation":"(Allen {\\i{}et al} 2022, Fankhauser {\\i{}et al} 2022)","plainCitation":"(Allen et al 2022, Fankhauser et al 2022)","noteIndex":0},"citationItems":[{"id":13195,"uris":["http://zotero.org/users/6250806/items/JQ6MW82W"],"itemData":{"id":13195,"type":"article-journal","abstract":"This review explains the science behind the drive for global net zero emissions and why this is needed to halt the ongoing rise in global temperatures. We document how the concept of net zero carbon dioxide (CO\n              2\n              ) emissions emerged from an earlier focus on stabilization of atmospheric greenhouse gas concentrations. Using simple conceptual models of the coupled climate–carbon cycle system, we explain why approximately net zero CO\n              2\n              emissions and declining net energy imbalance due to other climate drivers are required to halt global warming on multidecadal timescales, introducing important concepts, including the rate of adjustment to constant forcing and the rate of adjustment to zero emissions. The concept of net zero was taken up through the 5th Assessment Report of the Intergovernmental Panel on Climate Change and the United Nations Framework Convention on Climate Change (UNFCCC) Structured Expert Dialogue, culminating in Article 4 of the 2015 Paris Agreement. Increasing numbers of net zero targets have since been adopted by countries, cities, corporations, and investors. The degree to which any entity can claim to have achieved net zero while continuing to rely on distinct removals to compensate for ongoing emissions is at the heart of current debates over carbon markets and offsetting both inside and outside the UNFCCC. We argue that what matters here is not the precise makeup of a basket of emissions and removals at any given point in time, but the sustainability of a net zero strategy as a whole and its implications for global temperature over multidecadal timescales. Durable, climate-neutral net zero strategies require like-for-like balancing of anthropogenic greenhouse gases sources and sinks in terms of both origin (biogenic versus geological) and gas lifetime.\n            \n            Expected final online publication date for the Annual Review of Environment and Resources, Volume 47 is October 2022. Please see http://www.annualreviews.org/page/journal/pubdates for revised estimates.","container-title":"Annual Review of Environment and Resources","DOI":"10.1146/annurev-environ-112320-105050","ISSN":"1543-5938, 1545-2050","issue":"1","journalAbbreviation":"Annu. Rev. Environ. Resour.","language":"en","page":"annurev-environ-112320-105050","source":"DOI.org (Crossref)","title":"Net Zero: Science, Origins, and Implications","title-short":"Net Zero","volume":"47","author":[{"family":"Allen","given":"Myles R."},{"family":"Friedlingstein","given":"Pierre"},{"family":"Girardin","given":"Cécile A.J."},{"family":"Jenkins","given":"Stuart"},{"family":"Malhi","given":"Yadvinder"},{"family":"Mitchell-Larson","given":"Eli"},{"family":"Peters","given":"Glen P."},{"family":"Rajamani","given":"Lavanya"}],"issued":{"date-parts":[["2022",10,17]]},"citation-key":"allenNetZeroScience2022"}},{"id":12971,"uris":["http://zotero.org/users/6250806/items/786EPUTC"],"itemData":{"id":12971,"type":"article-journal","container-title":"Nature Climate Change","DOI":"10.1038/s41558-021-01245-w","ISSN":"1758-678X, 1758-6798","issue":"1","journalAbbreviation":"Nat. Clim. Chang.","language":"en","page":"15-21","source":"DOI.org (Crossref)","title":"The meaning of net zero and how to get it right","volume":"12","author":[{"family":"Fankhauser","given":"Sam"},{"family":"Smith","given":"Stephen M."},{"family":"Allen","given":"Myles"},{"family":"Axelsson","given":"Kaya"},{"family":"Hale","given":"Thomas"},{"family":"Hepburn","given":"Cameron"},{"family":"Kendall","given":"J. Michael"},{"family":"Khosla","given":"Radhika"},{"family":"Lezaun","given":"Javier"},{"family":"Mitchell-Larson","given":"Eli"},{"family":"Obersteiner","given":"Michael"},{"family":"Rajamani","given":"Lavanya"},{"family":"Rickaby","given":"Rosalind"},{"family":"Seddon","given":"Nathalie"},{"family":"Wetzer","given":"Thom"}],"issued":{"date-parts":[["2022",1]]},"citation-key":"fankhauserMeaningNetZero2022"}}],"schema":"https://github.com/citation-style-language/schema/raw/master/csl-citation.json"} </w:instrText>
      </w:r>
      <w:r>
        <w:rPr>
          <w:lang w:val="en-GB"/>
        </w:rPr>
        <w:fldChar w:fldCharType="separate"/>
      </w:r>
      <w:r w:rsidR="00B34A0D" w:rsidRPr="00235718">
        <w:rPr>
          <w:rFonts w:ascii="Calibri" w:hAnsi="Calibri" w:cs="Calibri"/>
          <w:szCs w:val="24"/>
          <w:lang w:val="en-GB"/>
        </w:rPr>
        <w:t xml:space="preserve">(Allen </w:t>
      </w:r>
      <w:r w:rsidR="00B34A0D" w:rsidRPr="00235718">
        <w:rPr>
          <w:rFonts w:ascii="Calibri" w:hAnsi="Calibri" w:cs="Calibri"/>
          <w:i/>
          <w:iCs/>
          <w:szCs w:val="24"/>
          <w:lang w:val="en-GB"/>
        </w:rPr>
        <w:t>et al</w:t>
      </w:r>
      <w:r w:rsidR="00B34A0D" w:rsidRPr="00235718">
        <w:rPr>
          <w:rFonts w:ascii="Calibri" w:hAnsi="Calibri" w:cs="Calibri"/>
          <w:szCs w:val="24"/>
          <w:lang w:val="en-GB"/>
        </w:rPr>
        <w:t xml:space="preserve"> 2022, Fankhauser </w:t>
      </w:r>
      <w:r w:rsidR="00B34A0D" w:rsidRPr="00235718">
        <w:rPr>
          <w:rFonts w:ascii="Calibri" w:hAnsi="Calibri" w:cs="Calibri"/>
          <w:i/>
          <w:iCs/>
          <w:szCs w:val="24"/>
          <w:lang w:val="en-GB"/>
        </w:rPr>
        <w:t>et al</w:t>
      </w:r>
      <w:r w:rsidR="00B34A0D" w:rsidRPr="00235718">
        <w:rPr>
          <w:rFonts w:ascii="Calibri" w:hAnsi="Calibri" w:cs="Calibri"/>
          <w:szCs w:val="24"/>
          <w:lang w:val="en-GB"/>
        </w:rPr>
        <w:t xml:space="preserve"> 2022)</w:t>
      </w:r>
      <w:r>
        <w:rPr>
          <w:lang w:val="en-GB"/>
        </w:rPr>
        <w:fldChar w:fldCharType="end"/>
      </w:r>
      <w:r>
        <w:rPr>
          <w:lang w:val="en-GB"/>
        </w:rPr>
        <w:t xml:space="preserve">. </w:t>
      </w:r>
      <w:r w:rsidR="00235718">
        <w:rPr>
          <w:lang w:val="en-GB"/>
        </w:rPr>
        <w:t>But i</w:t>
      </w:r>
      <w:r>
        <w:rPr>
          <w:lang w:val="en-GB"/>
        </w:rPr>
        <w:t xml:space="preserve">nherent to the net-zero concept is the question of what “residual emissions” would remain once </w:t>
      </w:r>
      <w:r w:rsidR="00525DBA">
        <w:rPr>
          <w:lang w:val="en-GB"/>
        </w:rPr>
        <w:t>it</w:t>
      </w:r>
      <w:r>
        <w:rPr>
          <w:lang w:val="en-GB"/>
        </w:rPr>
        <w:t xml:space="preserve"> is reached. </w:t>
      </w:r>
      <w:r w:rsidR="00235718">
        <w:rPr>
          <w:lang w:val="en-GB"/>
        </w:rPr>
        <w:t xml:space="preserve">This is a </w:t>
      </w:r>
      <w:r w:rsidR="00525DBA">
        <w:rPr>
          <w:lang w:val="en-GB"/>
        </w:rPr>
        <w:t>topic</w:t>
      </w:r>
      <w:r w:rsidR="00235718">
        <w:rPr>
          <w:lang w:val="en-GB"/>
        </w:rPr>
        <w:t xml:space="preserve"> that has gained increasing attention in the literature </w:t>
      </w:r>
      <w:r w:rsidR="00235718">
        <w:rPr>
          <w:lang w:val="en-GB"/>
        </w:rPr>
        <w:fldChar w:fldCharType="begin"/>
      </w:r>
      <w:r w:rsidR="00235718">
        <w:rPr>
          <w:lang w:val="en-GB"/>
        </w:rPr>
        <w:instrText xml:space="preserve"> ADDIN ZOTERO_ITEM CSL_CITATION {"citationID":"1oJl77ne","properties":{"formattedCitation":"(Buck {\\i{}et al} 2023, Lund {\\i{}et al} 2023, Schenuit {\\i{}et al} 2023, Edelenbosch {\\i{}et al} 2022, Luderer {\\i{}et al} 2018)","plainCitation":"(Buck et al 2023, Lund et al 2023, Schenuit et al 2023, Edelenbosch et al 2022, Luderer et al 2018)","noteIndex":0},"citationItems":[{"id":13656,"uris":["http://zotero.org/users/6250806/items/BU8P3XMT"],"itemData":{"id":13656,"type":"article-journal","abstract":"Abstract\n            Net-zero targets imply that continuing residual emissions will be balanced by carbon dioxide removal. However, residual emissions are typically not well defined, conceptually or quantitatively. We analysed governments’ long-term strategies submitted to the UNFCCC to explore projections of residual emissions, including amounts and sectors. We found substantial levels of residual emissions at net-zero greenhouse gas emissions, on average 18% of current emissions for Annex I countries. The majority of strategies were imprecise about which sectors residual emissions would originate from, and few offered specific projections of how residual emissions could be balanced by carbon removal. Our findings indicate the need for a consistent definition of residual emissions, as well as processes that standardize and compare expectations about residual emissions across countries. This is necessary for two reasons: to avoid projections of excessive residuals and correspondent unsustainable or unfeasible carbon-removal levels and to send clearer signals about the temporality of fossil fuel use.","container-title":"Nature Climate Change","DOI":"10.1038/s41558-022-01592-2","ISSN":"1758-678X, 1758-6798","issue":"4","journalAbbreviation":"Nat. Clim. Chang.","language":"en","page":"351-358","source":"DOI.org (Crossref)","title":"Why residual emissions matter right now","volume":"13","author":[{"family":"Buck","given":"Holly Jean"},{"family":"Carton","given":"Wim"},{"family":"Lund","given":"Jens Friis"},{"family":"Markusson","given":"Nils"}],"issued":{"date-parts":[["2023",4]]},"citation-key":"buckWhyResidualEmissions2023"}},{"id":13591,"uris":["http://zotero.org/users/6250806/items/H7X3WEVV"],"itemData":{"id":13591,"type":"article-journal","abstract":"In this perspective article, we call for more engagement with the unexplored politics of residual emissions. Residual emissions are those emissions that remain at the point of net zero, despite abatement efforts. Unlike carbon dioxide removal, which has been the focus of a lively research and policy debate, the notion of residual emissions remains relatively unexplored so far. With the mainstreaming of net zero as the long-term goal of climate policy, the politics of residual emissions are set to become a key point of contestation. Claims about residual emissions tend to revolve around notions of necessity and possibility, i.e. emissions that derive from activities deemed socially necessary yet impossible to fully abate. In this perspective article, we highlight how such claims are socially constructed and ultimately contingent on values, norms and interests. We call upon researchers to help render visible the geographically and historically contingent claims to necessity and possi­ bility that underpin projected residual emissions. We see this as an important means to repoliticize debates about the limits and possibilities of emissions abatement, and suggest entry points for such research efforts.","container-title":"Energy Research &amp; Social Science","DOI":"10.1016/j.erss.2023.103035","ISSN":"22146296","journalAbbreviation":"Energy Research &amp; Social Science","language":"en","page":"103035","source":"DOI.org (Crossref)","title":"Net zero and the unexplored politics of residual emissions","volume":"98","author":[{"family":"Lund","given":"Jens Friis"},{"family":"Markusson","given":"Nils"},{"family":"Carton","given":"Wim"},{"family":"Buck","given":"Holly Jean"}],"issued":{"date-parts":[["2023",4]]},"citation-key":"lundNetZeroUnexplored2023"}},{"id":13739,"uris":["http://zotero.org/users/6250806/items/7DPFLN9U"],"itemData":{"id":13739,"type":"article-journal","language":"en","source":"Zotero","title":"“Carbon Management”: Opportunities and risks for ambitious climate policy","author":[{"family":"Schenuit","given":"Felix"},{"family":"Böttcher","given":"Miranda"},{"family":"Geden","given":"Oliver"}],"issued":{"date-parts":[["2023"]]},"citation-key":"schenuitCarbonManagementOpportunities2023"}},{"id":13469,"uris":["http://zotero.org/users/6250806/items/BZXVKUII"],"itemData":{"id":13469,"type":"report","event-place":"The Hague","language":"en","publisher":"PBL Netherlands Environmental Assessment Agency","publisher-place":"The Hague","source":"Zotero","title":"Mitigating greenhouse gas emissions in hard-to-abate sectors","URL":"https://www.pbl.nl/sites/default/files/downloads/pbl-2022-mitigating-greenhouse-gas-emissions-in-hard-to-abate-sectors-4901.pdf","author":[{"family":"Edelenbosch","given":"Oreane"},{"family":"Berg","given":"Maarten","non-dropping-particle":"van den"},{"family":"De Boer","given":"Harmen Sytze"},{"family":"Chen","given":"HsingHsuan"},{"family":"Daioglou","given":"Vassilis"},{"family":"Dekker","given":"Mark"},{"family":"Doelman","given":"Jonathan"},{"family":"Elzen","given":"Michel","non-dropping-particle":"den"},{"family":"Frinking","given":"Valentijn"},{"family":"Harmsen","given":"Mathijs"},{"family":"Hof","given":"Andries F."},{"family":"Mikropoulos","given":"Efstratios"},{"family":"Sluisveld","given":"Mariësse","non-dropping-particle":"van"},{"family":"Tagomori","given":"Isabela"},{"family":"Van Vuuren","given":"Detlef P."}],"issued":{"date-parts":[["2022"]]},"citation-key":"edelenboschMitigatingGreenhouseGas2022"}},{"id":10705,"uris":["http://zotero.org/users/6250806/items/U2LYLHWC"],"itemData":{"id":10705,"type":"article-journal","abstract":"The Paris Agreement—which is aimed at holding global warming well below 2 °C while pursuing efforts to limit it below 1.5 °C—has initiated a bottom-up process of iteratively updating nationally determined contributions to reach these long-term goals. Achieving these goals implies a tight limit on cumulative net CO2 emissions, of which residual CO2 emissions from fossil fuels are the greatest impediment. Here, using an ensemble of seven integrated assessment models (IAMs), we explore the determinants of these residual emissions, focusing on sector-level contributions. Even when strengthened pre-2030 mitigation action is combined with very stringent long-term policies, cumulative residual CO2 emissions from fossil fuels remain at 850–1,150 GtCO2 during 2016–2100, despite carbon prices of US$130–420 per tCO2 by 2030. Thus, 640–950 GtCO2 removal is required for a likely chance of limiting </w:instrText>
      </w:r>
      <w:r w:rsidR="00235718" w:rsidRPr="00235718">
        <w:rPr>
          <w:lang w:val="en-GB"/>
        </w:rPr>
        <w:instrText>end-of-century warming to 1.5 °C. In the absence of strengthened pre-2030 pledges, long-term CO2 comm</w:instrText>
      </w:r>
      <w:r w:rsidR="00235718" w:rsidRPr="00525DBA">
        <w:instrText xml:space="preserve">itments are increased by 160–330 GtCO2, further jeopardizing achievement of the 1.5 °C goal and increasing dependence on CO2 removal.","container-title":"Nature Climate Change","DOI":"10.1038/s41558-018-0198-6","ISSN":"17586798","issue":"7","note":"publisher: Springer US","page":"626-633","title":"Residual fossil CO2 emissions in 1.5-2°C pathways","volume":"8","author":[{"family":"Luderer","given":"Gunnar"},{"family":"Vrontisi","given":"Zoi"},{"family":"Bertram","given":"Christoph"},{"family":"Edelenbosch","given":"Oreane Y."},{"family":"Pietzcker","given":"Robert C."},{"family":"Rogelj","given":"Joeri"},{"family":"De Boer","given":"Harmen Sytze"},{"family":"Drouet","given":"Laurent"},{"family":"Emmerling","given":"Johannes"},{"family":"Fricko","given":"Oliver"},{"family":"Fujimori","given":"Shinichiro"},{"family":"Havlík","given":"Petr"},{"family":"Iyer","given":"Gokul"},{"family":"Keramidas","given":"Kimon"},{"family":"Kitous","given":"Alban"},{"family":"Pehl","given":"Michaja"},{"family":"Krey","given":"Volker"},{"family":"Riahi","given":"Keywan"},{"family":"Saveyn","given":"Bert"},{"family":"Tavoni","given":"Massimo"},{"family":"Van Vuuren","given":"Detlef P."},{"family":"Kriegler","given":"Elmar"}],"issued":{"date-parts":[["2018"]]},"citation-key":"ludererResidualFossilCO22018"}}],"schema":"https://github.com/citation-style-language/schema/raw/master/csl-citation.json"} </w:instrText>
      </w:r>
      <w:r w:rsidR="00235718">
        <w:rPr>
          <w:lang w:val="en-GB"/>
        </w:rPr>
        <w:fldChar w:fldCharType="separate"/>
      </w:r>
      <w:r w:rsidR="00235718" w:rsidRPr="00525DBA">
        <w:rPr>
          <w:rFonts w:ascii="Calibri" w:hAnsi="Calibri" w:cs="Calibri"/>
          <w:szCs w:val="24"/>
        </w:rPr>
        <w:t xml:space="preserve">(Buck </w:t>
      </w:r>
      <w:r w:rsidR="00235718" w:rsidRPr="00525DBA">
        <w:rPr>
          <w:rFonts w:ascii="Calibri" w:hAnsi="Calibri" w:cs="Calibri"/>
          <w:i/>
          <w:iCs/>
          <w:szCs w:val="24"/>
        </w:rPr>
        <w:t>et al</w:t>
      </w:r>
      <w:r w:rsidR="00235718" w:rsidRPr="00525DBA">
        <w:rPr>
          <w:rFonts w:ascii="Calibri" w:hAnsi="Calibri" w:cs="Calibri"/>
          <w:szCs w:val="24"/>
        </w:rPr>
        <w:t xml:space="preserve"> 2023, Lund </w:t>
      </w:r>
      <w:r w:rsidR="00235718" w:rsidRPr="00525DBA">
        <w:rPr>
          <w:rFonts w:ascii="Calibri" w:hAnsi="Calibri" w:cs="Calibri"/>
          <w:i/>
          <w:iCs/>
          <w:szCs w:val="24"/>
        </w:rPr>
        <w:t>et al</w:t>
      </w:r>
      <w:r w:rsidR="00235718" w:rsidRPr="00525DBA">
        <w:rPr>
          <w:rFonts w:ascii="Calibri" w:hAnsi="Calibri" w:cs="Calibri"/>
          <w:szCs w:val="24"/>
        </w:rPr>
        <w:t xml:space="preserve"> 2023, Schenuit </w:t>
      </w:r>
      <w:r w:rsidR="00235718" w:rsidRPr="00525DBA">
        <w:rPr>
          <w:rFonts w:ascii="Calibri" w:hAnsi="Calibri" w:cs="Calibri"/>
          <w:i/>
          <w:iCs/>
          <w:szCs w:val="24"/>
        </w:rPr>
        <w:t>et al</w:t>
      </w:r>
      <w:r w:rsidR="00235718" w:rsidRPr="00525DBA">
        <w:rPr>
          <w:rFonts w:ascii="Calibri" w:hAnsi="Calibri" w:cs="Calibri"/>
          <w:szCs w:val="24"/>
        </w:rPr>
        <w:t xml:space="preserve"> 2023, </w:t>
      </w:r>
      <w:proofErr w:type="spellStart"/>
      <w:r w:rsidR="00235718" w:rsidRPr="00525DBA">
        <w:rPr>
          <w:rFonts w:ascii="Calibri" w:hAnsi="Calibri" w:cs="Calibri"/>
          <w:szCs w:val="24"/>
        </w:rPr>
        <w:t>Edelenbosch</w:t>
      </w:r>
      <w:proofErr w:type="spellEnd"/>
      <w:r w:rsidR="00235718" w:rsidRPr="00525DBA">
        <w:rPr>
          <w:rFonts w:ascii="Calibri" w:hAnsi="Calibri" w:cs="Calibri"/>
          <w:szCs w:val="24"/>
        </w:rPr>
        <w:t xml:space="preserve"> </w:t>
      </w:r>
      <w:r w:rsidR="00235718" w:rsidRPr="00525DBA">
        <w:rPr>
          <w:rFonts w:ascii="Calibri" w:hAnsi="Calibri" w:cs="Calibri"/>
          <w:i/>
          <w:iCs/>
          <w:szCs w:val="24"/>
        </w:rPr>
        <w:t>et al</w:t>
      </w:r>
      <w:r w:rsidR="00235718" w:rsidRPr="00525DBA">
        <w:rPr>
          <w:rFonts w:ascii="Calibri" w:hAnsi="Calibri" w:cs="Calibri"/>
          <w:szCs w:val="24"/>
        </w:rPr>
        <w:t xml:space="preserve"> 2022, </w:t>
      </w:r>
      <w:proofErr w:type="spellStart"/>
      <w:r w:rsidR="00235718" w:rsidRPr="00525DBA">
        <w:rPr>
          <w:rFonts w:ascii="Calibri" w:hAnsi="Calibri" w:cs="Calibri"/>
          <w:szCs w:val="24"/>
        </w:rPr>
        <w:t>Luderer</w:t>
      </w:r>
      <w:proofErr w:type="spellEnd"/>
      <w:r w:rsidR="00235718" w:rsidRPr="00525DBA">
        <w:rPr>
          <w:rFonts w:ascii="Calibri" w:hAnsi="Calibri" w:cs="Calibri"/>
          <w:szCs w:val="24"/>
        </w:rPr>
        <w:t xml:space="preserve"> </w:t>
      </w:r>
      <w:r w:rsidR="00235718" w:rsidRPr="00525DBA">
        <w:rPr>
          <w:rFonts w:ascii="Calibri" w:hAnsi="Calibri" w:cs="Calibri"/>
          <w:i/>
          <w:iCs/>
          <w:szCs w:val="24"/>
        </w:rPr>
        <w:t>et al</w:t>
      </w:r>
      <w:r w:rsidR="00235718" w:rsidRPr="00525DBA">
        <w:rPr>
          <w:rFonts w:ascii="Calibri" w:hAnsi="Calibri" w:cs="Calibri"/>
          <w:szCs w:val="24"/>
        </w:rPr>
        <w:t xml:space="preserve"> 2018)</w:t>
      </w:r>
      <w:r w:rsidR="00235718">
        <w:rPr>
          <w:lang w:val="en-GB"/>
        </w:rPr>
        <w:fldChar w:fldCharType="end"/>
      </w:r>
      <w:r w:rsidR="00525DBA" w:rsidRPr="00525DBA">
        <w:t xml:space="preserve">. </w:t>
      </w:r>
      <w:r w:rsidR="00525DBA" w:rsidRPr="00525DBA">
        <w:rPr>
          <w:lang w:val="en-GB"/>
        </w:rPr>
        <w:t>However,</w:t>
      </w:r>
      <w:r w:rsidR="00235718">
        <w:rPr>
          <w:lang w:val="en-GB"/>
        </w:rPr>
        <w:t xml:space="preserve"> </w:t>
      </w:r>
      <w:r w:rsidR="006D32E6">
        <w:rPr>
          <w:lang w:val="en-GB"/>
        </w:rPr>
        <w:t>consensus</w:t>
      </w:r>
      <w:r>
        <w:rPr>
          <w:lang w:val="en-GB"/>
        </w:rPr>
        <w:t xml:space="preserve"> on the types of gases, economic sectors or activities </w:t>
      </w:r>
      <w:r w:rsidR="00CF124D">
        <w:rPr>
          <w:lang w:val="en-GB"/>
        </w:rPr>
        <w:t>that residual emissions</w:t>
      </w:r>
      <w:r>
        <w:rPr>
          <w:lang w:val="en-GB"/>
        </w:rPr>
        <w:t xml:space="preserve"> might be composed of remains elusive</w:t>
      </w:r>
      <w:r w:rsidR="00CF124D">
        <w:rPr>
          <w:lang w:val="en-GB"/>
        </w:rPr>
        <w:t>.</w:t>
      </w:r>
    </w:p>
    <w:p w14:paraId="51C446C5" w14:textId="0B376620" w:rsidR="00B94D48" w:rsidRDefault="00DC3F62" w:rsidP="00651E9C">
      <w:pPr>
        <w:rPr>
          <w:lang w:val="en-GB"/>
        </w:rPr>
      </w:pPr>
      <w:r>
        <w:rPr>
          <w:lang w:val="en-GB"/>
        </w:rPr>
        <w:t xml:space="preserve">The problem with residual emissions is that they are a future, unknown quantity dependent on the </w:t>
      </w:r>
      <w:r w:rsidR="001D0F69">
        <w:rPr>
          <w:lang w:val="en-GB"/>
        </w:rPr>
        <w:t xml:space="preserve">long-term </w:t>
      </w:r>
      <w:r w:rsidR="00B94D48">
        <w:rPr>
          <w:lang w:val="en-GB"/>
        </w:rPr>
        <w:t xml:space="preserve">technological, economic and political </w:t>
      </w:r>
      <w:r>
        <w:rPr>
          <w:lang w:val="en-GB"/>
        </w:rPr>
        <w:t xml:space="preserve">prospects of deep decarbonisation. </w:t>
      </w:r>
      <w:r w:rsidR="00651E9C">
        <w:rPr>
          <w:lang w:val="en-GB"/>
        </w:rPr>
        <w:t xml:space="preserve">But </w:t>
      </w:r>
      <w:r w:rsidR="00FA0F5F">
        <w:rPr>
          <w:lang w:val="en-GB"/>
        </w:rPr>
        <w:t>nevertheless</w:t>
      </w:r>
      <w:r w:rsidR="00B94D48">
        <w:rPr>
          <w:lang w:val="en-GB"/>
        </w:rPr>
        <w:t xml:space="preserve">, they have deep significance for climate policy design and its distributional implications. Residual emissions imply that some sectors and geographies will </w:t>
      </w:r>
      <w:r w:rsidR="001D0F69">
        <w:rPr>
          <w:lang w:val="en-GB"/>
        </w:rPr>
        <w:t>decarbonise</w:t>
      </w:r>
      <w:r w:rsidR="002B04D5">
        <w:rPr>
          <w:lang w:val="en-GB"/>
        </w:rPr>
        <w:t xml:space="preserve"> to a lesser degree than others</w:t>
      </w:r>
      <w:r w:rsidR="00B94D48">
        <w:rPr>
          <w:lang w:val="en-GB"/>
        </w:rPr>
        <w:t xml:space="preserve">. </w:t>
      </w:r>
      <w:r w:rsidR="00651E9C">
        <w:rPr>
          <w:lang w:val="en-GB"/>
        </w:rPr>
        <w:t xml:space="preserve">And since CDR </w:t>
      </w:r>
      <w:r w:rsidR="004D6011">
        <w:rPr>
          <w:lang w:val="en-GB"/>
        </w:rPr>
        <w:t>is</w:t>
      </w:r>
      <w:r w:rsidR="00A06ADE">
        <w:rPr>
          <w:lang w:val="en-GB"/>
        </w:rPr>
        <w:t xml:space="preserve"> limited by available land</w:t>
      </w:r>
      <w:r w:rsidR="00651E9C">
        <w:rPr>
          <w:lang w:val="en-GB"/>
        </w:rPr>
        <w:t xml:space="preserve">, </w:t>
      </w:r>
      <w:r w:rsidR="00A06ADE">
        <w:rPr>
          <w:lang w:val="en-GB"/>
        </w:rPr>
        <w:t xml:space="preserve">access to </w:t>
      </w:r>
      <w:r w:rsidR="00651E9C">
        <w:rPr>
          <w:lang w:val="en-GB"/>
        </w:rPr>
        <w:t>geological reservoirs and</w:t>
      </w:r>
      <w:r w:rsidR="00A06ADE">
        <w:rPr>
          <w:lang w:val="en-GB"/>
        </w:rPr>
        <w:t xml:space="preserve"> technological </w:t>
      </w:r>
      <w:r w:rsidR="004D6011">
        <w:rPr>
          <w:lang w:val="en-GB"/>
        </w:rPr>
        <w:t>means</w:t>
      </w:r>
      <w:r w:rsidR="00651E9C">
        <w:rPr>
          <w:lang w:val="en-GB"/>
        </w:rPr>
        <w:t>, the ability to offset residual emissions will vary considerably between nations.</w:t>
      </w:r>
      <w:r w:rsidR="00A47641">
        <w:rPr>
          <w:lang w:val="en-GB"/>
        </w:rPr>
        <w:t xml:space="preserve"> </w:t>
      </w:r>
      <w:r w:rsidR="001D0F69">
        <w:rPr>
          <w:lang w:val="en-GB"/>
        </w:rPr>
        <w:t>On an aggregate level, t</w:t>
      </w:r>
      <w:r w:rsidR="00A47641">
        <w:rPr>
          <w:lang w:val="en-GB"/>
        </w:rPr>
        <w:t xml:space="preserve">he higher the amount of residual emissions, the more CDR will be required, the higher the risk that social, environmental or technological constraints for scaling these technologies are </w:t>
      </w:r>
      <w:r w:rsidR="00396E6B">
        <w:rPr>
          <w:lang w:val="en-GB"/>
        </w:rPr>
        <w:t>exceeded</w:t>
      </w:r>
      <w:r w:rsidR="00A47641">
        <w:rPr>
          <w:lang w:val="en-GB"/>
        </w:rPr>
        <w:t xml:space="preserve">. </w:t>
      </w:r>
      <w:r w:rsidR="00525DBA">
        <w:rPr>
          <w:lang w:val="en-GB"/>
        </w:rPr>
        <w:lastRenderedPageBreak/>
        <w:t>P</w:t>
      </w:r>
      <w:r w:rsidR="00A06ADE">
        <w:rPr>
          <w:lang w:val="en-GB"/>
        </w:rPr>
        <w:t>athways wit</w:t>
      </w:r>
      <w:r w:rsidR="00CF124D">
        <w:rPr>
          <w:lang w:val="en-GB"/>
        </w:rPr>
        <w:t xml:space="preserve">h low residual emissions may therefore be </w:t>
      </w:r>
      <w:r w:rsidR="00A06ADE">
        <w:rPr>
          <w:lang w:val="en-GB"/>
        </w:rPr>
        <w:t xml:space="preserve">the safest </w:t>
      </w:r>
      <w:r w:rsidR="00396E6B">
        <w:rPr>
          <w:lang w:val="en-GB"/>
        </w:rPr>
        <w:t xml:space="preserve">course of action </w:t>
      </w:r>
      <w:r w:rsidR="00A06ADE">
        <w:rPr>
          <w:lang w:val="en-GB"/>
        </w:rPr>
        <w:t>for limiting climate change</w:t>
      </w:r>
      <w:r w:rsidR="006A575A">
        <w:rPr>
          <w:lang w:val="en-GB"/>
        </w:rPr>
        <w:t xml:space="preserve"> and reversing </w:t>
      </w:r>
      <w:r w:rsidR="003C40A3">
        <w:rPr>
          <w:lang w:val="en-GB"/>
        </w:rPr>
        <w:t xml:space="preserve">any potential </w:t>
      </w:r>
      <w:r w:rsidR="006A575A">
        <w:rPr>
          <w:lang w:val="en-GB"/>
        </w:rPr>
        <w:t>overshoot</w:t>
      </w:r>
      <w:r w:rsidR="00A06ADE">
        <w:rPr>
          <w:lang w:val="en-GB"/>
        </w:rPr>
        <w:t>.</w:t>
      </w:r>
    </w:p>
    <w:p w14:paraId="71DBC563" w14:textId="7ED78FDA" w:rsidR="00A34492" w:rsidRDefault="00E672AB" w:rsidP="00EF3481">
      <w:pPr>
        <w:rPr>
          <w:lang w:val="en-GB"/>
        </w:rPr>
      </w:pPr>
      <w:r>
        <w:rPr>
          <w:lang w:val="en-GB"/>
        </w:rPr>
        <w:t>Policy documents and techno-economic studies often refer to residual e</w:t>
      </w:r>
      <w:r w:rsidR="007D7152">
        <w:rPr>
          <w:lang w:val="en-GB"/>
        </w:rPr>
        <w:t>missions as the consequence of ‘</w:t>
      </w:r>
      <w:r>
        <w:rPr>
          <w:lang w:val="en-GB"/>
        </w:rPr>
        <w:t>hard-to-abate</w:t>
      </w:r>
      <w:r w:rsidR="007D7152">
        <w:rPr>
          <w:lang w:val="en-GB"/>
        </w:rPr>
        <w:t>’</w:t>
      </w:r>
      <w:r>
        <w:rPr>
          <w:lang w:val="en-GB"/>
        </w:rPr>
        <w:t xml:space="preserve"> sectors</w:t>
      </w:r>
      <w:r w:rsidR="00A928CF">
        <w:rPr>
          <w:lang w:val="en-GB"/>
        </w:rPr>
        <w:t xml:space="preserve">. Emissions from livestock, industrial processes and </w:t>
      </w:r>
      <w:r>
        <w:rPr>
          <w:lang w:val="en-GB"/>
        </w:rPr>
        <w:t xml:space="preserve">aviation </w:t>
      </w:r>
      <w:r w:rsidR="00A928CF">
        <w:rPr>
          <w:lang w:val="en-GB"/>
        </w:rPr>
        <w:t>are commonly cited examples</w:t>
      </w:r>
      <w:r w:rsidR="006E3BB7">
        <w:rPr>
          <w:lang w:val="en-GB"/>
        </w:rPr>
        <w:t xml:space="preserve">, as </w:t>
      </w:r>
      <w:r w:rsidR="00A928CF">
        <w:rPr>
          <w:lang w:val="en-GB"/>
        </w:rPr>
        <w:t xml:space="preserve">methane is a by-product of digestion in </w:t>
      </w:r>
      <w:r w:rsidR="006E3BB7">
        <w:rPr>
          <w:lang w:val="en-GB"/>
        </w:rPr>
        <w:t>cattle and other</w:t>
      </w:r>
      <w:r w:rsidR="00651E9C">
        <w:rPr>
          <w:lang w:val="en-GB"/>
        </w:rPr>
        <w:t xml:space="preserve"> ruminant animals</w:t>
      </w:r>
      <w:r w:rsidR="006E3BB7">
        <w:rPr>
          <w:lang w:val="en-GB"/>
        </w:rPr>
        <w:t>;</w:t>
      </w:r>
      <w:r w:rsidR="00A928CF">
        <w:rPr>
          <w:lang w:val="en-GB"/>
        </w:rPr>
        <w:t xml:space="preserve"> </w:t>
      </w:r>
      <w:r w:rsidR="006E3BB7">
        <w:rPr>
          <w:lang w:val="en-GB"/>
        </w:rPr>
        <w:t>steel</w:t>
      </w:r>
      <w:r w:rsidR="00FB020B">
        <w:rPr>
          <w:lang w:val="en-GB"/>
        </w:rPr>
        <w:t xml:space="preserve"> and cement manufacture require</w:t>
      </w:r>
      <w:r w:rsidR="006E3BB7">
        <w:rPr>
          <w:lang w:val="en-GB"/>
        </w:rPr>
        <w:t xml:space="preserve"> carbon</w:t>
      </w:r>
      <w:r w:rsidR="00651E9C">
        <w:rPr>
          <w:lang w:val="en-GB"/>
        </w:rPr>
        <w:t xml:space="preserve"> feed</w:t>
      </w:r>
      <w:r w:rsidR="00A06ADE">
        <w:rPr>
          <w:lang w:val="en-GB"/>
        </w:rPr>
        <w:t>-</w:t>
      </w:r>
      <w:r w:rsidR="00651E9C">
        <w:rPr>
          <w:lang w:val="en-GB"/>
        </w:rPr>
        <w:t>stocks</w:t>
      </w:r>
      <w:r w:rsidR="006E3BB7">
        <w:rPr>
          <w:lang w:val="en-GB"/>
        </w:rPr>
        <w:t xml:space="preserve">; </w:t>
      </w:r>
      <w:r w:rsidR="003C40A3">
        <w:rPr>
          <w:lang w:val="en-GB"/>
        </w:rPr>
        <w:t>and</w:t>
      </w:r>
      <w:r w:rsidR="006E3BB7">
        <w:rPr>
          <w:lang w:val="en-GB"/>
        </w:rPr>
        <w:t xml:space="preserve"> long-haul flights </w:t>
      </w:r>
      <w:r w:rsidR="00A34492">
        <w:rPr>
          <w:lang w:val="en-GB"/>
        </w:rPr>
        <w:t>depend on</w:t>
      </w:r>
      <w:r w:rsidR="00E606AE">
        <w:rPr>
          <w:lang w:val="en-GB"/>
        </w:rPr>
        <w:t xml:space="preserve"> </w:t>
      </w:r>
      <w:r w:rsidR="006E3BB7">
        <w:rPr>
          <w:lang w:val="en-GB"/>
        </w:rPr>
        <w:t>a certain threshold of fuel energy densit</w:t>
      </w:r>
      <w:r w:rsidR="00E606AE">
        <w:rPr>
          <w:lang w:val="en-GB"/>
        </w:rPr>
        <w:t>y</w:t>
      </w:r>
      <w:r w:rsidR="006E3BB7">
        <w:rPr>
          <w:lang w:val="en-GB"/>
        </w:rPr>
        <w:t xml:space="preserve">. </w:t>
      </w:r>
      <w:r w:rsidR="004D6011">
        <w:rPr>
          <w:lang w:val="en-GB"/>
        </w:rPr>
        <w:t xml:space="preserve">The technical hurdles to reducing emissions </w:t>
      </w:r>
      <w:r w:rsidR="002B04D5">
        <w:rPr>
          <w:lang w:val="en-GB"/>
        </w:rPr>
        <w:t xml:space="preserve">in these sectors </w:t>
      </w:r>
      <w:r w:rsidR="004D6011">
        <w:rPr>
          <w:lang w:val="en-GB"/>
        </w:rPr>
        <w:t xml:space="preserve">are therefore significantly higher </w:t>
      </w:r>
      <w:r w:rsidR="002B04D5">
        <w:rPr>
          <w:lang w:val="en-GB"/>
        </w:rPr>
        <w:t>than</w:t>
      </w:r>
      <w:r w:rsidR="004D6011">
        <w:rPr>
          <w:lang w:val="en-GB"/>
        </w:rPr>
        <w:t xml:space="preserve">, for example, </w:t>
      </w:r>
      <w:r w:rsidR="00396E6B">
        <w:rPr>
          <w:lang w:val="en-GB"/>
        </w:rPr>
        <w:t>the power sector.</w:t>
      </w:r>
    </w:p>
    <w:p w14:paraId="17304E4B" w14:textId="2E2C07DC" w:rsidR="00DE3F4F" w:rsidRDefault="004D6011" w:rsidP="00A06ADE">
      <w:pPr>
        <w:rPr>
          <w:lang w:val="en-GB"/>
        </w:rPr>
      </w:pPr>
      <w:r>
        <w:rPr>
          <w:lang w:val="en-GB"/>
        </w:rPr>
        <w:t>But b</w:t>
      </w:r>
      <w:r w:rsidR="00A34492">
        <w:rPr>
          <w:lang w:val="en-GB"/>
        </w:rPr>
        <w:t xml:space="preserve">eyond </w:t>
      </w:r>
      <w:r w:rsidR="00310DD3">
        <w:rPr>
          <w:lang w:val="en-GB"/>
        </w:rPr>
        <w:t>mere</w:t>
      </w:r>
      <w:r w:rsidR="00FB020B">
        <w:rPr>
          <w:lang w:val="en-GB"/>
        </w:rPr>
        <w:t xml:space="preserve"> </w:t>
      </w:r>
      <w:r w:rsidR="006E3BB7">
        <w:rPr>
          <w:lang w:val="en-GB"/>
        </w:rPr>
        <w:t xml:space="preserve">technical </w:t>
      </w:r>
      <w:r w:rsidR="00FB020B">
        <w:rPr>
          <w:lang w:val="en-GB"/>
        </w:rPr>
        <w:t>considerations</w:t>
      </w:r>
      <w:r w:rsidR="00A34492">
        <w:rPr>
          <w:lang w:val="en-GB"/>
        </w:rPr>
        <w:t>,</w:t>
      </w:r>
      <w:r w:rsidR="006E3BB7">
        <w:rPr>
          <w:lang w:val="en-GB"/>
        </w:rPr>
        <w:t xml:space="preserve"> it is clear that </w:t>
      </w:r>
      <w:r w:rsidR="007D7152">
        <w:rPr>
          <w:lang w:val="en-GB"/>
        </w:rPr>
        <w:t>‘</w:t>
      </w:r>
      <w:r w:rsidR="006E3BB7">
        <w:rPr>
          <w:lang w:val="en-GB"/>
        </w:rPr>
        <w:t>hard-to-abate</w:t>
      </w:r>
      <w:r w:rsidR="007D7152">
        <w:rPr>
          <w:lang w:val="en-GB"/>
        </w:rPr>
        <w:t>’</w:t>
      </w:r>
      <w:r w:rsidR="006E3BB7">
        <w:rPr>
          <w:lang w:val="en-GB"/>
        </w:rPr>
        <w:t xml:space="preserve"> is a</w:t>
      </w:r>
      <w:r w:rsidR="00B17058">
        <w:rPr>
          <w:lang w:val="en-GB"/>
        </w:rPr>
        <w:t xml:space="preserve">n inherently </w:t>
      </w:r>
      <w:r w:rsidR="006E3BB7">
        <w:rPr>
          <w:lang w:val="en-GB"/>
        </w:rPr>
        <w:t xml:space="preserve">political </w:t>
      </w:r>
      <w:r w:rsidR="00B17058">
        <w:rPr>
          <w:lang w:val="en-GB"/>
        </w:rPr>
        <w:t>category</w:t>
      </w:r>
      <w:r w:rsidR="00A34492">
        <w:rPr>
          <w:lang w:val="en-GB"/>
        </w:rPr>
        <w:t xml:space="preserve"> involving conflicting claims on which sectors should be </w:t>
      </w:r>
      <w:r w:rsidR="00FB020B">
        <w:rPr>
          <w:lang w:val="en-GB"/>
        </w:rPr>
        <w:t xml:space="preserve">deprioritised </w:t>
      </w:r>
      <w:r w:rsidR="00310DD3">
        <w:rPr>
          <w:lang w:val="en-GB"/>
        </w:rPr>
        <w:t>in</w:t>
      </w:r>
      <w:r w:rsidR="00A06ADE">
        <w:rPr>
          <w:lang w:val="en-GB"/>
        </w:rPr>
        <w:t xml:space="preserve"> </w:t>
      </w:r>
      <w:r w:rsidR="00FB020B">
        <w:rPr>
          <w:lang w:val="en-GB"/>
        </w:rPr>
        <w:t xml:space="preserve">climate </w:t>
      </w:r>
      <w:r w:rsidR="00A06ADE">
        <w:rPr>
          <w:lang w:val="en-GB"/>
        </w:rPr>
        <w:t xml:space="preserve">mitigation </w:t>
      </w:r>
      <w:r w:rsidR="00A34492">
        <w:rPr>
          <w:lang w:val="en-GB"/>
        </w:rPr>
        <w:fldChar w:fldCharType="begin"/>
      </w:r>
      <w:r w:rsidR="00A34492">
        <w:rPr>
          <w:lang w:val="en-GB"/>
        </w:rPr>
        <w:instrText xml:space="preserve"> ADDIN ZOTERO_ITEM CSL_CITATION {"citationID":"kdrsda1x","properties":{"formattedCitation":"(Schenuit {\\i{}et al} 2023, Lund {\\i{}et al} 2023)","plainCitation":"(Schenuit et al 2023, Lund et al 2023)","noteIndex":0},"citationItems":[{"id":13739,"uris":["http://zotero.org/users/6250806/items/7DPFLN9U"],"itemData":{"id":13739,"type":"article-journal","language":"en","source":"Zotero","title":"“Carbon Management”: Opportunities and risks for ambitious climate policy","author":[{"family":"Schenuit","given":"Felix"},{"family":"Böttcher","given":"Miranda"},{"family":"Geden","given":"Oliver"}],"issued":{"date-parts":[["2023"]]},"citation-key":"schenuitCarbonManagementOpportunities2023"}},{"id":13591,"uris":["http://zotero.org/users/6250806/items/H7X3WEVV"],"itemData":{"id":13591,"type":"article-journal","abstract":"In this perspective article, we call for more engagement with the unexplored politics of residual emissions. Residual emissions are those emissions that remain at the point of net zero, despite abatement efforts. Unlike carbon dioxide removal, which has been the focus of a lively research and policy debate, the notion of residual emissions remains relatively unexplored so far. With the mainstreaming of net zero as the long-term goal of climate policy, the politics of residual emissions are set to become a key point of contestation. Claims about residual emissions tend to revolve around notions of necessity and possibility, i.e. emissions that derive from activities deemed socially necessary yet impossible to fully abate. In this perspective article, we highlight how such claims are socially constructed and ultimately contingent on values, norms and interests. We call upon researchers to help render visible the geographically and historically contingent claims to necessity and possi­ bility that underpin projected residual emissions. We see this as an important means to repoliticize debates about the limits and possibilities of emissions abatement, and suggest entry points for such research efforts.","container-title":"Energy Research &amp; Social Science","DOI":"10.1016/j.erss.2023.103035","ISSN":"22146296","journalAbbreviation":"Energy Research &amp; Social Science","language":"en","page":"103035","source":"DOI.org (Crossref)","title":"Net zero and the unexplored politics of residual emissions","volume":"98","author":[{"family":"Lund","given":"Jens Friis"},{"family":"Markusson","given":"Nils"},{"family":"Carton","given":"Wim"},{"family":"Buck","given":"Holly Jean"}],"issued":{"date-parts":[["2023",4]]},"citation-key":"lundNetZeroUnexplored2023"}}],"schema":"https://github.com/citation-style-language/schema/raw/master/csl-citation.json"} </w:instrText>
      </w:r>
      <w:r w:rsidR="00A34492">
        <w:rPr>
          <w:lang w:val="en-GB"/>
        </w:rPr>
        <w:fldChar w:fldCharType="separate"/>
      </w:r>
      <w:r w:rsidR="00B34A0D" w:rsidRPr="00B34A0D">
        <w:rPr>
          <w:rFonts w:ascii="Calibri" w:hAnsi="Calibri" w:cs="Calibri"/>
          <w:szCs w:val="24"/>
          <w:lang w:val="en-GB"/>
        </w:rPr>
        <w:t xml:space="preserve">(Schenuit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2023, Lund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2023)</w:t>
      </w:r>
      <w:r w:rsidR="00A34492">
        <w:rPr>
          <w:lang w:val="en-GB"/>
        </w:rPr>
        <w:fldChar w:fldCharType="end"/>
      </w:r>
      <w:r w:rsidR="00A34492">
        <w:rPr>
          <w:lang w:val="en-GB"/>
        </w:rPr>
        <w:t>.</w:t>
      </w:r>
      <w:r w:rsidR="00DE3F4F">
        <w:rPr>
          <w:lang w:val="en-GB"/>
        </w:rPr>
        <w:t xml:space="preserve"> </w:t>
      </w:r>
      <w:r w:rsidR="00FB020B">
        <w:rPr>
          <w:lang w:val="en-GB"/>
        </w:rPr>
        <w:t>If a sector is successfully positioned as ‘hard-to-abate’ for political, economic, or strategic reasons</w:t>
      </w:r>
      <w:r w:rsidR="002A4F74">
        <w:rPr>
          <w:lang w:val="en-GB"/>
        </w:rPr>
        <w:t xml:space="preserve"> – for instance </w:t>
      </w:r>
      <w:r w:rsidR="00F00566">
        <w:rPr>
          <w:lang w:val="en-GB"/>
        </w:rPr>
        <w:t xml:space="preserve">because </w:t>
      </w:r>
      <w:r w:rsidR="002A4F74">
        <w:rPr>
          <w:lang w:val="en-GB"/>
        </w:rPr>
        <w:t xml:space="preserve">it is critical to feeding populations or </w:t>
      </w:r>
      <w:r w:rsidR="00310DD3">
        <w:rPr>
          <w:lang w:val="en-GB"/>
        </w:rPr>
        <w:t>providing employment</w:t>
      </w:r>
      <w:r w:rsidR="002A4F74">
        <w:rPr>
          <w:lang w:val="en-GB"/>
        </w:rPr>
        <w:t xml:space="preserve"> –</w:t>
      </w:r>
      <w:r w:rsidR="00FB020B">
        <w:rPr>
          <w:lang w:val="en-GB"/>
        </w:rPr>
        <w:t xml:space="preserve"> then climate policy exemptions or </w:t>
      </w:r>
      <w:r w:rsidR="00F00566">
        <w:rPr>
          <w:lang w:val="en-GB"/>
        </w:rPr>
        <w:t xml:space="preserve">additional </w:t>
      </w:r>
      <w:r w:rsidR="00FB020B">
        <w:rPr>
          <w:lang w:val="en-GB"/>
        </w:rPr>
        <w:t xml:space="preserve">state support might be gained. </w:t>
      </w:r>
      <w:r w:rsidR="00DE3F4F">
        <w:rPr>
          <w:lang w:val="en-GB"/>
        </w:rPr>
        <w:t xml:space="preserve">One </w:t>
      </w:r>
      <w:r w:rsidR="002A4F74">
        <w:rPr>
          <w:lang w:val="en-GB"/>
        </w:rPr>
        <w:t>could of course</w:t>
      </w:r>
      <w:r w:rsidR="00DE3F4F">
        <w:rPr>
          <w:lang w:val="en-GB"/>
        </w:rPr>
        <w:t xml:space="preserve"> argue that </w:t>
      </w:r>
      <w:r w:rsidR="00A06ADE">
        <w:rPr>
          <w:lang w:val="en-GB"/>
        </w:rPr>
        <w:t xml:space="preserve">a uniform carbon price </w:t>
      </w:r>
      <w:r w:rsidR="00DE3F4F">
        <w:rPr>
          <w:lang w:val="en-GB"/>
        </w:rPr>
        <w:t xml:space="preserve">would </w:t>
      </w:r>
      <w:r w:rsidR="00A06ADE">
        <w:rPr>
          <w:lang w:val="en-GB"/>
        </w:rPr>
        <w:t>ultimately resolve which sectors are ‘hard-to-abate’ or not</w:t>
      </w:r>
      <w:r w:rsidR="00DE3F4F">
        <w:rPr>
          <w:lang w:val="en-GB"/>
        </w:rPr>
        <w:t xml:space="preserve">, however the history of climate policy has shown that discursive framing can be a key channel for expressing political power and influencing the </w:t>
      </w:r>
      <w:r w:rsidR="002A4F74">
        <w:rPr>
          <w:lang w:val="en-GB"/>
        </w:rPr>
        <w:t xml:space="preserve">implementation, </w:t>
      </w:r>
      <w:r w:rsidR="00DE3F4F">
        <w:rPr>
          <w:lang w:val="en-GB"/>
        </w:rPr>
        <w:t>coverage and stringency of policies.</w:t>
      </w:r>
      <w:r w:rsidR="00740D9A">
        <w:rPr>
          <w:lang w:val="en-GB"/>
        </w:rPr>
        <w:t xml:space="preserve"> The new category of </w:t>
      </w:r>
      <w:r w:rsidR="000B49E0">
        <w:rPr>
          <w:lang w:val="en-GB"/>
        </w:rPr>
        <w:t xml:space="preserve">‘hard-to-abate’ </w:t>
      </w:r>
      <w:r w:rsidR="00F00566">
        <w:rPr>
          <w:lang w:val="en-GB"/>
        </w:rPr>
        <w:t>emissions</w:t>
      </w:r>
      <w:r w:rsidR="00740D9A">
        <w:rPr>
          <w:lang w:val="en-GB"/>
        </w:rPr>
        <w:t xml:space="preserve"> </w:t>
      </w:r>
      <w:r w:rsidR="002B04D5">
        <w:rPr>
          <w:lang w:val="en-GB"/>
        </w:rPr>
        <w:t xml:space="preserve">might offer yet </w:t>
      </w:r>
      <w:r w:rsidR="00F00566">
        <w:rPr>
          <w:lang w:val="en-GB"/>
        </w:rPr>
        <w:t>another such</w:t>
      </w:r>
      <w:r w:rsidR="00740D9A">
        <w:rPr>
          <w:lang w:val="en-GB"/>
        </w:rPr>
        <w:t xml:space="preserve"> entry point to climate policy obstruction.</w:t>
      </w:r>
    </w:p>
    <w:p w14:paraId="3338594E" w14:textId="5F23A2AF" w:rsidR="00CC536D" w:rsidRDefault="00C70F5D" w:rsidP="00FD3BED">
      <w:pPr>
        <w:rPr>
          <w:lang w:val="en-GB"/>
        </w:rPr>
      </w:pPr>
      <w:r>
        <w:rPr>
          <w:lang w:val="en-GB"/>
        </w:rPr>
        <w:t xml:space="preserve">Scientific evidence can provide some grounding for </w:t>
      </w:r>
      <w:r w:rsidR="00CC536D">
        <w:rPr>
          <w:lang w:val="en-GB"/>
        </w:rPr>
        <w:t>such discussions</w:t>
      </w:r>
      <w:r w:rsidR="00FD3BED">
        <w:rPr>
          <w:lang w:val="en-GB"/>
        </w:rPr>
        <w:t>.</w:t>
      </w:r>
      <w:r w:rsidR="00CC536D">
        <w:rPr>
          <w:lang w:val="en-GB"/>
        </w:rPr>
        <w:t xml:space="preserve"> </w:t>
      </w:r>
      <w:r w:rsidR="0042269F">
        <w:rPr>
          <w:lang w:val="en-GB"/>
        </w:rPr>
        <w:t>In this article I consider one line of evidence for the size and composition of residual emissions at net zero CO</w:t>
      </w:r>
      <w:r w:rsidR="0042269F" w:rsidRPr="0042269F">
        <w:rPr>
          <w:vertAlign w:val="subscript"/>
          <w:lang w:val="en-GB"/>
        </w:rPr>
        <w:t>2</w:t>
      </w:r>
      <w:r w:rsidR="0042269F">
        <w:rPr>
          <w:lang w:val="en-GB"/>
        </w:rPr>
        <w:t xml:space="preserve">: </w:t>
      </w:r>
      <w:r w:rsidR="00575DC0">
        <w:rPr>
          <w:lang w:val="en-GB"/>
        </w:rPr>
        <w:t xml:space="preserve">integrated assessment </w:t>
      </w:r>
      <w:r>
        <w:rPr>
          <w:lang w:val="en-GB"/>
        </w:rPr>
        <w:t xml:space="preserve">model (IAM) </w:t>
      </w:r>
      <w:r w:rsidR="0042269F">
        <w:rPr>
          <w:lang w:val="en-GB"/>
        </w:rPr>
        <w:t xml:space="preserve">scenarios. </w:t>
      </w:r>
      <w:r>
        <w:rPr>
          <w:lang w:val="en-GB"/>
        </w:rPr>
        <w:t xml:space="preserve">IAMs are simplified representations of the global energy system </w:t>
      </w:r>
      <w:r w:rsidR="00F00566">
        <w:rPr>
          <w:lang w:val="en-GB"/>
        </w:rPr>
        <w:t xml:space="preserve">that model scenarios of technological change </w:t>
      </w:r>
      <w:r w:rsidR="00FD3BED">
        <w:rPr>
          <w:lang w:val="en-GB"/>
        </w:rPr>
        <w:t xml:space="preserve">and </w:t>
      </w:r>
      <w:r w:rsidR="00F00566">
        <w:rPr>
          <w:lang w:val="en-GB"/>
        </w:rPr>
        <w:t xml:space="preserve">shifts in </w:t>
      </w:r>
      <w:r w:rsidR="00FD3BED">
        <w:rPr>
          <w:lang w:val="en-GB"/>
        </w:rPr>
        <w:t>energy service</w:t>
      </w:r>
      <w:r w:rsidR="002B04D5">
        <w:rPr>
          <w:lang w:val="en-GB"/>
        </w:rPr>
        <w:t>s</w:t>
      </w:r>
      <w:r w:rsidR="00FD3BED">
        <w:rPr>
          <w:lang w:val="en-GB"/>
        </w:rPr>
        <w:t xml:space="preserve"> to meet climate goals in a cost-effective manner</w:t>
      </w:r>
      <w:r w:rsidR="00F00566">
        <w:rPr>
          <w:lang w:val="en-GB"/>
        </w:rPr>
        <w:t>. As such,</w:t>
      </w:r>
      <w:r w:rsidR="00CC536D">
        <w:rPr>
          <w:lang w:val="en-GB"/>
        </w:rPr>
        <w:t xml:space="preserve"> they are suited to considering the techno-economic frontiers of mitigation across different sectors. However, they are </w:t>
      </w:r>
      <w:r w:rsidR="000B49E0">
        <w:rPr>
          <w:lang w:val="en-GB"/>
        </w:rPr>
        <w:t xml:space="preserve">less </w:t>
      </w:r>
      <w:r w:rsidR="00CC536D">
        <w:rPr>
          <w:lang w:val="en-GB"/>
        </w:rPr>
        <w:t xml:space="preserve">suited to considering </w:t>
      </w:r>
      <w:r w:rsidR="000B49E0">
        <w:rPr>
          <w:lang w:val="en-GB"/>
        </w:rPr>
        <w:t xml:space="preserve">the </w:t>
      </w:r>
      <w:r w:rsidR="00CC536D">
        <w:rPr>
          <w:lang w:val="en-GB"/>
        </w:rPr>
        <w:t xml:space="preserve">normative </w:t>
      </w:r>
      <w:r w:rsidR="00954E78">
        <w:rPr>
          <w:lang w:val="en-GB"/>
        </w:rPr>
        <w:t xml:space="preserve">or political </w:t>
      </w:r>
      <w:r w:rsidR="00CC536D">
        <w:rPr>
          <w:lang w:val="en-GB"/>
        </w:rPr>
        <w:t xml:space="preserve">aspects of climate policy, even if many such aspects are implicitly modelled (e.g. via demand, lifestyle and dietary shifts, as well as </w:t>
      </w:r>
      <w:r w:rsidR="00954E78">
        <w:rPr>
          <w:lang w:val="en-GB"/>
        </w:rPr>
        <w:t>regional and intergenerational equity).</w:t>
      </w:r>
      <w:r w:rsidR="00F00566">
        <w:rPr>
          <w:lang w:val="en-GB"/>
        </w:rPr>
        <w:t xml:space="preserve"> As IAMs are a prominent source of science-policy advice on the conditions for meeting climate targets, </w:t>
      </w:r>
      <w:r w:rsidR="005E52BD">
        <w:rPr>
          <w:lang w:val="en-GB"/>
        </w:rPr>
        <w:t>it is of significant interest to understand the size, range and composition of residual emissions in their scenarios.</w:t>
      </w:r>
    </w:p>
    <w:p w14:paraId="0B780479" w14:textId="4B38DBB8" w:rsidR="00951F0F" w:rsidRDefault="005E52BD" w:rsidP="005E52BD">
      <w:pPr>
        <w:rPr>
          <w:lang w:val="en-GB"/>
        </w:rPr>
      </w:pPr>
      <w:r>
        <w:rPr>
          <w:lang w:val="en-GB"/>
        </w:rPr>
        <w:t>The research questions of this study are as follows: (1) what is the</w:t>
      </w:r>
      <w:r w:rsidR="00A35D86">
        <w:rPr>
          <w:lang w:val="en-GB"/>
        </w:rPr>
        <w:t xml:space="preserve"> </w:t>
      </w:r>
      <w:r w:rsidR="00CF124D">
        <w:rPr>
          <w:lang w:val="en-GB"/>
        </w:rPr>
        <w:t xml:space="preserve">size and </w:t>
      </w:r>
      <w:r w:rsidR="00A35D86">
        <w:rPr>
          <w:lang w:val="en-GB"/>
        </w:rPr>
        <w:t xml:space="preserve">variation in residual emissions </w:t>
      </w:r>
      <w:r w:rsidR="002B04D5" w:rsidRPr="00E3654A">
        <w:rPr>
          <w:lang w:val="en-GB"/>
        </w:rPr>
        <w:t>across scenarios</w:t>
      </w:r>
      <w:r>
        <w:rPr>
          <w:lang w:val="en-GB"/>
        </w:rPr>
        <w:t xml:space="preserve"> at the point of net zero CO</w:t>
      </w:r>
      <w:r w:rsidRPr="0042269F">
        <w:rPr>
          <w:vertAlign w:val="subscript"/>
          <w:lang w:val="en-GB"/>
        </w:rPr>
        <w:t>2</w:t>
      </w:r>
      <w:r>
        <w:rPr>
          <w:lang w:val="en-GB"/>
        </w:rPr>
        <w:t xml:space="preserve">? </w:t>
      </w:r>
      <w:r w:rsidR="002B04D5">
        <w:rPr>
          <w:lang w:val="en-GB"/>
        </w:rPr>
        <w:t xml:space="preserve">(2) </w:t>
      </w:r>
      <w:r>
        <w:rPr>
          <w:lang w:val="en-GB"/>
        </w:rPr>
        <w:t xml:space="preserve">What is </w:t>
      </w:r>
      <w:r w:rsidR="002B04D5">
        <w:rPr>
          <w:lang w:val="en-GB"/>
        </w:rPr>
        <w:t>the composition of residual emissions in scenarios</w:t>
      </w:r>
      <w:r w:rsidR="00CA57A7">
        <w:rPr>
          <w:lang w:val="en-GB"/>
        </w:rPr>
        <w:t xml:space="preserve"> with respect to </w:t>
      </w:r>
      <w:r w:rsidR="002B04D5">
        <w:rPr>
          <w:lang w:val="en-GB"/>
        </w:rPr>
        <w:t xml:space="preserve">gases, </w:t>
      </w:r>
      <w:r w:rsidR="00CF124D">
        <w:rPr>
          <w:lang w:val="en-GB"/>
        </w:rPr>
        <w:t xml:space="preserve">sectors </w:t>
      </w:r>
      <w:r w:rsidR="00CA57A7">
        <w:rPr>
          <w:lang w:val="en-GB"/>
        </w:rPr>
        <w:t>and</w:t>
      </w:r>
      <w:r w:rsidR="00CF124D">
        <w:rPr>
          <w:lang w:val="en-GB"/>
        </w:rPr>
        <w:t xml:space="preserve"> fuels</w:t>
      </w:r>
      <w:r>
        <w:rPr>
          <w:lang w:val="en-GB"/>
        </w:rPr>
        <w:t xml:space="preserve">? </w:t>
      </w:r>
      <w:r w:rsidR="002B04D5">
        <w:rPr>
          <w:lang w:val="en-GB"/>
        </w:rPr>
        <w:t xml:space="preserve">(3) </w:t>
      </w:r>
      <w:r>
        <w:rPr>
          <w:lang w:val="en-GB"/>
        </w:rPr>
        <w:t xml:space="preserve">What </w:t>
      </w:r>
      <w:r w:rsidR="00F17F2B">
        <w:rPr>
          <w:lang w:val="en-GB"/>
        </w:rPr>
        <w:t>scenario characteristics</w:t>
      </w:r>
      <w:r w:rsidR="00A35D86">
        <w:rPr>
          <w:lang w:val="en-GB"/>
        </w:rPr>
        <w:t xml:space="preserve"> explain variations</w:t>
      </w:r>
      <w:r w:rsidR="00CA57A7">
        <w:rPr>
          <w:lang w:val="en-GB"/>
        </w:rPr>
        <w:t xml:space="preserve"> in </w:t>
      </w:r>
      <w:r>
        <w:rPr>
          <w:lang w:val="en-GB"/>
        </w:rPr>
        <w:t>total residual emissions and their composition?</w:t>
      </w:r>
    </w:p>
    <w:p w14:paraId="13C6D8CF" w14:textId="24287B89" w:rsidR="00203DB1" w:rsidRDefault="0071356F">
      <w:pPr>
        <w:rPr>
          <w:lang w:val="en-GB"/>
        </w:rPr>
      </w:pPr>
      <w:r>
        <w:rPr>
          <w:lang w:val="en-GB"/>
        </w:rPr>
        <w:t>T</w:t>
      </w:r>
      <w:r w:rsidR="000B49E0">
        <w:rPr>
          <w:lang w:val="en-GB"/>
        </w:rPr>
        <w:t xml:space="preserve">he analysis </w:t>
      </w:r>
      <w:r>
        <w:rPr>
          <w:lang w:val="en-GB"/>
        </w:rPr>
        <w:t xml:space="preserve">in this manuscript centres on </w:t>
      </w:r>
      <w:r w:rsidR="000B49E0">
        <w:rPr>
          <w:lang w:val="en-GB"/>
        </w:rPr>
        <w:t>net zero CO</w:t>
      </w:r>
      <w:r w:rsidR="00CA57A7" w:rsidRPr="002B04D5">
        <w:rPr>
          <w:vertAlign w:val="subscript"/>
          <w:lang w:val="en-GB"/>
        </w:rPr>
        <w:t>2</w:t>
      </w:r>
      <w:r w:rsidR="000B49E0">
        <w:rPr>
          <w:lang w:val="en-GB"/>
        </w:rPr>
        <w:t xml:space="preserve"> emissions, rather than net zero GHG emissions. While the </w:t>
      </w:r>
      <w:r w:rsidR="00CA57A7">
        <w:rPr>
          <w:lang w:val="en-GB"/>
        </w:rPr>
        <w:t xml:space="preserve">latter is a more stringent objective that likely requires even lower residual emissions, it is not always reached in scenarios. </w:t>
      </w:r>
      <w:r w:rsidR="00FE5526">
        <w:rPr>
          <w:lang w:val="en-GB"/>
        </w:rPr>
        <w:t>Global mitigation objectives derived from the Intergovernmental Panel on Climate Change (IPCC) assessment literature are also strongly oriented around net zero CO</w:t>
      </w:r>
      <w:r w:rsidR="00FE5526" w:rsidRPr="002B04D5">
        <w:rPr>
          <w:vertAlign w:val="subscript"/>
          <w:lang w:val="en-GB"/>
        </w:rPr>
        <w:t>2</w:t>
      </w:r>
      <w:r w:rsidR="00FE5526">
        <w:rPr>
          <w:lang w:val="en-GB"/>
        </w:rPr>
        <w:t xml:space="preserve"> emissions, which advises for this state to be reached by the mid-century in order to limit warming to below 1.5</w:t>
      </w:r>
      <w:r w:rsidR="00FE5526">
        <w:rPr>
          <w:rFonts w:cstheme="minorHAnsi"/>
          <w:lang w:val="en-GB"/>
        </w:rPr>
        <w:t>°</w:t>
      </w:r>
      <w:r w:rsidR="00FE5526">
        <w:rPr>
          <w:lang w:val="en-GB"/>
        </w:rPr>
        <w:t xml:space="preserve">C </w:t>
      </w:r>
      <w:r w:rsidR="00FE5526">
        <w:rPr>
          <w:lang w:val="en-GB"/>
        </w:rPr>
        <w:fldChar w:fldCharType="begin"/>
      </w:r>
      <w:r w:rsidR="00FE5526">
        <w:rPr>
          <w:lang w:val="en-GB"/>
        </w:rPr>
        <w:instrText xml:space="preserve"> ADDIN ZOTERO_ITEM CSL_CITATION {"citationID":"pxhtCKIM","properties":{"formattedCitation":"(IPCC 2022)","plainCitation":"(IPCC 2022)","noteIndex":0},"citationItems":[{"id":12943,"uris":["http://zotero.org/users/6250806/items/TQA5VFAX"],"itemData":{"id":12943,"type":"chapter","container-title":"Climate Change 2022: Mitigation of Climate Change. Contribution of Working Group III to the Sixth Assessment Report of the Intergovernmental Panel on Climate Change","event-place":"Cambridge, UK and New York, NY, USA","note":"DOI: 10.1017/9781009157926.001","publisher":"Cambridge University Press","publisher-place":"Cambridge, UK and New York, NY, USA","title":"Summary for Policymakers","URL":"https://www.ipcc.ch/report/ar6/wg3/downloads/report/IPCC_AR6_WGIII_SPM.pdf","author":[{"family":"IPCC","given":""}],"editor":[{"family":"Shukla","given":"Priyadarshi R."},{"family":"Skea","given":"Jim"},{"family":"Slade","given":"Raphael"},{"family":"Al Khourdajie","given":"Alaa"},{"family":"Diemen","given":"Renée","non-dropping-particle":"van"},{"family":"McCollum","given":"David"},{"family":"Pathak","given":"Minal"},{"family":"Some","given":"Shreya"},{"family":"Vyas","given":"Purvi"},{"family":"Fradera","given":"Roger"},{"family":"Belkacemi","given":"Malek"},{"family":"Hasija","given":"Apoorva"},{"family":"Lisboa","given":"Geninha"},{"family":"Luz","given":"Sigourney"},{"family":"Malley","given":"Juliette"}],"accessed":{"date-parts":[["2022",6,9]]},"issued":{"date-parts":[["2022"]]},"citation-key":"ipccSummaryPolicymakers2022"}}],"schema":"https://github.com/citation-style-language/schema/raw/master/csl-citation.json"} </w:instrText>
      </w:r>
      <w:r w:rsidR="00FE5526">
        <w:rPr>
          <w:lang w:val="en-GB"/>
        </w:rPr>
        <w:fldChar w:fldCharType="separate"/>
      </w:r>
      <w:r w:rsidR="00FE5526" w:rsidRPr="00FE5526">
        <w:rPr>
          <w:rFonts w:ascii="Calibri" w:hAnsi="Calibri" w:cs="Calibri"/>
          <w:lang w:val="en-GB"/>
        </w:rPr>
        <w:t>(IPCC 2022)</w:t>
      </w:r>
      <w:r w:rsidR="00FE5526">
        <w:rPr>
          <w:lang w:val="en-GB"/>
        </w:rPr>
        <w:fldChar w:fldCharType="end"/>
      </w:r>
      <w:r w:rsidR="00FE5526">
        <w:rPr>
          <w:lang w:val="en-GB"/>
        </w:rPr>
        <w:t>.</w:t>
      </w:r>
    </w:p>
    <w:p w14:paraId="4E783E03" w14:textId="0E5170A0" w:rsidR="00203DB1" w:rsidRPr="00182512" w:rsidRDefault="00203DB1" w:rsidP="00E3654A">
      <w:pPr>
        <w:pStyle w:val="Listenabsatz"/>
        <w:numPr>
          <w:ilvl w:val="0"/>
          <w:numId w:val="5"/>
        </w:numPr>
        <w:rPr>
          <w:b/>
          <w:lang w:val="en-GB"/>
        </w:rPr>
      </w:pPr>
      <w:r w:rsidRPr="00182512">
        <w:rPr>
          <w:b/>
          <w:lang w:val="en-GB"/>
        </w:rPr>
        <w:t xml:space="preserve"> </w:t>
      </w:r>
      <w:r w:rsidR="00E30B32">
        <w:rPr>
          <w:b/>
          <w:lang w:val="en-GB"/>
        </w:rPr>
        <w:t>Method</w:t>
      </w:r>
    </w:p>
    <w:p w14:paraId="4A341B25" w14:textId="1C660746" w:rsidR="00EC76FB" w:rsidRDefault="00954E78">
      <w:pPr>
        <w:rPr>
          <w:lang w:val="en-GB"/>
        </w:rPr>
      </w:pPr>
      <w:r>
        <w:rPr>
          <w:lang w:val="en-GB"/>
        </w:rPr>
        <w:t>My primary data source is the scenario database compiled and vetted for the IPCC 6</w:t>
      </w:r>
      <w:r w:rsidRPr="00954E78">
        <w:rPr>
          <w:vertAlign w:val="superscript"/>
          <w:lang w:val="en-GB"/>
        </w:rPr>
        <w:t>th</w:t>
      </w:r>
      <w:r>
        <w:rPr>
          <w:lang w:val="en-GB"/>
        </w:rPr>
        <w:t xml:space="preserve"> Assessment Report </w:t>
      </w:r>
      <w:r>
        <w:rPr>
          <w:lang w:val="en-GB"/>
        </w:rPr>
        <w:fldChar w:fldCharType="begin"/>
      </w:r>
      <w:r>
        <w:rPr>
          <w:lang w:val="en-GB"/>
        </w:rPr>
        <w:instrText xml:space="preserve"> ADDIN ZOTERO_ITEM CSL_CITATION {"citationID":"J8Z4OYJf","properties":{"formattedCitation":"(Byers {\\i{}et al} 2022)","plainCitation":"(Byers et al 2022)","noteIndex":0},"citationItems":[{"id":13545,"uris":["http://zotero.org/users/6250806/items/4SM278HX"],"itemData":{"id":13545,"type":"report","note":"Citation Key: byers_edward_2022_5886911\nDOI: 10.5281/zenodo.5886911\ntex.entrytype: dataset\ntex.version: 1.1","publisher":"International Institute for Applied Systems Analysis","title":"AR6 Scenarios Database hosted by IIASA","URL":"https://doi.org/10.5281/zenodo.5886911","author":[{"literal":"Byers"},{"literal":"Edward"},{"family":"Krey","given":"Volker"},{"family":"Kriegler","given":"Elmar"},{"family":"Riahi","given":"Keywan"},{"family":"Schaeffer","given":"Roberto"},{"family":"Kikstra","given":"Jarmo"},{"family":"Lamboll","given":"Robin"},{"family":"Nicholls","given":"Zebedee"},{"family":"Sandstad","given":"Marit"},{"family":"Smith","given":"Chris"},{"family":"Wijst","given":"Kaj","non-dropping-particle":"van der"},{"family":"Al Khourdajie","given":"Alaa"},{"family":"Lecocq","given":"Franck"},{"family":"Portugal-Pereira","given":"Joana"},{"family":"Saheb","given":"Yamina"},{"family":"Stromann","given":"Anders"},{"family":"Winkler","given":"Harald"},{"family":"Auer","given":"Cornelia"},{"family":"Brutschin","given":"Elina"},{"family":"Gidden","given":"Matthew"},{"family":"Hackstock","given":"Philip"},{"family":"Harmsen","given":"Mathijs"},{"family":"Huppmann","given":"Daniel"},{"family":"Kolp","given":"Peter"},{"family":"Lepault","given":"Claire"},{"family":"Lewis","given":"Jared"},{"family":"Marangoni","given":"Giacomo"},{"family":"Müller-Casseres","given":"Eduardo"},{"family":"Skeie","given":"Ragnhild"},{"family":"Werning","given":"Michaela"},{"family":"Calvin","given":"Katherine"},{"family":"Forster","given":"Piers"},{"family":"Guivarch","given":"Celine"},{"family":"Hasegawa","given":"Tomoko"},{"family":"Meinshausen","given":"Malte"},{"family":"Peters","given":"Glen"},{"family":"Rogelj","given":"Joeri"},{"family":"Samset","given":"Bjorn"},{"family":"Steinberger","given":"Julia"},{"family":"Tavoni","given":"Massimo"},{"family":"Vuuren","given":"Detlef","non-dropping-particle":"van"}],"issued":{"date-parts":[["2022",11]]},"citation-key":"byers_edward_2022_5886911"}}],"schema":"https://github.com/citation-style-language/schema/raw/master/csl-citation.json"} </w:instrText>
      </w:r>
      <w:r>
        <w:rPr>
          <w:lang w:val="en-GB"/>
        </w:rPr>
        <w:fldChar w:fldCharType="separate"/>
      </w:r>
      <w:r w:rsidR="00B34A0D" w:rsidRPr="00B34A0D">
        <w:rPr>
          <w:rFonts w:ascii="Calibri" w:hAnsi="Calibri" w:cs="Calibri"/>
          <w:szCs w:val="24"/>
          <w:lang w:val="en-GB"/>
        </w:rPr>
        <w:t xml:space="preserve">(Byers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2022)</w:t>
      </w:r>
      <w:r>
        <w:rPr>
          <w:lang w:val="en-GB"/>
        </w:rPr>
        <w:fldChar w:fldCharType="end"/>
      </w:r>
      <w:r>
        <w:rPr>
          <w:lang w:val="en-GB"/>
        </w:rPr>
        <w:t>. I use th</w:t>
      </w:r>
      <w:r w:rsidR="00CA57A7">
        <w:rPr>
          <w:lang w:val="en-GB"/>
        </w:rPr>
        <w:t>ree categories of scenarios: “below 1.5</w:t>
      </w:r>
      <w:r w:rsidR="00CA57A7">
        <w:rPr>
          <w:rFonts w:cstheme="minorHAnsi"/>
          <w:lang w:val="en-GB"/>
        </w:rPr>
        <w:t>°</w:t>
      </w:r>
      <w:r w:rsidR="00CA57A7">
        <w:rPr>
          <w:lang w:val="en-GB"/>
        </w:rPr>
        <w:t>C”, “below 1.5</w:t>
      </w:r>
      <w:r w:rsidR="00CA57A7">
        <w:rPr>
          <w:rFonts w:cstheme="minorHAnsi"/>
          <w:lang w:val="en-GB"/>
        </w:rPr>
        <w:t>°</w:t>
      </w:r>
      <w:r w:rsidR="00CA57A7">
        <w:rPr>
          <w:lang w:val="en-GB"/>
        </w:rPr>
        <w:t>C with overshoot” and “below 2</w:t>
      </w:r>
      <w:r w:rsidR="00CA57A7">
        <w:rPr>
          <w:rFonts w:cstheme="minorHAnsi"/>
          <w:lang w:val="en-GB"/>
        </w:rPr>
        <w:t>°</w:t>
      </w:r>
      <w:r w:rsidR="00CA57A7">
        <w:rPr>
          <w:lang w:val="en-GB"/>
        </w:rPr>
        <w:t>C scenarios”. These correspond to the IPCC terminology of “C1”, “C2” and “C3” scenarios</w:t>
      </w:r>
      <w:r>
        <w:rPr>
          <w:lang w:val="en-GB"/>
        </w:rPr>
        <w:t xml:space="preserve"> </w:t>
      </w:r>
      <w:r>
        <w:rPr>
          <w:lang w:val="en-GB"/>
        </w:rPr>
        <w:fldChar w:fldCharType="begin"/>
      </w:r>
      <w:r>
        <w:rPr>
          <w:lang w:val="en-GB"/>
        </w:rPr>
        <w:instrText xml:space="preserve"> ADDIN ZOTERO_ITEM CSL_CITATION {"citationID":"JODcA5AD","properties":{"formattedCitation":"(IPCC 2022)","plainCitation":"(IPCC 2022)","noteIndex":0},"citationItems":[{"id":12943,"uris":["http://zotero.org/users/6250806/items/TQA5VFAX"],"itemData":{"id":12943,"type":"chapter","container-title":"Climate Change 2022: Mitigation of Climate Change. Contribution of Working Group III to the Sixth Assessment Report of the Intergovernmental Panel on Climate Change","event-place":"Cambridge, UK and New York, NY, USA","note":"DOI: 10.1017/9781009157926.001","publisher":"Cambridge University Press","publisher-place":"Cambridge, UK and New York, NY, USA","title":"Summary for Policymakers","URL":"https://www.ipcc.ch/report/ar6/wg3/downloads/report/IPCC_AR6_WGIII_SPM.pdf","author":[{"family":"IPCC","given":""}],"editor":[{"family":"Shukla","given":"Priyadarshi R."},{"family":"Skea","given":"Jim"},{"family":"Slade","given":"Raphael"},{"family":"Al Khourdajie","given":"Alaa"},{"family":"Diemen","given":"Renée","non-dropping-particle":"van"},{"family":"McCollum","given":"David"},{"family":"Pathak","given":"Minal"},{"family":"Some","given":"Shreya"},{"family":"Vyas","given":"Purvi"},{"family":"Fradera","given":"Roger"},{"family":"Belkacemi","given":"Malek"},{"family":"Hasija","given":"Apoorva"},{"family":"Lisboa","given":"Geninha"},{"family":"Luz","given":"Sigourney"},{"family":"Malley","given":"Juliette"}],"accessed":{"date-parts":[["2022",6,9]]},"issued":{"date-parts":[["2022"]]},"citation-key":"ipccSummaryPolicymakers2022"}}],"schema":"https://github.com/citation-style-language/schema/raw/master/csl-citation.json"} </w:instrText>
      </w:r>
      <w:r>
        <w:rPr>
          <w:lang w:val="en-GB"/>
        </w:rPr>
        <w:fldChar w:fldCharType="separate"/>
      </w:r>
      <w:r w:rsidR="00B34A0D" w:rsidRPr="00B34A0D">
        <w:rPr>
          <w:rFonts w:ascii="Calibri" w:hAnsi="Calibri" w:cs="Calibri"/>
          <w:lang w:val="en-GB"/>
        </w:rPr>
        <w:t>(IPCC 2022)</w:t>
      </w:r>
      <w:r>
        <w:rPr>
          <w:lang w:val="en-GB"/>
        </w:rPr>
        <w:fldChar w:fldCharType="end"/>
      </w:r>
      <w:r w:rsidR="00CA57A7">
        <w:rPr>
          <w:lang w:val="en-GB"/>
        </w:rPr>
        <w:t>, which are those most relevant to the temperature goal of the Paris Agreement</w:t>
      </w:r>
      <w:r>
        <w:rPr>
          <w:lang w:val="en-GB"/>
        </w:rPr>
        <w:t>.</w:t>
      </w:r>
      <w:r w:rsidR="0071356F">
        <w:rPr>
          <w:lang w:val="en-GB"/>
        </w:rPr>
        <w:t xml:space="preserve"> O</w:t>
      </w:r>
      <w:r w:rsidR="00BE4BC4">
        <w:rPr>
          <w:lang w:val="en-GB"/>
        </w:rPr>
        <w:t>nly global totals</w:t>
      </w:r>
      <w:r w:rsidR="0071356F">
        <w:rPr>
          <w:lang w:val="en-GB"/>
        </w:rPr>
        <w:t xml:space="preserve"> are considered in these scenarios</w:t>
      </w:r>
      <w:r w:rsidR="00BE4BC4">
        <w:rPr>
          <w:lang w:val="en-GB"/>
        </w:rPr>
        <w:t xml:space="preserve">. Further, I use a linear interpolation </w:t>
      </w:r>
      <w:r w:rsidR="00BE4BC4">
        <w:rPr>
          <w:lang w:val="en-GB"/>
        </w:rPr>
        <w:lastRenderedPageBreak/>
        <w:t>to estimate data in the years between</w:t>
      </w:r>
      <w:r w:rsidR="00A35D86">
        <w:rPr>
          <w:lang w:val="en-GB"/>
        </w:rPr>
        <w:t xml:space="preserve"> reported</w:t>
      </w:r>
      <w:r w:rsidR="00BE4BC4">
        <w:rPr>
          <w:lang w:val="en-GB"/>
        </w:rPr>
        <w:t xml:space="preserve"> time</w:t>
      </w:r>
      <w:r w:rsidR="00A35D86">
        <w:rPr>
          <w:lang w:val="en-GB"/>
        </w:rPr>
        <w:t xml:space="preserve"> </w:t>
      </w:r>
      <w:r w:rsidR="00BE4BC4">
        <w:rPr>
          <w:lang w:val="en-GB"/>
        </w:rPr>
        <w:t xml:space="preserve">steps. </w:t>
      </w:r>
      <w:r w:rsidR="00654A6A">
        <w:rPr>
          <w:lang w:val="en-GB"/>
        </w:rPr>
        <w:t xml:space="preserve">The </w:t>
      </w:r>
      <w:r w:rsidR="002A6B73">
        <w:rPr>
          <w:lang w:val="en-GB"/>
        </w:rPr>
        <w:t xml:space="preserve">complete </w:t>
      </w:r>
      <w:r w:rsidR="00654A6A">
        <w:rPr>
          <w:lang w:val="en-GB"/>
        </w:rPr>
        <w:t xml:space="preserve">R code and processed data </w:t>
      </w:r>
      <w:r w:rsidR="00A35D86">
        <w:rPr>
          <w:lang w:val="en-GB"/>
        </w:rPr>
        <w:t>for this manuscript</w:t>
      </w:r>
      <w:r w:rsidR="002A6B73">
        <w:rPr>
          <w:lang w:val="en-GB"/>
        </w:rPr>
        <w:t xml:space="preserve"> </w:t>
      </w:r>
      <w:r w:rsidR="00525DBA">
        <w:rPr>
          <w:lang w:val="en-GB"/>
        </w:rPr>
        <w:t xml:space="preserve">are </w:t>
      </w:r>
      <w:r w:rsidR="00654A6A">
        <w:rPr>
          <w:lang w:val="en-GB"/>
        </w:rPr>
        <w:t>available at [</w:t>
      </w:r>
      <w:proofErr w:type="spellStart"/>
      <w:r w:rsidR="00654A6A" w:rsidRPr="002A6B73">
        <w:rPr>
          <w:highlight w:val="yellow"/>
          <w:lang w:val="en-GB"/>
        </w:rPr>
        <w:t>Github</w:t>
      </w:r>
      <w:proofErr w:type="spellEnd"/>
      <w:r w:rsidR="00654A6A" w:rsidRPr="002A6B73">
        <w:rPr>
          <w:highlight w:val="yellow"/>
          <w:lang w:val="en-GB"/>
        </w:rPr>
        <w:t xml:space="preserve"> link</w:t>
      </w:r>
      <w:r w:rsidR="00654A6A">
        <w:rPr>
          <w:lang w:val="en-GB"/>
        </w:rPr>
        <w:t>].</w:t>
      </w:r>
    </w:p>
    <w:p w14:paraId="4C02467D" w14:textId="77777777" w:rsidR="00954E78" w:rsidRPr="00182512" w:rsidRDefault="0067035A" w:rsidP="00182512">
      <w:pPr>
        <w:pStyle w:val="Listenabsatz"/>
        <w:numPr>
          <w:ilvl w:val="1"/>
          <w:numId w:val="5"/>
        </w:numPr>
        <w:rPr>
          <w:i/>
          <w:lang w:val="en-GB"/>
        </w:rPr>
      </w:pPr>
      <w:r w:rsidRPr="00182512">
        <w:rPr>
          <w:i/>
          <w:lang w:val="en-GB"/>
        </w:rPr>
        <w:t>Scenario exclusions</w:t>
      </w:r>
    </w:p>
    <w:p w14:paraId="4CC83B0B" w14:textId="49096E78" w:rsidR="00951F0F" w:rsidRDefault="002B5A36" w:rsidP="009068E7">
      <w:pPr>
        <w:rPr>
          <w:lang w:val="en-GB"/>
        </w:rPr>
      </w:pPr>
      <w:r>
        <w:rPr>
          <w:lang w:val="en-GB"/>
        </w:rPr>
        <w:t>Many scenarios must be excl</w:t>
      </w:r>
      <w:r w:rsidR="00CA57A7">
        <w:rPr>
          <w:lang w:val="en-GB"/>
        </w:rPr>
        <w:t xml:space="preserve">uded </w:t>
      </w:r>
      <w:r w:rsidR="00525DBA">
        <w:rPr>
          <w:lang w:val="en-GB"/>
        </w:rPr>
        <w:t xml:space="preserve">from the analysis </w:t>
      </w:r>
      <w:r w:rsidR="00CA57A7">
        <w:rPr>
          <w:lang w:val="en-GB"/>
        </w:rPr>
        <w:t xml:space="preserve">due to </w:t>
      </w:r>
      <w:r w:rsidR="00525DBA">
        <w:rPr>
          <w:lang w:val="en-GB"/>
        </w:rPr>
        <w:t xml:space="preserve">a </w:t>
      </w:r>
      <w:r>
        <w:rPr>
          <w:lang w:val="en-GB"/>
        </w:rPr>
        <w:t>lack of data.</w:t>
      </w:r>
      <w:r w:rsidR="0067035A">
        <w:rPr>
          <w:lang w:val="en-GB"/>
        </w:rPr>
        <w:t xml:space="preserve"> To achieve a certain granularity of analysis, I consider only scenarios that report 19 </w:t>
      </w:r>
      <w:r w:rsidR="008930B9">
        <w:rPr>
          <w:lang w:val="en-GB"/>
        </w:rPr>
        <w:t xml:space="preserve">separate </w:t>
      </w:r>
      <w:r w:rsidR="00A752EE">
        <w:rPr>
          <w:lang w:val="en-GB"/>
        </w:rPr>
        <w:t xml:space="preserve">emissions </w:t>
      </w:r>
      <w:r w:rsidR="00525DBA">
        <w:rPr>
          <w:lang w:val="en-GB"/>
        </w:rPr>
        <w:t>variables</w:t>
      </w:r>
      <w:r w:rsidR="0067035A">
        <w:rPr>
          <w:lang w:val="en-GB"/>
        </w:rPr>
        <w:t>. These include aggregated totals b</w:t>
      </w:r>
      <w:r w:rsidR="002645FE">
        <w:rPr>
          <w:lang w:val="en-GB"/>
        </w:rPr>
        <w:t xml:space="preserve">y gas and </w:t>
      </w:r>
      <w:r w:rsidR="0067035A">
        <w:rPr>
          <w:lang w:val="en-GB"/>
        </w:rPr>
        <w:t>by sector</w:t>
      </w:r>
      <w:r w:rsidR="002645FE">
        <w:rPr>
          <w:lang w:val="en-GB"/>
        </w:rPr>
        <w:t>,</w:t>
      </w:r>
      <w:r w:rsidR="0067035A">
        <w:rPr>
          <w:lang w:val="en-GB"/>
        </w:rPr>
        <w:t xml:space="preserve"> </w:t>
      </w:r>
      <w:r w:rsidR="002645FE">
        <w:rPr>
          <w:lang w:val="en-GB"/>
        </w:rPr>
        <w:t xml:space="preserve">and seven subsectors covering more detailed emissions from </w:t>
      </w:r>
      <w:r w:rsidR="007D7ADA">
        <w:rPr>
          <w:lang w:val="en-GB"/>
        </w:rPr>
        <w:t xml:space="preserve">the </w:t>
      </w:r>
      <w:r w:rsidR="002645FE">
        <w:rPr>
          <w:lang w:val="en-GB"/>
        </w:rPr>
        <w:t>AFOLU (Agriculture, forestry and other land use) and energy</w:t>
      </w:r>
      <w:r w:rsidR="007D7ADA">
        <w:rPr>
          <w:lang w:val="en-GB"/>
        </w:rPr>
        <w:t xml:space="preserve"> sectors (Table 1)</w:t>
      </w:r>
      <w:r w:rsidR="002645FE">
        <w:rPr>
          <w:lang w:val="en-GB"/>
        </w:rPr>
        <w:t xml:space="preserve">. </w:t>
      </w:r>
      <w:r w:rsidR="009068E7">
        <w:rPr>
          <w:lang w:val="en-GB"/>
        </w:rPr>
        <w:t xml:space="preserve">In addition, only scenarios that report carbon sequestration in the land use and energy supply sectors were selected, as these variables are required to calculate gross emissions. </w:t>
      </w:r>
    </w:p>
    <w:p w14:paraId="23D8A248" w14:textId="4261D625" w:rsidR="008930B9" w:rsidRDefault="00A207B4" w:rsidP="008930B9">
      <w:pPr>
        <w:rPr>
          <w:lang w:val="en-GB"/>
        </w:rPr>
      </w:pPr>
      <w:r>
        <w:rPr>
          <w:lang w:val="en-GB"/>
        </w:rPr>
        <w:t xml:space="preserve">Finally, </w:t>
      </w:r>
      <w:r w:rsidR="00951F0F">
        <w:rPr>
          <w:lang w:val="en-GB"/>
        </w:rPr>
        <w:t xml:space="preserve">I exclude </w:t>
      </w:r>
      <w:r>
        <w:rPr>
          <w:lang w:val="en-GB"/>
        </w:rPr>
        <w:t>scenarios that do not reach net zero CO</w:t>
      </w:r>
      <w:r w:rsidRPr="00A207B4">
        <w:rPr>
          <w:vertAlign w:val="subscript"/>
          <w:lang w:val="en-GB"/>
        </w:rPr>
        <w:t>2</w:t>
      </w:r>
      <w:r>
        <w:rPr>
          <w:lang w:val="en-GB"/>
        </w:rPr>
        <w:t xml:space="preserve"> emissions in the 21</w:t>
      </w:r>
      <w:r w:rsidRPr="00A207B4">
        <w:rPr>
          <w:vertAlign w:val="superscript"/>
          <w:lang w:val="en-GB"/>
        </w:rPr>
        <w:t>st</w:t>
      </w:r>
      <w:r>
        <w:rPr>
          <w:lang w:val="en-GB"/>
        </w:rPr>
        <w:t xml:space="preserve"> century.</w:t>
      </w:r>
      <w:r w:rsidR="00951F0F">
        <w:rPr>
          <w:lang w:val="en-GB"/>
        </w:rPr>
        <w:t xml:space="preserve"> The remaining dataset of 156 scenarios comprises</w:t>
      </w:r>
      <w:r w:rsidR="00F80368" w:rsidRPr="0056749B">
        <w:rPr>
          <w:lang w:val="en-GB"/>
        </w:rPr>
        <w:t xml:space="preserve"> </w:t>
      </w:r>
      <w:r w:rsidR="0056749B" w:rsidRPr="0056749B">
        <w:rPr>
          <w:lang w:val="en-GB"/>
        </w:rPr>
        <w:t xml:space="preserve">31 </w:t>
      </w:r>
      <w:r w:rsidR="007D7ADA">
        <w:rPr>
          <w:lang w:val="en-GB"/>
        </w:rPr>
        <w:t>below 1.5</w:t>
      </w:r>
      <w:r w:rsidR="007D7ADA">
        <w:rPr>
          <w:rFonts w:cstheme="minorHAnsi"/>
          <w:lang w:val="en-GB"/>
        </w:rPr>
        <w:t>°</w:t>
      </w:r>
      <w:r w:rsidR="007D7ADA">
        <w:rPr>
          <w:lang w:val="en-GB"/>
        </w:rPr>
        <w:t>C</w:t>
      </w:r>
      <w:r w:rsidR="0056749B" w:rsidRPr="0056749B">
        <w:rPr>
          <w:lang w:val="en-GB"/>
        </w:rPr>
        <w:t xml:space="preserve"> </w:t>
      </w:r>
      <w:r w:rsidR="00951F0F">
        <w:rPr>
          <w:lang w:val="en-GB"/>
        </w:rPr>
        <w:t xml:space="preserve">scenarios </w:t>
      </w:r>
      <w:r w:rsidR="0056749B" w:rsidRPr="0056749B">
        <w:rPr>
          <w:lang w:val="en-GB"/>
        </w:rPr>
        <w:t>(out of 70</w:t>
      </w:r>
      <w:r w:rsidR="00F80368" w:rsidRPr="0056749B">
        <w:rPr>
          <w:lang w:val="en-GB"/>
        </w:rPr>
        <w:t xml:space="preserve">), </w:t>
      </w:r>
      <w:r w:rsidR="0056749B" w:rsidRPr="0056749B">
        <w:rPr>
          <w:lang w:val="en-GB"/>
        </w:rPr>
        <w:t>43</w:t>
      </w:r>
      <w:r w:rsidR="00F80368" w:rsidRPr="0056749B">
        <w:rPr>
          <w:lang w:val="en-GB"/>
        </w:rPr>
        <w:t xml:space="preserve"> </w:t>
      </w:r>
      <w:r w:rsidR="007D7ADA">
        <w:rPr>
          <w:lang w:val="en-GB"/>
        </w:rPr>
        <w:t>below 1.5</w:t>
      </w:r>
      <w:r w:rsidR="007D7ADA">
        <w:rPr>
          <w:rFonts w:cstheme="minorHAnsi"/>
          <w:lang w:val="en-GB"/>
        </w:rPr>
        <w:t>°</w:t>
      </w:r>
      <w:r w:rsidR="007D7ADA">
        <w:rPr>
          <w:lang w:val="en-GB"/>
        </w:rPr>
        <w:t>C with overshoot</w:t>
      </w:r>
      <w:r w:rsidR="00F80368" w:rsidRPr="0056749B">
        <w:rPr>
          <w:lang w:val="en-GB"/>
        </w:rPr>
        <w:t xml:space="preserve"> </w:t>
      </w:r>
      <w:r w:rsidR="00951F0F">
        <w:rPr>
          <w:lang w:val="en-GB"/>
        </w:rPr>
        <w:t xml:space="preserve">scenarios </w:t>
      </w:r>
      <w:r w:rsidR="00F80368" w:rsidRPr="0056749B">
        <w:rPr>
          <w:lang w:val="en-GB"/>
        </w:rPr>
        <w:t xml:space="preserve">(of </w:t>
      </w:r>
      <w:r w:rsidR="0056749B" w:rsidRPr="0056749B">
        <w:rPr>
          <w:lang w:val="en-GB"/>
        </w:rPr>
        <w:t>106</w:t>
      </w:r>
      <w:r w:rsidR="00F80368" w:rsidRPr="0056749B">
        <w:rPr>
          <w:lang w:val="en-GB"/>
        </w:rPr>
        <w:t xml:space="preserve">) and </w:t>
      </w:r>
      <w:r w:rsidR="0056749B" w:rsidRPr="0056749B">
        <w:rPr>
          <w:lang w:val="en-GB"/>
        </w:rPr>
        <w:t>82</w:t>
      </w:r>
      <w:r w:rsidR="00F80368" w:rsidRPr="0056749B">
        <w:rPr>
          <w:lang w:val="en-GB"/>
        </w:rPr>
        <w:t xml:space="preserve"> </w:t>
      </w:r>
      <w:r w:rsidR="007D7ADA">
        <w:rPr>
          <w:lang w:val="en-GB"/>
        </w:rPr>
        <w:t>below 2</w:t>
      </w:r>
      <w:r w:rsidR="007D7ADA">
        <w:rPr>
          <w:rFonts w:cstheme="minorHAnsi"/>
          <w:lang w:val="en-GB"/>
        </w:rPr>
        <w:t>°</w:t>
      </w:r>
      <w:r w:rsidR="007D7ADA">
        <w:rPr>
          <w:lang w:val="en-GB"/>
        </w:rPr>
        <w:t>C</w:t>
      </w:r>
      <w:r w:rsidR="00F80368" w:rsidRPr="0056749B">
        <w:rPr>
          <w:lang w:val="en-GB"/>
        </w:rPr>
        <w:t xml:space="preserve"> </w:t>
      </w:r>
      <w:r w:rsidR="00951F0F">
        <w:rPr>
          <w:lang w:val="en-GB"/>
        </w:rPr>
        <w:t xml:space="preserve">scenarios </w:t>
      </w:r>
      <w:r w:rsidR="00F80368" w:rsidRPr="0056749B">
        <w:rPr>
          <w:lang w:val="en-GB"/>
        </w:rPr>
        <w:t xml:space="preserve">(of </w:t>
      </w:r>
      <w:r w:rsidR="0056749B" w:rsidRPr="0056749B">
        <w:rPr>
          <w:lang w:val="en-GB"/>
        </w:rPr>
        <w:t>231</w:t>
      </w:r>
      <w:r w:rsidR="00F80368" w:rsidRPr="0056749B">
        <w:rPr>
          <w:lang w:val="en-GB"/>
        </w:rPr>
        <w:t>)</w:t>
      </w:r>
      <w:r w:rsidR="00F80368">
        <w:rPr>
          <w:lang w:val="en-GB"/>
        </w:rPr>
        <w:t>.</w:t>
      </w:r>
      <w:r w:rsidR="009645D8">
        <w:rPr>
          <w:lang w:val="en-GB"/>
        </w:rPr>
        <w:t xml:space="preserve"> </w:t>
      </w:r>
      <w:r w:rsidR="007F3C2C">
        <w:rPr>
          <w:lang w:val="en-GB"/>
        </w:rPr>
        <w:t>An important consequence of the</w:t>
      </w:r>
      <w:r w:rsidR="00182512">
        <w:rPr>
          <w:lang w:val="en-GB"/>
        </w:rPr>
        <w:t>se</w:t>
      </w:r>
      <w:r w:rsidR="007F3C2C">
        <w:rPr>
          <w:lang w:val="en-GB"/>
        </w:rPr>
        <w:t xml:space="preserve"> exclusions is that</w:t>
      </w:r>
      <w:r w:rsidR="002B5A36">
        <w:rPr>
          <w:lang w:val="en-GB"/>
        </w:rPr>
        <w:t xml:space="preserve"> o</w:t>
      </w:r>
      <w:r w:rsidR="009645D8">
        <w:rPr>
          <w:lang w:val="en-GB"/>
        </w:rPr>
        <w:t xml:space="preserve">nly three models are represented in </w:t>
      </w:r>
      <w:r w:rsidR="00F41306">
        <w:rPr>
          <w:lang w:val="en-GB"/>
        </w:rPr>
        <w:t>the</w:t>
      </w:r>
      <w:r w:rsidR="009645D8">
        <w:rPr>
          <w:lang w:val="en-GB"/>
        </w:rPr>
        <w:t xml:space="preserve"> final data</w:t>
      </w:r>
      <w:r w:rsidR="009068E7">
        <w:rPr>
          <w:lang w:val="en-GB"/>
        </w:rPr>
        <w:t>set: IMAGE, MESSAGE and REMIND.</w:t>
      </w:r>
    </w:p>
    <w:p w14:paraId="48D66425" w14:textId="77777777" w:rsidR="00D44000" w:rsidRDefault="00D44000" w:rsidP="00182512">
      <w:pPr>
        <w:pStyle w:val="Listenabsatz"/>
        <w:numPr>
          <w:ilvl w:val="1"/>
          <w:numId w:val="5"/>
        </w:numPr>
        <w:rPr>
          <w:i/>
          <w:lang w:val="en-GB"/>
        </w:rPr>
      </w:pPr>
      <w:r w:rsidRPr="00F80368">
        <w:rPr>
          <w:i/>
          <w:lang w:val="en-GB"/>
        </w:rPr>
        <w:t>Aggregation of scenario data</w:t>
      </w:r>
    </w:p>
    <w:p w14:paraId="76B2C329" w14:textId="5928BC02" w:rsidR="006A5822" w:rsidRDefault="00E638A4" w:rsidP="00D179BE">
      <w:pPr>
        <w:rPr>
          <w:rStyle w:val="Hervorhebung"/>
          <w:i w:val="0"/>
          <w:sz w:val="20"/>
          <w:lang w:val="en-GB"/>
        </w:rPr>
      </w:pPr>
      <w:r>
        <w:rPr>
          <w:lang w:val="en-GB"/>
        </w:rPr>
        <w:t xml:space="preserve">Emissions do not sum reliably across sectors in the AR6 scenario database. To ensure consistent reporting across the hierarchy I therefore created a set of residual “other” categories that capture the difference in the sum of emissions from the subsector to sector level, and the sector to gas level. Total </w:t>
      </w:r>
      <w:r w:rsidR="00951F0F">
        <w:rPr>
          <w:lang w:val="en-GB"/>
        </w:rPr>
        <w:t xml:space="preserve">net </w:t>
      </w:r>
      <w:r>
        <w:rPr>
          <w:lang w:val="en-GB"/>
        </w:rPr>
        <w:t xml:space="preserve">GHG emissions for each scenario are then calculated as the sum of </w:t>
      </w:r>
      <w:r w:rsidR="007D7ADA">
        <w:rPr>
          <w:lang w:val="en-GB"/>
        </w:rPr>
        <w:t>the individual sectors or gases (</w:t>
      </w:r>
      <w:r>
        <w:rPr>
          <w:lang w:val="en-GB"/>
        </w:rPr>
        <w:t>CO</w:t>
      </w:r>
      <w:r w:rsidRPr="00011716">
        <w:rPr>
          <w:vertAlign w:val="subscript"/>
          <w:lang w:val="en-GB"/>
        </w:rPr>
        <w:t>2</w:t>
      </w:r>
      <w:r>
        <w:rPr>
          <w:lang w:val="en-GB"/>
        </w:rPr>
        <w:t>, CH</w:t>
      </w:r>
      <w:r w:rsidRPr="008A7A5D">
        <w:rPr>
          <w:vertAlign w:val="subscript"/>
          <w:lang w:val="en-GB"/>
        </w:rPr>
        <w:t>4</w:t>
      </w:r>
      <w:r>
        <w:rPr>
          <w:lang w:val="en-GB"/>
        </w:rPr>
        <w:t>, N</w:t>
      </w:r>
      <w:r w:rsidRPr="008A7A5D">
        <w:rPr>
          <w:vertAlign w:val="subscript"/>
          <w:lang w:val="en-GB"/>
        </w:rPr>
        <w:t>2</w:t>
      </w:r>
      <w:r>
        <w:rPr>
          <w:lang w:val="en-GB"/>
        </w:rPr>
        <w:t>O and F-gases</w:t>
      </w:r>
      <w:r w:rsidR="007D7ADA">
        <w:rPr>
          <w:lang w:val="en-GB"/>
        </w:rPr>
        <w:t>)</w:t>
      </w:r>
      <w:r>
        <w:rPr>
          <w:lang w:val="en-GB"/>
        </w:rPr>
        <w:t>. I use AR6 global warming potentials with a 100 year time horizon (GWP100)</w:t>
      </w:r>
      <w:r w:rsidR="00182512">
        <w:rPr>
          <w:lang w:val="en-GB"/>
        </w:rPr>
        <w:t xml:space="preserve"> </w:t>
      </w:r>
      <w:r w:rsidR="00182512">
        <w:rPr>
          <w:lang w:val="en-GB"/>
        </w:rPr>
        <w:fldChar w:fldCharType="begin"/>
      </w:r>
      <w:r w:rsidR="00182512">
        <w:rPr>
          <w:lang w:val="en-GB"/>
        </w:rPr>
        <w:instrText xml:space="preserve"> ADDIN ZOTERO_ITEM CSL_CITATION {"citationID":"Yuo7JuqG","properties":{"formattedCitation":"(Forster {\\i{}et al} 2021)","plainCitation":"(Forster et al 2021)","noteIndex":0},"citationItems":[{"id":12967,"uris":["http://zotero.org/users/6250806/items/V462VSG5"],"itemData":{"id":12967,"type":"chapter","container-title":"Climate Change 2021: The Physical Science Basis. Contribution of Working Group I to the Sixth Assessment Report of the Intergovernmental Panel on Climate Change","event-place":"Cambridge, United Kingdom and New York, NY, USA","language":"en","note":"DOI: 10.1017/9781009157896.009","page":"923-1054","publisher":"Cambridge University Press","publisher-place":"Cambridge, United Kingdom and New York, NY, USA","source":"Zotero","title":"Chapter 7: The Earth’s Energy Budget, Climate Feedbacks and Climate Sensitivity","author":[{"family":"Forster","given":"Piers"},{"family":"Storelvmo","given":"Trude"},{"family":"Armour","given":"Kyle"},{"family":"Collins","given":"William"},{"family":"Dufresne","given":"Jean-Louis"},{"family":"Frame","given":"David"},{"family":"Lunt","given":"Daniel J."},{"family":"Mauritsen","given":"Thorsten"},{"family":"Palmer","given":"Matthew D."},{"family":"Watanabe","given":"Masahiro"},{"family":"Wild","given":"Martin"},{"family":"Zhang","given":"Hua"}],"issued":{"date-parts":[["2021"]]},"citation-key":"forsterChapterEarthEnergy2021"}}],"schema":"https://github.com/citation-style-language/schema/raw/master/csl-citation.json"} </w:instrText>
      </w:r>
      <w:r w:rsidR="00182512">
        <w:rPr>
          <w:lang w:val="en-GB"/>
        </w:rPr>
        <w:fldChar w:fldCharType="separate"/>
      </w:r>
      <w:r w:rsidR="00B34A0D" w:rsidRPr="00B34A0D">
        <w:rPr>
          <w:rFonts w:ascii="Calibri" w:hAnsi="Calibri" w:cs="Calibri"/>
          <w:szCs w:val="24"/>
          <w:lang w:val="en-GB"/>
        </w:rPr>
        <w:t xml:space="preserve">(Forster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2021)</w:t>
      </w:r>
      <w:r w:rsidR="00182512">
        <w:rPr>
          <w:lang w:val="en-GB"/>
        </w:rPr>
        <w:fldChar w:fldCharType="end"/>
      </w:r>
      <w:r w:rsidR="00182512">
        <w:rPr>
          <w:lang w:val="en-GB"/>
        </w:rPr>
        <w:t xml:space="preserve">, but take </w:t>
      </w:r>
      <w:r>
        <w:rPr>
          <w:lang w:val="en-GB"/>
        </w:rPr>
        <w:t>native</w:t>
      </w:r>
      <w:r w:rsidR="007D7ADA">
        <w:rPr>
          <w:lang w:val="en-GB"/>
        </w:rPr>
        <w:t xml:space="preserve"> GWP100</w:t>
      </w:r>
      <w:r>
        <w:rPr>
          <w:lang w:val="en-GB"/>
        </w:rPr>
        <w:t xml:space="preserve"> reporting in the scenario database for F-gases</w:t>
      </w:r>
      <w:r w:rsidR="00011716">
        <w:rPr>
          <w:lang w:val="en-GB"/>
        </w:rPr>
        <w:t xml:space="preserve">. Following these procedures, the sum of </w:t>
      </w:r>
      <w:r w:rsidR="00E2342B">
        <w:rPr>
          <w:lang w:val="en-GB"/>
        </w:rPr>
        <w:t xml:space="preserve">emissions across the resolved sectors </w:t>
      </w:r>
      <w:r w:rsidR="00011716">
        <w:rPr>
          <w:lang w:val="en-GB"/>
        </w:rPr>
        <w:t>still does not equal the “Kyoto gas” total in the AR6 database</w:t>
      </w:r>
      <w:r w:rsidR="009433F8">
        <w:rPr>
          <w:lang w:val="en-GB"/>
        </w:rPr>
        <w:t>,</w:t>
      </w:r>
      <w:r w:rsidR="00F90E11">
        <w:rPr>
          <w:lang w:val="en-GB"/>
        </w:rPr>
        <w:t xml:space="preserve"> however the absolute difference is relatively small (</w:t>
      </w:r>
      <w:r w:rsidR="00011716">
        <w:rPr>
          <w:lang w:val="en-GB"/>
        </w:rPr>
        <w:t xml:space="preserve">median </w:t>
      </w:r>
      <w:r w:rsidR="00F90E11">
        <w:rPr>
          <w:lang w:val="en-GB"/>
        </w:rPr>
        <w:t>and 5</w:t>
      </w:r>
      <w:r w:rsidR="00F90E11" w:rsidRPr="00F90E11">
        <w:rPr>
          <w:vertAlign w:val="superscript"/>
          <w:lang w:val="en-GB"/>
        </w:rPr>
        <w:t>th</w:t>
      </w:r>
      <w:r w:rsidR="00F90E11">
        <w:rPr>
          <w:lang w:val="en-GB"/>
        </w:rPr>
        <w:t>-95</w:t>
      </w:r>
      <w:r w:rsidR="00F90E11" w:rsidRPr="00F90E11">
        <w:rPr>
          <w:vertAlign w:val="superscript"/>
          <w:lang w:val="en-GB"/>
        </w:rPr>
        <w:t>th</w:t>
      </w:r>
      <w:r w:rsidR="00F90E11">
        <w:rPr>
          <w:lang w:val="en-GB"/>
        </w:rPr>
        <w:t xml:space="preserve"> percentile: </w:t>
      </w:r>
      <w:r w:rsidR="00011716">
        <w:rPr>
          <w:lang w:val="en-GB"/>
        </w:rPr>
        <w:t>130</w:t>
      </w:r>
      <w:r w:rsidR="00F90E11">
        <w:rPr>
          <w:lang w:val="en-GB"/>
        </w:rPr>
        <w:t xml:space="preserve"> [97-270]</w:t>
      </w:r>
      <w:r w:rsidR="009433F8">
        <w:rPr>
          <w:lang w:val="en-GB"/>
        </w:rPr>
        <w:t xml:space="preserve"> </w:t>
      </w:r>
      <w:r w:rsidR="00011716">
        <w:rPr>
          <w:lang w:val="en-GB"/>
        </w:rPr>
        <w:t>MtCO</w:t>
      </w:r>
      <w:r w:rsidR="008A7A5D" w:rsidRPr="008A7A5D">
        <w:rPr>
          <w:vertAlign w:val="subscript"/>
          <w:lang w:val="en-GB"/>
        </w:rPr>
        <w:t>2</w:t>
      </w:r>
      <w:r w:rsidR="00011716">
        <w:rPr>
          <w:lang w:val="en-GB"/>
        </w:rPr>
        <w:t xml:space="preserve">e </w:t>
      </w:r>
      <w:r w:rsidR="00F90E11">
        <w:rPr>
          <w:lang w:val="en-GB"/>
        </w:rPr>
        <w:t>in 2050</w:t>
      </w:r>
      <w:r w:rsidR="009433F8">
        <w:rPr>
          <w:lang w:val="en-GB"/>
        </w:rPr>
        <w:t>)</w:t>
      </w:r>
      <w:r w:rsidR="00011716">
        <w:rPr>
          <w:lang w:val="en-GB"/>
        </w:rPr>
        <w:t>.</w:t>
      </w:r>
    </w:p>
    <w:p w14:paraId="1629DF6E" w14:textId="77777777" w:rsidR="00EC76FB" w:rsidRDefault="00D7190A" w:rsidP="00182512">
      <w:pPr>
        <w:pStyle w:val="Listenabsatz"/>
        <w:numPr>
          <w:ilvl w:val="1"/>
          <w:numId w:val="5"/>
        </w:numPr>
        <w:rPr>
          <w:i/>
          <w:lang w:val="en-GB"/>
        </w:rPr>
      </w:pPr>
      <w:r>
        <w:rPr>
          <w:i/>
          <w:lang w:val="en-GB"/>
        </w:rPr>
        <w:t>Methods</w:t>
      </w:r>
    </w:p>
    <w:p w14:paraId="623ACFF6" w14:textId="2263F69F" w:rsidR="00EE2F72" w:rsidRDefault="002B5A36" w:rsidP="00E2342B">
      <w:pPr>
        <w:rPr>
          <w:lang w:val="en-GB"/>
        </w:rPr>
      </w:pPr>
      <w:r>
        <w:rPr>
          <w:lang w:val="en-GB"/>
        </w:rPr>
        <w:t xml:space="preserve">The </w:t>
      </w:r>
      <w:r w:rsidR="00951F0F">
        <w:rPr>
          <w:lang w:val="en-GB"/>
        </w:rPr>
        <w:t>main analytical task</w:t>
      </w:r>
      <w:r>
        <w:rPr>
          <w:lang w:val="en-GB"/>
        </w:rPr>
        <w:t xml:space="preserve"> is to calculate total residual emissions at net zero CO</w:t>
      </w:r>
      <w:r w:rsidRPr="00182512">
        <w:rPr>
          <w:vertAlign w:val="subscript"/>
          <w:lang w:val="en-GB"/>
        </w:rPr>
        <w:t>2</w:t>
      </w:r>
      <w:r>
        <w:rPr>
          <w:lang w:val="en-GB"/>
        </w:rPr>
        <w:t xml:space="preserve"> across scenarios. </w:t>
      </w:r>
      <w:r w:rsidR="00D7190A">
        <w:rPr>
          <w:lang w:val="en-GB"/>
        </w:rPr>
        <w:t xml:space="preserve">This requires resolving gross emissions in two sectors that are typically reported as net fluxes including removals: </w:t>
      </w:r>
      <w:r w:rsidRPr="009645D8">
        <w:rPr>
          <w:lang w:val="en-GB"/>
        </w:rPr>
        <w:t xml:space="preserve">“CO2|AFOLU” </w:t>
      </w:r>
      <w:r w:rsidR="002B528A">
        <w:rPr>
          <w:lang w:val="en-GB"/>
        </w:rPr>
        <w:t>and “CO2|Energy|Supply”</w:t>
      </w:r>
      <w:r w:rsidR="00D7190A">
        <w:rPr>
          <w:lang w:val="en-GB"/>
        </w:rPr>
        <w:t>.</w:t>
      </w:r>
      <w:r w:rsidRPr="009645D8">
        <w:rPr>
          <w:lang w:val="en-GB"/>
        </w:rPr>
        <w:t xml:space="preserve"> To these </w:t>
      </w:r>
      <w:r>
        <w:rPr>
          <w:lang w:val="en-GB"/>
        </w:rPr>
        <w:t xml:space="preserve">sectors </w:t>
      </w:r>
      <w:r w:rsidRPr="009645D8">
        <w:rPr>
          <w:lang w:val="en-GB"/>
        </w:rPr>
        <w:t xml:space="preserve">I add the absolute value of </w:t>
      </w:r>
      <w:r w:rsidR="00D7190A">
        <w:rPr>
          <w:lang w:val="en-GB"/>
        </w:rPr>
        <w:t xml:space="preserve">the </w:t>
      </w:r>
      <w:r w:rsidRPr="009645D8">
        <w:rPr>
          <w:lang w:val="en-GB"/>
        </w:rPr>
        <w:t xml:space="preserve">“Carbon </w:t>
      </w:r>
      <w:proofErr w:type="spellStart"/>
      <w:r w:rsidRPr="009645D8">
        <w:rPr>
          <w:lang w:val="en-GB"/>
        </w:rPr>
        <w:t>Sequestration|Land</w:t>
      </w:r>
      <w:proofErr w:type="spellEnd"/>
      <w:r w:rsidRPr="009645D8">
        <w:rPr>
          <w:lang w:val="en-GB"/>
        </w:rPr>
        <w:t xml:space="preserve"> Use” and “Carbon </w:t>
      </w:r>
      <w:proofErr w:type="spellStart"/>
      <w:r w:rsidRPr="009645D8">
        <w:rPr>
          <w:lang w:val="en-GB"/>
        </w:rPr>
        <w:t>Sequestration|CCS|Biomass</w:t>
      </w:r>
      <w:proofErr w:type="spellEnd"/>
      <w:r w:rsidRPr="009645D8">
        <w:rPr>
          <w:lang w:val="en-GB"/>
        </w:rPr>
        <w:t>”</w:t>
      </w:r>
      <w:r w:rsidR="00D7190A">
        <w:rPr>
          <w:lang w:val="en-GB"/>
        </w:rPr>
        <w:t xml:space="preserve"> sectors</w:t>
      </w:r>
      <w:r w:rsidRPr="009645D8">
        <w:rPr>
          <w:lang w:val="en-GB"/>
        </w:rPr>
        <w:t>, respectively.</w:t>
      </w:r>
      <w:r w:rsidR="00D7190A">
        <w:rPr>
          <w:lang w:val="en-GB"/>
        </w:rPr>
        <w:t xml:space="preserve"> </w:t>
      </w:r>
      <w:r w:rsidRPr="009645D8">
        <w:rPr>
          <w:lang w:val="en-GB"/>
        </w:rPr>
        <w:t xml:space="preserve">This assumes that all biomass based CCS is applied in the energy supply sector. This is not the case for some IMAGE 3.2 </w:t>
      </w:r>
      <w:r w:rsidR="00951F0F">
        <w:rPr>
          <w:lang w:val="en-GB"/>
        </w:rPr>
        <w:t>scenarios</w:t>
      </w:r>
      <w:r w:rsidRPr="009645D8">
        <w:rPr>
          <w:lang w:val="en-GB"/>
        </w:rPr>
        <w:t>, which also include biomass based CCS for industrial processes, which I specifically allocate to the industrial process sector.</w:t>
      </w:r>
      <w:r w:rsidR="00D7190A">
        <w:rPr>
          <w:lang w:val="en-GB"/>
        </w:rPr>
        <w:t xml:space="preserve"> I</w:t>
      </w:r>
      <w:r>
        <w:rPr>
          <w:lang w:val="en-GB"/>
        </w:rPr>
        <w:t xml:space="preserve">f further carbon sequestration variables are </w:t>
      </w:r>
      <w:r w:rsidR="00EE2F72">
        <w:rPr>
          <w:lang w:val="en-GB"/>
        </w:rPr>
        <w:t>reported</w:t>
      </w:r>
      <w:r>
        <w:rPr>
          <w:lang w:val="en-GB"/>
        </w:rPr>
        <w:t xml:space="preserve"> </w:t>
      </w:r>
      <w:r w:rsidR="00D7190A">
        <w:rPr>
          <w:lang w:val="en-GB"/>
        </w:rPr>
        <w:t xml:space="preserve">for a given scenario </w:t>
      </w:r>
      <w:r>
        <w:rPr>
          <w:lang w:val="en-GB"/>
        </w:rPr>
        <w:t xml:space="preserve">(e.g. for </w:t>
      </w:r>
      <w:r w:rsidRPr="009645D8">
        <w:rPr>
          <w:lang w:val="en-GB"/>
        </w:rPr>
        <w:t xml:space="preserve">direct air capture, enhanced weathering, </w:t>
      </w:r>
      <w:proofErr w:type="spellStart"/>
      <w:r w:rsidRPr="009645D8">
        <w:rPr>
          <w:lang w:val="en-GB"/>
        </w:rPr>
        <w:t>feedstocks</w:t>
      </w:r>
      <w:proofErr w:type="spellEnd"/>
      <w:r>
        <w:rPr>
          <w:lang w:val="en-GB"/>
        </w:rPr>
        <w:t xml:space="preserve">, and other), I add these </w:t>
      </w:r>
      <w:r w:rsidRPr="009645D8">
        <w:rPr>
          <w:lang w:val="en-GB"/>
        </w:rPr>
        <w:t xml:space="preserve">to </w:t>
      </w:r>
      <w:r w:rsidR="00D7190A">
        <w:rPr>
          <w:lang w:val="en-GB"/>
        </w:rPr>
        <w:t xml:space="preserve">a </w:t>
      </w:r>
      <w:r w:rsidRPr="009645D8">
        <w:rPr>
          <w:lang w:val="en-GB"/>
        </w:rPr>
        <w:t>residual gross emissions category called “CO2|Other”.</w:t>
      </w:r>
      <w:r>
        <w:rPr>
          <w:lang w:val="en-GB"/>
        </w:rPr>
        <w:t xml:space="preserve"> </w:t>
      </w:r>
      <w:r w:rsidR="00EE2F72">
        <w:rPr>
          <w:lang w:val="en-GB"/>
        </w:rPr>
        <w:t xml:space="preserve">Note that </w:t>
      </w:r>
      <w:proofErr w:type="spellStart"/>
      <w:r w:rsidR="00EE2F72">
        <w:rPr>
          <w:lang w:val="en-GB"/>
        </w:rPr>
        <w:t>Prütz</w:t>
      </w:r>
      <w:proofErr w:type="spellEnd"/>
      <w:r w:rsidR="00EE2F72">
        <w:rPr>
          <w:lang w:val="en-GB"/>
        </w:rPr>
        <w:t xml:space="preserve"> et al. </w:t>
      </w:r>
      <w:r w:rsidR="00EE2F72" w:rsidRPr="009645D8">
        <w:rPr>
          <w:lang w:val="en-GB"/>
        </w:rPr>
        <w:fldChar w:fldCharType="begin"/>
      </w:r>
      <w:r w:rsidR="00EE2F72">
        <w:rPr>
          <w:lang w:val="en-GB"/>
        </w:rPr>
        <w:instrText xml:space="preserve"> ADDIN ZOTERO_ITEM CSL_CITATION {"citationID":"Q1TMr4IY","properties":{"formattedCitation":"(2023)","plainCitation":"(2023)","noteIndex":0},"citationItems":[{"id":13665,"uris":["http://zotero.org/users/6250806/items/2LQWK5EH"],"itemData":{"id":13665,"type":"article-journal","abstract":"Abstract\n            \n              Carbon dioxide removal (CDR) features prominently in the 1.5 °C compatible and high overshoot pathways in the IPCC’s Sixth Assessment Report (AR6, WGIII). However, the amount of CDR varies considerably among scenarios. We analyze the range in CDR volumes in AR6 WGIII pathways by exploring relationships between variables as potential driving forces, focusing on CDR in 2050 and scenario properties linked to reaching net-zero CO\n              2\n              . It is also shown how the relative and absolute contribution of CDR to total mitigation up until reaching net-zero CO\n              2\n              substantially differs across scenarios. The volumes of CDR in 2050 and 2100 and the cumulative amount throughout the 21\n              st\n              century were most strongly correlated to the degree to which CO\n              2\n              emissions are reduced as a means of reaching net-zero CO\n              2\n              . CDR in 2050 is also substantially correlated to the timing of net-zero CO\n              2\n              . The robustness of the analyzed relationships was evaluated by comparing different scenario filtering and data-cleaning approaches. Beyond filtering and cleaning, additional factors that influence CDR deployment in scenarios, such as discount rates, carbon price trajectories, and scenario design choices, were discussed.","container-title":"Environmental Research Communications","DOI":"10.1088/2515-7620/accdba","ISSN":"2515-7620","issue":"4","journalAbbreviation":"Environ. Res. Commun.","language":"en","page":"041005","source":"DOI.org (Crossref)","title":"Understanding the carbon dioxide removal range in 1.5 °C compatible and high overshoot pathways","volume":"5","author":[{"family":"Prütz","given":"Ruben"},{"family":"Strefler","given":"Jessica"},{"family":"Rogelj","given":"Joeri"},{"family":"Fuss","given":"Sabine"}],"issued":{"date-parts":[["2023",4,1]]},"citation-key":"prutzUnderstandingCarbonDioxide2023"},"label":"page","suppress-author":true}],"schema":"https://github.com/citation-style-language/schema/raw/master/csl-citation.json"} </w:instrText>
      </w:r>
      <w:r w:rsidR="00EE2F72" w:rsidRPr="009645D8">
        <w:rPr>
          <w:lang w:val="en-GB"/>
        </w:rPr>
        <w:fldChar w:fldCharType="separate"/>
      </w:r>
      <w:r w:rsidR="00B34A0D" w:rsidRPr="00B34A0D">
        <w:rPr>
          <w:rFonts w:ascii="Calibri" w:hAnsi="Calibri" w:cs="Calibri"/>
          <w:lang w:val="en-GB"/>
        </w:rPr>
        <w:t>(2023)</w:t>
      </w:r>
      <w:r w:rsidR="00EE2F72" w:rsidRPr="009645D8">
        <w:rPr>
          <w:lang w:val="en-GB"/>
        </w:rPr>
        <w:fldChar w:fldCharType="end"/>
      </w:r>
      <w:r w:rsidR="00EE2F72">
        <w:rPr>
          <w:lang w:val="en-GB"/>
        </w:rPr>
        <w:t xml:space="preserve"> follow a similar procedure, but find that </w:t>
      </w:r>
      <w:r w:rsidR="00F41306">
        <w:rPr>
          <w:lang w:val="en-GB"/>
        </w:rPr>
        <w:t xml:space="preserve">the resulting </w:t>
      </w:r>
      <w:r w:rsidR="00EE2F72">
        <w:rPr>
          <w:lang w:val="en-GB"/>
        </w:rPr>
        <w:t>gross land use emissions are not always positive – a definitional inconsistency. I nonetheless retain the s</w:t>
      </w:r>
      <w:r w:rsidR="0061101F">
        <w:rPr>
          <w:lang w:val="en-GB"/>
        </w:rPr>
        <w:t xml:space="preserve">cenarios where this is the case, as the </w:t>
      </w:r>
      <w:r w:rsidR="00F41306">
        <w:rPr>
          <w:lang w:val="en-GB"/>
        </w:rPr>
        <w:t>gross “</w:t>
      </w:r>
      <w:r w:rsidR="0061101F">
        <w:rPr>
          <w:lang w:val="en-GB"/>
        </w:rPr>
        <w:t>negative</w:t>
      </w:r>
      <w:r w:rsidR="00F41306">
        <w:rPr>
          <w:lang w:val="en-GB"/>
        </w:rPr>
        <w:t>”</w:t>
      </w:r>
      <w:r w:rsidR="0061101F">
        <w:rPr>
          <w:lang w:val="en-GB"/>
        </w:rPr>
        <w:t xml:space="preserve"> emission level is relatively small (-0.18 [-0.033 to -0.54] GtCO</w:t>
      </w:r>
      <w:r w:rsidR="0061101F" w:rsidRPr="00AD50DC">
        <w:rPr>
          <w:vertAlign w:val="subscript"/>
          <w:lang w:val="en-GB"/>
        </w:rPr>
        <w:t>2</w:t>
      </w:r>
      <w:r w:rsidR="0061101F">
        <w:rPr>
          <w:lang w:val="en-GB"/>
        </w:rPr>
        <w:t xml:space="preserve">) and excluding them would </w:t>
      </w:r>
      <w:r w:rsidR="009068E7">
        <w:rPr>
          <w:lang w:val="en-GB"/>
        </w:rPr>
        <w:t xml:space="preserve">remove </w:t>
      </w:r>
      <w:r w:rsidR="0061101F">
        <w:rPr>
          <w:lang w:val="en-GB"/>
        </w:rPr>
        <w:t>50 REMIND and 4 IMAGE scenarios</w:t>
      </w:r>
      <w:r w:rsidR="009068E7">
        <w:rPr>
          <w:lang w:val="en-GB"/>
        </w:rPr>
        <w:t xml:space="preserve"> and significantly dilute the dataset</w:t>
      </w:r>
      <w:r w:rsidR="00EE2F72">
        <w:rPr>
          <w:lang w:val="en-GB"/>
        </w:rPr>
        <w:t>.</w:t>
      </w:r>
    </w:p>
    <w:p w14:paraId="7D45AC8F" w14:textId="7967A452" w:rsidR="00E3654A" w:rsidRDefault="00153E1C" w:rsidP="00ED63D2">
      <w:pPr>
        <w:rPr>
          <w:lang w:val="en-GB"/>
        </w:rPr>
      </w:pPr>
      <w:r>
        <w:rPr>
          <w:lang w:val="en-GB"/>
        </w:rPr>
        <w:t>Following these procedures, gross emissions are resolved into the sectors and subsectors shown in Table 1</w:t>
      </w:r>
      <w:r w:rsidR="00194A5F">
        <w:rPr>
          <w:lang w:val="en-GB"/>
        </w:rPr>
        <w:t xml:space="preserve">. </w:t>
      </w:r>
      <w:r w:rsidR="009068E7">
        <w:rPr>
          <w:lang w:val="en-GB"/>
        </w:rPr>
        <w:t>Overall r</w:t>
      </w:r>
      <w:r>
        <w:rPr>
          <w:lang w:val="en-GB"/>
        </w:rPr>
        <w:t>e</w:t>
      </w:r>
      <w:r w:rsidR="00194A5F">
        <w:rPr>
          <w:lang w:val="en-GB"/>
        </w:rPr>
        <w:t xml:space="preserve">sidual emissions are </w:t>
      </w:r>
      <w:r>
        <w:rPr>
          <w:lang w:val="en-GB"/>
        </w:rPr>
        <w:t xml:space="preserve">then calculated </w:t>
      </w:r>
      <w:r w:rsidR="00194A5F">
        <w:rPr>
          <w:lang w:val="en-GB"/>
        </w:rPr>
        <w:t xml:space="preserve">the </w:t>
      </w:r>
      <w:r w:rsidR="00E63A5D">
        <w:rPr>
          <w:lang w:val="en-GB"/>
        </w:rPr>
        <w:t>sum</w:t>
      </w:r>
      <w:r>
        <w:rPr>
          <w:lang w:val="en-GB"/>
        </w:rPr>
        <w:t xml:space="preserve"> </w:t>
      </w:r>
      <w:r w:rsidR="00194A5F">
        <w:rPr>
          <w:lang w:val="en-GB"/>
        </w:rPr>
        <w:t xml:space="preserve">of these </w:t>
      </w:r>
      <w:r>
        <w:rPr>
          <w:lang w:val="en-GB"/>
        </w:rPr>
        <w:t>at the reported year of net zero CO</w:t>
      </w:r>
      <w:r w:rsidRPr="00153E1C">
        <w:rPr>
          <w:vertAlign w:val="subscript"/>
          <w:lang w:val="en-GB"/>
        </w:rPr>
        <w:t>2</w:t>
      </w:r>
      <w:r w:rsidR="007D7ADA">
        <w:rPr>
          <w:lang w:val="en-GB"/>
        </w:rPr>
        <w:t xml:space="preserve"> for each scenario. When</w:t>
      </w:r>
      <w:r>
        <w:rPr>
          <w:lang w:val="en-GB"/>
        </w:rPr>
        <w:t>e</w:t>
      </w:r>
      <w:r w:rsidR="007D7ADA">
        <w:rPr>
          <w:lang w:val="en-GB"/>
        </w:rPr>
        <w:t>ver</w:t>
      </w:r>
      <w:r>
        <w:rPr>
          <w:lang w:val="en-GB"/>
        </w:rPr>
        <w:t xml:space="preserve"> data is summarised across groups of scenarios, I report the median and 5</w:t>
      </w:r>
      <w:r w:rsidRPr="002B528A">
        <w:rPr>
          <w:vertAlign w:val="superscript"/>
          <w:lang w:val="en-GB"/>
        </w:rPr>
        <w:t>th</w:t>
      </w:r>
      <w:r>
        <w:rPr>
          <w:lang w:val="en-GB"/>
        </w:rPr>
        <w:t>-95</w:t>
      </w:r>
      <w:r w:rsidRPr="002B528A">
        <w:rPr>
          <w:vertAlign w:val="superscript"/>
          <w:lang w:val="en-GB"/>
        </w:rPr>
        <w:t>th</w:t>
      </w:r>
      <w:r>
        <w:rPr>
          <w:lang w:val="en-GB"/>
        </w:rPr>
        <w:t xml:space="preserve"> percentiles.</w:t>
      </w:r>
    </w:p>
    <w:p w14:paraId="199AA935" w14:textId="5F35C9B0" w:rsidR="00051072" w:rsidRDefault="00051072" w:rsidP="00ED63D2">
      <w:pPr>
        <w:rPr>
          <w:lang w:val="en-GB"/>
        </w:rPr>
      </w:pPr>
      <w:r>
        <w:rPr>
          <w:lang w:val="en-GB"/>
        </w:rPr>
        <w:t>To</w:t>
      </w:r>
      <w:r w:rsidR="009068E7">
        <w:rPr>
          <w:lang w:val="en-GB"/>
        </w:rPr>
        <w:t xml:space="preserve"> evaluate which groups of scenarios share similar residual emissions outcomes</w:t>
      </w:r>
      <w:r>
        <w:rPr>
          <w:lang w:val="en-GB"/>
        </w:rPr>
        <w:t xml:space="preserve">, I perform a cluster analysis </w:t>
      </w:r>
      <w:r w:rsidR="009E7EA2">
        <w:rPr>
          <w:lang w:val="en-GB"/>
        </w:rPr>
        <w:t>using</w:t>
      </w:r>
      <w:r>
        <w:rPr>
          <w:lang w:val="en-GB"/>
        </w:rPr>
        <w:t xml:space="preserve"> a k-means algorithm on the subsector level</w:t>
      </w:r>
      <w:r w:rsidR="009E7EA2">
        <w:rPr>
          <w:lang w:val="en-GB"/>
        </w:rPr>
        <w:t xml:space="preserve"> emissions across all scenarios. Subsector </w:t>
      </w:r>
      <w:r w:rsidR="009E7EA2">
        <w:rPr>
          <w:lang w:val="en-GB"/>
        </w:rPr>
        <w:lastRenderedPageBreak/>
        <w:t>emissions were</w:t>
      </w:r>
      <w:r>
        <w:rPr>
          <w:lang w:val="en-GB"/>
        </w:rPr>
        <w:t xml:space="preserve"> re-scaled </w:t>
      </w:r>
      <w:r w:rsidR="009E7EA2">
        <w:rPr>
          <w:lang w:val="en-GB"/>
        </w:rPr>
        <w:t xml:space="preserve">by subtracting the population mean and dividing by the population standard deviation for comparability between each metric. Results for 3, 4 and 5 clusters are shown. In addition, I perform a principal component analysis on the same standardized data </w:t>
      </w:r>
      <w:bookmarkStart w:id="0" w:name="_GoBack"/>
      <w:bookmarkEnd w:id="0"/>
      <w:r w:rsidR="009E7EA2">
        <w:rPr>
          <w:lang w:val="en-GB"/>
        </w:rPr>
        <w:t xml:space="preserve">with the same goal: to identify </w:t>
      </w:r>
      <w:r w:rsidR="002972F9">
        <w:rPr>
          <w:lang w:val="en-GB"/>
        </w:rPr>
        <w:t xml:space="preserve">any </w:t>
      </w:r>
      <w:r w:rsidR="009E7EA2">
        <w:rPr>
          <w:lang w:val="en-GB"/>
        </w:rPr>
        <w:t xml:space="preserve">clustering </w:t>
      </w:r>
      <w:r w:rsidR="002972F9">
        <w:rPr>
          <w:lang w:val="en-GB"/>
        </w:rPr>
        <w:t xml:space="preserve">of scenarios </w:t>
      </w:r>
      <w:r w:rsidR="009E7EA2">
        <w:rPr>
          <w:lang w:val="en-GB"/>
        </w:rPr>
        <w:t>along the latent vectors that explain the majority of data variance</w:t>
      </w:r>
      <w:r w:rsidR="002972F9">
        <w:rPr>
          <w:lang w:val="en-GB"/>
        </w:rPr>
        <w:t>.</w:t>
      </w:r>
    </w:p>
    <w:p w14:paraId="74F9F2B1" w14:textId="77777777" w:rsidR="00182512" w:rsidRDefault="00182512" w:rsidP="00182512">
      <w:pPr>
        <w:pStyle w:val="Listenabsatz"/>
        <w:numPr>
          <w:ilvl w:val="0"/>
          <w:numId w:val="5"/>
        </w:numPr>
        <w:ind w:left="357" w:hanging="357"/>
        <w:rPr>
          <w:b/>
          <w:lang w:val="en-GB"/>
        </w:rPr>
      </w:pPr>
      <w:r>
        <w:rPr>
          <w:b/>
          <w:lang w:val="en-GB"/>
        </w:rPr>
        <w:t>Results</w:t>
      </w:r>
    </w:p>
    <w:p w14:paraId="33E05D2C" w14:textId="77777777" w:rsidR="00A66AAA" w:rsidRPr="00182512" w:rsidRDefault="00A73580" w:rsidP="00182512">
      <w:pPr>
        <w:pStyle w:val="Listenabsatz"/>
        <w:numPr>
          <w:ilvl w:val="1"/>
          <w:numId w:val="5"/>
        </w:numPr>
        <w:spacing w:before="120"/>
        <w:ind w:left="788" w:hanging="431"/>
        <w:rPr>
          <w:i/>
          <w:lang w:val="en-GB"/>
        </w:rPr>
      </w:pPr>
      <w:r w:rsidRPr="00182512">
        <w:rPr>
          <w:i/>
          <w:lang w:val="en-GB"/>
        </w:rPr>
        <w:t>Total r</w:t>
      </w:r>
      <w:r w:rsidR="00614FFC" w:rsidRPr="00182512">
        <w:rPr>
          <w:i/>
          <w:lang w:val="en-GB"/>
        </w:rPr>
        <w:t xml:space="preserve">esidual emissions </w:t>
      </w:r>
      <w:r w:rsidRPr="00182512">
        <w:rPr>
          <w:i/>
          <w:lang w:val="en-GB"/>
        </w:rPr>
        <w:t>at net zero CO</w:t>
      </w:r>
      <w:r w:rsidR="0030117A" w:rsidRPr="00182512">
        <w:rPr>
          <w:i/>
          <w:lang w:val="en-GB"/>
        </w:rPr>
        <w:t>2</w:t>
      </w:r>
    </w:p>
    <w:p w14:paraId="416337FA" w14:textId="39E53BE0" w:rsidR="00445B8C" w:rsidRDefault="00095841" w:rsidP="00D7190A">
      <w:pPr>
        <w:rPr>
          <w:lang w:val="en-GB"/>
        </w:rPr>
      </w:pPr>
      <w:r>
        <w:rPr>
          <w:lang w:val="en-GB"/>
        </w:rPr>
        <w:t>Scenarios reduce CO</w:t>
      </w:r>
      <w:r w:rsidRPr="006462BD">
        <w:rPr>
          <w:vertAlign w:val="subscript"/>
          <w:lang w:val="en-GB"/>
        </w:rPr>
        <w:t>2</w:t>
      </w:r>
      <w:r>
        <w:rPr>
          <w:lang w:val="en-GB"/>
        </w:rPr>
        <w:t xml:space="preserve"> emissions on average by 81 [67-85]</w:t>
      </w:r>
      <w:r w:rsidR="00BA26AB">
        <w:rPr>
          <w:lang w:val="en-GB"/>
        </w:rPr>
        <w:t xml:space="preserve"> %</w:t>
      </w:r>
      <w:r>
        <w:rPr>
          <w:lang w:val="en-GB"/>
        </w:rPr>
        <w:t xml:space="preserve"> from 2020 to the point of net zero</w:t>
      </w:r>
      <w:r w:rsidR="00214D35">
        <w:rPr>
          <w:lang w:val="en-GB"/>
        </w:rPr>
        <w:t xml:space="preserve">, where they reach a </w:t>
      </w:r>
      <w:r>
        <w:rPr>
          <w:lang w:val="en-GB"/>
        </w:rPr>
        <w:t xml:space="preserve">total </w:t>
      </w:r>
      <w:r w:rsidR="00214D35">
        <w:rPr>
          <w:lang w:val="en-GB"/>
        </w:rPr>
        <w:t xml:space="preserve">of </w:t>
      </w:r>
      <w:r>
        <w:rPr>
          <w:lang w:val="en-GB"/>
        </w:rPr>
        <w:t xml:space="preserve">8.4 </w:t>
      </w:r>
      <w:r w:rsidRPr="00445B8C">
        <w:rPr>
          <w:rFonts w:ascii="Calibri" w:hAnsi="Calibri" w:cs="Calibri"/>
          <w:color w:val="000000"/>
          <w:lang w:val="en-GB"/>
        </w:rPr>
        <w:t xml:space="preserve">[6.1-14] </w:t>
      </w:r>
      <w:r>
        <w:rPr>
          <w:lang w:val="en-GB"/>
        </w:rPr>
        <w:t>Gt</w:t>
      </w:r>
      <w:r w:rsidR="00BA26AB">
        <w:rPr>
          <w:lang w:val="en-GB"/>
        </w:rPr>
        <w:t>CO</w:t>
      </w:r>
      <w:r w:rsidR="00BA26AB" w:rsidRPr="00BA26AB">
        <w:rPr>
          <w:vertAlign w:val="subscript"/>
          <w:lang w:val="en-GB"/>
        </w:rPr>
        <w:t>2</w:t>
      </w:r>
      <w:r w:rsidR="00BA26AB">
        <w:rPr>
          <w:lang w:val="en-GB"/>
        </w:rPr>
        <w:t>/yr</w:t>
      </w:r>
      <w:r w:rsidR="006462BD">
        <w:rPr>
          <w:lang w:val="en-GB"/>
        </w:rPr>
        <w:t>.</w:t>
      </w:r>
      <w:r w:rsidR="00445B8C">
        <w:rPr>
          <w:lang w:val="en-GB"/>
        </w:rPr>
        <w:t xml:space="preserve"> Differences across this range are to a large extent driven by the temperature limit achieved: </w:t>
      </w:r>
      <w:r w:rsidR="007D7ADA">
        <w:rPr>
          <w:lang w:val="en-GB"/>
        </w:rPr>
        <w:t>below 1.5</w:t>
      </w:r>
      <w:r w:rsidR="007D7ADA">
        <w:rPr>
          <w:rFonts w:cstheme="minorHAnsi"/>
          <w:lang w:val="en-GB"/>
        </w:rPr>
        <w:t>°</w:t>
      </w:r>
      <w:r w:rsidR="007D7ADA">
        <w:rPr>
          <w:lang w:val="en-GB"/>
        </w:rPr>
        <w:t>C</w:t>
      </w:r>
      <w:r w:rsidR="00445B8C">
        <w:rPr>
          <w:lang w:val="en-GB"/>
        </w:rPr>
        <w:t xml:space="preserve"> scenarios have the deepest CO</w:t>
      </w:r>
      <w:r w:rsidR="00445B8C" w:rsidRPr="00BA26AB">
        <w:rPr>
          <w:vertAlign w:val="subscript"/>
          <w:lang w:val="en-GB"/>
        </w:rPr>
        <w:t>2</w:t>
      </w:r>
      <w:r w:rsidR="00445B8C">
        <w:rPr>
          <w:lang w:val="en-GB"/>
        </w:rPr>
        <w:t xml:space="preserve"> reductions and lowest residual emissions, followed by </w:t>
      </w:r>
      <w:r w:rsidR="007D7ADA">
        <w:rPr>
          <w:lang w:val="en-GB"/>
        </w:rPr>
        <w:t>below 1.5</w:t>
      </w:r>
      <w:r w:rsidR="007D7ADA">
        <w:rPr>
          <w:rFonts w:cstheme="minorHAnsi"/>
          <w:lang w:val="en-GB"/>
        </w:rPr>
        <w:t>°</w:t>
      </w:r>
      <w:r w:rsidR="007D7ADA">
        <w:rPr>
          <w:lang w:val="en-GB"/>
        </w:rPr>
        <w:t>C with overshoot</w:t>
      </w:r>
      <w:r w:rsidR="00445B8C">
        <w:rPr>
          <w:lang w:val="en-GB"/>
        </w:rPr>
        <w:t xml:space="preserve"> and </w:t>
      </w:r>
      <w:r w:rsidR="007D7ADA">
        <w:rPr>
          <w:lang w:val="en-GB"/>
        </w:rPr>
        <w:t>below 2</w:t>
      </w:r>
      <w:r w:rsidR="007D7ADA">
        <w:rPr>
          <w:rFonts w:cstheme="minorHAnsi"/>
          <w:lang w:val="en-GB"/>
        </w:rPr>
        <w:t>°</w:t>
      </w:r>
      <w:r w:rsidR="007D7ADA">
        <w:rPr>
          <w:lang w:val="en-GB"/>
        </w:rPr>
        <w:t>C</w:t>
      </w:r>
      <w:r w:rsidR="00445B8C">
        <w:rPr>
          <w:lang w:val="en-GB"/>
        </w:rPr>
        <w:t xml:space="preserve"> scenarios (Table 1). </w:t>
      </w:r>
      <w:r w:rsidR="007D7ADA">
        <w:rPr>
          <w:lang w:val="en-GB"/>
        </w:rPr>
        <w:t>Below 1.5</w:t>
      </w:r>
      <w:r w:rsidR="007D7ADA">
        <w:rPr>
          <w:rFonts w:cstheme="minorHAnsi"/>
          <w:lang w:val="en-GB"/>
        </w:rPr>
        <w:t>°</w:t>
      </w:r>
      <w:r w:rsidR="007D7ADA">
        <w:rPr>
          <w:lang w:val="en-GB"/>
        </w:rPr>
        <w:t>C</w:t>
      </w:r>
      <w:r w:rsidR="00445B8C">
        <w:rPr>
          <w:lang w:val="en-GB"/>
        </w:rPr>
        <w:t xml:space="preserve"> scenarios also reach net zero 6 years earlier than </w:t>
      </w:r>
      <w:r w:rsidR="007D7ADA">
        <w:rPr>
          <w:lang w:val="en-GB"/>
        </w:rPr>
        <w:t>below 1.5</w:t>
      </w:r>
      <w:r w:rsidR="007D7ADA">
        <w:rPr>
          <w:rFonts w:cstheme="minorHAnsi"/>
          <w:lang w:val="en-GB"/>
        </w:rPr>
        <w:t>°</w:t>
      </w:r>
      <w:r w:rsidR="007D7ADA">
        <w:rPr>
          <w:lang w:val="en-GB"/>
        </w:rPr>
        <w:t>C with overshoot</w:t>
      </w:r>
      <w:r w:rsidR="00445B8C">
        <w:rPr>
          <w:lang w:val="en-GB"/>
        </w:rPr>
        <w:t xml:space="preserve"> scenarios</w:t>
      </w:r>
      <w:r w:rsidR="00B629C7">
        <w:rPr>
          <w:lang w:val="en-GB"/>
        </w:rPr>
        <w:t>,</w:t>
      </w:r>
      <w:r w:rsidR="00445B8C">
        <w:rPr>
          <w:lang w:val="en-GB"/>
        </w:rPr>
        <w:t xml:space="preserve"> and 18 years earlier than </w:t>
      </w:r>
      <w:r w:rsidR="007D7ADA">
        <w:rPr>
          <w:lang w:val="en-GB"/>
        </w:rPr>
        <w:t>below 2</w:t>
      </w:r>
      <w:r w:rsidR="007D7ADA">
        <w:rPr>
          <w:rFonts w:cstheme="minorHAnsi"/>
          <w:lang w:val="en-GB"/>
        </w:rPr>
        <w:t>°</w:t>
      </w:r>
      <w:r w:rsidR="007D7ADA">
        <w:rPr>
          <w:lang w:val="en-GB"/>
        </w:rPr>
        <w:t>C</w:t>
      </w:r>
      <w:r w:rsidR="00445B8C">
        <w:rPr>
          <w:lang w:val="en-GB"/>
        </w:rPr>
        <w:t xml:space="preserve"> scenarios.</w:t>
      </w:r>
    </w:p>
    <w:p w14:paraId="2A36D2B9" w14:textId="48881FFE" w:rsidR="00FA3E2E" w:rsidRDefault="00FA3E2E" w:rsidP="00D7190A">
      <w:pPr>
        <w:rPr>
          <w:rFonts w:ascii="Calibri" w:hAnsi="Calibri" w:cs="Calibri"/>
          <w:color w:val="000000"/>
          <w:lang w:val="en-GB"/>
        </w:rPr>
      </w:pPr>
      <w:r>
        <w:rPr>
          <w:lang w:val="en-GB"/>
        </w:rPr>
        <w:t>Despite these differences</w:t>
      </w:r>
      <w:r w:rsidRPr="00214D35">
        <w:rPr>
          <w:lang w:val="en-GB"/>
        </w:rPr>
        <w:t xml:space="preserve">, scenarios converge on very similar levels of </w:t>
      </w:r>
      <w:r>
        <w:rPr>
          <w:lang w:val="en-GB"/>
        </w:rPr>
        <w:t xml:space="preserve">residual </w:t>
      </w:r>
      <w:r w:rsidRPr="00214D35">
        <w:rPr>
          <w:lang w:val="en-GB"/>
        </w:rPr>
        <w:t xml:space="preserve">GHG emissions. </w:t>
      </w:r>
      <w:r>
        <w:rPr>
          <w:lang w:val="en-GB"/>
        </w:rPr>
        <w:t xml:space="preserve">Across the ensemble these are reduced by 71 [62-77] % from 2020 to 16 </w:t>
      </w:r>
      <w:r w:rsidRPr="00BA26AB">
        <w:rPr>
          <w:rFonts w:ascii="Calibri" w:hAnsi="Calibri" w:cs="Calibri"/>
          <w:color w:val="000000"/>
          <w:lang w:val="en-GB"/>
        </w:rPr>
        <w:t>[13-22]</w:t>
      </w:r>
      <w:r>
        <w:rPr>
          <w:rFonts w:ascii="Calibri" w:hAnsi="Calibri" w:cs="Calibri"/>
          <w:color w:val="000000"/>
          <w:lang w:val="en-GB"/>
        </w:rPr>
        <w:t xml:space="preserve"> GtCO</w:t>
      </w:r>
      <w:r w:rsidRPr="00BA26AB">
        <w:rPr>
          <w:rFonts w:ascii="Calibri" w:hAnsi="Calibri" w:cs="Calibri"/>
          <w:color w:val="000000"/>
          <w:vertAlign w:val="subscript"/>
          <w:lang w:val="en-GB"/>
        </w:rPr>
        <w:t>2</w:t>
      </w:r>
      <w:r>
        <w:rPr>
          <w:rFonts w:ascii="Calibri" w:hAnsi="Calibri" w:cs="Calibri"/>
          <w:color w:val="000000"/>
          <w:lang w:val="en-GB"/>
        </w:rPr>
        <w:t>e/</w:t>
      </w:r>
      <w:proofErr w:type="spellStart"/>
      <w:r>
        <w:rPr>
          <w:rFonts w:ascii="Calibri" w:hAnsi="Calibri" w:cs="Calibri"/>
          <w:color w:val="000000"/>
          <w:lang w:val="en-GB"/>
        </w:rPr>
        <w:t>yr</w:t>
      </w:r>
      <w:proofErr w:type="spellEnd"/>
      <w:r>
        <w:rPr>
          <w:rFonts w:ascii="Calibri" w:hAnsi="Calibri" w:cs="Calibri"/>
          <w:color w:val="000000"/>
          <w:lang w:val="en-GB"/>
        </w:rPr>
        <w:t xml:space="preserve"> – almost double that of residual CO</w:t>
      </w:r>
      <w:r w:rsidRPr="00214D35">
        <w:rPr>
          <w:rFonts w:ascii="Calibri" w:hAnsi="Calibri" w:cs="Calibri"/>
          <w:color w:val="000000"/>
          <w:vertAlign w:val="subscript"/>
          <w:lang w:val="en-GB"/>
        </w:rPr>
        <w:t>2</w:t>
      </w:r>
      <w:r>
        <w:rPr>
          <w:rFonts w:ascii="Calibri" w:hAnsi="Calibri" w:cs="Calibri"/>
          <w:color w:val="000000"/>
          <w:lang w:val="en-GB"/>
        </w:rPr>
        <w:t xml:space="preserve"> emissions. Median residual GHG emissions range by just 2 GtCO</w:t>
      </w:r>
      <w:r w:rsidRPr="00BA26AB">
        <w:rPr>
          <w:rFonts w:ascii="Calibri" w:hAnsi="Calibri" w:cs="Calibri"/>
          <w:color w:val="000000"/>
          <w:vertAlign w:val="subscript"/>
          <w:lang w:val="en-GB"/>
        </w:rPr>
        <w:t>2</w:t>
      </w:r>
      <w:r>
        <w:rPr>
          <w:rFonts w:ascii="Calibri" w:hAnsi="Calibri" w:cs="Calibri"/>
          <w:color w:val="000000"/>
          <w:lang w:val="en-GB"/>
        </w:rPr>
        <w:t>e/</w:t>
      </w:r>
      <w:proofErr w:type="spellStart"/>
      <w:r>
        <w:rPr>
          <w:rFonts w:ascii="Calibri" w:hAnsi="Calibri" w:cs="Calibri"/>
          <w:color w:val="000000"/>
          <w:lang w:val="en-GB"/>
        </w:rPr>
        <w:t>yr</w:t>
      </w:r>
      <w:proofErr w:type="spellEnd"/>
      <w:r>
        <w:rPr>
          <w:rFonts w:ascii="Calibri" w:hAnsi="Calibri" w:cs="Calibri"/>
          <w:color w:val="000000"/>
          <w:lang w:val="en-GB"/>
        </w:rPr>
        <w:t xml:space="preserve"> between the temperature categories.</w:t>
      </w:r>
    </w:p>
    <w:p w14:paraId="29402266" w14:textId="77777777" w:rsidR="00FA3E2E" w:rsidRDefault="00FA3E2E" w:rsidP="00D7190A">
      <w:pPr>
        <w:rPr>
          <w:lang w:val="en-GB"/>
        </w:rPr>
      </w:pPr>
    </w:p>
    <w:p w14:paraId="1324CBB3" w14:textId="6BF8D79F" w:rsidR="00FA6DCC" w:rsidRPr="00EE2F72" w:rsidRDefault="006661A7" w:rsidP="00FA6DCC">
      <w:pPr>
        <w:keepNext/>
        <w:rPr>
          <w:lang w:val="en-GB"/>
        </w:rPr>
      </w:pPr>
      <w:r>
        <w:rPr>
          <w:noProof/>
          <w:lang w:val="en-GB" w:eastAsia="en-GB"/>
        </w:rPr>
        <w:lastRenderedPageBreak/>
        <w:drawing>
          <wp:inline distT="0" distB="0" distL="0" distR="0" wp14:anchorId="4474D9D6" wp14:editId="16A1503F">
            <wp:extent cx="4079876" cy="48958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total_residual_emissions-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83404" cy="4900084"/>
                    </a:xfrm>
                    <a:prstGeom prst="rect">
                      <a:avLst/>
                    </a:prstGeom>
                  </pic:spPr>
                </pic:pic>
              </a:graphicData>
            </a:graphic>
          </wp:inline>
        </w:drawing>
      </w:r>
    </w:p>
    <w:p w14:paraId="05A75205" w14:textId="76E251DA" w:rsidR="00E834BE" w:rsidRPr="00ED63D2" w:rsidRDefault="00FA6DCC" w:rsidP="00FA6DCC">
      <w:pPr>
        <w:pStyle w:val="Beschriftung"/>
        <w:rPr>
          <w:b/>
          <w:i w:val="0"/>
          <w:color w:val="000000" w:themeColor="text1"/>
          <w:sz w:val="20"/>
          <w:lang w:val="en-GB"/>
        </w:rPr>
      </w:pPr>
      <w:r w:rsidRPr="00ED63D2">
        <w:rPr>
          <w:b/>
          <w:i w:val="0"/>
          <w:color w:val="000000" w:themeColor="text1"/>
          <w:sz w:val="20"/>
          <w:lang w:val="en-GB"/>
        </w:rPr>
        <w:t xml:space="preserve">Figure </w:t>
      </w:r>
      <w:r w:rsidRPr="00ED63D2">
        <w:rPr>
          <w:b/>
          <w:i w:val="0"/>
          <w:color w:val="000000" w:themeColor="text1"/>
          <w:sz w:val="20"/>
        </w:rPr>
        <w:fldChar w:fldCharType="begin"/>
      </w:r>
      <w:r w:rsidRPr="00ED63D2">
        <w:rPr>
          <w:b/>
          <w:i w:val="0"/>
          <w:color w:val="000000" w:themeColor="text1"/>
          <w:sz w:val="20"/>
          <w:lang w:val="en-GB"/>
        </w:rPr>
        <w:instrText xml:space="preserve"> SEQ Figure \* ARABIC </w:instrText>
      </w:r>
      <w:r w:rsidRPr="00ED63D2">
        <w:rPr>
          <w:b/>
          <w:i w:val="0"/>
          <w:color w:val="000000" w:themeColor="text1"/>
          <w:sz w:val="20"/>
        </w:rPr>
        <w:fldChar w:fldCharType="separate"/>
      </w:r>
      <w:r w:rsidR="003D58F5">
        <w:rPr>
          <w:b/>
          <w:i w:val="0"/>
          <w:noProof/>
          <w:color w:val="000000" w:themeColor="text1"/>
          <w:sz w:val="20"/>
          <w:lang w:val="en-GB"/>
        </w:rPr>
        <w:t>1</w:t>
      </w:r>
      <w:r w:rsidRPr="00ED63D2">
        <w:rPr>
          <w:b/>
          <w:i w:val="0"/>
          <w:color w:val="000000" w:themeColor="text1"/>
          <w:sz w:val="20"/>
        </w:rPr>
        <w:fldChar w:fldCharType="end"/>
      </w:r>
      <w:r w:rsidRPr="00ED63D2">
        <w:rPr>
          <w:b/>
          <w:i w:val="0"/>
          <w:color w:val="000000" w:themeColor="text1"/>
          <w:sz w:val="20"/>
          <w:lang w:val="en-GB"/>
        </w:rPr>
        <w:t>: Total residual emissions across scenarios</w:t>
      </w:r>
      <w:r w:rsidR="00927642">
        <w:rPr>
          <w:b/>
          <w:i w:val="0"/>
          <w:color w:val="000000" w:themeColor="text1"/>
          <w:sz w:val="20"/>
          <w:lang w:val="en-GB"/>
        </w:rPr>
        <w:t xml:space="preserve">. </w:t>
      </w:r>
      <w:r w:rsidR="00927642" w:rsidRPr="00927642">
        <w:rPr>
          <w:i w:val="0"/>
          <w:color w:val="000000" w:themeColor="text1"/>
          <w:sz w:val="20"/>
          <w:lang w:val="en-GB"/>
        </w:rPr>
        <w:t>Gross emissions are estimated as the sum of emissions by sector and carbon dioxide removals.</w:t>
      </w:r>
    </w:p>
    <w:p w14:paraId="6BADE19A" w14:textId="231A1004" w:rsidR="00951F0F" w:rsidRDefault="00951F0F" w:rsidP="00951F0F">
      <w:pPr>
        <w:rPr>
          <w:rFonts w:ascii="Calibri" w:hAnsi="Calibri" w:cs="Calibri"/>
          <w:color w:val="000000"/>
          <w:lang w:val="en-GB"/>
        </w:rPr>
      </w:pPr>
    </w:p>
    <w:tbl>
      <w:tblPr>
        <w:tblStyle w:val="Tabellenras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7"/>
        <w:gridCol w:w="1055"/>
        <w:gridCol w:w="1369"/>
        <w:gridCol w:w="1385"/>
        <w:gridCol w:w="1381"/>
        <w:gridCol w:w="1390"/>
        <w:gridCol w:w="1382"/>
      </w:tblGrid>
      <w:tr w:rsidR="0056749B" w14:paraId="7CBD400E" w14:textId="77777777" w:rsidTr="00951F0F">
        <w:trPr>
          <w:trHeight w:val="1275"/>
        </w:trPr>
        <w:tc>
          <w:tcPr>
            <w:tcW w:w="1677" w:type="dxa"/>
            <w:tcBorders>
              <w:top w:val="single" w:sz="4" w:space="0" w:color="auto"/>
              <w:bottom w:val="single" w:sz="4" w:space="0" w:color="auto"/>
            </w:tcBorders>
          </w:tcPr>
          <w:p w14:paraId="14A86FE7" w14:textId="77777777" w:rsidR="0056749B" w:rsidRDefault="0056749B" w:rsidP="00E834BE">
            <w:pPr>
              <w:rPr>
                <w:lang w:val="en-GB"/>
              </w:rPr>
            </w:pPr>
            <w:r>
              <w:rPr>
                <w:lang w:val="en-GB"/>
              </w:rPr>
              <w:t>Scenario category</w:t>
            </w:r>
          </w:p>
        </w:tc>
        <w:tc>
          <w:tcPr>
            <w:tcW w:w="1055" w:type="dxa"/>
            <w:tcBorders>
              <w:top w:val="single" w:sz="4" w:space="0" w:color="auto"/>
              <w:bottom w:val="single" w:sz="4" w:space="0" w:color="auto"/>
            </w:tcBorders>
          </w:tcPr>
          <w:p w14:paraId="1CD9B0FC" w14:textId="77777777" w:rsidR="0056749B" w:rsidRDefault="0056749B" w:rsidP="00E834BE">
            <w:pPr>
              <w:rPr>
                <w:lang w:val="en-GB"/>
              </w:rPr>
            </w:pPr>
            <w:r>
              <w:rPr>
                <w:lang w:val="en-GB"/>
              </w:rPr>
              <w:t>No. scenarios</w:t>
            </w:r>
          </w:p>
        </w:tc>
        <w:tc>
          <w:tcPr>
            <w:tcW w:w="1369" w:type="dxa"/>
            <w:tcBorders>
              <w:top w:val="single" w:sz="4" w:space="0" w:color="auto"/>
              <w:bottom w:val="single" w:sz="4" w:space="0" w:color="auto"/>
            </w:tcBorders>
          </w:tcPr>
          <w:p w14:paraId="666772A2" w14:textId="77777777" w:rsidR="0056749B" w:rsidRDefault="0056749B" w:rsidP="00E834BE">
            <w:pPr>
              <w:rPr>
                <w:lang w:val="en-GB"/>
              </w:rPr>
            </w:pPr>
            <w:r>
              <w:rPr>
                <w:lang w:val="en-GB"/>
              </w:rPr>
              <w:t>Year of net zero CO</w:t>
            </w:r>
            <w:r w:rsidRPr="00A81495">
              <w:rPr>
                <w:vertAlign w:val="subscript"/>
                <w:lang w:val="en-GB"/>
              </w:rPr>
              <w:t>2</w:t>
            </w:r>
          </w:p>
        </w:tc>
        <w:tc>
          <w:tcPr>
            <w:tcW w:w="1385" w:type="dxa"/>
            <w:tcBorders>
              <w:top w:val="single" w:sz="4" w:space="0" w:color="auto"/>
              <w:bottom w:val="single" w:sz="4" w:space="0" w:color="auto"/>
            </w:tcBorders>
          </w:tcPr>
          <w:p w14:paraId="29A5AECF" w14:textId="77777777" w:rsidR="0056749B" w:rsidRDefault="0056749B" w:rsidP="00A81495">
            <w:pPr>
              <w:rPr>
                <w:lang w:val="en-GB"/>
              </w:rPr>
            </w:pPr>
            <w:r>
              <w:rPr>
                <w:lang w:val="en-GB"/>
              </w:rPr>
              <w:t>Residual CO</w:t>
            </w:r>
            <w:r w:rsidRPr="00A81495">
              <w:rPr>
                <w:vertAlign w:val="subscript"/>
                <w:lang w:val="en-GB"/>
              </w:rPr>
              <w:t>2</w:t>
            </w:r>
            <w:r>
              <w:rPr>
                <w:lang w:val="en-GB"/>
              </w:rPr>
              <w:t xml:space="preserve"> emissions (GtCO</w:t>
            </w:r>
            <w:r w:rsidRPr="00A81495">
              <w:rPr>
                <w:vertAlign w:val="subscript"/>
                <w:lang w:val="en-GB"/>
              </w:rPr>
              <w:t>2</w:t>
            </w:r>
            <w:r>
              <w:rPr>
                <w:lang w:val="en-GB"/>
              </w:rPr>
              <w:t>/</w:t>
            </w:r>
            <w:proofErr w:type="spellStart"/>
            <w:r>
              <w:rPr>
                <w:lang w:val="en-GB"/>
              </w:rPr>
              <w:t>yr</w:t>
            </w:r>
            <w:proofErr w:type="spellEnd"/>
            <w:r>
              <w:rPr>
                <w:lang w:val="en-GB"/>
              </w:rPr>
              <w:t>)</w:t>
            </w:r>
          </w:p>
        </w:tc>
        <w:tc>
          <w:tcPr>
            <w:tcW w:w="1381" w:type="dxa"/>
            <w:tcBorders>
              <w:top w:val="single" w:sz="4" w:space="0" w:color="auto"/>
              <w:bottom w:val="single" w:sz="4" w:space="0" w:color="auto"/>
            </w:tcBorders>
          </w:tcPr>
          <w:p w14:paraId="542FFBA3" w14:textId="77777777" w:rsidR="0056749B" w:rsidRDefault="0056749B" w:rsidP="00E834BE">
            <w:pPr>
              <w:rPr>
                <w:lang w:val="en-GB"/>
              </w:rPr>
            </w:pPr>
            <w:r>
              <w:rPr>
                <w:lang w:val="en-GB"/>
              </w:rPr>
              <w:t>CO</w:t>
            </w:r>
            <w:r w:rsidRPr="00A81495">
              <w:rPr>
                <w:vertAlign w:val="subscript"/>
                <w:lang w:val="en-GB"/>
              </w:rPr>
              <w:t>2</w:t>
            </w:r>
            <w:r>
              <w:rPr>
                <w:lang w:val="en-GB"/>
              </w:rPr>
              <w:t xml:space="preserve"> reduction from 2020 (%)</w:t>
            </w:r>
          </w:p>
        </w:tc>
        <w:tc>
          <w:tcPr>
            <w:tcW w:w="1390" w:type="dxa"/>
            <w:tcBorders>
              <w:top w:val="single" w:sz="4" w:space="0" w:color="auto"/>
              <w:bottom w:val="single" w:sz="4" w:space="0" w:color="auto"/>
            </w:tcBorders>
          </w:tcPr>
          <w:p w14:paraId="4FD57E25" w14:textId="77777777" w:rsidR="0056749B" w:rsidRDefault="0056749B" w:rsidP="00A81495">
            <w:pPr>
              <w:rPr>
                <w:lang w:val="en-GB"/>
              </w:rPr>
            </w:pPr>
            <w:r>
              <w:rPr>
                <w:lang w:val="en-GB"/>
              </w:rPr>
              <w:t>Residual GHG emissions (GtCO</w:t>
            </w:r>
            <w:r w:rsidRPr="00A81495">
              <w:rPr>
                <w:vertAlign w:val="subscript"/>
                <w:lang w:val="en-GB"/>
              </w:rPr>
              <w:t>2</w:t>
            </w:r>
            <w:r>
              <w:rPr>
                <w:lang w:val="en-GB"/>
              </w:rPr>
              <w:t>e/</w:t>
            </w:r>
            <w:proofErr w:type="spellStart"/>
            <w:r>
              <w:rPr>
                <w:lang w:val="en-GB"/>
              </w:rPr>
              <w:t>yr</w:t>
            </w:r>
            <w:proofErr w:type="spellEnd"/>
            <w:r>
              <w:rPr>
                <w:lang w:val="en-GB"/>
              </w:rPr>
              <w:t>)</w:t>
            </w:r>
          </w:p>
        </w:tc>
        <w:tc>
          <w:tcPr>
            <w:tcW w:w="1382" w:type="dxa"/>
            <w:tcBorders>
              <w:top w:val="single" w:sz="4" w:space="0" w:color="auto"/>
              <w:bottom w:val="single" w:sz="4" w:space="0" w:color="auto"/>
            </w:tcBorders>
          </w:tcPr>
          <w:p w14:paraId="4C553ACA" w14:textId="77777777" w:rsidR="0056749B" w:rsidRDefault="0056749B" w:rsidP="00E834BE">
            <w:pPr>
              <w:rPr>
                <w:lang w:val="en-GB"/>
              </w:rPr>
            </w:pPr>
            <w:r>
              <w:rPr>
                <w:lang w:val="en-GB"/>
              </w:rPr>
              <w:t>GHG reduction from 2020 (%)</w:t>
            </w:r>
          </w:p>
        </w:tc>
      </w:tr>
      <w:tr w:rsidR="0056749B" w14:paraId="4B409D8C" w14:textId="77777777" w:rsidTr="00951F0F">
        <w:trPr>
          <w:trHeight w:val="794"/>
        </w:trPr>
        <w:tc>
          <w:tcPr>
            <w:tcW w:w="1677" w:type="dxa"/>
            <w:tcBorders>
              <w:top w:val="single" w:sz="4" w:space="0" w:color="auto"/>
            </w:tcBorders>
            <w:vAlign w:val="center"/>
          </w:tcPr>
          <w:p w14:paraId="034F4FC7" w14:textId="66F1E4D3" w:rsidR="0056749B" w:rsidRDefault="00E80B70" w:rsidP="00B01C30">
            <w:pPr>
              <w:spacing w:line="276" w:lineRule="auto"/>
              <w:rPr>
                <w:lang w:val="en-GB"/>
              </w:rPr>
            </w:pPr>
            <w:r>
              <w:rPr>
                <w:lang w:val="en-GB"/>
              </w:rPr>
              <w:t>C1-C3</w:t>
            </w:r>
          </w:p>
        </w:tc>
        <w:tc>
          <w:tcPr>
            <w:tcW w:w="1055" w:type="dxa"/>
            <w:tcBorders>
              <w:top w:val="single" w:sz="4" w:space="0" w:color="auto"/>
            </w:tcBorders>
            <w:vAlign w:val="center"/>
          </w:tcPr>
          <w:p w14:paraId="14B42DFB" w14:textId="77777777" w:rsidR="0056749B" w:rsidRDefault="0056749B" w:rsidP="00B01C30">
            <w:pPr>
              <w:spacing w:line="276" w:lineRule="auto"/>
              <w:rPr>
                <w:rFonts w:ascii="Calibri" w:hAnsi="Calibri" w:cs="Calibri"/>
                <w:color w:val="000000"/>
              </w:rPr>
            </w:pPr>
            <w:r>
              <w:rPr>
                <w:rFonts w:ascii="Calibri" w:hAnsi="Calibri" w:cs="Calibri"/>
                <w:color w:val="000000"/>
              </w:rPr>
              <w:t>156</w:t>
            </w:r>
          </w:p>
        </w:tc>
        <w:tc>
          <w:tcPr>
            <w:tcW w:w="1369" w:type="dxa"/>
            <w:tcBorders>
              <w:top w:val="single" w:sz="4" w:space="0" w:color="auto"/>
            </w:tcBorders>
            <w:vAlign w:val="center"/>
          </w:tcPr>
          <w:p w14:paraId="5F54C1DD" w14:textId="77777777" w:rsidR="0056749B" w:rsidRDefault="0056749B" w:rsidP="00B01C30">
            <w:pPr>
              <w:spacing w:line="276" w:lineRule="auto"/>
              <w:rPr>
                <w:rFonts w:ascii="Calibri" w:hAnsi="Calibri" w:cs="Calibri"/>
                <w:color w:val="000000"/>
              </w:rPr>
            </w:pPr>
            <w:r>
              <w:rPr>
                <w:rFonts w:ascii="Calibri" w:hAnsi="Calibri" w:cs="Calibri"/>
                <w:color w:val="000000"/>
              </w:rPr>
              <w:t>2066</w:t>
            </w:r>
          </w:p>
          <w:p w14:paraId="519E174C" w14:textId="77777777" w:rsidR="0056749B" w:rsidRDefault="0056749B" w:rsidP="00B01C30">
            <w:pPr>
              <w:spacing w:line="276" w:lineRule="auto"/>
              <w:rPr>
                <w:rFonts w:ascii="Calibri" w:hAnsi="Calibri" w:cs="Calibri"/>
                <w:color w:val="000000"/>
              </w:rPr>
            </w:pPr>
            <w:r>
              <w:rPr>
                <w:rFonts w:ascii="Calibri" w:hAnsi="Calibri" w:cs="Calibri"/>
                <w:color w:val="000000"/>
              </w:rPr>
              <w:t>[2047-2083]</w:t>
            </w:r>
          </w:p>
        </w:tc>
        <w:tc>
          <w:tcPr>
            <w:tcW w:w="1385" w:type="dxa"/>
            <w:tcBorders>
              <w:top w:val="single" w:sz="4" w:space="0" w:color="auto"/>
            </w:tcBorders>
            <w:vAlign w:val="center"/>
          </w:tcPr>
          <w:p w14:paraId="38F09A8C" w14:textId="77777777" w:rsidR="0056749B" w:rsidRDefault="0056749B" w:rsidP="00B01C30">
            <w:pPr>
              <w:spacing w:line="276" w:lineRule="auto"/>
              <w:rPr>
                <w:rFonts w:ascii="Calibri" w:hAnsi="Calibri" w:cs="Calibri"/>
                <w:color w:val="000000"/>
              </w:rPr>
            </w:pPr>
            <w:r>
              <w:rPr>
                <w:rFonts w:ascii="Calibri" w:hAnsi="Calibri" w:cs="Calibri"/>
                <w:color w:val="000000"/>
              </w:rPr>
              <w:t>8.4</w:t>
            </w:r>
          </w:p>
          <w:p w14:paraId="0165C1D5" w14:textId="77777777" w:rsidR="0056749B" w:rsidRDefault="0056749B" w:rsidP="00B01C30">
            <w:pPr>
              <w:spacing w:line="276" w:lineRule="auto"/>
              <w:rPr>
                <w:rFonts w:ascii="Calibri" w:hAnsi="Calibri" w:cs="Calibri"/>
                <w:color w:val="000000"/>
              </w:rPr>
            </w:pPr>
            <w:r>
              <w:rPr>
                <w:rFonts w:ascii="Calibri" w:hAnsi="Calibri" w:cs="Calibri"/>
                <w:color w:val="000000"/>
              </w:rPr>
              <w:t>[6.1-14]</w:t>
            </w:r>
          </w:p>
        </w:tc>
        <w:tc>
          <w:tcPr>
            <w:tcW w:w="1381" w:type="dxa"/>
            <w:tcBorders>
              <w:top w:val="single" w:sz="4" w:space="0" w:color="auto"/>
            </w:tcBorders>
            <w:vAlign w:val="center"/>
          </w:tcPr>
          <w:p w14:paraId="37C9BB1B" w14:textId="77777777" w:rsidR="0056749B" w:rsidRDefault="0056749B" w:rsidP="00B01C30">
            <w:pPr>
              <w:spacing w:line="276" w:lineRule="auto"/>
              <w:rPr>
                <w:rFonts w:ascii="Calibri" w:hAnsi="Calibri" w:cs="Calibri"/>
                <w:color w:val="000000"/>
              </w:rPr>
            </w:pPr>
            <w:r>
              <w:rPr>
                <w:rFonts w:ascii="Calibri" w:hAnsi="Calibri" w:cs="Calibri"/>
                <w:color w:val="000000"/>
              </w:rPr>
              <w:t>81</w:t>
            </w:r>
          </w:p>
          <w:p w14:paraId="511BD386" w14:textId="77777777" w:rsidR="0056749B" w:rsidRDefault="0056749B" w:rsidP="00B01C30">
            <w:pPr>
              <w:spacing w:line="276" w:lineRule="auto"/>
              <w:rPr>
                <w:rFonts w:ascii="Calibri" w:hAnsi="Calibri" w:cs="Calibri"/>
                <w:color w:val="000000"/>
              </w:rPr>
            </w:pPr>
            <w:r>
              <w:rPr>
                <w:rFonts w:ascii="Calibri" w:hAnsi="Calibri" w:cs="Calibri"/>
                <w:color w:val="000000"/>
              </w:rPr>
              <w:t>[67-85]</w:t>
            </w:r>
          </w:p>
        </w:tc>
        <w:tc>
          <w:tcPr>
            <w:tcW w:w="1390" w:type="dxa"/>
            <w:tcBorders>
              <w:top w:val="single" w:sz="4" w:space="0" w:color="auto"/>
            </w:tcBorders>
            <w:vAlign w:val="center"/>
          </w:tcPr>
          <w:p w14:paraId="338EA362" w14:textId="77777777" w:rsidR="0056749B" w:rsidRDefault="0056749B" w:rsidP="00B01C30">
            <w:pPr>
              <w:spacing w:line="276" w:lineRule="auto"/>
              <w:rPr>
                <w:rFonts w:ascii="Calibri" w:hAnsi="Calibri" w:cs="Calibri"/>
                <w:color w:val="000000"/>
              </w:rPr>
            </w:pPr>
            <w:r>
              <w:rPr>
                <w:rFonts w:ascii="Calibri" w:hAnsi="Calibri" w:cs="Calibri"/>
                <w:color w:val="000000"/>
              </w:rPr>
              <w:t>16</w:t>
            </w:r>
          </w:p>
          <w:p w14:paraId="021EA911" w14:textId="77777777" w:rsidR="0056749B" w:rsidRDefault="0056749B" w:rsidP="00B01C30">
            <w:pPr>
              <w:spacing w:line="276" w:lineRule="auto"/>
              <w:rPr>
                <w:rFonts w:ascii="Calibri" w:hAnsi="Calibri" w:cs="Calibri"/>
                <w:color w:val="000000"/>
              </w:rPr>
            </w:pPr>
            <w:r>
              <w:rPr>
                <w:rFonts w:ascii="Calibri" w:hAnsi="Calibri" w:cs="Calibri"/>
                <w:color w:val="000000"/>
              </w:rPr>
              <w:t>[13-22]</w:t>
            </w:r>
          </w:p>
        </w:tc>
        <w:tc>
          <w:tcPr>
            <w:tcW w:w="1382" w:type="dxa"/>
            <w:tcBorders>
              <w:top w:val="single" w:sz="4" w:space="0" w:color="auto"/>
            </w:tcBorders>
            <w:vAlign w:val="center"/>
          </w:tcPr>
          <w:p w14:paraId="6D48A912" w14:textId="77777777" w:rsidR="0056749B" w:rsidRDefault="0056749B" w:rsidP="00B01C30">
            <w:pPr>
              <w:spacing w:line="276" w:lineRule="auto"/>
              <w:rPr>
                <w:rFonts w:ascii="Calibri" w:hAnsi="Calibri" w:cs="Calibri"/>
                <w:color w:val="000000"/>
              </w:rPr>
            </w:pPr>
            <w:r>
              <w:rPr>
                <w:rFonts w:ascii="Calibri" w:hAnsi="Calibri" w:cs="Calibri"/>
                <w:color w:val="000000"/>
              </w:rPr>
              <w:t>71</w:t>
            </w:r>
          </w:p>
          <w:p w14:paraId="178B04B7" w14:textId="77777777" w:rsidR="0056749B" w:rsidRDefault="0056749B" w:rsidP="00B01C30">
            <w:pPr>
              <w:spacing w:line="276" w:lineRule="auto"/>
              <w:rPr>
                <w:rFonts w:ascii="Calibri" w:hAnsi="Calibri" w:cs="Calibri"/>
                <w:color w:val="000000"/>
              </w:rPr>
            </w:pPr>
            <w:r>
              <w:rPr>
                <w:rFonts w:ascii="Calibri" w:hAnsi="Calibri" w:cs="Calibri"/>
                <w:color w:val="000000"/>
              </w:rPr>
              <w:t>[62-77]</w:t>
            </w:r>
          </w:p>
        </w:tc>
      </w:tr>
      <w:tr w:rsidR="0056749B" w14:paraId="01E12C1F" w14:textId="77777777" w:rsidTr="00951F0F">
        <w:trPr>
          <w:trHeight w:val="794"/>
        </w:trPr>
        <w:tc>
          <w:tcPr>
            <w:tcW w:w="1677" w:type="dxa"/>
            <w:vAlign w:val="center"/>
          </w:tcPr>
          <w:p w14:paraId="08E8DF20" w14:textId="395EC142" w:rsidR="0056749B" w:rsidRDefault="00E80B70" w:rsidP="00B01C30">
            <w:pPr>
              <w:spacing w:line="276" w:lineRule="auto"/>
              <w:rPr>
                <w:lang w:val="en-GB"/>
              </w:rPr>
            </w:pPr>
            <w:r>
              <w:rPr>
                <w:lang w:val="en-GB"/>
              </w:rPr>
              <w:t xml:space="preserve">C1: </w:t>
            </w:r>
            <w:r w:rsidR="00B01C30">
              <w:rPr>
                <w:lang w:val="en-GB"/>
              </w:rPr>
              <w:t>Below 1.5</w:t>
            </w:r>
            <w:r w:rsidR="00B01C30">
              <w:rPr>
                <w:rFonts w:cstheme="minorHAnsi"/>
                <w:lang w:val="en-GB"/>
              </w:rPr>
              <w:t>°</w:t>
            </w:r>
            <w:r w:rsidR="00B01C30">
              <w:rPr>
                <w:lang w:val="en-GB"/>
              </w:rPr>
              <w:t>C</w:t>
            </w:r>
          </w:p>
        </w:tc>
        <w:tc>
          <w:tcPr>
            <w:tcW w:w="1055" w:type="dxa"/>
            <w:vAlign w:val="center"/>
          </w:tcPr>
          <w:p w14:paraId="68C48B3D" w14:textId="77777777" w:rsidR="0056749B" w:rsidRDefault="0056749B" w:rsidP="00B01C30">
            <w:pPr>
              <w:spacing w:line="276" w:lineRule="auto"/>
              <w:rPr>
                <w:rFonts w:ascii="Calibri" w:hAnsi="Calibri" w:cs="Calibri"/>
                <w:color w:val="000000"/>
              </w:rPr>
            </w:pPr>
            <w:r>
              <w:rPr>
                <w:rFonts w:ascii="Calibri" w:hAnsi="Calibri" w:cs="Calibri"/>
                <w:color w:val="000000"/>
              </w:rPr>
              <w:t>31</w:t>
            </w:r>
          </w:p>
        </w:tc>
        <w:tc>
          <w:tcPr>
            <w:tcW w:w="1369" w:type="dxa"/>
            <w:vAlign w:val="center"/>
          </w:tcPr>
          <w:p w14:paraId="571EA157" w14:textId="77777777" w:rsidR="0056749B" w:rsidRDefault="0056749B" w:rsidP="00B01C30">
            <w:pPr>
              <w:spacing w:line="276" w:lineRule="auto"/>
              <w:rPr>
                <w:rFonts w:ascii="Calibri" w:hAnsi="Calibri" w:cs="Calibri"/>
                <w:color w:val="000000"/>
              </w:rPr>
            </w:pPr>
            <w:r>
              <w:rPr>
                <w:rFonts w:ascii="Calibri" w:hAnsi="Calibri" w:cs="Calibri"/>
                <w:color w:val="000000"/>
              </w:rPr>
              <w:t>2054</w:t>
            </w:r>
          </w:p>
          <w:p w14:paraId="4D205BF3" w14:textId="77777777" w:rsidR="0056749B" w:rsidRDefault="0056749B" w:rsidP="00B01C30">
            <w:pPr>
              <w:spacing w:line="276" w:lineRule="auto"/>
              <w:rPr>
                <w:rFonts w:ascii="Calibri" w:hAnsi="Calibri" w:cs="Calibri"/>
                <w:color w:val="000000"/>
              </w:rPr>
            </w:pPr>
            <w:r>
              <w:rPr>
                <w:rFonts w:ascii="Calibri" w:hAnsi="Calibri" w:cs="Calibri"/>
                <w:color w:val="000000"/>
              </w:rPr>
              <w:t>[2044-2068]</w:t>
            </w:r>
          </w:p>
        </w:tc>
        <w:tc>
          <w:tcPr>
            <w:tcW w:w="1385" w:type="dxa"/>
            <w:vAlign w:val="center"/>
          </w:tcPr>
          <w:p w14:paraId="6D744ED8" w14:textId="77777777" w:rsidR="0056749B" w:rsidRDefault="0056749B" w:rsidP="00B01C30">
            <w:pPr>
              <w:spacing w:line="276" w:lineRule="auto"/>
              <w:rPr>
                <w:rFonts w:ascii="Calibri" w:hAnsi="Calibri" w:cs="Calibri"/>
                <w:color w:val="000000"/>
              </w:rPr>
            </w:pPr>
            <w:r>
              <w:rPr>
                <w:rFonts w:ascii="Calibri" w:hAnsi="Calibri" w:cs="Calibri"/>
                <w:color w:val="000000"/>
              </w:rPr>
              <w:t>6.8</w:t>
            </w:r>
          </w:p>
          <w:p w14:paraId="22019EF2" w14:textId="77777777" w:rsidR="0056749B" w:rsidRDefault="0056749B" w:rsidP="00B01C30">
            <w:pPr>
              <w:spacing w:line="276" w:lineRule="auto"/>
              <w:rPr>
                <w:rFonts w:ascii="Calibri" w:hAnsi="Calibri" w:cs="Calibri"/>
                <w:color w:val="000000"/>
              </w:rPr>
            </w:pPr>
            <w:r>
              <w:rPr>
                <w:rFonts w:ascii="Calibri" w:hAnsi="Calibri" w:cs="Calibri"/>
                <w:color w:val="000000"/>
              </w:rPr>
              <w:t>[2.3-9.8]</w:t>
            </w:r>
          </w:p>
        </w:tc>
        <w:tc>
          <w:tcPr>
            <w:tcW w:w="1381" w:type="dxa"/>
            <w:vAlign w:val="center"/>
          </w:tcPr>
          <w:p w14:paraId="333B61BD" w14:textId="77777777" w:rsidR="0056749B" w:rsidRDefault="0056749B" w:rsidP="00B01C30">
            <w:pPr>
              <w:spacing w:line="276" w:lineRule="auto"/>
              <w:rPr>
                <w:rFonts w:ascii="Calibri" w:hAnsi="Calibri" w:cs="Calibri"/>
                <w:color w:val="000000"/>
              </w:rPr>
            </w:pPr>
            <w:r>
              <w:rPr>
                <w:rFonts w:ascii="Calibri" w:hAnsi="Calibri" w:cs="Calibri"/>
                <w:color w:val="000000"/>
              </w:rPr>
              <w:t>83</w:t>
            </w:r>
          </w:p>
          <w:p w14:paraId="08214F81" w14:textId="77777777" w:rsidR="0056749B" w:rsidRDefault="0056749B" w:rsidP="00B01C30">
            <w:pPr>
              <w:spacing w:line="276" w:lineRule="auto"/>
              <w:rPr>
                <w:rFonts w:ascii="Calibri" w:hAnsi="Calibri" w:cs="Calibri"/>
                <w:color w:val="000000"/>
              </w:rPr>
            </w:pPr>
            <w:r>
              <w:rPr>
                <w:rFonts w:ascii="Calibri" w:hAnsi="Calibri" w:cs="Calibri"/>
                <w:color w:val="000000"/>
              </w:rPr>
              <w:t>[76-95]</w:t>
            </w:r>
          </w:p>
        </w:tc>
        <w:tc>
          <w:tcPr>
            <w:tcW w:w="1390" w:type="dxa"/>
            <w:vAlign w:val="center"/>
          </w:tcPr>
          <w:p w14:paraId="00F3B20D" w14:textId="77777777" w:rsidR="0056749B" w:rsidRDefault="0056749B" w:rsidP="00B01C30">
            <w:pPr>
              <w:spacing w:line="276" w:lineRule="auto"/>
              <w:rPr>
                <w:rFonts w:ascii="Calibri" w:hAnsi="Calibri" w:cs="Calibri"/>
                <w:color w:val="000000"/>
              </w:rPr>
            </w:pPr>
            <w:r>
              <w:rPr>
                <w:rFonts w:ascii="Calibri" w:hAnsi="Calibri" w:cs="Calibri"/>
                <w:color w:val="000000"/>
              </w:rPr>
              <w:t>15</w:t>
            </w:r>
          </w:p>
          <w:p w14:paraId="20025A51" w14:textId="77777777" w:rsidR="0056749B" w:rsidRDefault="0056749B" w:rsidP="00B01C30">
            <w:pPr>
              <w:spacing w:line="276" w:lineRule="auto"/>
              <w:rPr>
                <w:rFonts w:ascii="Calibri" w:hAnsi="Calibri" w:cs="Calibri"/>
                <w:color w:val="000000"/>
              </w:rPr>
            </w:pPr>
            <w:r>
              <w:rPr>
                <w:rFonts w:ascii="Calibri" w:hAnsi="Calibri" w:cs="Calibri"/>
                <w:color w:val="000000"/>
              </w:rPr>
              <w:t>[8.2-18]</w:t>
            </w:r>
          </w:p>
        </w:tc>
        <w:tc>
          <w:tcPr>
            <w:tcW w:w="1382" w:type="dxa"/>
            <w:vAlign w:val="center"/>
          </w:tcPr>
          <w:p w14:paraId="154F94BF" w14:textId="77777777" w:rsidR="0056749B" w:rsidRDefault="0056749B" w:rsidP="00B01C30">
            <w:pPr>
              <w:spacing w:line="276" w:lineRule="auto"/>
              <w:rPr>
                <w:rFonts w:ascii="Calibri" w:hAnsi="Calibri" w:cs="Calibri"/>
                <w:color w:val="000000"/>
              </w:rPr>
            </w:pPr>
            <w:r>
              <w:rPr>
                <w:rFonts w:ascii="Calibri" w:hAnsi="Calibri" w:cs="Calibri"/>
                <w:color w:val="000000"/>
              </w:rPr>
              <w:t>72</w:t>
            </w:r>
          </w:p>
          <w:p w14:paraId="290A0EA9" w14:textId="77777777" w:rsidR="0056749B" w:rsidRDefault="0056749B" w:rsidP="00B01C30">
            <w:pPr>
              <w:spacing w:line="276" w:lineRule="auto"/>
              <w:rPr>
                <w:rFonts w:ascii="Calibri" w:hAnsi="Calibri" w:cs="Calibri"/>
                <w:color w:val="000000"/>
              </w:rPr>
            </w:pPr>
            <w:r>
              <w:rPr>
                <w:rFonts w:ascii="Calibri" w:hAnsi="Calibri" w:cs="Calibri"/>
                <w:color w:val="000000"/>
              </w:rPr>
              <w:t>[68-85]</w:t>
            </w:r>
          </w:p>
        </w:tc>
      </w:tr>
      <w:tr w:rsidR="0056749B" w14:paraId="243A8766" w14:textId="77777777" w:rsidTr="00951F0F">
        <w:trPr>
          <w:trHeight w:val="794"/>
        </w:trPr>
        <w:tc>
          <w:tcPr>
            <w:tcW w:w="1677" w:type="dxa"/>
            <w:vAlign w:val="center"/>
          </w:tcPr>
          <w:p w14:paraId="36665E5E" w14:textId="7524004C" w:rsidR="0056749B" w:rsidRDefault="00E80B70" w:rsidP="00B01C30">
            <w:pPr>
              <w:spacing w:line="276" w:lineRule="auto"/>
              <w:rPr>
                <w:lang w:val="en-GB"/>
              </w:rPr>
            </w:pPr>
            <w:r>
              <w:rPr>
                <w:lang w:val="en-GB"/>
              </w:rPr>
              <w:t xml:space="preserve">C2: </w:t>
            </w:r>
            <w:r w:rsidR="00B01C30">
              <w:rPr>
                <w:lang w:val="en-GB"/>
              </w:rPr>
              <w:t>Below 1.5</w:t>
            </w:r>
            <w:r w:rsidR="00B01C30">
              <w:rPr>
                <w:rFonts w:cstheme="minorHAnsi"/>
                <w:lang w:val="en-GB"/>
              </w:rPr>
              <w:t>°</w:t>
            </w:r>
            <w:r w:rsidR="00B01C30">
              <w:rPr>
                <w:lang w:val="en-GB"/>
              </w:rPr>
              <w:t>C with overshoot</w:t>
            </w:r>
          </w:p>
        </w:tc>
        <w:tc>
          <w:tcPr>
            <w:tcW w:w="1055" w:type="dxa"/>
            <w:vAlign w:val="center"/>
          </w:tcPr>
          <w:p w14:paraId="103F07B8" w14:textId="77777777" w:rsidR="0056749B" w:rsidRDefault="0056749B" w:rsidP="00B01C30">
            <w:pPr>
              <w:spacing w:line="276" w:lineRule="auto"/>
              <w:rPr>
                <w:rFonts w:ascii="Calibri" w:hAnsi="Calibri" w:cs="Calibri"/>
                <w:color w:val="000000"/>
              </w:rPr>
            </w:pPr>
            <w:r>
              <w:rPr>
                <w:rFonts w:ascii="Calibri" w:hAnsi="Calibri" w:cs="Calibri"/>
                <w:color w:val="000000"/>
              </w:rPr>
              <w:t>43</w:t>
            </w:r>
          </w:p>
        </w:tc>
        <w:tc>
          <w:tcPr>
            <w:tcW w:w="1369" w:type="dxa"/>
            <w:vAlign w:val="center"/>
          </w:tcPr>
          <w:p w14:paraId="5D17DC2F" w14:textId="77777777" w:rsidR="0056749B" w:rsidRDefault="0056749B" w:rsidP="00B01C30">
            <w:pPr>
              <w:spacing w:line="276" w:lineRule="auto"/>
              <w:rPr>
                <w:rFonts w:ascii="Calibri" w:hAnsi="Calibri" w:cs="Calibri"/>
                <w:color w:val="000000"/>
              </w:rPr>
            </w:pPr>
            <w:r>
              <w:rPr>
                <w:rFonts w:ascii="Calibri" w:hAnsi="Calibri" w:cs="Calibri"/>
                <w:color w:val="000000"/>
              </w:rPr>
              <w:t>2060</w:t>
            </w:r>
          </w:p>
          <w:p w14:paraId="7766D5B5" w14:textId="77777777" w:rsidR="0056749B" w:rsidRDefault="0056749B" w:rsidP="00B01C30">
            <w:pPr>
              <w:spacing w:line="276" w:lineRule="auto"/>
              <w:rPr>
                <w:rFonts w:ascii="Calibri" w:hAnsi="Calibri" w:cs="Calibri"/>
                <w:color w:val="000000"/>
              </w:rPr>
            </w:pPr>
            <w:r>
              <w:rPr>
                <w:rFonts w:ascii="Calibri" w:hAnsi="Calibri" w:cs="Calibri"/>
                <w:color w:val="000000"/>
              </w:rPr>
              <w:t>[2047-2066]</w:t>
            </w:r>
          </w:p>
        </w:tc>
        <w:tc>
          <w:tcPr>
            <w:tcW w:w="1385" w:type="dxa"/>
            <w:vAlign w:val="center"/>
          </w:tcPr>
          <w:p w14:paraId="3F216A67" w14:textId="77777777" w:rsidR="0056749B" w:rsidRDefault="0056749B" w:rsidP="00B01C30">
            <w:pPr>
              <w:spacing w:line="276" w:lineRule="auto"/>
              <w:rPr>
                <w:rFonts w:ascii="Calibri" w:hAnsi="Calibri" w:cs="Calibri"/>
                <w:color w:val="000000"/>
              </w:rPr>
            </w:pPr>
            <w:r>
              <w:rPr>
                <w:rFonts w:ascii="Calibri" w:hAnsi="Calibri" w:cs="Calibri"/>
                <w:color w:val="000000"/>
              </w:rPr>
              <w:t>8.1</w:t>
            </w:r>
          </w:p>
          <w:p w14:paraId="7FFBCFC0" w14:textId="77777777" w:rsidR="0056749B" w:rsidRDefault="0056749B" w:rsidP="00B01C30">
            <w:pPr>
              <w:spacing w:line="276" w:lineRule="auto"/>
              <w:rPr>
                <w:rFonts w:ascii="Calibri" w:hAnsi="Calibri" w:cs="Calibri"/>
                <w:color w:val="000000"/>
              </w:rPr>
            </w:pPr>
            <w:r>
              <w:rPr>
                <w:rFonts w:ascii="Calibri" w:hAnsi="Calibri" w:cs="Calibri"/>
                <w:color w:val="000000"/>
              </w:rPr>
              <w:t>[6.5-13]</w:t>
            </w:r>
          </w:p>
        </w:tc>
        <w:tc>
          <w:tcPr>
            <w:tcW w:w="1381" w:type="dxa"/>
            <w:vAlign w:val="center"/>
          </w:tcPr>
          <w:p w14:paraId="7A5DECE3" w14:textId="77777777" w:rsidR="0056749B" w:rsidRDefault="0056749B" w:rsidP="00B01C30">
            <w:pPr>
              <w:spacing w:line="276" w:lineRule="auto"/>
              <w:rPr>
                <w:rFonts w:ascii="Calibri" w:hAnsi="Calibri" w:cs="Calibri"/>
                <w:color w:val="000000"/>
              </w:rPr>
            </w:pPr>
            <w:r>
              <w:rPr>
                <w:rFonts w:ascii="Calibri" w:hAnsi="Calibri" w:cs="Calibri"/>
                <w:color w:val="000000"/>
              </w:rPr>
              <w:t>81</w:t>
            </w:r>
          </w:p>
          <w:p w14:paraId="0055AF4A" w14:textId="77777777" w:rsidR="0056749B" w:rsidRDefault="0056749B" w:rsidP="00B01C30">
            <w:pPr>
              <w:spacing w:line="276" w:lineRule="auto"/>
              <w:rPr>
                <w:rFonts w:ascii="Calibri" w:hAnsi="Calibri" w:cs="Calibri"/>
                <w:color w:val="000000"/>
              </w:rPr>
            </w:pPr>
            <w:r>
              <w:rPr>
                <w:rFonts w:ascii="Calibri" w:hAnsi="Calibri" w:cs="Calibri"/>
                <w:color w:val="000000"/>
              </w:rPr>
              <w:t>[68-84]</w:t>
            </w:r>
          </w:p>
        </w:tc>
        <w:tc>
          <w:tcPr>
            <w:tcW w:w="1390" w:type="dxa"/>
            <w:vAlign w:val="center"/>
          </w:tcPr>
          <w:p w14:paraId="72324FDE" w14:textId="77777777" w:rsidR="0056749B" w:rsidRDefault="0056749B" w:rsidP="00B01C30">
            <w:pPr>
              <w:spacing w:line="276" w:lineRule="auto"/>
              <w:rPr>
                <w:rFonts w:ascii="Calibri" w:hAnsi="Calibri" w:cs="Calibri"/>
                <w:color w:val="000000"/>
              </w:rPr>
            </w:pPr>
            <w:r>
              <w:rPr>
                <w:rFonts w:ascii="Calibri" w:hAnsi="Calibri" w:cs="Calibri"/>
                <w:color w:val="000000"/>
              </w:rPr>
              <w:t>16</w:t>
            </w:r>
          </w:p>
          <w:p w14:paraId="0F2EFB61" w14:textId="77777777" w:rsidR="0056749B" w:rsidRDefault="0056749B" w:rsidP="00B01C30">
            <w:pPr>
              <w:spacing w:line="276" w:lineRule="auto"/>
              <w:rPr>
                <w:rFonts w:ascii="Calibri" w:hAnsi="Calibri" w:cs="Calibri"/>
                <w:color w:val="000000"/>
              </w:rPr>
            </w:pPr>
            <w:r>
              <w:rPr>
                <w:rFonts w:ascii="Calibri" w:hAnsi="Calibri" w:cs="Calibri"/>
                <w:color w:val="000000"/>
              </w:rPr>
              <w:t>[14-21]</w:t>
            </w:r>
          </w:p>
        </w:tc>
        <w:tc>
          <w:tcPr>
            <w:tcW w:w="1382" w:type="dxa"/>
            <w:vAlign w:val="center"/>
          </w:tcPr>
          <w:p w14:paraId="186E602E" w14:textId="77777777" w:rsidR="0056749B" w:rsidRDefault="0056749B" w:rsidP="00B01C30">
            <w:pPr>
              <w:spacing w:line="276" w:lineRule="auto"/>
              <w:rPr>
                <w:rFonts w:ascii="Calibri" w:hAnsi="Calibri" w:cs="Calibri"/>
                <w:color w:val="000000"/>
              </w:rPr>
            </w:pPr>
            <w:r>
              <w:rPr>
                <w:rFonts w:ascii="Calibri" w:hAnsi="Calibri" w:cs="Calibri"/>
                <w:color w:val="000000"/>
              </w:rPr>
              <w:t>71</w:t>
            </w:r>
          </w:p>
          <w:p w14:paraId="5D6C7111" w14:textId="77777777" w:rsidR="0056749B" w:rsidRDefault="0056749B" w:rsidP="00B01C30">
            <w:pPr>
              <w:spacing w:line="276" w:lineRule="auto"/>
              <w:rPr>
                <w:rFonts w:ascii="Calibri" w:hAnsi="Calibri" w:cs="Calibri"/>
                <w:color w:val="000000"/>
              </w:rPr>
            </w:pPr>
            <w:r>
              <w:rPr>
                <w:rFonts w:ascii="Calibri" w:hAnsi="Calibri" w:cs="Calibri"/>
                <w:color w:val="000000"/>
              </w:rPr>
              <w:t>[62-76]</w:t>
            </w:r>
          </w:p>
        </w:tc>
      </w:tr>
      <w:tr w:rsidR="0056749B" w14:paraId="086B5DBC" w14:textId="77777777" w:rsidTr="00951F0F">
        <w:trPr>
          <w:trHeight w:val="794"/>
        </w:trPr>
        <w:tc>
          <w:tcPr>
            <w:tcW w:w="1677" w:type="dxa"/>
            <w:tcBorders>
              <w:bottom w:val="single" w:sz="4" w:space="0" w:color="auto"/>
            </w:tcBorders>
            <w:vAlign w:val="center"/>
          </w:tcPr>
          <w:p w14:paraId="74690EF2" w14:textId="0E305E4E" w:rsidR="0056749B" w:rsidRDefault="00E80B70" w:rsidP="00B01C30">
            <w:pPr>
              <w:spacing w:line="276" w:lineRule="auto"/>
              <w:rPr>
                <w:lang w:val="en-GB"/>
              </w:rPr>
            </w:pPr>
            <w:r>
              <w:rPr>
                <w:lang w:val="en-GB"/>
              </w:rPr>
              <w:t xml:space="preserve">C3: </w:t>
            </w:r>
            <w:r w:rsidR="00B01C30">
              <w:rPr>
                <w:lang w:val="en-GB"/>
              </w:rPr>
              <w:t>Below 2</w:t>
            </w:r>
            <w:r w:rsidR="00B01C30">
              <w:rPr>
                <w:rFonts w:cstheme="minorHAnsi"/>
                <w:lang w:val="en-GB"/>
              </w:rPr>
              <w:t>°</w:t>
            </w:r>
            <w:r w:rsidR="00B01C30">
              <w:rPr>
                <w:lang w:val="en-GB"/>
              </w:rPr>
              <w:t>C</w:t>
            </w:r>
          </w:p>
        </w:tc>
        <w:tc>
          <w:tcPr>
            <w:tcW w:w="1055" w:type="dxa"/>
            <w:tcBorders>
              <w:bottom w:val="single" w:sz="4" w:space="0" w:color="auto"/>
            </w:tcBorders>
            <w:vAlign w:val="center"/>
          </w:tcPr>
          <w:p w14:paraId="7D6F5145" w14:textId="77777777" w:rsidR="0056749B" w:rsidRDefault="0056749B" w:rsidP="00B01C30">
            <w:pPr>
              <w:spacing w:line="276" w:lineRule="auto"/>
              <w:rPr>
                <w:rFonts w:ascii="Calibri" w:hAnsi="Calibri" w:cs="Calibri"/>
                <w:color w:val="000000"/>
              </w:rPr>
            </w:pPr>
            <w:r>
              <w:rPr>
                <w:rFonts w:ascii="Calibri" w:hAnsi="Calibri" w:cs="Calibri"/>
                <w:color w:val="000000"/>
              </w:rPr>
              <w:t>82</w:t>
            </w:r>
          </w:p>
        </w:tc>
        <w:tc>
          <w:tcPr>
            <w:tcW w:w="1369" w:type="dxa"/>
            <w:tcBorders>
              <w:bottom w:val="single" w:sz="4" w:space="0" w:color="auto"/>
            </w:tcBorders>
            <w:vAlign w:val="center"/>
          </w:tcPr>
          <w:p w14:paraId="328DD1E8" w14:textId="77777777" w:rsidR="0056749B" w:rsidRDefault="0056749B" w:rsidP="00B01C30">
            <w:pPr>
              <w:spacing w:line="276" w:lineRule="auto"/>
              <w:rPr>
                <w:rFonts w:ascii="Calibri" w:hAnsi="Calibri" w:cs="Calibri"/>
                <w:color w:val="000000"/>
              </w:rPr>
            </w:pPr>
            <w:r>
              <w:rPr>
                <w:rFonts w:ascii="Calibri" w:hAnsi="Calibri" w:cs="Calibri"/>
                <w:color w:val="000000"/>
              </w:rPr>
              <w:t>2072</w:t>
            </w:r>
          </w:p>
          <w:p w14:paraId="05BA8548" w14:textId="77777777" w:rsidR="0056749B" w:rsidRDefault="0056749B" w:rsidP="00B01C30">
            <w:pPr>
              <w:spacing w:line="276" w:lineRule="auto"/>
              <w:rPr>
                <w:rFonts w:ascii="Calibri" w:hAnsi="Calibri" w:cs="Calibri"/>
                <w:color w:val="000000"/>
              </w:rPr>
            </w:pPr>
            <w:r>
              <w:rPr>
                <w:rFonts w:ascii="Calibri" w:hAnsi="Calibri" w:cs="Calibri"/>
                <w:color w:val="000000"/>
              </w:rPr>
              <w:t>[2061-2090]</w:t>
            </w:r>
          </w:p>
        </w:tc>
        <w:tc>
          <w:tcPr>
            <w:tcW w:w="1385" w:type="dxa"/>
            <w:tcBorders>
              <w:bottom w:val="single" w:sz="4" w:space="0" w:color="auto"/>
            </w:tcBorders>
            <w:vAlign w:val="center"/>
          </w:tcPr>
          <w:p w14:paraId="5F97C005" w14:textId="77777777" w:rsidR="0056749B" w:rsidRDefault="0056749B" w:rsidP="00B01C30">
            <w:pPr>
              <w:spacing w:line="276" w:lineRule="auto"/>
              <w:rPr>
                <w:rFonts w:ascii="Calibri" w:hAnsi="Calibri" w:cs="Calibri"/>
                <w:color w:val="000000"/>
              </w:rPr>
            </w:pPr>
            <w:r>
              <w:rPr>
                <w:rFonts w:ascii="Calibri" w:hAnsi="Calibri" w:cs="Calibri"/>
                <w:color w:val="000000"/>
              </w:rPr>
              <w:t>9.7</w:t>
            </w:r>
          </w:p>
          <w:p w14:paraId="5BAE67BE" w14:textId="77777777" w:rsidR="0056749B" w:rsidRDefault="0056749B" w:rsidP="00B01C30">
            <w:pPr>
              <w:spacing w:line="276" w:lineRule="auto"/>
              <w:rPr>
                <w:rFonts w:ascii="Calibri" w:hAnsi="Calibri" w:cs="Calibri"/>
                <w:color w:val="000000"/>
              </w:rPr>
            </w:pPr>
            <w:r>
              <w:rPr>
                <w:rFonts w:ascii="Calibri" w:hAnsi="Calibri" w:cs="Calibri"/>
                <w:color w:val="000000"/>
              </w:rPr>
              <w:t>[6.1-14]</w:t>
            </w:r>
          </w:p>
        </w:tc>
        <w:tc>
          <w:tcPr>
            <w:tcW w:w="1381" w:type="dxa"/>
            <w:tcBorders>
              <w:bottom w:val="single" w:sz="4" w:space="0" w:color="auto"/>
            </w:tcBorders>
            <w:vAlign w:val="center"/>
          </w:tcPr>
          <w:p w14:paraId="4CCEBB64" w14:textId="77777777" w:rsidR="0056749B" w:rsidRDefault="0056749B" w:rsidP="00B01C30">
            <w:pPr>
              <w:spacing w:line="276" w:lineRule="auto"/>
              <w:rPr>
                <w:rFonts w:ascii="Calibri" w:hAnsi="Calibri" w:cs="Calibri"/>
                <w:color w:val="000000"/>
              </w:rPr>
            </w:pPr>
            <w:r>
              <w:rPr>
                <w:rFonts w:ascii="Calibri" w:hAnsi="Calibri" w:cs="Calibri"/>
                <w:color w:val="000000"/>
              </w:rPr>
              <w:t>77</w:t>
            </w:r>
          </w:p>
          <w:p w14:paraId="31F7BD3A" w14:textId="77777777" w:rsidR="0056749B" w:rsidRDefault="0056749B" w:rsidP="00B01C30">
            <w:pPr>
              <w:spacing w:line="276" w:lineRule="auto"/>
              <w:rPr>
                <w:rFonts w:ascii="Calibri" w:hAnsi="Calibri" w:cs="Calibri"/>
                <w:color w:val="000000"/>
              </w:rPr>
            </w:pPr>
            <w:r>
              <w:rPr>
                <w:rFonts w:ascii="Calibri" w:hAnsi="Calibri" w:cs="Calibri"/>
                <w:color w:val="000000"/>
              </w:rPr>
              <w:t>[66-84]</w:t>
            </w:r>
          </w:p>
        </w:tc>
        <w:tc>
          <w:tcPr>
            <w:tcW w:w="1390" w:type="dxa"/>
            <w:tcBorders>
              <w:bottom w:val="single" w:sz="4" w:space="0" w:color="auto"/>
            </w:tcBorders>
            <w:vAlign w:val="center"/>
          </w:tcPr>
          <w:p w14:paraId="08232201" w14:textId="77777777" w:rsidR="0056749B" w:rsidRDefault="0056749B" w:rsidP="00B01C30">
            <w:pPr>
              <w:spacing w:line="276" w:lineRule="auto"/>
              <w:rPr>
                <w:rFonts w:ascii="Calibri" w:hAnsi="Calibri" w:cs="Calibri"/>
                <w:color w:val="000000"/>
              </w:rPr>
            </w:pPr>
            <w:r>
              <w:rPr>
                <w:rFonts w:ascii="Calibri" w:hAnsi="Calibri" w:cs="Calibri"/>
                <w:color w:val="000000"/>
              </w:rPr>
              <w:t>17</w:t>
            </w:r>
          </w:p>
          <w:p w14:paraId="46DC423A" w14:textId="77777777" w:rsidR="0056749B" w:rsidRDefault="0056749B" w:rsidP="00B01C30">
            <w:pPr>
              <w:spacing w:line="276" w:lineRule="auto"/>
              <w:rPr>
                <w:rFonts w:ascii="Calibri" w:hAnsi="Calibri" w:cs="Calibri"/>
                <w:color w:val="000000"/>
              </w:rPr>
            </w:pPr>
            <w:r>
              <w:rPr>
                <w:rFonts w:ascii="Calibri" w:hAnsi="Calibri" w:cs="Calibri"/>
                <w:color w:val="000000"/>
              </w:rPr>
              <w:t>[15-22]</w:t>
            </w:r>
          </w:p>
        </w:tc>
        <w:tc>
          <w:tcPr>
            <w:tcW w:w="1382" w:type="dxa"/>
            <w:tcBorders>
              <w:bottom w:val="single" w:sz="4" w:space="0" w:color="auto"/>
            </w:tcBorders>
            <w:vAlign w:val="center"/>
          </w:tcPr>
          <w:p w14:paraId="0AE577F3" w14:textId="77777777" w:rsidR="0056749B" w:rsidRDefault="0056749B" w:rsidP="00B01C30">
            <w:pPr>
              <w:spacing w:line="276" w:lineRule="auto"/>
              <w:rPr>
                <w:rFonts w:ascii="Calibri" w:hAnsi="Calibri" w:cs="Calibri"/>
                <w:color w:val="000000"/>
              </w:rPr>
            </w:pPr>
            <w:r>
              <w:rPr>
                <w:rFonts w:ascii="Calibri" w:hAnsi="Calibri" w:cs="Calibri"/>
                <w:color w:val="000000"/>
              </w:rPr>
              <w:t>70</w:t>
            </w:r>
          </w:p>
          <w:p w14:paraId="203766B1" w14:textId="77777777" w:rsidR="0056749B" w:rsidRDefault="0056749B" w:rsidP="00B01C30">
            <w:pPr>
              <w:spacing w:line="276" w:lineRule="auto"/>
              <w:rPr>
                <w:rFonts w:ascii="Calibri" w:hAnsi="Calibri" w:cs="Calibri"/>
                <w:color w:val="000000"/>
              </w:rPr>
            </w:pPr>
            <w:r>
              <w:rPr>
                <w:rFonts w:ascii="Calibri" w:hAnsi="Calibri" w:cs="Calibri"/>
                <w:color w:val="000000"/>
              </w:rPr>
              <w:t>[61-74]</w:t>
            </w:r>
          </w:p>
        </w:tc>
      </w:tr>
    </w:tbl>
    <w:p w14:paraId="19F7A913" w14:textId="77777777" w:rsidR="00AF05B4" w:rsidRPr="00ED63D2" w:rsidRDefault="0056749B" w:rsidP="00E834BE">
      <w:pPr>
        <w:rPr>
          <w:sz w:val="20"/>
          <w:lang w:val="en-GB"/>
        </w:rPr>
      </w:pPr>
      <w:r w:rsidRPr="00ED63D2">
        <w:rPr>
          <w:b/>
          <w:sz w:val="20"/>
          <w:lang w:val="en-GB"/>
        </w:rPr>
        <w:t>Table 2: Median n</w:t>
      </w:r>
      <w:r w:rsidR="0055741D" w:rsidRPr="00ED63D2">
        <w:rPr>
          <w:b/>
          <w:sz w:val="20"/>
          <w:lang w:val="en-GB"/>
        </w:rPr>
        <w:t>et zero years and total residual emissions across scenarios</w:t>
      </w:r>
      <w:r w:rsidRPr="00ED63D2">
        <w:rPr>
          <w:b/>
          <w:sz w:val="20"/>
          <w:lang w:val="en-GB"/>
        </w:rPr>
        <w:t>.</w:t>
      </w:r>
      <w:r w:rsidRPr="00ED63D2">
        <w:rPr>
          <w:sz w:val="20"/>
          <w:lang w:val="en-GB"/>
        </w:rPr>
        <w:t xml:space="preserve"> Ranges in the square brackets indicate the 5</w:t>
      </w:r>
      <w:r w:rsidRPr="00ED63D2">
        <w:rPr>
          <w:sz w:val="20"/>
          <w:vertAlign w:val="superscript"/>
          <w:lang w:val="en-GB"/>
        </w:rPr>
        <w:t>th</w:t>
      </w:r>
      <w:r w:rsidRPr="00ED63D2">
        <w:rPr>
          <w:sz w:val="20"/>
          <w:lang w:val="en-GB"/>
        </w:rPr>
        <w:t>-95</w:t>
      </w:r>
      <w:r w:rsidRPr="00ED63D2">
        <w:rPr>
          <w:sz w:val="20"/>
          <w:vertAlign w:val="superscript"/>
          <w:lang w:val="en-GB"/>
        </w:rPr>
        <w:t>th</w:t>
      </w:r>
      <w:r w:rsidRPr="00ED63D2">
        <w:rPr>
          <w:sz w:val="20"/>
          <w:lang w:val="en-GB"/>
        </w:rPr>
        <w:t xml:space="preserve"> percentiles.</w:t>
      </w:r>
    </w:p>
    <w:p w14:paraId="4D1E0515" w14:textId="77777777" w:rsidR="0056749B" w:rsidRPr="00E834BE" w:rsidRDefault="0056749B" w:rsidP="00E834BE">
      <w:pPr>
        <w:rPr>
          <w:lang w:val="en-GB"/>
        </w:rPr>
      </w:pPr>
    </w:p>
    <w:p w14:paraId="13B5E5E7" w14:textId="77777777" w:rsidR="00614FFC" w:rsidRPr="00182512" w:rsidRDefault="00A73580" w:rsidP="00614FFC">
      <w:pPr>
        <w:pStyle w:val="Listenabsatz"/>
        <w:numPr>
          <w:ilvl w:val="1"/>
          <w:numId w:val="5"/>
        </w:numPr>
        <w:rPr>
          <w:i/>
          <w:lang w:val="en-GB"/>
        </w:rPr>
      </w:pPr>
      <w:r w:rsidRPr="00182512">
        <w:rPr>
          <w:i/>
          <w:lang w:val="en-GB"/>
        </w:rPr>
        <w:t>The c</w:t>
      </w:r>
      <w:r w:rsidR="00614FFC" w:rsidRPr="00182512">
        <w:rPr>
          <w:i/>
          <w:lang w:val="en-GB"/>
        </w:rPr>
        <w:t>omposition of residual emissions</w:t>
      </w:r>
      <w:r w:rsidRPr="00182512">
        <w:rPr>
          <w:i/>
          <w:lang w:val="en-GB"/>
        </w:rPr>
        <w:t xml:space="preserve"> at net zero CO</w:t>
      </w:r>
      <w:r w:rsidR="0030117A" w:rsidRPr="00156B31">
        <w:rPr>
          <w:i/>
          <w:vertAlign w:val="subscript"/>
          <w:lang w:val="en-GB"/>
        </w:rPr>
        <w:t>2</w:t>
      </w:r>
    </w:p>
    <w:p w14:paraId="44417847" w14:textId="7BEF7DAA" w:rsidR="004A3065" w:rsidRDefault="00B629C7" w:rsidP="00B629C7">
      <w:pPr>
        <w:rPr>
          <w:rFonts w:ascii="Calibri" w:eastAsia="Times New Roman" w:hAnsi="Calibri" w:cs="Calibri"/>
          <w:color w:val="000000"/>
          <w:lang w:val="en-GB" w:eastAsia="en-GB"/>
        </w:rPr>
      </w:pPr>
      <w:r>
        <w:rPr>
          <w:lang w:val="en-GB"/>
        </w:rPr>
        <w:t>Levels of residual CH</w:t>
      </w:r>
      <w:r w:rsidRPr="00ED168A">
        <w:rPr>
          <w:vertAlign w:val="subscript"/>
          <w:lang w:val="en-GB"/>
        </w:rPr>
        <w:t>4</w:t>
      </w:r>
      <w:r>
        <w:rPr>
          <w:lang w:val="en-GB"/>
        </w:rPr>
        <w:t xml:space="preserve"> and N</w:t>
      </w:r>
      <w:r w:rsidRPr="00B629C7">
        <w:rPr>
          <w:vertAlign w:val="subscript"/>
          <w:lang w:val="en-GB"/>
        </w:rPr>
        <w:t>2</w:t>
      </w:r>
      <w:r>
        <w:rPr>
          <w:lang w:val="en-GB"/>
        </w:rPr>
        <w:t xml:space="preserve">O emissions are </w:t>
      </w:r>
      <w:r w:rsidR="00ED168A">
        <w:rPr>
          <w:lang w:val="en-GB"/>
        </w:rPr>
        <w:t xml:space="preserve">relatively </w:t>
      </w:r>
      <w:r w:rsidR="004A3065">
        <w:rPr>
          <w:lang w:val="en-GB"/>
        </w:rPr>
        <w:t xml:space="preserve">consistent </w:t>
      </w:r>
      <w:r w:rsidR="00F319CF">
        <w:rPr>
          <w:lang w:val="en-GB"/>
        </w:rPr>
        <w:t xml:space="preserve">in </w:t>
      </w:r>
      <w:r>
        <w:rPr>
          <w:lang w:val="en-GB"/>
        </w:rPr>
        <w:t>scenarios</w:t>
      </w:r>
      <w:r w:rsidR="0056749B">
        <w:rPr>
          <w:lang w:val="en-GB"/>
        </w:rPr>
        <w:t>,</w:t>
      </w:r>
      <w:r w:rsidR="004A3065">
        <w:rPr>
          <w:lang w:val="en-GB"/>
        </w:rPr>
        <w:t xml:space="preserve"> </w:t>
      </w:r>
      <w:r w:rsidR="00ED168A">
        <w:rPr>
          <w:lang w:val="en-GB"/>
        </w:rPr>
        <w:t>regardless of model</w:t>
      </w:r>
      <w:r w:rsidR="004A3065">
        <w:rPr>
          <w:lang w:val="en-GB"/>
        </w:rPr>
        <w:t xml:space="preserve"> and </w:t>
      </w:r>
      <w:r w:rsidR="00ED168A">
        <w:rPr>
          <w:lang w:val="en-GB"/>
        </w:rPr>
        <w:t xml:space="preserve">temperature category </w:t>
      </w:r>
      <w:r w:rsidR="00ED168A">
        <w:rPr>
          <w:rFonts w:ascii="Calibri" w:eastAsia="Times New Roman" w:hAnsi="Calibri" w:cs="Calibri"/>
          <w:color w:val="000000"/>
          <w:lang w:val="en-GB" w:eastAsia="en-GB"/>
        </w:rPr>
        <w:t>(</w:t>
      </w:r>
      <w:r w:rsidR="00ED168A" w:rsidRPr="00ED168A">
        <w:rPr>
          <w:rFonts w:ascii="Calibri" w:eastAsia="Times New Roman" w:hAnsi="Calibri" w:cs="Calibri"/>
          <w:color w:val="000000"/>
          <w:lang w:val="en-GB" w:eastAsia="en-GB"/>
        </w:rPr>
        <w:fldChar w:fldCharType="begin"/>
      </w:r>
      <w:r w:rsidR="00ED168A" w:rsidRPr="00ED168A">
        <w:rPr>
          <w:rFonts w:ascii="Calibri" w:eastAsia="Times New Roman" w:hAnsi="Calibri" w:cs="Calibri"/>
          <w:color w:val="000000"/>
          <w:lang w:val="en-GB" w:eastAsia="en-GB"/>
        </w:rPr>
        <w:instrText xml:space="preserve"> REF _Ref143775054 \h  \* MERGEFORMAT </w:instrText>
      </w:r>
      <w:r w:rsidR="00ED168A" w:rsidRPr="00ED168A">
        <w:rPr>
          <w:rFonts w:ascii="Calibri" w:eastAsia="Times New Roman" w:hAnsi="Calibri" w:cs="Calibri"/>
          <w:color w:val="000000"/>
          <w:lang w:val="en-GB" w:eastAsia="en-GB"/>
        </w:rPr>
      </w:r>
      <w:r w:rsidR="00ED168A" w:rsidRPr="00ED168A">
        <w:rPr>
          <w:rFonts w:ascii="Calibri" w:eastAsia="Times New Roman" w:hAnsi="Calibri" w:cs="Calibri"/>
          <w:color w:val="000000"/>
          <w:lang w:val="en-GB" w:eastAsia="en-GB"/>
        </w:rPr>
        <w:fldChar w:fldCharType="separate"/>
      </w:r>
      <w:r w:rsidR="00ED168A" w:rsidRPr="00ED168A">
        <w:rPr>
          <w:color w:val="000000" w:themeColor="text1"/>
          <w:lang w:val="en-GB"/>
        </w:rPr>
        <w:t>Figure 2</w:t>
      </w:r>
      <w:r w:rsidR="00ED168A" w:rsidRPr="00ED168A">
        <w:rPr>
          <w:rFonts w:ascii="Calibri" w:eastAsia="Times New Roman" w:hAnsi="Calibri" w:cs="Calibri"/>
          <w:color w:val="000000"/>
          <w:lang w:val="en-GB" w:eastAsia="en-GB"/>
        </w:rPr>
        <w:fldChar w:fldCharType="end"/>
      </w:r>
      <w:r w:rsidR="00587417">
        <w:rPr>
          <w:rFonts w:ascii="Calibri" w:eastAsia="Times New Roman" w:hAnsi="Calibri" w:cs="Calibri"/>
          <w:color w:val="000000"/>
          <w:lang w:val="en-GB" w:eastAsia="en-GB"/>
        </w:rPr>
        <w:t>a</w:t>
      </w:r>
      <w:r w:rsidR="00ED168A">
        <w:rPr>
          <w:rFonts w:ascii="Calibri" w:eastAsia="Times New Roman" w:hAnsi="Calibri" w:cs="Calibri"/>
          <w:color w:val="000000"/>
          <w:lang w:val="en-GB" w:eastAsia="en-GB"/>
        </w:rPr>
        <w:t>)</w:t>
      </w:r>
      <w:r w:rsidR="004A3065">
        <w:rPr>
          <w:lang w:val="en-GB"/>
        </w:rPr>
        <w:t xml:space="preserve">. Across the ensemble, </w:t>
      </w:r>
      <w:r w:rsidR="00ED168A">
        <w:rPr>
          <w:lang w:val="en-GB"/>
        </w:rPr>
        <w:t>C</w:t>
      </w:r>
      <w:r w:rsidR="004A3065">
        <w:rPr>
          <w:lang w:val="en-GB"/>
        </w:rPr>
        <w:t>H</w:t>
      </w:r>
      <w:r w:rsidR="004A3065" w:rsidRPr="00ED168A">
        <w:rPr>
          <w:vertAlign w:val="subscript"/>
          <w:lang w:val="en-GB"/>
        </w:rPr>
        <w:t>4</w:t>
      </w:r>
      <w:r w:rsidR="004A3065">
        <w:rPr>
          <w:lang w:val="en-GB"/>
        </w:rPr>
        <w:t xml:space="preserve"> emissions </w:t>
      </w:r>
      <w:r w:rsidR="00156B31">
        <w:rPr>
          <w:lang w:val="en-GB"/>
        </w:rPr>
        <w:t xml:space="preserve">at net zero </w:t>
      </w:r>
      <w:r w:rsidR="004A3065">
        <w:rPr>
          <w:lang w:val="en-GB"/>
        </w:rPr>
        <w:t xml:space="preserve">total </w:t>
      </w:r>
      <w:r w:rsidR="004A3065" w:rsidRPr="004A3065">
        <w:rPr>
          <w:rFonts w:ascii="Calibri" w:eastAsia="Times New Roman" w:hAnsi="Calibri" w:cs="Calibri"/>
          <w:color w:val="000000"/>
          <w:lang w:val="en-GB" w:eastAsia="en-GB"/>
        </w:rPr>
        <w:t>4.4 [3.7-5.5]</w:t>
      </w:r>
      <w:r>
        <w:rPr>
          <w:rFonts w:ascii="Calibri" w:eastAsia="Times New Roman" w:hAnsi="Calibri" w:cs="Calibri"/>
          <w:color w:val="000000"/>
          <w:lang w:val="en-GB" w:eastAsia="en-GB"/>
        </w:rPr>
        <w:t xml:space="preserve"> GtCO</w:t>
      </w:r>
      <w:r w:rsidRPr="00156B31">
        <w:rPr>
          <w:rFonts w:ascii="Calibri" w:eastAsia="Times New Roman" w:hAnsi="Calibri" w:cs="Calibri"/>
          <w:color w:val="000000"/>
          <w:vertAlign w:val="subscript"/>
          <w:lang w:val="en-GB" w:eastAsia="en-GB"/>
        </w:rPr>
        <w:t>2</w:t>
      </w:r>
      <w:r>
        <w:rPr>
          <w:rFonts w:ascii="Calibri" w:eastAsia="Times New Roman" w:hAnsi="Calibri" w:cs="Calibri"/>
          <w:color w:val="000000"/>
          <w:lang w:val="en-GB" w:eastAsia="en-GB"/>
        </w:rPr>
        <w:t>e/</w:t>
      </w:r>
      <w:proofErr w:type="spellStart"/>
      <w:r>
        <w:rPr>
          <w:rFonts w:ascii="Calibri" w:eastAsia="Times New Roman" w:hAnsi="Calibri" w:cs="Calibri"/>
          <w:color w:val="000000"/>
          <w:lang w:val="en-GB" w:eastAsia="en-GB"/>
        </w:rPr>
        <w:t>yr</w:t>
      </w:r>
      <w:proofErr w:type="spellEnd"/>
      <w:r>
        <w:rPr>
          <w:rFonts w:ascii="Calibri" w:eastAsia="Times New Roman" w:hAnsi="Calibri" w:cs="Calibri"/>
          <w:color w:val="000000"/>
          <w:lang w:val="en-GB" w:eastAsia="en-GB"/>
        </w:rPr>
        <w:t xml:space="preserve"> and </w:t>
      </w:r>
      <w:r w:rsidR="004A3065">
        <w:rPr>
          <w:rFonts w:ascii="Calibri" w:eastAsia="Times New Roman" w:hAnsi="Calibri" w:cs="Calibri"/>
          <w:color w:val="000000"/>
          <w:lang w:val="en-GB" w:eastAsia="en-GB"/>
        </w:rPr>
        <w:t>N</w:t>
      </w:r>
      <w:r w:rsidR="00ED168A" w:rsidRPr="004A3065">
        <w:rPr>
          <w:vertAlign w:val="subscript"/>
          <w:lang w:val="en-GB"/>
        </w:rPr>
        <w:t>2</w:t>
      </w:r>
      <w:r w:rsidR="004A3065">
        <w:rPr>
          <w:rFonts w:ascii="Calibri" w:eastAsia="Times New Roman" w:hAnsi="Calibri" w:cs="Calibri"/>
          <w:color w:val="000000"/>
          <w:lang w:val="en-GB" w:eastAsia="en-GB"/>
        </w:rPr>
        <w:t xml:space="preserve">O emissions total </w:t>
      </w:r>
      <w:r w:rsidR="004A3065" w:rsidRPr="004A3065">
        <w:rPr>
          <w:rFonts w:ascii="Calibri" w:eastAsia="Times New Roman" w:hAnsi="Calibri" w:cs="Calibri"/>
          <w:color w:val="000000"/>
          <w:lang w:val="en-GB" w:eastAsia="en-GB"/>
        </w:rPr>
        <w:t>2 [1.9-3.3]</w:t>
      </w:r>
      <w:r w:rsidR="004A3065">
        <w:rPr>
          <w:rFonts w:ascii="Calibri" w:eastAsia="Times New Roman" w:hAnsi="Calibri" w:cs="Calibri"/>
          <w:color w:val="000000"/>
          <w:lang w:val="en-GB" w:eastAsia="en-GB"/>
        </w:rPr>
        <w:t xml:space="preserve"> GtCO</w:t>
      </w:r>
      <w:r w:rsidR="00ED168A" w:rsidRPr="004A3065">
        <w:rPr>
          <w:vertAlign w:val="subscript"/>
          <w:lang w:val="en-GB"/>
        </w:rPr>
        <w:t>2</w:t>
      </w:r>
      <w:r>
        <w:rPr>
          <w:rFonts w:ascii="Calibri" w:eastAsia="Times New Roman" w:hAnsi="Calibri" w:cs="Calibri"/>
          <w:color w:val="000000"/>
          <w:lang w:val="en-GB" w:eastAsia="en-GB"/>
        </w:rPr>
        <w:t>e/yr.</w:t>
      </w:r>
      <w:r w:rsidR="004A3065">
        <w:rPr>
          <w:rFonts w:ascii="Calibri" w:eastAsia="Times New Roman" w:hAnsi="Calibri" w:cs="Calibri"/>
          <w:color w:val="000000"/>
          <w:lang w:val="en-GB" w:eastAsia="en-GB"/>
        </w:rPr>
        <w:t xml:space="preserve"> </w:t>
      </w:r>
      <w:r w:rsidR="00ED168A">
        <w:rPr>
          <w:rFonts w:ascii="Calibri" w:eastAsia="Times New Roman" w:hAnsi="Calibri" w:cs="Calibri"/>
          <w:color w:val="000000"/>
          <w:lang w:val="en-GB" w:eastAsia="en-GB"/>
        </w:rPr>
        <w:t>S</w:t>
      </w:r>
      <w:r w:rsidR="004A3065">
        <w:rPr>
          <w:rFonts w:ascii="Calibri" w:eastAsia="Times New Roman" w:hAnsi="Calibri" w:cs="Calibri"/>
          <w:color w:val="000000"/>
          <w:lang w:val="en-GB" w:eastAsia="en-GB"/>
        </w:rPr>
        <w:t xml:space="preserve">cenarios </w:t>
      </w:r>
      <w:r w:rsidR="00ED168A">
        <w:rPr>
          <w:rFonts w:ascii="Calibri" w:eastAsia="Times New Roman" w:hAnsi="Calibri" w:cs="Calibri"/>
          <w:color w:val="000000"/>
          <w:lang w:val="en-GB" w:eastAsia="en-GB"/>
        </w:rPr>
        <w:t xml:space="preserve">also </w:t>
      </w:r>
      <w:r w:rsidR="004A3065">
        <w:rPr>
          <w:rFonts w:ascii="Calibri" w:eastAsia="Times New Roman" w:hAnsi="Calibri" w:cs="Calibri"/>
          <w:color w:val="000000"/>
          <w:lang w:val="en-GB" w:eastAsia="en-GB"/>
        </w:rPr>
        <w:t xml:space="preserve">sustain residual F-gases of </w:t>
      </w:r>
      <w:r w:rsidR="004A3065" w:rsidRPr="004A3065">
        <w:rPr>
          <w:rFonts w:ascii="Calibri" w:eastAsia="Times New Roman" w:hAnsi="Calibri" w:cs="Calibri"/>
          <w:color w:val="000000"/>
          <w:lang w:val="en-GB" w:eastAsia="en-GB"/>
        </w:rPr>
        <w:t>0.24 [0.17-1.1]</w:t>
      </w:r>
      <w:r w:rsidR="004A3065">
        <w:rPr>
          <w:rFonts w:ascii="Calibri" w:eastAsia="Times New Roman" w:hAnsi="Calibri" w:cs="Calibri"/>
          <w:color w:val="000000"/>
          <w:lang w:val="en-GB" w:eastAsia="en-GB"/>
        </w:rPr>
        <w:t xml:space="preserve"> GtCO</w:t>
      </w:r>
      <w:r w:rsidR="00ED168A" w:rsidRPr="004A3065">
        <w:rPr>
          <w:vertAlign w:val="subscript"/>
          <w:lang w:val="en-GB"/>
        </w:rPr>
        <w:t>2</w:t>
      </w:r>
      <w:r w:rsidR="004A3065">
        <w:rPr>
          <w:rFonts w:ascii="Calibri" w:eastAsia="Times New Roman" w:hAnsi="Calibri" w:cs="Calibri"/>
          <w:color w:val="000000"/>
          <w:lang w:val="en-GB" w:eastAsia="en-GB"/>
        </w:rPr>
        <w:t>e/</w:t>
      </w:r>
      <w:proofErr w:type="spellStart"/>
      <w:r w:rsidR="004A3065">
        <w:rPr>
          <w:rFonts w:ascii="Calibri" w:eastAsia="Times New Roman" w:hAnsi="Calibri" w:cs="Calibri"/>
          <w:color w:val="000000"/>
          <w:lang w:val="en-GB" w:eastAsia="en-GB"/>
        </w:rPr>
        <w:t>yr</w:t>
      </w:r>
      <w:proofErr w:type="spellEnd"/>
      <w:r w:rsidR="00ED168A">
        <w:rPr>
          <w:rFonts w:ascii="Calibri" w:eastAsia="Times New Roman" w:hAnsi="Calibri" w:cs="Calibri"/>
          <w:color w:val="000000"/>
          <w:lang w:val="en-GB" w:eastAsia="en-GB"/>
        </w:rPr>
        <w:t xml:space="preserve">, however </w:t>
      </w:r>
      <w:r w:rsidR="004A3065">
        <w:rPr>
          <w:rFonts w:ascii="Calibri" w:eastAsia="Times New Roman" w:hAnsi="Calibri" w:cs="Calibri"/>
          <w:color w:val="000000"/>
          <w:lang w:val="en-GB" w:eastAsia="en-GB"/>
        </w:rPr>
        <w:t>unabated F-gases are more prevalent in the MESSAGE model at around 1</w:t>
      </w:r>
      <w:r w:rsidR="004A3065" w:rsidRPr="004A3065">
        <w:rPr>
          <w:rFonts w:ascii="Calibri" w:eastAsia="Times New Roman" w:hAnsi="Calibri" w:cs="Calibri"/>
          <w:color w:val="000000"/>
          <w:lang w:val="en-GB" w:eastAsia="en-GB"/>
        </w:rPr>
        <w:t xml:space="preserve"> </w:t>
      </w:r>
      <w:r w:rsidR="004A3065">
        <w:rPr>
          <w:rFonts w:ascii="Calibri" w:eastAsia="Times New Roman" w:hAnsi="Calibri" w:cs="Calibri"/>
          <w:color w:val="000000"/>
          <w:lang w:val="en-GB" w:eastAsia="en-GB"/>
        </w:rPr>
        <w:t>GtCO</w:t>
      </w:r>
      <w:r w:rsidR="00ED168A" w:rsidRPr="004A3065">
        <w:rPr>
          <w:vertAlign w:val="subscript"/>
          <w:lang w:val="en-GB"/>
        </w:rPr>
        <w:t>2</w:t>
      </w:r>
      <w:r w:rsidR="004A3065">
        <w:rPr>
          <w:rFonts w:ascii="Calibri" w:eastAsia="Times New Roman" w:hAnsi="Calibri" w:cs="Calibri"/>
          <w:color w:val="000000"/>
          <w:lang w:val="en-GB" w:eastAsia="en-GB"/>
        </w:rPr>
        <w:t>e/</w:t>
      </w:r>
      <w:proofErr w:type="spellStart"/>
      <w:r w:rsidR="004A3065">
        <w:rPr>
          <w:rFonts w:ascii="Calibri" w:eastAsia="Times New Roman" w:hAnsi="Calibri" w:cs="Calibri"/>
          <w:color w:val="000000"/>
          <w:lang w:val="en-GB" w:eastAsia="en-GB"/>
        </w:rPr>
        <w:t>yr</w:t>
      </w:r>
      <w:proofErr w:type="spellEnd"/>
      <w:r w:rsidR="004A3065">
        <w:rPr>
          <w:rFonts w:ascii="Calibri" w:eastAsia="Times New Roman" w:hAnsi="Calibri" w:cs="Calibri"/>
          <w:color w:val="000000"/>
          <w:lang w:val="en-GB" w:eastAsia="en-GB"/>
        </w:rPr>
        <w:t xml:space="preserve"> </w:t>
      </w:r>
      <w:r w:rsidR="00ED168A">
        <w:rPr>
          <w:rFonts w:ascii="Calibri" w:eastAsia="Times New Roman" w:hAnsi="Calibri" w:cs="Calibri"/>
          <w:color w:val="000000"/>
          <w:lang w:val="en-GB" w:eastAsia="en-GB"/>
        </w:rPr>
        <w:t>(</w:t>
      </w:r>
      <w:r w:rsidR="00ED168A" w:rsidRPr="00ED168A">
        <w:rPr>
          <w:rFonts w:ascii="Calibri" w:eastAsia="Times New Roman" w:hAnsi="Calibri" w:cs="Calibri"/>
          <w:color w:val="000000"/>
          <w:lang w:val="en-GB" w:eastAsia="en-GB"/>
        </w:rPr>
        <w:fldChar w:fldCharType="begin"/>
      </w:r>
      <w:r w:rsidR="00ED168A" w:rsidRPr="00ED168A">
        <w:rPr>
          <w:rFonts w:ascii="Calibri" w:eastAsia="Times New Roman" w:hAnsi="Calibri" w:cs="Calibri"/>
          <w:color w:val="000000"/>
          <w:lang w:val="en-GB" w:eastAsia="en-GB"/>
        </w:rPr>
        <w:instrText xml:space="preserve"> REF _Ref143775054 \h  \* MERGEFORMAT </w:instrText>
      </w:r>
      <w:r w:rsidR="00ED168A" w:rsidRPr="00ED168A">
        <w:rPr>
          <w:rFonts w:ascii="Calibri" w:eastAsia="Times New Roman" w:hAnsi="Calibri" w:cs="Calibri"/>
          <w:color w:val="000000"/>
          <w:lang w:val="en-GB" w:eastAsia="en-GB"/>
        </w:rPr>
      </w:r>
      <w:r w:rsidR="00ED168A" w:rsidRPr="00ED168A">
        <w:rPr>
          <w:rFonts w:ascii="Calibri" w:eastAsia="Times New Roman" w:hAnsi="Calibri" w:cs="Calibri"/>
          <w:color w:val="000000"/>
          <w:lang w:val="en-GB" w:eastAsia="en-GB"/>
        </w:rPr>
        <w:fldChar w:fldCharType="separate"/>
      </w:r>
      <w:r w:rsidR="00ED168A" w:rsidRPr="00ED168A">
        <w:rPr>
          <w:color w:val="000000" w:themeColor="text1"/>
          <w:lang w:val="en-GB"/>
        </w:rPr>
        <w:t>Figure 2</w:t>
      </w:r>
      <w:r w:rsidR="00ED168A" w:rsidRPr="00ED168A">
        <w:rPr>
          <w:rFonts w:ascii="Calibri" w:eastAsia="Times New Roman" w:hAnsi="Calibri" w:cs="Calibri"/>
          <w:color w:val="000000"/>
          <w:lang w:val="en-GB" w:eastAsia="en-GB"/>
        </w:rPr>
        <w:fldChar w:fldCharType="end"/>
      </w:r>
      <w:r w:rsidR="00587417">
        <w:rPr>
          <w:rFonts w:ascii="Calibri" w:eastAsia="Times New Roman" w:hAnsi="Calibri" w:cs="Calibri"/>
          <w:color w:val="000000"/>
          <w:lang w:val="en-GB" w:eastAsia="en-GB"/>
        </w:rPr>
        <w:t>a</w:t>
      </w:r>
      <w:r>
        <w:rPr>
          <w:rFonts w:ascii="Calibri" w:eastAsia="Times New Roman" w:hAnsi="Calibri" w:cs="Calibri"/>
          <w:color w:val="000000"/>
          <w:lang w:val="en-GB" w:eastAsia="en-GB"/>
        </w:rPr>
        <w:t>).</w:t>
      </w:r>
      <w:r w:rsidR="00C7484F">
        <w:rPr>
          <w:rFonts w:ascii="Calibri" w:eastAsia="Times New Roman" w:hAnsi="Calibri" w:cs="Calibri"/>
          <w:color w:val="000000"/>
          <w:lang w:val="en-GB" w:eastAsia="en-GB"/>
        </w:rPr>
        <w:t xml:space="preserve"> As shown previously, there is significantly more variation in residual CO</w:t>
      </w:r>
      <w:r w:rsidR="00C7484F" w:rsidRPr="00C7484F">
        <w:rPr>
          <w:rFonts w:ascii="Calibri" w:eastAsia="Times New Roman" w:hAnsi="Calibri" w:cs="Calibri"/>
          <w:color w:val="000000"/>
          <w:vertAlign w:val="subscript"/>
          <w:lang w:val="en-GB" w:eastAsia="en-GB"/>
        </w:rPr>
        <w:t>2</w:t>
      </w:r>
      <w:r w:rsidR="00C7484F">
        <w:rPr>
          <w:rFonts w:ascii="Calibri" w:eastAsia="Times New Roman" w:hAnsi="Calibri" w:cs="Calibri"/>
          <w:color w:val="000000"/>
          <w:lang w:val="en-GB" w:eastAsia="en-GB"/>
        </w:rPr>
        <w:t xml:space="preserve"> emissions at net zero compared to </w:t>
      </w:r>
      <w:r w:rsidR="00156B31">
        <w:rPr>
          <w:lang w:val="en-GB"/>
        </w:rPr>
        <w:t>CH</w:t>
      </w:r>
      <w:r w:rsidR="00156B31" w:rsidRPr="00ED168A">
        <w:rPr>
          <w:vertAlign w:val="subscript"/>
          <w:lang w:val="en-GB"/>
        </w:rPr>
        <w:t>4</w:t>
      </w:r>
      <w:r w:rsidR="00156B31">
        <w:rPr>
          <w:lang w:val="en-GB"/>
        </w:rPr>
        <w:t xml:space="preserve"> and N</w:t>
      </w:r>
      <w:r w:rsidR="00156B31" w:rsidRPr="00B629C7">
        <w:rPr>
          <w:vertAlign w:val="subscript"/>
          <w:lang w:val="en-GB"/>
        </w:rPr>
        <w:t>2</w:t>
      </w:r>
      <w:r w:rsidR="00156B31">
        <w:rPr>
          <w:lang w:val="en-GB"/>
        </w:rPr>
        <w:t xml:space="preserve">O </w:t>
      </w:r>
      <w:r w:rsidR="00C7484F">
        <w:rPr>
          <w:rFonts w:ascii="Calibri" w:eastAsia="Times New Roman" w:hAnsi="Calibri" w:cs="Calibri"/>
          <w:color w:val="000000"/>
          <w:lang w:val="en-GB" w:eastAsia="en-GB"/>
        </w:rPr>
        <w:t xml:space="preserve">(Table 2; </w:t>
      </w:r>
      <w:r w:rsidR="00C7484F" w:rsidRPr="00ED168A">
        <w:rPr>
          <w:rFonts w:ascii="Calibri" w:eastAsia="Times New Roman" w:hAnsi="Calibri" w:cs="Calibri"/>
          <w:color w:val="000000"/>
          <w:lang w:val="en-GB" w:eastAsia="en-GB"/>
        </w:rPr>
        <w:fldChar w:fldCharType="begin"/>
      </w:r>
      <w:r w:rsidR="00C7484F" w:rsidRPr="00ED168A">
        <w:rPr>
          <w:rFonts w:ascii="Calibri" w:eastAsia="Times New Roman" w:hAnsi="Calibri" w:cs="Calibri"/>
          <w:color w:val="000000"/>
          <w:lang w:val="en-GB" w:eastAsia="en-GB"/>
        </w:rPr>
        <w:instrText xml:space="preserve"> REF _Ref143775054 \h  \* MERGEFORMAT </w:instrText>
      </w:r>
      <w:r w:rsidR="00C7484F" w:rsidRPr="00ED168A">
        <w:rPr>
          <w:rFonts w:ascii="Calibri" w:eastAsia="Times New Roman" w:hAnsi="Calibri" w:cs="Calibri"/>
          <w:color w:val="000000"/>
          <w:lang w:val="en-GB" w:eastAsia="en-GB"/>
        </w:rPr>
      </w:r>
      <w:r w:rsidR="00C7484F" w:rsidRPr="00ED168A">
        <w:rPr>
          <w:rFonts w:ascii="Calibri" w:eastAsia="Times New Roman" w:hAnsi="Calibri" w:cs="Calibri"/>
          <w:color w:val="000000"/>
          <w:lang w:val="en-GB" w:eastAsia="en-GB"/>
        </w:rPr>
        <w:fldChar w:fldCharType="separate"/>
      </w:r>
      <w:r w:rsidR="00C7484F" w:rsidRPr="00ED168A">
        <w:rPr>
          <w:color w:val="000000" w:themeColor="text1"/>
          <w:lang w:val="en-GB"/>
        </w:rPr>
        <w:t>Figure 2</w:t>
      </w:r>
      <w:r w:rsidR="00C7484F" w:rsidRPr="00ED168A">
        <w:rPr>
          <w:rFonts w:ascii="Calibri" w:eastAsia="Times New Roman" w:hAnsi="Calibri" w:cs="Calibri"/>
          <w:color w:val="000000"/>
          <w:lang w:val="en-GB" w:eastAsia="en-GB"/>
        </w:rPr>
        <w:fldChar w:fldCharType="end"/>
      </w:r>
      <w:r w:rsidR="00C7484F">
        <w:rPr>
          <w:rFonts w:ascii="Calibri" w:eastAsia="Times New Roman" w:hAnsi="Calibri" w:cs="Calibri"/>
          <w:color w:val="000000"/>
          <w:lang w:val="en-GB" w:eastAsia="en-GB"/>
        </w:rPr>
        <w:t>a).</w:t>
      </w:r>
    </w:p>
    <w:p w14:paraId="1EB01FD3" w14:textId="261D2152" w:rsidR="00B629C7" w:rsidRPr="00A51D7F" w:rsidRDefault="00156B31" w:rsidP="00B629C7">
      <w:pPr>
        <w:rPr>
          <w:rFonts w:ascii="Calibri" w:eastAsia="Times New Roman" w:hAnsi="Calibri" w:cs="Calibri"/>
          <w:color w:val="000000"/>
          <w:lang w:val="en-GB" w:eastAsia="en-GB"/>
        </w:rPr>
      </w:pPr>
      <w:r>
        <w:rPr>
          <w:lang w:val="en-GB"/>
        </w:rPr>
        <w:t>Total r</w:t>
      </w:r>
      <w:r w:rsidR="00B629C7">
        <w:rPr>
          <w:lang w:val="en-GB"/>
        </w:rPr>
        <w:t xml:space="preserve">esidual GHG emissions are primarily situated in the Energy and AFOLU sectors </w:t>
      </w:r>
      <w:r w:rsidR="00B629C7">
        <w:rPr>
          <w:rFonts w:ascii="Calibri" w:eastAsia="Times New Roman" w:hAnsi="Calibri" w:cs="Calibri"/>
          <w:color w:val="000000"/>
          <w:lang w:val="en-GB" w:eastAsia="en-GB"/>
        </w:rPr>
        <w:t>(</w:t>
      </w:r>
      <w:r w:rsidR="00B629C7" w:rsidRPr="00ED168A">
        <w:rPr>
          <w:rFonts w:ascii="Calibri" w:eastAsia="Times New Roman" w:hAnsi="Calibri" w:cs="Calibri"/>
          <w:color w:val="000000"/>
          <w:lang w:val="en-GB" w:eastAsia="en-GB"/>
        </w:rPr>
        <w:fldChar w:fldCharType="begin"/>
      </w:r>
      <w:r w:rsidR="00B629C7" w:rsidRPr="00ED168A">
        <w:rPr>
          <w:rFonts w:ascii="Calibri" w:eastAsia="Times New Roman" w:hAnsi="Calibri" w:cs="Calibri"/>
          <w:color w:val="000000"/>
          <w:lang w:val="en-GB" w:eastAsia="en-GB"/>
        </w:rPr>
        <w:instrText xml:space="preserve"> REF _Ref143775054 \h  \* MERGEFORMAT </w:instrText>
      </w:r>
      <w:r w:rsidR="00B629C7" w:rsidRPr="00ED168A">
        <w:rPr>
          <w:rFonts w:ascii="Calibri" w:eastAsia="Times New Roman" w:hAnsi="Calibri" w:cs="Calibri"/>
          <w:color w:val="000000"/>
          <w:lang w:val="en-GB" w:eastAsia="en-GB"/>
        </w:rPr>
      </w:r>
      <w:r w:rsidR="00B629C7" w:rsidRPr="00ED168A">
        <w:rPr>
          <w:rFonts w:ascii="Calibri" w:eastAsia="Times New Roman" w:hAnsi="Calibri" w:cs="Calibri"/>
          <w:color w:val="000000"/>
          <w:lang w:val="en-GB" w:eastAsia="en-GB"/>
        </w:rPr>
        <w:fldChar w:fldCharType="separate"/>
      </w:r>
      <w:r w:rsidR="00B629C7" w:rsidRPr="00ED168A">
        <w:rPr>
          <w:color w:val="000000" w:themeColor="text1"/>
          <w:lang w:val="en-GB"/>
        </w:rPr>
        <w:t>Figure 2</w:t>
      </w:r>
      <w:r w:rsidR="00B629C7" w:rsidRPr="00ED168A">
        <w:rPr>
          <w:rFonts w:ascii="Calibri" w:eastAsia="Times New Roman" w:hAnsi="Calibri" w:cs="Calibri"/>
          <w:color w:val="000000"/>
          <w:lang w:val="en-GB" w:eastAsia="en-GB"/>
        </w:rPr>
        <w:fldChar w:fldCharType="end"/>
      </w:r>
      <w:r w:rsidR="00B629C7">
        <w:rPr>
          <w:rFonts w:ascii="Calibri" w:eastAsia="Times New Roman" w:hAnsi="Calibri" w:cs="Calibri"/>
          <w:color w:val="000000"/>
          <w:lang w:val="en-GB" w:eastAsia="en-GB"/>
        </w:rPr>
        <w:t>b)</w:t>
      </w:r>
      <w:r w:rsidR="00B629C7">
        <w:rPr>
          <w:lang w:val="en-GB"/>
        </w:rPr>
        <w:t xml:space="preserve">. Across the ensemble, these account for emissions of </w:t>
      </w:r>
      <w:r w:rsidR="00B629C7" w:rsidRPr="00A51D7F">
        <w:rPr>
          <w:rFonts w:ascii="Calibri" w:eastAsia="Times New Roman" w:hAnsi="Calibri" w:cs="Calibri"/>
          <w:color w:val="000000"/>
          <w:lang w:val="en-GB" w:eastAsia="en-GB"/>
        </w:rPr>
        <w:t>7 [4.9-11]</w:t>
      </w:r>
      <w:r w:rsidR="00B629C7">
        <w:rPr>
          <w:rFonts w:ascii="Calibri" w:eastAsia="Times New Roman" w:hAnsi="Calibri" w:cs="Calibri"/>
          <w:color w:val="000000"/>
          <w:lang w:val="en-GB" w:eastAsia="en-GB"/>
        </w:rPr>
        <w:t xml:space="preserve"> GtCO</w:t>
      </w:r>
      <w:r w:rsidR="00B629C7" w:rsidRPr="00587417">
        <w:rPr>
          <w:rFonts w:ascii="Calibri" w:eastAsia="Times New Roman" w:hAnsi="Calibri" w:cs="Calibri"/>
          <w:color w:val="000000"/>
          <w:vertAlign w:val="subscript"/>
          <w:lang w:val="en-GB" w:eastAsia="en-GB"/>
        </w:rPr>
        <w:t>2</w:t>
      </w:r>
      <w:r w:rsidR="00B629C7">
        <w:rPr>
          <w:rFonts w:ascii="Calibri" w:eastAsia="Times New Roman" w:hAnsi="Calibri" w:cs="Calibri"/>
          <w:color w:val="000000"/>
          <w:lang w:val="en-GB" w:eastAsia="en-GB"/>
        </w:rPr>
        <w:t>e/</w:t>
      </w:r>
      <w:proofErr w:type="spellStart"/>
      <w:r w:rsidR="00B629C7">
        <w:rPr>
          <w:rFonts w:ascii="Calibri" w:eastAsia="Times New Roman" w:hAnsi="Calibri" w:cs="Calibri"/>
          <w:color w:val="000000"/>
          <w:lang w:val="en-GB" w:eastAsia="en-GB"/>
        </w:rPr>
        <w:t>yr</w:t>
      </w:r>
      <w:proofErr w:type="spellEnd"/>
      <w:r w:rsidR="00B629C7">
        <w:rPr>
          <w:rFonts w:ascii="Calibri" w:eastAsia="Times New Roman" w:hAnsi="Calibri" w:cs="Calibri"/>
          <w:color w:val="000000"/>
          <w:lang w:val="en-GB" w:eastAsia="en-GB"/>
        </w:rPr>
        <w:t xml:space="preserve"> and </w:t>
      </w:r>
      <w:r w:rsidR="00B629C7" w:rsidRPr="00A51D7F">
        <w:rPr>
          <w:rFonts w:ascii="Calibri" w:eastAsia="Times New Roman" w:hAnsi="Calibri" w:cs="Calibri"/>
          <w:color w:val="000000"/>
          <w:lang w:val="en-GB" w:eastAsia="en-GB"/>
        </w:rPr>
        <w:t>5.7 [4.8-8.6]</w:t>
      </w:r>
      <w:r w:rsidR="00B629C7">
        <w:rPr>
          <w:rFonts w:ascii="Calibri" w:eastAsia="Times New Roman" w:hAnsi="Calibri" w:cs="Calibri"/>
          <w:color w:val="000000"/>
          <w:lang w:val="en-GB" w:eastAsia="en-GB"/>
        </w:rPr>
        <w:t xml:space="preserve"> GtCO</w:t>
      </w:r>
      <w:r w:rsidR="00B629C7" w:rsidRPr="00587417">
        <w:rPr>
          <w:rFonts w:ascii="Calibri" w:eastAsia="Times New Roman" w:hAnsi="Calibri" w:cs="Calibri"/>
          <w:color w:val="000000"/>
          <w:vertAlign w:val="subscript"/>
          <w:lang w:val="en-GB" w:eastAsia="en-GB"/>
        </w:rPr>
        <w:t>2</w:t>
      </w:r>
      <w:r w:rsidR="00B629C7">
        <w:rPr>
          <w:rFonts w:ascii="Calibri" w:eastAsia="Times New Roman" w:hAnsi="Calibri" w:cs="Calibri"/>
          <w:color w:val="000000"/>
          <w:lang w:val="en-GB" w:eastAsia="en-GB"/>
        </w:rPr>
        <w:t>e/</w:t>
      </w:r>
      <w:proofErr w:type="spellStart"/>
      <w:r w:rsidR="00B629C7">
        <w:rPr>
          <w:rFonts w:ascii="Calibri" w:eastAsia="Times New Roman" w:hAnsi="Calibri" w:cs="Calibri"/>
          <w:color w:val="000000"/>
          <w:lang w:val="en-GB" w:eastAsia="en-GB"/>
        </w:rPr>
        <w:t>yr</w:t>
      </w:r>
      <w:proofErr w:type="spellEnd"/>
      <w:r w:rsidR="00B629C7">
        <w:rPr>
          <w:rFonts w:ascii="Calibri" w:eastAsia="Times New Roman" w:hAnsi="Calibri" w:cs="Calibri"/>
          <w:color w:val="000000"/>
          <w:lang w:val="en-GB" w:eastAsia="en-GB"/>
        </w:rPr>
        <w:t xml:space="preserve">, respectively. Emissions from Industrial processes, F-gases and </w:t>
      </w:r>
      <w:r w:rsidR="001010E6">
        <w:rPr>
          <w:rFonts w:ascii="Calibri" w:eastAsia="Times New Roman" w:hAnsi="Calibri" w:cs="Calibri"/>
          <w:color w:val="000000"/>
          <w:lang w:val="en-GB" w:eastAsia="en-GB"/>
        </w:rPr>
        <w:t>o</w:t>
      </w:r>
      <w:r w:rsidR="00B629C7">
        <w:rPr>
          <w:rFonts w:ascii="Calibri" w:eastAsia="Times New Roman" w:hAnsi="Calibri" w:cs="Calibri"/>
          <w:color w:val="000000"/>
          <w:lang w:val="en-GB" w:eastAsia="en-GB"/>
        </w:rPr>
        <w:t xml:space="preserve">ther activities account for the remaining </w:t>
      </w:r>
      <w:r w:rsidR="00B629C7" w:rsidRPr="002C608B">
        <w:rPr>
          <w:rFonts w:ascii="Calibri" w:eastAsia="Times New Roman" w:hAnsi="Calibri" w:cs="Calibri"/>
          <w:color w:val="000000"/>
          <w:lang w:val="en-GB" w:eastAsia="en-GB"/>
        </w:rPr>
        <w:t>3.4 [2-4.1]</w:t>
      </w:r>
      <w:r w:rsidR="00B629C7">
        <w:rPr>
          <w:rFonts w:ascii="Calibri" w:eastAsia="Times New Roman" w:hAnsi="Calibri" w:cs="Calibri"/>
          <w:color w:val="000000"/>
          <w:lang w:val="en-GB" w:eastAsia="en-GB"/>
        </w:rPr>
        <w:t xml:space="preserve"> </w:t>
      </w:r>
      <w:r w:rsidR="00B629C7" w:rsidRPr="002C608B">
        <w:rPr>
          <w:rFonts w:ascii="Calibri" w:eastAsia="Times New Roman" w:hAnsi="Calibri" w:cs="Calibri"/>
          <w:color w:val="000000"/>
          <w:lang w:val="en-GB" w:eastAsia="en-GB"/>
        </w:rPr>
        <w:t>GtCO2e/yr</w:t>
      </w:r>
      <w:r w:rsidR="00B629C7">
        <w:rPr>
          <w:rFonts w:ascii="Calibri" w:eastAsia="Times New Roman" w:hAnsi="Calibri" w:cs="Calibri"/>
          <w:color w:val="000000"/>
          <w:lang w:val="en-GB" w:eastAsia="en-GB"/>
        </w:rPr>
        <w:t xml:space="preserve">. </w:t>
      </w:r>
      <w:r w:rsidR="00F319CF">
        <w:rPr>
          <w:rFonts w:ascii="Calibri" w:eastAsia="Times New Roman" w:hAnsi="Calibri" w:cs="Calibri"/>
          <w:color w:val="000000"/>
          <w:lang w:val="en-GB" w:eastAsia="en-GB"/>
        </w:rPr>
        <w:t>However, there are some differences</w:t>
      </w:r>
      <w:r w:rsidR="00B629C7">
        <w:rPr>
          <w:rFonts w:ascii="Calibri" w:eastAsia="Times New Roman" w:hAnsi="Calibri" w:cs="Calibri"/>
          <w:color w:val="000000"/>
          <w:lang w:val="en-GB" w:eastAsia="en-GB"/>
        </w:rPr>
        <w:t xml:space="preserve"> across scenarios, mainly driven by the model type: IMAGE reports relatively higher Energy and Other emissions compared to the median,</w:t>
      </w:r>
      <w:r w:rsidR="00C7484F">
        <w:rPr>
          <w:rFonts w:ascii="Calibri" w:eastAsia="Times New Roman" w:hAnsi="Calibri" w:cs="Calibri"/>
          <w:color w:val="000000"/>
          <w:lang w:val="en-GB" w:eastAsia="en-GB"/>
        </w:rPr>
        <w:t xml:space="preserve"> while</w:t>
      </w:r>
      <w:r w:rsidR="00B629C7">
        <w:rPr>
          <w:rFonts w:ascii="Calibri" w:eastAsia="Times New Roman" w:hAnsi="Calibri" w:cs="Calibri"/>
          <w:color w:val="000000"/>
          <w:lang w:val="en-GB" w:eastAsia="en-GB"/>
        </w:rPr>
        <w:t xml:space="preserve"> IMAGE and REMIND report relatively higher AFOLU emissions (</w:t>
      </w:r>
      <w:r w:rsidR="00B629C7" w:rsidRPr="00ED168A">
        <w:rPr>
          <w:rFonts w:ascii="Calibri" w:eastAsia="Times New Roman" w:hAnsi="Calibri" w:cs="Calibri"/>
          <w:color w:val="000000"/>
          <w:lang w:val="en-GB" w:eastAsia="en-GB"/>
        </w:rPr>
        <w:fldChar w:fldCharType="begin"/>
      </w:r>
      <w:r w:rsidR="00B629C7" w:rsidRPr="00ED168A">
        <w:rPr>
          <w:rFonts w:ascii="Calibri" w:eastAsia="Times New Roman" w:hAnsi="Calibri" w:cs="Calibri"/>
          <w:color w:val="000000"/>
          <w:lang w:val="en-GB" w:eastAsia="en-GB"/>
        </w:rPr>
        <w:instrText xml:space="preserve"> REF _Ref143775054 \h  \* MERGEFORMAT </w:instrText>
      </w:r>
      <w:r w:rsidR="00B629C7" w:rsidRPr="00ED168A">
        <w:rPr>
          <w:rFonts w:ascii="Calibri" w:eastAsia="Times New Roman" w:hAnsi="Calibri" w:cs="Calibri"/>
          <w:color w:val="000000"/>
          <w:lang w:val="en-GB" w:eastAsia="en-GB"/>
        </w:rPr>
      </w:r>
      <w:r w:rsidR="00B629C7" w:rsidRPr="00ED168A">
        <w:rPr>
          <w:rFonts w:ascii="Calibri" w:eastAsia="Times New Roman" w:hAnsi="Calibri" w:cs="Calibri"/>
          <w:color w:val="000000"/>
          <w:lang w:val="en-GB" w:eastAsia="en-GB"/>
        </w:rPr>
        <w:fldChar w:fldCharType="separate"/>
      </w:r>
      <w:r w:rsidR="00B629C7" w:rsidRPr="00ED168A">
        <w:rPr>
          <w:color w:val="000000" w:themeColor="text1"/>
          <w:lang w:val="en-GB"/>
        </w:rPr>
        <w:t>Figure 2</w:t>
      </w:r>
      <w:r w:rsidR="00B629C7" w:rsidRPr="00ED168A">
        <w:rPr>
          <w:rFonts w:ascii="Calibri" w:eastAsia="Times New Roman" w:hAnsi="Calibri" w:cs="Calibri"/>
          <w:color w:val="000000"/>
          <w:lang w:val="en-GB" w:eastAsia="en-GB"/>
        </w:rPr>
        <w:fldChar w:fldCharType="end"/>
      </w:r>
      <w:r w:rsidR="00B629C7">
        <w:rPr>
          <w:rFonts w:ascii="Calibri" w:eastAsia="Times New Roman" w:hAnsi="Calibri" w:cs="Calibri"/>
          <w:color w:val="000000"/>
          <w:lang w:val="en-GB" w:eastAsia="en-GB"/>
        </w:rPr>
        <w:t>b).</w:t>
      </w:r>
    </w:p>
    <w:p w14:paraId="65C1A7EF" w14:textId="34642384" w:rsidR="00C7484F" w:rsidRDefault="00C7484F" w:rsidP="00B629C7">
      <w:pPr>
        <w:rPr>
          <w:rFonts w:ascii="Calibri" w:eastAsia="Times New Roman" w:hAnsi="Calibri" w:cs="Calibri"/>
          <w:color w:val="000000"/>
          <w:lang w:val="en-GB" w:eastAsia="en-GB"/>
        </w:rPr>
      </w:pPr>
      <w:r>
        <w:rPr>
          <w:lang w:val="en-GB"/>
        </w:rPr>
        <w:t>Although</w:t>
      </w:r>
      <w:r w:rsidR="00B629C7">
        <w:rPr>
          <w:lang w:val="en-GB"/>
        </w:rPr>
        <w:t xml:space="preserve"> all scenarios represent a deep transition of the global energy system away from fossil fuels, none complete this transition by the point of net zero (</w:t>
      </w:r>
      <w:r w:rsidR="00B629C7" w:rsidRPr="00816BBA">
        <w:rPr>
          <w:lang w:val="en-GB"/>
        </w:rPr>
        <w:fldChar w:fldCharType="begin"/>
      </w:r>
      <w:r w:rsidR="00B629C7" w:rsidRPr="00816BBA">
        <w:rPr>
          <w:lang w:val="en-GB"/>
        </w:rPr>
        <w:instrText xml:space="preserve"> REF _Ref143775054 \h  \* MERGEFORMAT </w:instrText>
      </w:r>
      <w:r w:rsidR="00B629C7" w:rsidRPr="00816BBA">
        <w:rPr>
          <w:lang w:val="en-GB"/>
        </w:rPr>
      </w:r>
      <w:r w:rsidR="00B629C7" w:rsidRPr="00816BBA">
        <w:rPr>
          <w:lang w:val="en-GB"/>
        </w:rPr>
        <w:fldChar w:fldCharType="separate"/>
      </w:r>
      <w:r w:rsidR="00B629C7" w:rsidRPr="00816BBA">
        <w:rPr>
          <w:color w:val="000000" w:themeColor="text1"/>
          <w:lang w:val="en-GB"/>
        </w:rPr>
        <w:t>Figure 2</w:t>
      </w:r>
      <w:r w:rsidR="00B629C7" w:rsidRPr="00816BBA">
        <w:rPr>
          <w:lang w:val="en-GB"/>
        </w:rPr>
        <w:fldChar w:fldCharType="end"/>
      </w:r>
      <w:r w:rsidR="00B629C7" w:rsidRPr="00816BBA">
        <w:rPr>
          <w:lang w:val="en-GB"/>
        </w:rPr>
        <w:t>c</w:t>
      </w:r>
      <w:r w:rsidR="00B629C7">
        <w:rPr>
          <w:lang w:val="en-GB"/>
        </w:rPr>
        <w:t xml:space="preserve">). Unabated fossil fuel use in primary energy supply stands at </w:t>
      </w:r>
      <w:r w:rsidR="00B629C7" w:rsidRPr="00816BBA">
        <w:rPr>
          <w:rFonts w:ascii="Calibri" w:eastAsia="Times New Roman" w:hAnsi="Calibri" w:cs="Calibri"/>
          <w:color w:val="000000"/>
          <w:lang w:val="en-GB" w:eastAsia="en-GB"/>
        </w:rPr>
        <w:t>110 [74-190]</w:t>
      </w:r>
      <w:r w:rsidR="00B629C7">
        <w:rPr>
          <w:rFonts w:ascii="Calibri" w:eastAsia="Times New Roman" w:hAnsi="Calibri" w:cs="Calibri"/>
          <w:color w:val="000000"/>
          <w:lang w:val="en-GB" w:eastAsia="en-GB"/>
        </w:rPr>
        <w:t xml:space="preserve"> EJ</w:t>
      </w:r>
      <w:r w:rsidR="00156B31">
        <w:rPr>
          <w:rFonts w:ascii="Calibri" w:eastAsia="Times New Roman" w:hAnsi="Calibri" w:cs="Calibri"/>
          <w:color w:val="000000"/>
          <w:lang w:val="en-GB" w:eastAsia="en-GB"/>
        </w:rPr>
        <w:t xml:space="preserve"> across the ensemble</w:t>
      </w:r>
      <w:r w:rsidR="00B629C7">
        <w:rPr>
          <w:rFonts w:ascii="Calibri" w:eastAsia="Times New Roman" w:hAnsi="Calibri" w:cs="Calibri"/>
          <w:color w:val="000000"/>
          <w:lang w:val="en-GB" w:eastAsia="en-GB"/>
        </w:rPr>
        <w:t>: approximately 1/6</w:t>
      </w:r>
      <w:r w:rsidR="00B629C7" w:rsidRPr="00816BBA">
        <w:rPr>
          <w:rFonts w:ascii="Calibri" w:eastAsia="Times New Roman" w:hAnsi="Calibri" w:cs="Calibri"/>
          <w:color w:val="000000"/>
          <w:vertAlign w:val="superscript"/>
          <w:lang w:val="en-GB" w:eastAsia="en-GB"/>
        </w:rPr>
        <w:t>th</w:t>
      </w:r>
      <w:r w:rsidR="00B629C7">
        <w:rPr>
          <w:rFonts w:ascii="Calibri" w:eastAsia="Times New Roman" w:hAnsi="Calibri" w:cs="Calibri"/>
          <w:color w:val="000000"/>
          <w:lang w:val="en-GB" w:eastAsia="en-GB"/>
        </w:rPr>
        <w:t xml:space="preserve"> of the total (</w:t>
      </w:r>
      <w:r w:rsidR="00B629C7" w:rsidRPr="00816BBA">
        <w:rPr>
          <w:rFonts w:ascii="Calibri" w:eastAsia="Times New Roman" w:hAnsi="Calibri" w:cs="Calibri"/>
          <w:color w:val="000000"/>
          <w:lang w:val="en-GB" w:eastAsia="en-GB"/>
        </w:rPr>
        <w:t>630 [480-780]</w:t>
      </w:r>
      <w:r w:rsidR="00B629C7">
        <w:rPr>
          <w:rFonts w:ascii="Calibri" w:eastAsia="Times New Roman" w:hAnsi="Calibri" w:cs="Calibri"/>
          <w:color w:val="000000"/>
          <w:lang w:val="en-GB" w:eastAsia="en-GB"/>
        </w:rPr>
        <w:t xml:space="preserve"> EJ)</w:t>
      </w:r>
      <w:r w:rsidR="00B01C30">
        <w:rPr>
          <w:rFonts w:ascii="Calibri" w:eastAsia="Times New Roman" w:hAnsi="Calibri" w:cs="Calibri"/>
          <w:color w:val="000000"/>
          <w:lang w:val="en-GB" w:eastAsia="en-GB"/>
        </w:rPr>
        <w:t xml:space="preserve">, with the remainder </w:t>
      </w:r>
      <w:r w:rsidR="00B629C7">
        <w:rPr>
          <w:rFonts w:ascii="Calibri" w:eastAsia="Times New Roman" w:hAnsi="Calibri" w:cs="Calibri"/>
          <w:color w:val="000000"/>
          <w:lang w:val="en-GB" w:eastAsia="en-GB"/>
        </w:rPr>
        <w:t xml:space="preserve">serviced by renewables, biomass and nuclear power </w:t>
      </w:r>
      <w:r w:rsidR="00B629C7">
        <w:rPr>
          <w:lang w:val="en-GB"/>
        </w:rPr>
        <w:t>(</w:t>
      </w:r>
      <w:r w:rsidR="00B629C7" w:rsidRPr="00816BBA">
        <w:rPr>
          <w:lang w:val="en-GB"/>
        </w:rPr>
        <w:fldChar w:fldCharType="begin"/>
      </w:r>
      <w:r w:rsidR="00B629C7" w:rsidRPr="00816BBA">
        <w:rPr>
          <w:lang w:val="en-GB"/>
        </w:rPr>
        <w:instrText xml:space="preserve"> REF _Ref143775054 \h  \* MERGEFORMAT </w:instrText>
      </w:r>
      <w:r w:rsidR="00B629C7" w:rsidRPr="00816BBA">
        <w:rPr>
          <w:lang w:val="en-GB"/>
        </w:rPr>
      </w:r>
      <w:r w:rsidR="00B629C7" w:rsidRPr="00816BBA">
        <w:rPr>
          <w:lang w:val="en-GB"/>
        </w:rPr>
        <w:fldChar w:fldCharType="separate"/>
      </w:r>
      <w:r w:rsidR="00B629C7" w:rsidRPr="00816BBA">
        <w:rPr>
          <w:color w:val="000000" w:themeColor="text1"/>
          <w:lang w:val="en-GB"/>
        </w:rPr>
        <w:t>Figure 2</w:t>
      </w:r>
      <w:r w:rsidR="00B629C7" w:rsidRPr="00816BBA">
        <w:rPr>
          <w:lang w:val="en-GB"/>
        </w:rPr>
        <w:fldChar w:fldCharType="end"/>
      </w:r>
      <w:r w:rsidR="00B629C7" w:rsidRPr="00816BBA">
        <w:rPr>
          <w:lang w:val="en-GB"/>
        </w:rPr>
        <w:t>c</w:t>
      </w:r>
      <w:r w:rsidR="00B629C7">
        <w:rPr>
          <w:lang w:val="en-GB"/>
        </w:rPr>
        <w:t>). However, models</w:t>
      </w:r>
      <w:r>
        <w:rPr>
          <w:lang w:val="en-GB"/>
        </w:rPr>
        <w:t xml:space="preserve"> significantly</w:t>
      </w:r>
      <w:r w:rsidR="00B629C7">
        <w:rPr>
          <w:lang w:val="en-GB"/>
        </w:rPr>
        <w:t xml:space="preserve"> differ in their outcomes. IMAGE deploys oil, gas or coal with CCS at levels far above the ensemble median: </w:t>
      </w:r>
      <w:r w:rsidR="00B01C30">
        <w:rPr>
          <w:lang w:val="en-GB"/>
        </w:rPr>
        <w:t xml:space="preserve">at </w:t>
      </w:r>
      <w:r w:rsidR="00B629C7" w:rsidRPr="00816BBA">
        <w:rPr>
          <w:rFonts w:ascii="Calibri" w:eastAsia="Times New Roman" w:hAnsi="Calibri" w:cs="Calibri"/>
          <w:color w:val="000000"/>
          <w:lang w:val="en-GB" w:eastAsia="en-GB"/>
        </w:rPr>
        <w:t>130 [76-170]</w:t>
      </w:r>
      <w:r w:rsidR="00B629C7">
        <w:rPr>
          <w:rFonts w:ascii="Calibri" w:eastAsia="Times New Roman" w:hAnsi="Calibri" w:cs="Calibri"/>
          <w:color w:val="000000"/>
          <w:lang w:val="en-GB" w:eastAsia="en-GB"/>
        </w:rPr>
        <w:t xml:space="preserve"> EJ/</w:t>
      </w:r>
      <w:proofErr w:type="spellStart"/>
      <w:r w:rsidR="00B629C7">
        <w:rPr>
          <w:rFonts w:ascii="Calibri" w:eastAsia="Times New Roman" w:hAnsi="Calibri" w:cs="Calibri"/>
          <w:color w:val="000000"/>
          <w:lang w:val="en-GB" w:eastAsia="en-GB"/>
        </w:rPr>
        <w:t>yr</w:t>
      </w:r>
      <w:proofErr w:type="spellEnd"/>
      <w:r w:rsidR="00B629C7">
        <w:rPr>
          <w:rFonts w:ascii="Calibri" w:eastAsia="Times New Roman" w:hAnsi="Calibri" w:cs="Calibri"/>
          <w:color w:val="000000"/>
          <w:lang w:val="en-GB" w:eastAsia="en-GB"/>
        </w:rPr>
        <w:t xml:space="preserve"> compared to</w:t>
      </w:r>
      <w:r w:rsidR="00B629C7">
        <w:rPr>
          <w:lang w:val="en-GB"/>
        </w:rPr>
        <w:t xml:space="preserve"> </w:t>
      </w:r>
      <w:r w:rsidR="00B629C7" w:rsidRPr="00816BBA">
        <w:rPr>
          <w:rFonts w:ascii="Calibri" w:eastAsia="Times New Roman" w:hAnsi="Calibri" w:cs="Calibri"/>
          <w:color w:val="000000"/>
          <w:lang w:val="en-GB" w:eastAsia="en-GB"/>
        </w:rPr>
        <w:t>39 [14-150]</w:t>
      </w:r>
      <w:r w:rsidR="00B629C7">
        <w:rPr>
          <w:rFonts w:ascii="Calibri" w:eastAsia="Times New Roman" w:hAnsi="Calibri" w:cs="Calibri"/>
          <w:color w:val="000000"/>
          <w:lang w:val="en-GB" w:eastAsia="en-GB"/>
        </w:rPr>
        <w:t xml:space="preserve"> EJ/yr. Conversely, MESSAGE tends towards a relatively deep phase down of unabated oil use at </w:t>
      </w:r>
      <w:r w:rsidR="00B629C7" w:rsidRPr="001340B2">
        <w:rPr>
          <w:rFonts w:ascii="Calibri" w:eastAsia="Times New Roman" w:hAnsi="Calibri" w:cs="Calibri"/>
          <w:color w:val="000000"/>
          <w:lang w:val="en-GB" w:eastAsia="en-GB"/>
        </w:rPr>
        <w:t>32 [25-37]</w:t>
      </w:r>
      <w:r w:rsidR="00B629C7">
        <w:rPr>
          <w:rFonts w:ascii="Calibri" w:eastAsia="Times New Roman" w:hAnsi="Calibri" w:cs="Calibri"/>
          <w:color w:val="000000"/>
          <w:lang w:val="en-GB" w:eastAsia="en-GB"/>
        </w:rPr>
        <w:t xml:space="preserve"> EJ/</w:t>
      </w:r>
      <w:proofErr w:type="spellStart"/>
      <w:r w:rsidR="00B629C7">
        <w:rPr>
          <w:rFonts w:ascii="Calibri" w:eastAsia="Times New Roman" w:hAnsi="Calibri" w:cs="Calibri"/>
          <w:color w:val="000000"/>
          <w:lang w:val="en-GB" w:eastAsia="en-GB"/>
        </w:rPr>
        <w:t>yr</w:t>
      </w:r>
      <w:proofErr w:type="spellEnd"/>
      <w:r w:rsidR="00B629C7">
        <w:rPr>
          <w:rFonts w:ascii="Calibri" w:eastAsia="Times New Roman" w:hAnsi="Calibri" w:cs="Calibri"/>
          <w:color w:val="000000"/>
          <w:lang w:val="en-GB" w:eastAsia="en-GB"/>
        </w:rPr>
        <w:t xml:space="preserve"> (ensemble median: 42</w:t>
      </w:r>
      <w:r w:rsidR="00B629C7" w:rsidRPr="001340B2">
        <w:rPr>
          <w:rFonts w:ascii="Calibri" w:eastAsia="Times New Roman" w:hAnsi="Calibri" w:cs="Calibri"/>
          <w:color w:val="000000"/>
          <w:lang w:val="en-GB" w:eastAsia="en-GB"/>
        </w:rPr>
        <w:t xml:space="preserve"> [26-89]</w:t>
      </w:r>
      <w:r w:rsidR="00B629C7">
        <w:rPr>
          <w:rFonts w:ascii="Calibri" w:eastAsia="Times New Roman" w:hAnsi="Calibri" w:cs="Calibri"/>
          <w:color w:val="000000"/>
          <w:lang w:val="en-GB" w:eastAsia="en-GB"/>
        </w:rPr>
        <w:t xml:space="preserve"> EJ/</w:t>
      </w:r>
      <w:proofErr w:type="spellStart"/>
      <w:r w:rsidR="00B629C7">
        <w:rPr>
          <w:rFonts w:ascii="Calibri" w:eastAsia="Times New Roman" w:hAnsi="Calibri" w:cs="Calibri"/>
          <w:color w:val="000000"/>
          <w:lang w:val="en-GB" w:eastAsia="en-GB"/>
        </w:rPr>
        <w:t>yr</w:t>
      </w:r>
      <w:proofErr w:type="spellEnd"/>
      <w:r w:rsidR="00B629C7">
        <w:rPr>
          <w:rFonts w:ascii="Calibri" w:eastAsia="Times New Roman" w:hAnsi="Calibri" w:cs="Calibri"/>
          <w:color w:val="000000"/>
          <w:lang w:val="en-GB" w:eastAsia="en-GB"/>
        </w:rPr>
        <w:t xml:space="preserve">); while REMIND tends to a deep phase down of gas use at </w:t>
      </w:r>
      <w:r w:rsidR="00B629C7" w:rsidRPr="001340B2">
        <w:rPr>
          <w:rFonts w:ascii="Calibri" w:eastAsia="Times New Roman" w:hAnsi="Calibri" w:cs="Calibri"/>
          <w:color w:val="000000"/>
          <w:lang w:val="en-GB" w:eastAsia="en-GB"/>
        </w:rPr>
        <w:t>33 [17-60]</w:t>
      </w:r>
      <w:r w:rsidR="00B629C7">
        <w:rPr>
          <w:rFonts w:ascii="Calibri" w:eastAsia="Times New Roman" w:hAnsi="Calibri" w:cs="Calibri"/>
          <w:color w:val="000000"/>
          <w:lang w:val="en-GB" w:eastAsia="en-GB"/>
        </w:rPr>
        <w:t xml:space="preserve"> EJ/</w:t>
      </w:r>
      <w:proofErr w:type="spellStart"/>
      <w:r w:rsidR="00B629C7">
        <w:rPr>
          <w:rFonts w:ascii="Calibri" w:eastAsia="Times New Roman" w:hAnsi="Calibri" w:cs="Calibri"/>
          <w:color w:val="000000"/>
          <w:lang w:val="en-GB" w:eastAsia="en-GB"/>
        </w:rPr>
        <w:t>yr</w:t>
      </w:r>
      <w:proofErr w:type="spellEnd"/>
      <w:r w:rsidR="00B629C7">
        <w:rPr>
          <w:rFonts w:ascii="Calibri" w:eastAsia="Times New Roman" w:hAnsi="Calibri" w:cs="Calibri"/>
          <w:color w:val="000000"/>
          <w:lang w:val="en-GB" w:eastAsia="en-GB"/>
        </w:rPr>
        <w:t xml:space="preserve"> (ensemble median: </w:t>
      </w:r>
      <w:r w:rsidR="00B629C7" w:rsidRPr="001340B2">
        <w:rPr>
          <w:rFonts w:ascii="Calibri" w:eastAsia="Times New Roman" w:hAnsi="Calibri" w:cs="Calibri"/>
          <w:color w:val="000000"/>
          <w:lang w:val="en-GB" w:eastAsia="en-GB"/>
        </w:rPr>
        <w:t>58 [26-120]</w:t>
      </w:r>
      <w:r w:rsidR="00B629C7">
        <w:rPr>
          <w:rFonts w:ascii="Calibri" w:eastAsia="Times New Roman" w:hAnsi="Calibri" w:cs="Calibri"/>
          <w:color w:val="000000"/>
          <w:lang w:val="en-GB" w:eastAsia="en-GB"/>
        </w:rPr>
        <w:t xml:space="preserve"> EJ/</w:t>
      </w:r>
      <w:proofErr w:type="spellStart"/>
      <w:r w:rsidR="00B629C7">
        <w:rPr>
          <w:rFonts w:ascii="Calibri" w:eastAsia="Times New Roman" w:hAnsi="Calibri" w:cs="Calibri"/>
          <w:color w:val="000000"/>
          <w:lang w:val="en-GB" w:eastAsia="en-GB"/>
        </w:rPr>
        <w:t>yr</w:t>
      </w:r>
      <w:proofErr w:type="spellEnd"/>
      <w:r w:rsidR="00B629C7">
        <w:rPr>
          <w:rFonts w:ascii="Calibri" w:eastAsia="Times New Roman" w:hAnsi="Calibri" w:cs="Calibri"/>
          <w:color w:val="000000"/>
          <w:lang w:val="en-GB" w:eastAsia="en-GB"/>
        </w:rPr>
        <w:t xml:space="preserve">). Unabated coal (i.e. without CCS) is almost entirely absent across the scenario </w:t>
      </w:r>
      <w:r w:rsidR="00141ACF">
        <w:rPr>
          <w:rFonts w:ascii="Calibri" w:eastAsia="Times New Roman" w:hAnsi="Calibri" w:cs="Calibri"/>
          <w:color w:val="000000"/>
          <w:lang w:val="en-GB" w:eastAsia="en-GB"/>
        </w:rPr>
        <w:t>ensemble</w:t>
      </w:r>
      <w:r w:rsidR="00B629C7">
        <w:rPr>
          <w:rFonts w:ascii="Calibri" w:eastAsia="Times New Roman" w:hAnsi="Calibri" w:cs="Calibri"/>
          <w:color w:val="000000"/>
          <w:lang w:val="en-GB" w:eastAsia="en-GB"/>
        </w:rPr>
        <w:t>.</w:t>
      </w:r>
    </w:p>
    <w:p w14:paraId="51546433" w14:textId="58A73FBD" w:rsidR="009E3564" w:rsidRDefault="00141ACF" w:rsidP="00214D35">
      <w:pPr>
        <w:rPr>
          <w:rFonts w:ascii="Calibri" w:eastAsia="Times New Roman" w:hAnsi="Calibri" w:cs="Calibri"/>
          <w:color w:val="000000"/>
          <w:lang w:val="en-GB" w:eastAsia="en-GB"/>
        </w:rPr>
      </w:pPr>
      <w:r>
        <w:rPr>
          <w:rFonts w:ascii="Calibri" w:eastAsia="Times New Roman" w:hAnsi="Calibri" w:cs="Calibri"/>
          <w:color w:val="000000"/>
          <w:lang w:val="en-GB" w:eastAsia="en-GB"/>
        </w:rPr>
        <w:t>Although Figure 2c depicts varying total levels of primary energy supply, it shows scenario outcomes at different points in time for an indicator which continuously grows throughout the 21</w:t>
      </w:r>
      <w:r w:rsidRPr="00141ACF">
        <w:rPr>
          <w:rFonts w:ascii="Calibri" w:eastAsia="Times New Roman" w:hAnsi="Calibri" w:cs="Calibri"/>
          <w:color w:val="000000"/>
          <w:vertAlign w:val="superscript"/>
          <w:lang w:val="en-GB" w:eastAsia="en-GB"/>
        </w:rPr>
        <w:t>st</w:t>
      </w:r>
      <w:r>
        <w:rPr>
          <w:rFonts w:ascii="Calibri" w:eastAsia="Times New Roman" w:hAnsi="Calibri" w:cs="Calibri"/>
          <w:color w:val="000000"/>
          <w:lang w:val="en-GB" w:eastAsia="en-GB"/>
        </w:rPr>
        <w:t xml:space="preserve"> century. When compared in the same year (e.g. 2050), scenarios are relatively consistent </w:t>
      </w:r>
      <w:r w:rsidR="009E3564">
        <w:rPr>
          <w:rFonts w:ascii="Calibri" w:eastAsia="Times New Roman" w:hAnsi="Calibri" w:cs="Calibri"/>
          <w:color w:val="000000"/>
          <w:lang w:val="en-GB" w:eastAsia="en-GB"/>
        </w:rPr>
        <w:t>at</w:t>
      </w:r>
      <w:r>
        <w:rPr>
          <w:rFonts w:ascii="Calibri" w:eastAsia="Times New Roman" w:hAnsi="Calibri" w:cs="Calibri"/>
          <w:color w:val="000000"/>
          <w:lang w:val="en-GB" w:eastAsia="en-GB"/>
        </w:rPr>
        <w:t xml:space="preserve"> 540 [480-590]</w:t>
      </w:r>
      <w:r w:rsidR="0033141F">
        <w:rPr>
          <w:rFonts w:ascii="Calibri" w:eastAsia="Times New Roman" w:hAnsi="Calibri" w:cs="Calibri"/>
          <w:color w:val="000000"/>
          <w:lang w:val="en-GB" w:eastAsia="en-GB"/>
        </w:rPr>
        <w:t xml:space="preserve"> </w:t>
      </w:r>
      <w:r>
        <w:rPr>
          <w:rFonts w:ascii="Calibri" w:eastAsia="Times New Roman" w:hAnsi="Calibri" w:cs="Calibri"/>
          <w:color w:val="000000"/>
          <w:lang w:val="en-GB" w:eastAsia="en-GB"/>
        </w:rPr>
        <w:t xml:space="preserve">EJ/yr. None achieve the very low levels of primary energy supply </w:t>
      </w:r>
      <w:r w:rsidR="009E3564">
        <w:rPr>
          <w:rFonts w:ascii="Calibri" w:eastAsia="Times New Roman" w:hAnsi="Calibri" w:cs="Calibri"/>
          <w:color w:val="000000"/>
          <w:lang w:val="en-GB" w:eastAsia="en-GB"/>
        </w:rPr>
        <w:t>(290EJ/</w:t>
      </w:r>
      <w:proofErr w:type="spellStart"/>
      <w:r w:rsidR="009E3564">
        <w:rPr>
          <w:rFonts w:ascii="Calibri" w:eastAsia="Times New Roman" w:hAnsi="Calibri" w:cs="Calibri"/>
          <w:color w:val="000000"/>
          <w:lang w:val="en-GB" w:eastAsia="en-GB"/>
        </w:rPr>
        <w:t>yr</w:t>
      </w:r>
      <w:proofErr w:type="spellEnd"/>
      <w:r w:rsidR="009E3564">
        <w:rPr>
          <w:rFonts w:ascii="Calibri" w:eastAsia="Times New Roman" w:hAnsi="Calibri" w:cs="Calibri"/>
          <w:color w:val="000000"/>
          <w:lang w:val="en-GB" w:eastAsia="en-GB"/>
        </w:rPr>
        <w:t xml:space="preserve"> in 2050) </w:t>
      </w:r>
      <w:r>
        <w:rPr>
          <w:rFonts w:ascii="Calibri" w:eastAsia="Times New Roman" w:hAnsi="Calibri" w:cs="Calibri"/>
          <w:color w:val="000000"/>
          <w:lang w:val="en-GB" w:eastAsia="en-GB"/>
        </w:rPr>
        <w:t>depicted in the Low Energy Demand scenario</w:t>
      </w:r>
      <w:r w:rsidR="009E3564">
        <w:rPr>
          <w:rFonts w:ascii="Calibri" w:eastAsia="Times New Roman" w:hAnsi="Calibri" w:cs="Calibri"/>
          <w:color w:val="000000"/>
          <w:lang w:val="en-GB" w:eastAsia="en-GB"/>
        </w:rPr>
        <w:t xml:space="preserve"> by </w:t>
      </w:r>
      <w:proofErr w:type="spellStart"/>
      <w:r w:rsidR="009E3564">
        <w:rPr>
          <w:rFonts w:ascii="Calibri" w:eastAsia="Times New Roman" w:hAnsi="Calibri" w:cs="Calibri"/>
          <w:color w:val="000000"/>
          <w:lang w:val="en-GB" w:eastAsia="en-GB"/>
        </w:rPr>
        <w:t>Grubler</w:t>
      </w:r>
      <w:proofErr w:type="spellEnd"/>
      <w:r w:rsidR="009E3564">
        <w:rPr>
          <w:rFonts w:ascii="Calibri" w:eastAsia="Times New Roman" w:hAnsi="Calibri" w:cs="Calibri"/>
          <w:color w:val="000000"/>
          <w:lang w:val="en-GB" w:eastAsia="en-GB"/>
        </w:rPr>
        <w:t xml:space="preserve"> et al. </w:t>
      </w:r>
      <w:r w:rsidR="009E3564">
        <w:rPr>
          <w:rFonts w:ascii="Calibri" w:eastAsia="Times New Roman" w:hAnsi="Calibri" w:cs="Calibri"/>
          <w:color w:val="000000"/>
          <w:lang w:val="en-GB" w:eastAsia="en-GB"/>
        </w:rPr>
        <w:fldChar w:fldCharType="begin"/>
      </w:r>
      <w:r w:rsidR="009E3564">
        <w:rPr>
          <w:rFonts w:ascii="Calibri" w:eastAsia="Times New Roman" w:hAnsi="Calibri" w:cs="Calibri"/>
          <w:color w:val="000000"/>
          <w:lang w:val="en-GB" w:eastAsia="en-GB"/>
        </w:rPr>
        <w:instrText xml:space="preserve"> ADDIN ZOTERO_ITEM CSL_CITATION {"citationID":"FBijaTRt","properties":{"formattedCitation":"(2018)","plainCitation":"(2018)","noteIndex":0},"citationItems":[{"id":10005,"uris":["http://zotero.org/users/6250806/items/UQ74N9DY"],"itemData":{"id":10005,"type":"article-journal","container-title":"Nature Energy","DOI":"10.1038/s41560-018-0172-6","ISSN":"2058-7546","issue":"June","note":"publisher: Springer US","page":"515-527","title":"A low energy demand scenario for meeting the 1.5oC target and sustainable development goals without negative emissions technologies","volume":"3","author":[{"family":"Grubler","given":"Arnulf"},{"family":"Wilson","given":"Charlie"},{"family":"Bento","given":"Nuno"},{"family":"Boza-kiss","given":"Benigna"},{"family":"Krey","given":"Volker"},{"family":"Mccollum","given":"David L"},{"family":"Rao","given":"Narasimha D"},{"family":"Riahi","given":"Keywan"},{"family":"Rogelj","given":"Joeri"},{"family":"Stercke","given":"Simon De"},{"family":"Cullen","given":"Jonathan"},{"family":"Frank","given":"Stefan"},{"family":"Fricko","given":"Oliver"},{"family":"Guo","given":"Fei"},{"family":"Gidden","given":"Matt"},{"family":"Havlík","given":"Petr"},{"family":"Huppmann","given":"Daniel"},{"family":"Kiesewetter","given":"Gregor"},{"family":"Rafaj","given":"Peter"},{"family":"Schoepp","given":"Wolfgang"},{"family":"Valin","given":"Hugo"}],"issued":{"date-parts":[["2018"]]},"citation-key":"grublerLowEnergyDemand2018"},"label":"page","suppress-author":true}],"schema":"https://github.com/citation-style-language/schema/raw/master/csl-citation.json"} </w:instrText>
      </w:r>
      <w:r w:rsidR="009E3564">
        <w:rPr>
          <w:rFonts w:ascii="Calibri" w:eastAsia="Times New Roman" w:hAnsi="Calibri" w:cs="Calibri"/>
          <w:color w:val="000000"/>
          <w:lang w:val="en-GB" w:eastAsia="en-GB"/>
        </w:rPr>
        <w:fldChar w:fldCharType="separate"/>
      </w:r>
      <w:r w:rsidR="00B34A0D" w:rsidRPr="006A5822">
        <w:rPr>
          <w:rFonts w:ascii="Calibri" w:hAnsi="Calibri" w:cs="Calibri"/>
          <w:lang w:val="en-GB"/>
        </w:rPr>
        <w:t>(2018)</w:t>
      </w:r>
      <w:r w:rsidR="009E3564">
        <w:rPr>
          <w:rFonts w:ascii="Calibri" w:eastAsia="Times New Roman" w:hAnsi="Calibri" w:cs="Calibri"/>
          <w:color w:val="000000"/>
          <w:lang w:val="en-GB" w:eastAsia="en-GB"/>
        </w:rPr>
        <w:fldChar w:fldCharType="end"/>
      </w:r>
      <w:r w:rsidR="009E3564">
        <w:rPr>
          <w:rFonts w:ascii="Calibri" w:eastAsia="Times New Roman" w:hAnsi="Calibri" w:cs="Calibri"/>
          <w:color w:val="000000"/>
          <w:lang w:val="en-GB" w:eastAsia="en-GB"/>
        </w:rPr>
        <w:t>.</w:t>
      </w:r>
    </w:p>
    <w:p w14:paraId="7B01A93F" w14:textId="77777777" w:rsidR="006A5822" w:rsidRDefault="006A5822" w:rsidP="006A5822">
      <w:pPr>
        <w:rPr>
          <w:lang w:val="en-GB"/>
        </w:rPr>
      </w:pPr>
      <w:r>
        <w:rPr>
          <w:lang w:val="en-GB"/>
        </w:rPr>
        <w:t>Of all subsectors, the energy supply sector has the deepest reductions and lowest relative residual emissions compared to 2020 at -91 [-79 to -96] % across all scenarios (</w:t>
      </w:r>
      <w:r w:rsidRPr="0041057B">
        <w:rPr>
          <w:lang w:val="en-GB"/>
        </w:rPr>
        <w:fldChar w:fldCharType="begin"/>
      </w:r>
      <w:r w:rsidRPr="0041057B">
        <w:rPr>
          <w:lang w:val="en-GB"/>
        </w:rPr>
        <w:instrText xml:space="preserve"> REF _Ref144130195 \h  \* MERGEFORMAT </w:instrText>
      </w:r>
      <w:r w:rsidRPr="0041057B">
        <w:rPr>
          <w:lang w:val="en-GB"/>
        </w:rPr>
      </w:r>
      <w:r w:rsidRPr="0041057B">
        <w:rPr>
          <w:lang w:val="en-GB"/>
        </w:rPr>
        <w:fldChar w:fldCharType="separate"/>
      </w:r>
      <w:r w:rsidRPr="0041057B">
        <w:rPr>
          <w:color w:val="000000" w:themeColor="text1"/>
          <w:lang w:val="en-GB"/>
        </w:rPr>
        <w:t>Figure 3</w:t>
      </w:r>
      <w:r w:rsidRPr="0041057B">
        <w:rPr>
          <w:lang w:val="en-GB"/>
        </w:rPr>
        <w:fldChar w:fldCharType="end"/>
      </w:r>
      <w:r>
        <w:rPr>
          <w:lang w:val="en-GB"/>
        </w:rPr>
        <w:t>b). However, these emissions do tend to be higher and have a wider spread of outcomes in the IMAGE model. Similarly, there are deep – but not complete – reductions in fugitive methane emissions (“Energy|CH4”) across all models (Figure 3b). Among the energy demand sectors, transport tends to have the lowest relative reductions and highest residual emissions at net zero, followed by industry and buildings (“Energy|CO2|Residential and Commercial”).</w:t>
      </w:r>
    </w:p>
    <w:p w14:paraId="317978EF" w14:textId="2BC46C9B" w:rsidR="00F319CF" w:rsidRPr="006A5822" w:rsidRDefault="006A5822" w:rsidP="00214D35">
      <w:pPr>
        <w:rPr>
          <w:lang w:val="en-GB"/>
        </w:rPr>
      </w:pPr>
      <w:r>
        <w:rPr>
          <w:lang w:val="en-GB"/>
        </w:rPr>
        <w:t>Scenarios are far more diverse in their residual AFOLU emissions. Whereas CO</w:t>
      </w:r>
      <w:r w:rsidRPr="0033141F">
        <w:rPr>
          <w:vertAlign w:val="subscript"/>
          <w:lang w:val="en-GB"/>
        </w:rPr>
        <w:t>2</w:t>
      </w:r>
      <w:r w:rsidRPr="0033141F">
        <w:rPr>
          <w:lang w:val="en-GB"/>
        </w:rPr>
        <w:t xml:space="preserve"> from </w:t>
      </w:r>
      <w:r>
        <w:rPr>
          <w:lang w:val="en-GB"/>
        </w:rPr>
        <w:t>land use is consistently almost eliminated in REMIND – and severely curtailed in MESSAGE – IMAGE depicts a wide range of outcomes and median of -46% reductions. Consequently, CH</w:t>
      </w:r>
      <w:r w:rsidRPr="0083210E">
        <w:rPr>
          <w:vertAlign w:val="subscript"/>
          <w:lang w:val="en-GB"/>
        </w:rPr>
        <w:t>4</w:t>
      </w:r>
      <w:r>
        <w:rPr>
          <w:lang w:val="en-GB"/>
        </w:rPr>
        <w:t xml:space="preserve"> emissions from livestock (specifically enteric fermentation) are typically the largest remaining component of residual AFOLU emissions, followed by N</w:t>
      </w:r>
      <w:r w:rsidRPr="0083210E">
        <w:rPr>
          <w:vertAlign w:val="subscript"/>
          <w:lang w:val="en-GB"/>
        </w:rPr>
        <w:t>2</w:t>
      </w:r>
      <w:r>
        <w:rPr>
          <w:lang w:val="en-GB"/>
        </w:rPr>
        <w:t>O emissions (Figure 3a). These categories are reduced by -37 [-6 to -42] % and -23 [+17 to -24] %, respectively.</w:t>
      </w:r>
    </w:p>
    <w:p w14:paraId="2D94D358" w14:textId="7F1DDB42" w:rsidR="004A3065" w:rsidRDefault="00C57C85" w:rsidP="00214D35">
      <w:r>
        <w:rPr>
          <w:noProof/>
          <w:lang w:val="en-GB" w:eastAsia="en-GB"/>
        </w:rPr>
        <w:lastRenderedPageBreak/>
        <w:drawing>
          <wp:inline distT="0" distB="0" distL="0" distR="0" wp14:anchorId="37716432" wp14:editId="7EF22CD5">
            <wp:extent cx="5760720" cy="57607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gases_sectors_fuels-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417C9024" w14:textId="000BB128" w:rsidR="00816BBA" w:rsidRDefault="004A3065" w:rsidP="009E3564">
      <w:pPr>
        <w:pStyle w:val="Beschriftung"/>
        <w:rPr>
          <w:i w:val="0"/>
          <w:color w:val="000000" w:themeColor="text1"/>
          <w:sz w:val="20"/>
          <w:lang w:val="en-GB"/>
        </w:rPr>
      </w:pPr>
      <w:bookmarkStart w:id="1" w:name="_Ref143775054"/>
      <w:r w:rsidRPr="00ED63D2">
        <w:rPr>
          <w:b/>
          <w:i w:val="0"/>
          <w:color w:val="000000" w:themeColor="text1"/>
          <w:sz w:val="20"/>
          <w:lang w:val="en-GB"/>
        </w:rPr>
        <w:t xml:space="preserve">Figure </w:t>
      </w:r>
      <w:r w:rsidRPr="00ED63D2">
        <w:rPr>
          <w:b/>
          <w:i w:val="0"/>
          <w:color w:val="000000" w:themeColor="text1"/>
          <w:sz w:val="20"/>
          <w:lang w:val="en-GB"/>
        </w:rPr>
        <w:fldChar w:fldCharType="begin"/>
      </w:r>
      <w:r w:rsidRPr="00ED63D2">
        <w:rPr>
          <w:b/>
          <w:i w:val="0"/>
          <w:color w:val="000000" w:themeColor="text1"/>
          <w:sz w:val="20"/>
          <w:lang w:val="en-GB"/>
        </w:rPr>
        <w:instrText xml:space="preserve"> SEQ Figure \* ARABIC </w:instrText>
      </w:r>
      <w:r w:rsidRPr="00ED63D2">
        <w:rPr>
          <w:b/>
          <w:i w:val="0"/>
          <w:color w:val="000000" w:themeColor="text1"/>
          <w:sz w:val="20"/>
          <w:lang w:val="en-GB"/>
        </w:rPr>
        <w:fldChar w:fldCharType="separate"/>
      </w:r>
      <w:r w:rsidR="003D58F5">
        <w:rPr>
          <w:b/>
          <w:i w:val="0"/>
          <w:noProof/>
          <w:color w:val="000000" w:themeColor="text1"/>
          <w:sz w:val="20"/>
          <w:lang w:val="en-GB"/>
        </w:rPr>
        <w:t>2</w:t>
      </w:r>
      <w:r w:rsidRPr="00ED63D2">
        <w:rPr>
          <w:b/>
          <w:i w:val="0"/>
          <w:color w:val="000000" w:themeColor="text1"/>
          <w:sz w:val="20"/>
          <w:lang w:val="en-GB"/>
        </w:rPr>
        <w:fldChar w:fldCharType="end"/>
      </w:r>
      <w:bookmarkEnd w:id="1"/>
      <w:r w:rsidRPr="00ED63D2">
        <w:rPr>
          <w:b/>
          <w:i w:val="0"/>
          <w:color w:val="000000" w:themeColor="text1"/>
          <w:sz w:val="20"/>
          <w:lang w:val="en-GB"/>
        </w:rPr>
        <w:t>: Residual GHG emissions by gas, sector and fuel</w:t>
      </w:r>
      <w:r w:rsidR="009E3564">
        <w:rPr>
          <w:b/>
          <w:i w:val="0"/>
          <w:color w:val="000000" w:themeColor="text1"/>
          <w:sz w:val="20"/>
          <w:lang w:val="en-GB"/>
        </w:rPr>
        <w:t xml:space="preserve">. </w:t>
      </w:r>
      <w:r w:rsidR="009E3564" w:rsidRPr="009E3564">
        <w:rPr>
          <w:i w:val="0"/>
          <w:color w:val="000000" w:themeColor="text1"/>
          <w:sz w:val="20"/>
          <w:lang w:val="en-GB"/>
        </w:rPr>
        <w:t xml:space="preserve">Note that </w:t>
      </w:r>
      <w:r w:rsidR="009E3564">
        <w:rPr>
          <w:i w:val="0"/>
          <w:color w:val="000000" w:themeColor="text1"/>
          <w:sz w:val="20"/>
          <w:lang w:val="en-GB"/>
        </w:rPr>
        <w:t>the year corresponding to net zero CO</w:t>
      </w:r>
      <w:r w:rsidR="009E3564" w:rsidRPr="00EC7358">
        <w:rPr>
          <w:i w:val="0"/>
          <w:color w:val="000000" w:themeColor="text1"/>
          <w:sz w:val="20"/>
          <w:vertAlign w:val="subscript"/>
          <w:lang w:val="en-GB"/>
        </w:rPr>
        <w:t>2</w:t>
      </w:r>
      <w:r w:rsidR="009E3564">
        <w:rPr>
          <w:i w:val="0"/>
          <w:color w:val="000000" w:themeColor="text1"/>
          <w:sz w:val="20"/>
          <w:lang w:val="en-GB"/>
        </w:rPr>
        <w:t xml:space="preserve"> varies for each scenario, as </w:t>
      </w:r>
      <w:r w:rsidR="00EC7358">
        <w:rPr>
          <w:i w:val="0"/>
          <w:color w:val="000000" w:themeColor="text1"/>
          <w:sz w:val="20"/>
          <w:lang w:val="en-GB"/>
        </w:rPr>
        <w:t>summarised</w:t>
      </w:r>
      <w:r w:rsidR="009E3564">
        <w:rPr>
          <w:i w:val="0"/>
          <w:color w:val="000000" w:themeColor="text1"/>
          <w:sz w:val="20"/>
          <w:lang w:val="en-GB"/>
        </w:rPr>
        <w:t xml:space="preserve"> in Table 2. Total primary energy supply levels should therefore not be compared between scenarios, as this indicator continuously grows throughout the 21</w:t>
      </w:r>
      <w:r w:rsidR="009E3564" w:rsidRPr="009E3564">
        <w:rPr>
          <w:i w:val="0"/>
          <w:color w:val="000000" w:themeColor="text1"/>
          <w:sz w:val="20"/>
          <w:vertAlign w:val="superscript"/>
          <w:lang w:val="en-GB"/>
        </w:rPr>
        <w:t>st</w:t>
      </w:r>
      <w:r w:rsidR="009E3564">
        <w:rPr>
          <w:i w:val="0"/>
          <w:color w:val="000000" w:themeColor="text1"/>
          <w:sz w:val="20"/>
          <w:lang w:val="en-GB"/>
        </w:rPr>
        <w:t xml:space="preserve"> century.</w:t>
      </w:r>
    </w:p>
    <w:p w14:paraId="1503CF56" w14:textId="77777777" w:rsidR="006A5822" w:rsidRDefault="006A5822" w:rsidP="006A5822">
      <w:pPr>
        <w:rPr>
          <w:lang w:val="en-GB"/>
        </w:rPr>
      </w:pPr>
      <w:r>
        <w:rPr>
          <w:lang w:val="en-GB"/>
        </w:rPr>
        <w:t>In the remaining ‘Other’ sector, CH</w:t>
      </w:r>
      <w:r w:rsidRPr="006661A7">
        <w:rPr>
          <w:vertAlign w:val="subscript"/>
          <w:lang w:val="en-GB"/>
        </w:rPr>
        <w:t>4</w:t>
      </w:r>
      <w:r>
        <w:rPr>
          <w:lang w:val="en-GB"/>
        </w:rPr>
        <w:t xml:space="preserve"> emissions (i.e. from waste) are typically the largest residual sector, with an average of -54 [-46 to -48] % reductions. Industrial process emissions are very low in REMIND, but relatively higher in the MESSAGE and IMAGE models. Note that the large gross emissions in the “CO2|Other” category for IMAGE are due to the allocation of removals from direct air capture to this sector.</w:t>
      </w:r>
    </w:p>
    <w:p w14:paraId="5B97F424" w14:textId="77777777" w:rsidR="006A5822" w:rsidRPr="006A5822" w:rsidRDefault="006A5822" w:rsidP="006A5822">
      <w:pPr>
        <w:rPr>
          <w:lang w:val="en-GB"/>
        </w:rPr>
      </w:pPr>
    </w:p>
    <w:p w14:paraId="10DC391F" w14:textId="6292CBC0" w:rsidR="00A80DAF" w:rsidRPr="007D5E9B" w:rsidRDefault="00C57C85" w:rsidP="00A80DAF">
      <w:pPr>
        <w:keepNext/>
        <w:rPr>
          <w:lang w:val="en-GB"/>
        </w:rPr>
      </w:pPr>
      <w:r>
        <w:rPr>
          <w:noProof/>
          <w:lang w:val="en-GB" w:eastAsia="en-GB"/>
        </w:rPr>
        <w:lastRenderedPageBreak/>
        <w:drawing>
          <wp:inline distT="0" distB="0" distL="0" distR="0" wp14:anchorId="349F79DD" wp14:editId="1A27165C">
            <wp:extent cx="5760720" cy="5760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subsectors-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5D671EA0" w14:textId="6B50624F" w:rsidR="00A80DAF" w:rsidRDefault="00A80DAF" w:rsidP="003456DE">
      <w:pPr>
        <w:pStyle w:val="Beschriftung"/>
        <w:rPr>
          <w:i w:val="0"/>
          <w:color w:val="000000" w:themeColor="text1"/>
          <w:sz w:val="20"/>
          <w:lang w:val="en-GB"/>
        </w:rPr>
      </w:pPr>
      <w:bookmarkStart w:id="2" w:name="_Ref144130195"/>
      <w:r w:rsidRPr="00130441">
        <w:rPr>
          <w:b/>
          <w:i w:val="0"/>
          <w:color w:val="000000" w:themeColor="text1"/>
          <w:sz w:val="20"/>
          <w:lang w:val="en-GB"/>
        </w:rPr>
        <w:t xml:space="preserve">Figure </w:t>
      </w:r>
      <w:r w:rsidRPr="00130441">
        <w:rPr>
          <w:b/>
          <w:i w:val="0"/>
          <w:color w:val="000000" w:themeColor="text1"/>
          <w:sz w:val="20"/>
          <w:lang w:val="en-GB"/>
        </w:rPr>
        <w:fldChar w:fldCharType="begin"/>
      </w:r>
      <w:r w:rsidRPr="00130441">
        <w:rPr>
          <w:b/>
          <w:i w:val="0"/>
          <w:color w:val="000000" w:themeColor="text1"/>
          <w:sz w:val="20"/>
          <w:lang w:val="en-GB"/>
        </w:rPr>
        <w:instrText xml:space="preserve"> SEQ Figure \* ARABIC </w:instrText>
      </w:r>
      <w:r w:rsidRPr="00130441">
        <w:rPr>
          <w:b/>
          <w:i w:val="0"/>
          <w:color w:val="000000" w:themeColor="text1"/>
          <w:sz w:val="20"/>
          <w:lang w:val="en-GB"/>
        </w:rPr>
        <w:fldChar w:fldCharType="separate"/>
      </w:r>
      <w:r w:rsidR="003D58F5">
        <w:rPr>
          <w:b/>
          <w:i w:val="0"/>
          <w:noProof/>
          <w:color w:val="000000" w:themeColor="text1"/>
          <w:sz w:val="20"/>
          <w:lang w:val="en-GB"/>
        </w:rPr>
        <w:t>3</w:t>
      </w:r>
      <w:r w:rsidRPr="00130441">
        <w:rPr>
          <w:b/>
          <w:i w:val="0"/>
          <w:color w:val="000000" w:themeColor="text1"/>
          <w:sz w:val="20"/>
          <w:lang w:val="en-GB"/>
        </w:rPr>
        <w:fldChar w:fldCharType="end"/>
      </w:r>
      <w:bookmarkEnd w:id="2"/>
      <w:r w:rsidRPr="00130441">
        <w:rPr>
          <w:b/>
          <w:i w:val="0"/>
          <w:color w:val="000000" w:themeColor="text1"/>
          <w:sz w:val="20"/>
          <w:lang w:val="en-GB"/>
        </w:rPr>
        <w:t>:</w:t>
      </w:r>
      <w:r w:rsidR="00C57C85">
        <w:rPr>
          <w:b/>
          <w:i w:val="0"/>
          <w:color w:val="000000" w:themeColor="text1"/>
          <w:sz w:val="20"/>
          <w:lang w:val="en-GB"/>
        </w:rPr>
        <w:t xml:space="preserve"> Energy, AFOLU </w:t>
      </w:r>
      <w:r w:rsidRPr="00130441">
        <w:rPr>
          <w:b/>
          <w:i w:val="0"/>
          <w:color w:val="000000" w:themeColor="text1"/>
          <w:sz w:val="20"/>
          <w:lang w:val="en-GB"/>
        </w:rPr>
        <w:t>and Other sector emissions from 2020 to net zero</w:t>
      </w:r>
      <w:r w:rsidR="007D5E9B" w:rsidRPr="00130441">
        <w:rPr>
          <w:b/>
          <w:i w:val="0"/>
          <w:color w:val="000000" w:themeColor="text1"/>
          <w:sz w:val="20"/>
          <w:lang w:val="en-GB"/>
        </w:rPr>
        <w:t xml:space="preserve">. </w:t>
      </w:r>
      <w:r w:rsidR="007D5E9B" w:rsidRPr="00130441">
        <w:rPr>
          <w:i w:val="0"/>
          <w:color w:val="000000" w:themeColor="text1"/>
          <w:sz w:val="20"/>
          <w:lang w:val="en-GB"/>
        </w:rPr>
        <w:t xml:space="preserve">Each column represents the multi-scenario median from the models IMAGE, MESSAGE and REMIND. </w:t>
      </w:r>
      <w:r w:rsidR="009D14A7" w:rsidRPr="00130441">
        <w:rPr>
          <w:i w:val="0"/>
          <w:color w:val="000000" w:themeColor="text1"/>
          <w:sz w:val="20"/>
          <w:lang w:val="en-GB"/>
        </w:rPr>
        <w:t>Error bars represent the 5</w:t>
      </w:r>
      <w:r w:rsidR="009D14A7" w:rsidRPr="00130441">
        <w:rPr>
          <w:i w:val="0"/>
          <w:color w:val="000000" w:themeColor="text1"/>
          <w:sz w:val="20"/>
          <w:vertAlign w:val="superscript"/>
          <w:lang w:val="en-GB"/>
        </w:rPr>
        <w:t>th</w:t>
      </w:r>
      <w:r w:rsidR="009D14A7" w:rsidRPr="00130441">
        <w:rPr>
          <w:i w:val="0"/>
          <w:color w:val="000000" w:themeColor="text1"/>
          <w:sz w:val="20"/>
          <w:lang w:val="en-GB"/>
        </w:rPr>
        <w:t>-95</w:t>
      </w:r>
      <w:r w:rsidR="009D14A7" w:rsidRPr="00130441">
        <w:rPr>
          <w:i w:val="0"/>
          <w:color w:val="000000" w:themeColor="text1"/>
          <w:sz w:val="20"/>
          <w:vertAlign w:val="superscript"/>
          <w:lang w:val="en-GB"/>
        </w:rPr>
        <w:t>th</w:t>
      </w:r>
      <w:r w:rsidR="009D14A7" w:rsidRPr="00130441">
        <w:rPr>
          <w:i w:val="0"/>
          <w:color w:val="000000" w:themeColor="text1"/>
          <w:sz w:val="20"/>
          <w:lang w:val="en-GB"/>
        </w:rPr>
        <w:t xml:space="preserve"> percentile of scenarios in each model category.</w:t>
      </w:r>
      <w:r w:rsidR="003456DE">
        <w:rPr>
          <w:i w:val="0"/>
          <w:color w:val="000000" w:themeColor="text1"/>
          <w:sz w:val="20"/>
          <w:lang w:val="en-GB"/>
        </w:rPr>
        <w:t xml:space="preserve"> Note that negative gross emissions are not possible, but can be found in some cases, suggest accounting inconsistencies around carbon sequestration </w:t>
      </w:r>
      <w:r w:rsidR="003456DE">
        <w:rPr>
          <w:i w:val="0"/>
          <w:color w:val="000000" w:themeColor="text1"/>
          <w:sz w:val="20"/>
          <w:lang w:val="en-GB"/>
        </w:rPr>
        <w:fldChar w:fldCharType="begin"/>
      </w:r>
      <w:r w:rsidR="003456DE">
        <w:rPr>
          <w:i w:val="0"/>
          <w:color w:val="000000" w:themeColor="text1"/>
          <w:sz w:val="20"/>
          <w:lang w:val="en-GB"/>
        </w:rPr>
        <w:instrText xml:space="preserve"> ADDIN ZOTERO_ITEM CSL_CITATION {"citationID":"MOXYAdfU","properties":{"formattedCitation":"(Pr\\uc0\\u252{}tz {\\i{}et al} 2023)","plainCitation":"(Prütz et al 2023)","noteIndex":0},"citationItems":[{"id":13665,"uris":["http://zotero.org/users/6250806/items/2LQWK5EH"],"itemData":{"id":13665,"type":"article-journal","abstract":"Abstract\n            \n              Carbon dioxide removal (CDR) features prominently in the 1.5 °C compatible and high overshoot pathways in the IPCC’s Sixth Assessment Report (AR6, WGIII). However, the amount of CDR varies considerably among scenarios. We analyze the range in CDR volumes in AR6 WGIII pathways by exploring relationships between variables as potential driving forces, focusing on CDR in 2050 and scenario properties linked to reaching net-zero CO\n              2\n              . It is also shown how the relative and absolute contribution of CDR to total mitigation up until reaching net-zero CO\n              2\n              substantially differs across scenarios. The volumes of CDR in 2050 and 2100 and the cumulative amount throughout the 21\n              st\n              century were most strongly correlated to the degree to which CO\n              2\n              emissions are reduced as a means of reaching net-zero CO\n              2\n              . CDR in 2050 is also substantially correlated to the timing of net-zero CO\n              2\n              . The robustness of the analyzed relationships was evaluated by comparing different scenario filtering and data-cleaning approaches. Beyond filtering and cleaning, additional factors that influence CDR deployment in scenarios, such as discount rates, carbon price trajectories, and scenario design choices, were discussed.","container-title":"Environmental Research Communications","DOI":"10.1088/2515-7620/accdba","ISSN":"2515-7620","issue":"4","journalAbbreviation":"Environ. Res. Commun.","language":"en","page":"041005","source":"DOI.org (Crossref)","title":"Understanding the carbon dioxide removal range in 1.5 °C compatible and high overshoot pathways","volume":"5","author":[{"family":"Prütz","given":"Ruben"},{"family":"Strefler","given":"Jessica"},{"family":"Rogelj","given":"Joeri"},{"family":"Fuss","given":"Sabine"}],"issued":{"date-parts":[["2023",4,1]]},"citation-key":"prutzUnderstandingCarbonDioxide2023"}}],"schema":"https://github.com/citation-style-language/schema/raw/master/csl-citation.json"} </w:instrText>
      </w:r>
      <w:r w:rsidR="003456DE">
        <w:rPr>
          <w:i w:val="0"/>
          <w:color w:val="000000" w:themeColor="text1"/>
          <w:sz w:val="20"/>
          <w:lang w:val="en-GB"/>
        </w:rPr>
        <w:fldChar w:fldCharType="separate"/>
      </w:r>
      <w:r w:rsidR="00B34A0D" w:rsidRPr="00B34A0D">
        <w:rPr>
          <w:rFonts w:ascii="Calibri" w:hAnsi="Calibri" w:cs="Calibri"/>
          <w:sz w:val="20"/>
          <w:szCs w:val="24"/>
          <w:lang w:val="en-GB"/>
        </w:rPr>
        <w:t xml:space="preserve">(Prütz </w:t>
      </w:r>
      <w:r w:rsidR="00B34A0D" w:rsidRPr="00B34A0D">
        <w:rPr>
          <w:rFonts w:ascii="Calibri" w:hAnsi="Calibri" w:cs="Calibri"/>
          <w:i w:val="0"/>
          <w:iCs w:val="0"/>
          <w:sz w:val="20"/>
          <w:szCs w:val="24"/>
          <w:lang w:val="en-GB"/>
        </w:rPr>
        <w:t>et al</w:t>
      </w:r>
      <w:r w:rsidR="00B34A0D" w:rsidRPr="00B34A0D">
        <w:rPr>
          <w:rFonts w:ascii="Calibri" w:hAnsi="Calibri" w:cs="Calibri"/>
          <w:sz w:val="20"/>
          <w:szCs w:val="24"/>
          <w:lang w:val="en-GB"/>
        </w:rPr>
        <w:t xml:space="preserve"> 2023)</w:t>
      </w:r>
      <w:r w:rsidR="003456DE">
        <w:rPr>
          <w:i w:val="0"/>
          <w:color w:val="000000" w:themeColor="text1"/>
          <w:sz w:val="20"/>
          <w:lang w:val="en-GB"/>
        </w:rPr>
        <w:fldChar w:fldCharType="end"/>
      </w:r>
      <w:r w:rsidR="003456DE">
        <w:rPr>
          <w:i w:val="0"/>
          <w:color w:val="000000" w:themeColor="text1"/>
          <w:sz w:val="20"/>
          <w:lang w:val="en-GB"/>
        </w:rPr>
        <w:t>. These are found here in the lower percentile of REMIND model results for the “AFOLU|CO2|Land use” sector.</w:t>
      </w:r>
    </w:p>
    <w:p w14:paraId="5E6E820E" w14:textId="4CCB841F" w:rsidR="00F319CF" w:rsidRDefault="00F319CF" w:rsidP="00614FFC">
      <w:pPr>
        <w:pStyle w:val="Listenabsatz"/>
        <w:numPr>
          <w:ilvl w:val="1"/>
          <w:numId w:val="5"/>
        </w:numPr>
        <w:rPr>
          <w:i/>
          <w:lang w:val="en-GB"/>
        </w:rPr>
      </w:pPr>
      <w:r>
        <w:rPr>
          <w:i/>
          <w:lang w:val="en-GB"/>
        </w:rPr>
        <w:t>Explaining variations in residual emissions</w:t>
      </w:r>
    </w:p>
    <w:p w14:paraId="6D83A47D" w14:textId="4BE04A2C" w:rsidR="003D58F5" w:rsidRDefault="00951F0F" w:rsidP="006A5822">
      <w:pPr>
        <w:rPr>
          <w:lang w:val="en-GB"/>
        </w:rPr>
      </w:pPr>
      <w:r>
        <w:rPr>
          <w:lang w:val="en-GB"/>
        </w:rPr>
        <w:t xml:space="preserve">In the prior analysis of sector and subsector emissions, reporting was organised around model </w:t>
      </w:r>
      <w:r w:rsidR="00170FB8">
        <w:rPr>
          <w:lang w:val="en-GB"/>
        </w:rPr>
        <w:t>family</w:t>
      </w:r>
      <w:r>
        <w:rPr>
          <w:lang w:val="en-GB"/>
        </w:rPr>
        <w:t xml:space="preserve">. </w:t>
      </w:r>
      <w:r w:rsidR="00825916">
        <w:rPr>
          <w:lang w:val="en-GB"/>
        </w:rPr>
        <w:t xml:space="preserve">To test </w:t>
      </w:r>
      <w:r w:rsidR="00170FB8">
        <w:rPr>
          <w:lang w:val="en-GB"/>
        </w:rPr>
        <w:t>this</w:t>
      </w:r>
      <w:r w:rsidR="00825916">
        <w:rPr>
          <w:lang w:val="en-GB"/>
        </w:rPr>
        <w:t xml:space="preserve"> assumption that model</w:t>
      </w:r>
      <w:r w:rsidR="004E1BFC">
        <w:rPr>
          <w:lang w:val="en-GB"/>
        </w:rPr>
        <w:t>s</w:t>
      </w:r>
      <w:r w:rsidR="00825916">
        <w:rPr>
          <w:lang w:val="en-GB"/>
        </w:rPr>
        <w:t xml:space="preserve"> </w:t>
      </w:r>
      <w:r w:rsidR="004E1BFC">
        <w:rPr>
          <w:lang w:val="en-GB"/>
        </w:rPr>
        <w:t>are</w:t>
      </w:r>
      <w:r w:rsidR="00825916">
        <w:rPr>
          <w:lang w:val="en-GB"/>
        </w:rPr>
        <w:t xml:space="preserve"> </w:t>
      </w:r>
      <w:r w:rsidR="00170FB8">
        <w:rPr>
          <w:lang w:val="en-GB"/>
        </w:rPr>
        <w:t xml:space="preserve">critical to </w:t>
      </w:r>
      <w:r w:rsidR="00825916">
        <w:rPr>
          <w:lang w:val="en-GB"/>
        </w:rPr>
        <w:t xml:space="preserve">explaining </w:t>
      </w:r>
      <w:r w:rsidR="00B17513">
        <w:rPr>
          <w:lang w:val="en-GB"/>
        </w:rPr>
        <w:t xml:space="preserve">variations in </w:t>
      </w:r>
      <w:r w:rsidR="00825916">
        <w:rPr>
          <w:lang w:val="en-GB"/>
        </w:rPr>
        <w:t xml:space="preserve">residual emissions, I performed a principal component and cluster analysis. The first two principal components explaining 76% of variance in residual emissions at the subsector level show a strong three-way grouping according to model type, with the IMAGE model having the largest spread of outcomes (SI Figure 1). In addition, a k-means analysis </w:t>
      </w:r>
      <w:r w:rsidR="00B17513">
        <w:rPr>
          <w:lang w:val="en-GB"/>
        </w:rPr>
        <w:t xml:space="preserve">– </w:t>
      </w:r>
      <w:r w:rsidR="00825916">
        <w:rPr>
          <w:lang w:val="en-GB"/>
        </w:rPr>
        <w:t xml:space="preserve">again at the subsector level </w:t>
      </w:r>
      <w:r w:rsidR="00B17513">
        <w:rPr>
          <w:lang w:val="en-GB"/>
        </w:rPr>
        <w:t xml:space="preserve">– </w:t>
      </w:r>
      <w:r w:rsidR="00825916">
        <w:rPr>
          <w:lang w:val="en-GB"/>
        </w:rPr>
        <w:t>resolves one cluster each for IMAGE, MESSAGE and REMIND at 3 clusters. Further numbers of clusters tend to depict additional variance within the models</w:t>
      </w:r>
      <w:r w:rsidR="00170FB8">
        <w:rPr>
          <w:lang w:val="en-GB"/>
        </w:rPr>
        <w:t xml:space="preserve"> until 5 clusters are reached</w:t>
      </w:r>
      <w:r w:rsidR="00825916">
        <w:rPr>
          <w:lang w:val="en-GB"/>
        </w:rPr>
        <w:t xml:space="preserve"> (SI Table 1).</w:t>
      </w:r>
      <w:r w:rsidR="004E1BFC">
        <w:rPr>
          <w:lang w:val="en-GB"/>
        </w:rPr>
        <w:t xml:space="preserve"> In other words, scenarios that have similar </w:t>
      </w:r>
      <w:r w:rsidR="00170FB8">
        <w:rPr>
          <w:lang w:val="en-GB"/>
        </w:rPr>
        <w:t xml:space="preserve">outcomes in terms of </w:t>
      </w:r>
      <w:r w:rsidR="00B17513">
        <w:rPr>
          <w:lang w:val="en-GB"/>
        </w:rPr>
        <w:t xml:space="preserve">subsector residual emissions </w:t>
      </w:r>
      <w:r w:rsidR="004E1BFC">
        <w:rPr>
          <w:lang w:val="en-GB"/>
        </w:rPr>
        <w:t>tend to belong to the same model family.</w:t>
      </w:r>
    </w:p>
    <w:p w14:paraId="1B4D0BC6" w14:textId="4B1797DB" w:rsidR="00957FD1" w:rsidRDefault="00957FD1" w:rsidP="003D58F5">
      <w:pPr>
        <w:keepNext/>
      </w:pPr>
      <w:r>
        <w:rPr>
          <w:noProof/>
          <w:lang w:val="en-GB" w:eastAsia="en-GB"/>
        </w:rPr>
        <w:lastRenderedPageBreak/>
        <w:drawing>
          <wp:inline distT="0" distB="0" distL="0" distR="0" wp14:anchorId="63298858" wp14:editId="1ACEB0DE">
            <wp:extent cx="5760720" cy="64808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_scenario_characteristic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6480810"/>
                    </a:xfrm>
                    <a:prstGeom prst="rect">
                      <a:avLst/>
                    </a:prstGeom>
                  </pic:spPr>
                </pic:pic>
              </a:graphicData>
            </a:graphic>
          </wp:inline>
        </w:drawing>
      </w:r>
    </w:p>
    <w:p w14:paraId="485D0644" w14:textId="3B71E096" w:rsidR="00A73580" w:rsidRPr="005E03BF" w:rsidRDefault="003D58F5" w:rsidP="003D58F5">
      <w:pPr>
        <w:pStyle w:val="Beschriftung"/>
        <w:rPr>
          <w:lang w:val="en-GB"/>
        </w:rPr>
      </w:pPr>
      <w:bookmarkStart w:id="3" w:name="_Ref144979383"/>
      <w:bookmarkStart w:id="4" w:name="_Ref144979378"/>
      <w:r w:rsidRPr="005E03BF">
        <w:rPr>
          <w:b/>
          <w:i w:val="0"/>
          <w:color w:val="000000" w:themeColor="text1"/>
          <w:sz w:val="20"/>
          <w:lang w:val="en-GB"/>
        </w:rPr>
        <w:t xml:space="preserve">Figure </w:t>
      </w:r>
      <w:r w:rsidRPr="005E03BF">
        <w:rPr>
          <w:b/>
          <w:i w:val="0"/>
          <w:color w:val="000000" w:themeColor="text1"/>
          <w:sz w:val="20"/>
          <w:lang w:val="en-GB"/>
        </w:rPr>
        <w:fldChar w:fldCharType="begin"/>
      </w:r>
      <w:r w:rsidRPr="005E03BF">
        <w:rPr>
          <w:b/>
          <w:i w:val="0"/>
          <w:color w:val="000000" w:themeColor="text1"/>
          <w:sz w:val="20"/>
          <w:lang w:val="en-GB"/>
        </w:rPr>
        <w:instrText xml:space="preserve"> SEQ Figure \* ARABIC </w:instrText>
      </w:r>
      <w:r w:rsidRPr="005E03BF">
        <w:rPr>
          <w:b/>
          <w:i w:val="0"/>
          <w:color w:val="000000" w:themeColor="text1"/>
          <w:sz w:val="20"/>
          <w:lang w:val="en-GB"/>
        </w:rPr>
        <w:fldChar w:fldCharType="separate"/>
      </w:r>
      <w:r w:rsidRPr="005E03BF">
        <w:rPr>
          <w:b/>
          <w:i w:val="0"/>
          <w:color w:val="000000" w:themeColor="text1"/>
          <w:sz w:val="20"/>
          <w:lang w:val="en-GB"/>
        </w:rPr>
        <w:t>4</w:t>
      </w:r>
      <w:r w:rsidRPr="005E03BF">
        <w:rPr>
          <w:b/>
          <w:i w:val="0"/>
          <w:color w:val="000000" w:themeColor="text1"/>
          <w:sz w:val="20"/>
          <w:lang w:val="en-GB"/>
        </w:rPr>
        <w:fldChar w:fldCharType="end"/>
      </w:r>
      <w:bookmarkEnd w:id="3"/>
      <w:r w:rsidRPr="005E03BF">
        <w:rPr>
          <w:b/>
          <w:i w:val="0"/>
          <w:color w:val="000000" w:themeColor="text1"/>
          <w:sz w:val="20"/>
          <w:lang w:val="en-GB"/>
        </w:rPr>
        <w:t xml:space="preserve">: </w:t>
      </w:r>
      <w:bookmarkEnd w:id="4"/>
      <w:r w:rsidR="005E03BF" w:rsidRPr="005E03BF">
        <w:rPr>
          <w:b/>
          <w:i w:val="0"/>
          <w:color w:val="000000" w:themeColor="text1"/>
          <w:sz w:val="20"/>
          <w:lang w:val="en-GB"/>
        </w:rPr>
        <w:t>Scenario characteristics and residual emissions at net zero</w:t>
      </w:r>
      <w:r w:rsidR="005E03BF">
        <w:rPr>
          <w:b/>
          <w:i w:val="0"/>
          <w:color w:val="000000" w:themeColor="text1"/>
          <w:sz w:val="20"/>
          <w:lang w:val="en-GB"/>
        </w:rPr>
        <w:t xml:space="preserve">. </w:t>
      </w:r>
      <w:r w:rsidR="00761B7A">
        <w:rPr>
          <w:i w:val="0"/>
          <w:color w:val="000000" w:themeColor="text1"/>
          <w:sz w:val="20"/>
          <w:lang w:val="en-GB"/>
        </w:rPr>
        <w:t xml:space="preserve">Each row depicts the spread of residual GHG emissions at net zero for scenarios with the given characteristic, with vertical lines depicting the row-wise median. The fraction of the row-wise sample is given in the right column (out of a total of 156 scenarios). </w:t>
      </w:r>
    </w:p>
    <w:p w14:paraId="2DE9EC3B" w14:textId="77777777" w:rsidR="006A5822" w:rsidRDefault="006A5822" w:rsidP="006A5822">
      <w:pPr>
        <w:rPr>
          <w:lang w:val="en-GB"/>
        </w:rPr>
      </w:pPr>
      <w:r>
        <w:rPr>
          <w:lang w:val="en-GB"/>
        </w:rPr>
        <w:t>The AR6 scenario database provides some high-level scenario characteristics to aid inter-comparison, namely the “policy category”, “project study”, “SSP family” and “technology category” variables. However, descriptively, these characteristics do not provide significant insight on why total residual emissions vary between scenarios (</w:t>
      </w:r>
      <w:r>
        <w:rPr>
          <w:lang w:val="en-GB"/>
        </w:rPr>
        <w:fldChar w:fldCharType="begin"/>
      </w:r>
      <w:r>
        <w:rPr>
          <w:lang w:val="en-GB"/>
        </w:rPr>
        <w:instrText xml:space="preserve"> REF _Ref144979383 \h </w:instrText>
      </w:r>
      <w:r>
        <w:rPr>
          <w:lang w:val="en-GB"/>
        </w:rPr>
      </w:r>
      <w:r>
        <w:rPr>
          <w:lang w:val="en-GB"/>
        </w:rPr>
        <w:fldChar w:fldCharType="separate"/>
      </w:r>
      <w:r w:rsidRPr="00B17513">
        <w:rPr>
          <w:lang w:val="en-GB"/>
        </w:rPr>
        <w:t xml:space="preserve">Figure </w:t>
      </w:r>
      <w:r w:rsidRPr="00B17513">
        <w:rPr>
          <w:noProof/>
          <w:lang w:val="en-GB"/>
        </w:rPr>
        <w:t>4</w:t>
      </w:r>
      <w:r>
        <w:rPr>
          <w:lang w:val="en-GB"/>
        </w:rPr>
        <w:fldChar w:fldCharType="end"/>
      </w:r>
      <w:r>
        <w:rPr>
          <w:lang w:val="en-GB"/>
        </w:rPr>
        <w:t>). Further, several characteristics are highly weighted in the sample and correlate with the model family. For instance, when discarding the three policy categories that are entirely weighted by model family, median total residual GHG emissions are highly similar between immediate (P2c) and delayed action (P3b) scenarios (</w:t>
      </w:r>
      <w:r>
        <w:rPr>
          <w:lang w:val="en-GB"/>
        </w:rPr>
        <w:fldChar w:fldCharType="begin"/>
      </w:r>
      <w:r>
        <w:rPr>
          <w:lang w:val="en-GB"/>
        </w:rPr>
        <w:instrText xml:space="preserve"> REF _Ref144979383 \h </w:instrText>
      </w:r>
      <w:r>
        <w:rPr>
          <w:lang w:val="en-GB"/>
        </w:rPr>
      </w:r>
      <w:r>
        <w:rPr>
          <w:lang w:val="en-GB"/>
        </w:rPr>
        <w:fldChar w:fldCharType="separate"/>
      </w:r>
      <w:r w:rsidRPr="00B17513">
        <w:rPr>
          <w:lang w:val="en-GB"/>
        </w:rPr>
        <w:t xml:space="preserve">Figure </w:t>
      </w:r>
      <w:r w:rsidRPr="00B17513">
        <w:rPr>
          <w:noProof/>
          <w:lang w:val="en-GB"/>
        </w:rPr>
        <w:t>4</w:t>
      </w:r>
      <w:r>
        <w:rPr>
          <w:lang w:val="en-GB"/>
        </w:rPr>
        <w:fldChar w:fldCharType="end"/>
      </w:r>
      <w:r>
        <w:rPr>
          <w:lang w:val="en-GB"/>
        </w:rPr>
        <w:t xml:space="preserve">). In addition, a significant majority of scenarios are sourced from the ENGAGE project (77% of total), the SSP2 “Middle of the Road” pathway (91%), and do not report any distinguishing technology characteristics (76%). However, a handful of studies are responsible for delivering a set of REMIND scenarios with </w:t>
      </w:r>
      <w:r>
        <w:rPr>
          <w:lang w:val="en-GB"/>
        </w:rPr>
        <w:lastRenderedPageBreak/>
        <w:t xml:space="preserve">the lowest residual emissions in the ensemble </w:t>
      </w:r>
      <w:r>
        <w:rPr>
          <w:lang w:val="en-GB"/>
        </w:rPr>
        <w:fldChar w:fldCharType="begin"/>
      </w:r>
      <w:r>
        <w:rPr>
          <w:lang w:val="en-GB"/>
        </w:rPr>
        <w:instrText xml:space="preserve"> ADDIN ZOTERO_ITEM CSL_CITATION {"citationID":"FGxc4KjP","properties":{"formattedCitation":"(Strefler {\\i{}et al} 2021, Luderer {\\i{}et al} 2022, Soergel {\\i{}et al} 2021)","plainCitation":"(Strefler et al 2021, Luderer et al 2022, Soergel et al 2021)","noteIndex":0},"citationItems":[{"id":13515,"uris":["http://zotero.org/users/6250806/items/RRXGLFY4"],"itemData":{"id":13515,"type":"article-journal","abstract":"Abstract\n            \n              Technologies for carbon dioxide removal (CDR) from the atmosphere have been recognized as an important part of limiting warming to well below 2 °C called for in the Paris Agreement. However, many scenarios so far rely on bioenergy in combination with carbon capture and storage as the only CDR technology. Various other options have been proposed, but have scarcely been taken up in an integrated assessment of mitigation pathways. In this study we analyze a comprehensive portfolio of CDR options in terms of their regional and temporal deployment patterns in climate change mitigation pathways and the resulting challenges. We show that any CDR option with sufficient potential can reduce the economic costs of achieving the 1.5 °C target substantially without increasing the temperature overshoot. CDR helps to reduce net CO\n              2\n              emissions faster and achieve carbon neutrality earlier. The regional distribution of CDR deployment in cost-effective mitigation pathways depends on which options are available. If only enhanced weathering of rocks on croplands or re- and afforestation are available, Latin America and Asia cover nearly all of global CDR deployment. Besides fairness and sustainability concerns, such a regional concentration would require large international transfers and thus strong international institutions. In our study, the full portfolio scenario is the most balanced from a regional perspective. This indicates that different CDR options should be developed such that all regions can contribute according to their regional potentials.","container-title":"Environmental Research Letters","DOI":"10.1088/1748-9326/ac0a11","ISSN":"1748-9326","issue":"7","journalAbbreviation":"Environ. Res. Lett.","language":"en","page":"074021","source":"DOI.org (Crossref)","title":"Carbon dioxide removal technologies are not born equal","volume":"16","author":[{"family":"Strefler","given":"Jessica"},{"family":"Bauer","given":"Nico"},{"family":"Humpenöder","given":"Florian"},{"family":"Klein","given":"David"},{"family":"Popp","given":"Alexander"},{"family":"Kriegler","given":"Elmar"}],"issued":{"date-parts":[["2021",7,1]]},"citation-key":"streflerCarbonDioxideRemoval2021"}},{"id":13200,"uris":["http://zotero.org/users/6250806/items/FVW647YF"],"itemData":{"id":13200,"type":"article-journal","container-title":"Nature Energy","DOI":"10.1038/s41560-021-00937-z","ISSN":"2058-7546","issue":"1","journalAbbreviation":"Nat Energy","language":"en","page":"32-42","source":"DOI.org (Crossref)","title":"Impact of declining renewable energy costs on electrification in low-emission scenarios","volume":"7","author":[{"family":"Luderer","given":"Gunnar"},{"family":"Madeddu","given":"Silvia"},{"family":"Merfort","given":"Leon"},{"family":"Ueckerdt","given":"Falko"},{"family":"Pehl","given":"Michaja"},{"family":"Pietzcker","given":"Robert"},{"family":"Rottoli","given":"Marianna"},{"family":"Schreyer","given":"Felix"},{"family":"Bauer","given":"Nico"},{"family":"Baumstark","given":"Lavinia"},{"family":"Bertram","given":"Christoph"},{"family":"Dirnaichner","given":"Alois"},{"family":"Humpenöder","given":"Florian"},{"family":"Levesque","given":"Antoine"},{"family":"Popp","given":"Alexander"},{"family":"Rodrigues","given":"Renato"},{"family":"Strefler","given":"Jessica"},{"family":"Kriegler","given":"Elmar"}],"issued":{"date-parts":[["2022",1]]},"citation-key":"ludererImpactDecliningRenewable2022"}},{"id":13572,"uris":["http://zotero.org/users/6250806/items/3DLMM22G"],"itemData":{"id":13572,"type":"article-journal","container-title":"Nature Climate Change","DOI":"10.1038/s41558-021-01098-3","ISSN":"1758-678X, 1758-6798","issue":"8","journalAbbreviation":"Nat. Clim. Chang.","language":"en","page":"656-664","source":"DOI.org (Crossref)","title":"A sustainable development pathway for climate action within the UN 2030 Agenda","volume":"11","author":[{"family":"Soergel","given":"Bjoern"},{"family":"Kriegler","given":"Elmar"},{"family":"Weindl","given":"Isabelle"},{"family":"Rauner","given":"Sebastian"},{"family":"Dirnaichner","given":"Alois"},{"family":"Ruhe","given":"Constantin"},{"family":"Hofmann","given":"Matthias"},{"family":"Bauer","given":"Nico"},{"family":"Bertram","given":"Christoph"},{"family":"Bodirsky","given":"Benjamin Leon"},{"family":"Leimbach","given":"Marian"},{"family":"Leininger","given":"Julia"},{"family":"Levesque","given":"Antoine"},{"family":"Luderer","given":"Gunnar"},{"family":"Pehl","given":"Michaja"},{"family":"Wingens","given":"Christopher"},{"family":"Baumstark","given":"Lavinia"},{"family":"Beier","given":"Felicitas"},{"family":"Dietrich","given":"Jan Philipp"},{"family":"Humpenöder","given":"Florian"},{"family":"Jeetze","given":"Patrick","non-dropping-particle":"von"},{"family":"Klein","given":"David"},{"family":"Koch","given":"Johannes"},{"family":"Pietzcker","given":"Robert"},{"family":"Strefler","given":"Jessica"},{"family":"Lotze-Campen","given":"Hermann"},{"family":"Popp","given":"Alexander"}],"issued":{"date-parts":[["2021",8]]},"citation-key":"soergelSustainableDevelopmentPathway2021"}}],"schema":"https://github.com/citation-style-language/schema/raw/master/csl-citation.json"} </w:instrText>
      </w:r>
      <w:r>
        <w:rPr>
          <w:lang w:val="en-GB"/>
        </w:rPr>
        <w:fldChar w:fldCharType="separate"/>
      </w:r>
      <w:r w:rsidRPr="00B34A0D">
        <w:rPr>
          <w:rFonts w:ascii="Calibri" w:hAnsi="Calibri" w:cs="Calibri"/>
          <w:szCs w:val="24"/>
        </w:rPr>
        <w:t xml:space="preserve">(Strefler </w:t>
      </w:r>
      <w:r w:rsidRPr="00B34A0D">
        <w:rPr>
          <w:rFonts w:ascii="Calibri" w:hAnsi="Calibri" w:cs="Calibri"/>
          <w:i/>
          <w:iCs/>
          <w:szCs w:val="24"/>
        </w:rPr>
        <w:t>et al</w:t>
      </w:r>
      <w:r w:rsidRPr="00B34A0D">
        <w:rPr>
          <w:rFonts w:ascii="Calibri" w:hAnsi="Calibri" w:cs="Calibri"/>
          <w:szCs w:val="24"/>
        </w:rPr>
        <w:t xml:space="preserve"> 2021, Luderer </w:t>
      </w:r>
      <w:r w:rsidRPr="00B34A0D">
        <w:rPr>
          <w:rFonts w:ascii="Calibri" w:hAnsi="Calibri" w:cs="Calibri"/>
          <w:i/>
          <w:iCs/>
          <w:szCs w:val="24"/>
        </w:rPr>
        <w:t>et al</w:t>
      </w:r>
      <w:r w:rsidRPr="00B34A0D">
        <w:rPr>
          <w:rFonts w:ascii="Calibri" w:hAnsi="Calibri" w:cs="Calibri"/>
          <w:szCs w:val="24"/>
        </w:rPr>
        <w:t xml:space="preserve"> 2022, Soergel </w:t>
      </w:r>
      <w:r w:rsidRPr="00B34A0D">
        <w:rPr>
          <w:rFonts w:ascii="Calibri" w:hAnsi="Calibri" w:cs="Calibri"/>
          <w:i/>
          <w:iCs/>
          <w:szCs w:val="24"/>
        </w:rPr>
        <w:t>et al</w:t>
      </w:r>
      <w:r w:rsidRPr="00B34A0D">
        <w:rPr>
          <w:rFonts w:ascii="Calibri" w:hAnsi="Calibri" w:cs="Calibri"/>
          <w:szCs w:val="24"/>
        </w:rPr>
        <w:t xml:space="preserve"> 2021)</w:t>
      </w:r>
      <w:r>
        <w:rPr>
          <w:lang w:val="en-GB"/>
        </w:rPr>
        <w:fldChar w:fldCharType="end"/>
      </w:r>
      <w:r>
        <w:rPr>
          <w:lang w:val="en-GB"/>
        </w:rPr>
        <w:t xml:space="preserve">. </w:t>
      </w:r>
    </w:p>
    <w:p w14:paraId="1046E650" w14:textId="77777777" w:rsidR="00E3654A" w:rsidRDefault="00E3654A" w:rsidP="00E3654A">
      <w:pPr>
        <w:pStyle w:val="Listenabsatz"/>
        <w:numPr>
          <w:ilvl w:val="0"/>
          <w:numId w:val="5"/>
        </w:numPr>
        <w:rPr>
          <w:lang w:val="en-GB"/>
        </w:rPr>
      </w:pPr>
      <w:r>
        <w:rPr>
          <w:lang w:val="en-GB"/>
        </w:rPr>
        <w:t>Discussion</w:t>
      </w:r>
    </w:p>
    <w:p w14:paraId="1BB7DBE9" w14:textId="28B49351" w:rsidR="00AC2F45" w:rsidRDefault="002C63CC" w:rsidP="00AC2F45">
      <w:pPr>
        <w:rPr>
          <w:lang w:val="en-GB"/>
        </w:rPr>
      </w:pPr>
      <w:r>
        <w:rPr>
          <w:lang w:val="en-GB"/>
        </w:rPr>
        <w:t xml:space="preserve">In this article I assess the level and composition of residual GHG emissions in AR6 scenarios. </w:t>
      </w:r>
      <w:r w:rsidR="00EB19F9">
        <w:rPr>
          <w:lang w:val="en-GB"/>
        </w:rPr>
        <w:t xml:space="preserve">An important motivation for this is simple transparency: as discussions of net zero move into practice, there are increasing calls to distinguish gross emissions and removals in pledges, plans and policies </w:t>
      </w:r>
      <w:r w:rsidR="00EB19F9">
        <w:rPr>
          <w:lang w:val="en-GB"/>
        </w:rPr>
        <w:fldChar w:fldCharType="begin"/>
      </w:r>
      <w:r w:rsidR="00EB19F9">
        <w:rPr>
          <w:lang w:val="en-GB"/>
        </w:rPr>
        <w:instrText xml:space="preserve"> ADDIN ZOTERO_ITEM CSL_CITATION {"citationID":"Pq6s4NC1","properties":{"formattedCitation":"(Rogelj {\\i{}et al} 2021, Buck {\\i{}et al} 2023)","plainCitation":"(Rogelj et al 2021, Buck et al 2023)","noteIndex":0},"citationItems":[{"id":12923,"uris":["http://zotero.org/users/6250806/items/87EQZ32Q"],"itemData":{"id":12923,"type":"article-journal","container-title":"Nature","DOI":"10.1038/d41586-021-00662-3","ISSN":"0028-0836, 1476-4687","issue":"7850","journalAbbreviation":"Nature","language":"en","page":"365-368","source":"DOI.org (Crossref)","title":"Net-zero emissions targets are vague: three ways to fix","title-short":"Net-zero emissions targets are vague","volume":"591","author":[{"family":"Rogelj","given":"Joeri"},{"family":"Geden","given":"Oliver"},{"family":"Cowie","given":"Annette"},{"family":"Reisinger","given":"Andy"}],"issued":{"date-parts":[["2021",3,18]]},"citation-key":"rogeljNetzeroEmissionsTargets2021"}},{"id":13656,"uris":["http://zotero.org/users/6250806/items/BU8P3XMT"],"itemData":{"id":13656,"type":"article-journal","abstract":"Abstract\n            Net-zero targets imply that continuing residual emissions will be balanced by carbon dioxide removal. However, residual emissions are typically not well defined, conceptually or quantitatively. We analysed governments’ long-term strategies submitted to the UNFCCC to explore projections of residual emissions, including amounts and sectors. We found substantial levels of residual emissions at net-zero greenhouse gas emissions, on average 18% of current emissions for Annex I countries. The majority of strategies were imprecise about which sectors residual emissions would originate from, and few offered specific projections of how residual emissions could be balanced by carbon removal. Our findings indicate the need for a consistent definition of residual emissions, as well as processes that standardize and compare expectations about residual emissions across countries. This is necessary for two reasons: to avoid projections of excessive residuals and correspondent unsustainable or unfeasible carbon-removal levels and to send clearer signals about the temporality of fossil fuel use.","container-title":"Nature Climate Change","DOI":"10.1038/s41558-022-01592-2","ISSN":"1758-678X, 1758-6798","issue":"4","journalAbbreviation":"Nat. Clim. Chang.","language":"en","page":"351-358","source":"DOI.org (Crossref)","title":"Why residual emissions matter right now","volume":"13","author":[{"family":"Buck","given":"Holly Jean"},{"family":"Carton","given":"Wim"},{"family":"Lund","given":"Jens Friis"},{"family":"Markusson","given":"Nils"}],"issued":{"date-parts":[["2023",4]]},"citation-key":"buckWhyResidualEmissions2023"}}],"schema":"https://github.com/citation-style-language/schema/raw/master/csl-citation.json"} </w:instrText>
      </w:r>
      <w:r w:rsidR="00EB19F9">
        <w:rPr>
          <w:lang w:val="en-GB"/>
        </w:rPr>
        <w:fldChar w:fldCharType="separate"/>
      </w:r>
      <w:r w:rsidR="00B34A0D" w:rsidRPr="00B34A0D">
        <w:rPr>
          <w:rFonts w:ascii="Calibri" w:hAnsi="Calibri" w:cs="Calibri"/>
          <w:szCs w:val="24"/>
        </w:rPr>
        <w:t xml:space="preserve">(Rogelj </w:t>
      </w:r>
      <w:r w:rsidR="00B34A0D" w:rsidRPr="00B34A0D">
        <w:rPr>
          <w:rFonts w:ascii="Calibri" w:hAnsi="Calibri" w:cs="Calibri"/>
          <w:i/>
          <w:iCs/>
          <w:szCs w:val="24"/>
        </w:rPr>
        <w:t>et al</w:t>
      </w:r>
      <w:r w:rsidR="00B34A0D" w:rsidRPr="00B34A0D">
        <w:rPr>
          <w:rFonts w:ascii="Calibri" w:hAnsi="Calibri" w:cs="Calibri"/>
          <w:szCs w:val="24"/>
        </w:rPr>
        <w:t xml:space="preserve"> 2021, Buck </w:t>
      </w:r>
      <w:r w:rsidR="00B34A0D" w:rsidRPr="00B34A0D">
        <w:rPr>
          <w:rFonts w:ascii="Calibri" w:hAnsi="Calibri" w:cs="Calibri"/>
          <w:i/>
          <w:iCs/>
          <w:szCs w:val="24"/>
        </w:rPr>
        <w:t>et al</w:t>
      </w:r>
      <w:r w:rsidR="00B34A0D" w:rsidRPr="00B34A0D">
        <w:rPr>
          <w:rFonts w:ascii="Calibri" w:hAnsi="Calibri" w:cs="Calibri"/>
          <w:szCs w:val="24"/>
        </w:rPr>
        <w:t xml:space="preserve"> 2023)</w:t>
      </w:r>
      <w:r w:rsidR="00EB19F9">
        <w:rPr>
          <w:lang w:val="en-GB"/>
        </w:rPr>
        <w:fldChar w:fldCharType="end"/>
      </w:r>
      <w:r w:rsidR="00EB19F9">
        <w:rPr>
          <w:lang w:val="en-GB"/>
        </w:rPr>
        <w:t xml:space="preserve">. It would be similarly desirable to achieve such transparency in </w:t>
      </w:r>
      <w:r w:rsidR="00F8209B">
        <w:rPr>
          <w:lang w:val="en-GB"/>
        </w:rPr>
        <w:t xml:space="preserve">the scenario literature, which is an influential source of </w:t>
      </w:r>
      <w:r w:rsidR="009817E0">
        <w:rPr>
          <w:lang w:val="en-GB"/>
        </w:rPr>
        <w:t xml:space="preserve">climate </w:t>
      </w:r>
      <w:r w:rsidR="00F8209B">
        <w:rPr>
          <w:lang w:val="en-GB"/>
        </w:rPr>
        <w:t xml:space="preserve">policy advice. </w:t>
      </w:r>
      <w:r w:rsidR="00AC2F45">
        <w:rPr>
          <w:lang w:val="en-GB"/>
        </w:rPr>
        <w:t xml:space="preserve">Countries are now starting to adopt </w:t>
      </w:r>
      <w:r w:rsidR="009817E0">
        <w:rPr>
          <w:lang w:val="en-GB"/>
        </w:rPr>
        <w:t xml:space="preserve">scenarios in </w:t>
      </w:r>
      <w:r w:rsidR="00AC2F45">
        <w:rPr>
          <w:lang w:val="en-GB"/>
        </w:rPr>
        <w:t xml:space="preserve">their </w:t>
      </w:r>
      <w:r w:rsidR="00225055">
        <w:rPr>
          <w:lang w:val="en-GB"/>
        </w:rPr>
        <w:t xml:space="preserve">long-term low emissions development strategies, </w:t>
      </w:r>
      <w:r w:rsidR="00AC2F45">
        <w:rPr>
          <w:lang w:val="en-GB"/>
        </w:rPr>
        <w:t>mak</w:t>
      </w:r>
      <w:r w:rsidR="009817E0">
        <w:rPr>
          <w:lang w:val="en-GB"/>
        </w:rPr>
        <w:t>ing</w:t>
      </w:r>
      <w:r w:rsidR="00AC2F45">
        <w:rPr>
          <w:lang w:val="en-GB"/>
        </w:rPr>
        <w:t xml:space="preserve"> it even more important to elevate transparency standards and ensure these are open for critical appraisal </w:t>
      </w:r>
      <w:r w:rsidR="00AC2F45">
        <w:rPr>
          <w:lang w:val="en-GB"/>
        </w:rPr>
        <w:fldChar w:fldCharType="begin"/>
      </w:r>
      <w:r w:rsidR="00FC7E15">
        <w:rPr>
          <w:lang w:val="en-GB"/>
        </w:rPr>
        <w:instrText xml:space="preserve"> ADDIN ZOTERO_ITEM CSL_CITATION {"citationID":"EjQTdS9S","properties":{"formattedCitation":"(Smith {\\i{}et al} 2022)","plainCitation":"(Smith et al 2022)","noteIndex":0},"citationItems":[{"id":13429,"uris":["http://zotero.org/users/6250806/items/FIJ8XJ5S"],"itemData":{"id":13429,"type":"article-journal","abstract":"Abstract\n            \n              The deployment of carbon dioxide removal is essential to reach global and national net-zero emissions targets, but little attention has been paid to its practical deployment by countries. Here, we analyse how carbon dioxide removal methods are integrated into 41 of the 50 Long-term Low Emission Development Strategies submitted to the United Nations Framework Convention on Climate Change (UNFCCC), before 2022. We show that enhancing forest and soil carbon sinks are the most advocated strategies but are only explicitly quantified in 12. Residual emissions by 2050 are only quantified in 20 strategies and most of them use forests to achieve national net-zero targets. Strategies that quantify both residual emissions and carbon dioxide removal identify national constraints, such as wildfire risks to forests and limited geological CO\n              2\n              storage capacity. These strategies also highlight the need for international cooperation. Taken together, we suggest that the UNFCCC should urgently strengthen its reporting requirements on long-term national climate strategies.","container-title":"Communications Earth &amp; Environment","DOI":"10.1038/s43247-022-00636-x","ISSN":"2662-4435","issue":"1","journalAbbreviation":"Commun Earth Environ","language":"en","page":"305","source":"DOI.org (Crossref)","title":"Long-term national climate strategies bet on forests and soils to reach net-zero","volume":"3","author":[{"family":"Smith","given":"Harry B."},{"family":"Vaughan","given":"Naomi E."},{"family":"Forster","given":"Johanna"}],"issued":{"date-parts":[["2022",12,7]]},"citation-key":"smithLongtermNationalClimate2022"}}],"schema":"https://github.com/citation-style-language/schema/raw/master/csl-citation.json"} </w:instrText>
      </w:r>
      <w:r w:rsidR="00AC2F45">
        <w:rPr>
          <w:lang w:val="en-GB"/>
        </w:rPr>
        <w:fldChar w:fldCharType="separate"/>
      </w:r>
      <w:r w:rsidR="00B34A0D" w:rsidRPr="00B34A0D">
        <w:rPr>
          <w:rFonts w:ascii="Calibri" w:hAnsi="Calibri" w:cs="Calibri"/>
          <w:szCs w:val="24"/>
        </w:rPr>
        <w:t xml:space="preserve">(Smith </w:t>
      </w:r>
      <w:r w:rsidR="00B34A0D" w:rsidRPr="00B34A0D">
        <w:rPr>
          <w:rFonts w:ascii="Calibri" w:hAnsi="Calibri" w:cs="Calibri"/>
          <w:i/>
          <w:iCs/>
          <w:szCs w:val="24"/>
        </w:rPr>
        <w:t>et al</w:t>
      </w:r>
      <w:r w:rsidR="00B34A0D" w:rsidRPr="00B34A0D">
        <w:rPr>
          <w:rFonts w:ascii="Calibri" w:hAnsi="Calibri" w:cs="Calibri"/>
          <w:szCs w:val="24"/>
        </w:rPr>
        <w:t xml:space="preserve"> 2022)</w:t>
      </w:r>
      <w:r w:rsidR="00AC2F45">
        <w:rPr>
          <w:lang w:val="en-GB"/>
        </w:rPr>
        <w:fldChar w:fldCharType="end"/>
      </w:r>
      <w:r w:rsidR="00AC2F45">
        <w:rPr>
          <w:lang w:val="en-GB"/>
        </w:rPr>
        <w:t>.</w:t>
      </w:r>
    </w:p>
    <w:p w14:paraId="2A6CBD01" w14:textId="0E45C7BC" w:rsidR="0028512D" w:rsidRDefault="00FC7E15" w:rsidP="00C43193">
      <w:pPr>
        <w:rPr>
          <w:lang w:val="en-GB"/>
        </w:rPr>
      </w:pPr>
      <w:r>
        <w:rPr>
          <w:lang w:val="en-GB"/>
        </w:rPr>
        <w:t>As it stands, a</w:t>
      </w:r>
      <w:r w:rsidR="00F8209B">
        <w:rPr>
          <w:lang w:val="en-GB"/>
        </w:rPr>
        <w:t xml:space="preserve"> relatively complex </w:t>
      </w:r>
      <w:r>
        <w:rPr>
          <w:lang w:val="en-GB"/>
        </w:rPr>
        <w:t xml:space="preserve">set of </w:t>
      </w:r>
      <w:r w:rsidR="00F8209B">
        <w:rPr>
          <w:lang w:val="en-GB"/>
        </w:rPr>
        <w:t xml:space="preserve">procedures are required to calculate residual emissions in the current iteration of the IPCC scenario database. Such information could be put </w:t>
      </w:r>
      <w:r w:rsidR="00AC2F45">
        <w:rPr>
          <w:lang w:val="en-GB"/>
        </w:rPr>
        <w:t xml:space="preserve">further </w:t>
      </w:r>
      <w:r w:rsidR="00F8209B">
        <w:rPr>
          <w:lang w:val="en-GB"/>
        </w:rPr>
        <w:t>within reach if gross emissions and removals were reported separately</w:t>
      </w:r>
      <w:r w:rsidR="001D33D9">
        <w:rPr>
          <w:lang w:val="en-GB"/>
        </w:rPr>
        <w:t xml:space="preserve"> in each relevant sector</w:t>
      </w:r>
      <w:r w:rsidR="00F8209B">
        <w:rPr>
          <w:lang w:val="en-GB"/>
        </w:rPr>
        <w:t xml:space="preserve">. </w:t>
      </w:r>
      <w:r w:rsidR="00AC2F45">
        <w:rPr>
          <w:lang w:val="en-GB"/>
        </w:rPr>
        <w:t xml:space="preserve">This becomes increasingly </w:t>
      </w:r>
      <w:r>
        <w:rPr>
          <w:lang w:val="en-GB"/>
        </w:rPr>
        <w:t>relevant</w:t>
      </w:r>
      <w:r w:rsidR="00AC2F45">
        <w:rPr>
          <w:lang w:val="en-GB"/>
        </w:rPr>
        <w:t xml:space="preserve"> as new CDR technologies </w:t>
      </w:r>
      <w:r w:rsidR="001D33D9">
        <w:rPr>
          <w:lang w:val="en-GB"/>
        </w:rPr>
        <w:t>that belong to neither the land use nor the energy supply sectors</w:t>
      </w:r>
      <w:r>
        <w:rPr>
          <w:lang w:val="en-GB"/>
        </w:rPr>
        <w:t xml:space="preserve"> are integrated into scenarios</w:t>
      </w:r>
      <w:r w:rsidR="00AC2F45">
        <w:rPr>
          <w:lang w:val="en-GB"/>
        </w:rPr>
        <w:t xml:space="preserve">. </w:t>
      </w:r>
      <w:r w:rsidR="00C43193">
        <w:rPr>
          <w:lang w:val="en-GB"/>
        </w:rPr>
        <w:t>For instance, i</w:t>
      </w:r>
      <w:r w:rsidR="001D33D9">
        <w:rPr>
          <w:lang w:val="en-GB"/>
        </w:rPr>
        <w:t xml:space="preserve">t is currently unclear which </w:t>
      </w:r>
      <w:r w:rsidR="00C43193">
        <w:rPr>
          <w:lang w:val="en-GB"/>
        </w:rPr>
        <w:t xml:space="preserve">gross </w:t>
      </w:r>
      <w:r w:rsidR="001D33D9">
        <w:rPr>
          <w:lang w:val="en-GB"/>
        </w:rPr>
        <w:t>emissions are offset by direct air capture, which are here allocated to a residual “CO2|Other” category</w:t>
      </w:r>
      <w:r w:rsidR="00C43193">
        <w:rPr>
          <w:lang w:val="en-GB"/>
        </w:rPr>
        <w:t xml:space="preserve">. </w:t>
      </w:r>
      <w:r>
        <w:rPr>
          <w:lang w:val="en-GB"/>
        </w:rPr>
        <w:t>S</w:t>
      </w:r>
      <w:r w:rsidR="00C43193">
        <w:rPr>
          <w:lang w:val="en-GB"/>
        </w:rPr>
        <w:t>imilar problem</w:t>
      </w:r>
      <w:r>
        <w:rPr>
          <w:lang w:val="en-GB"/>
        </w:rPr>
        <w:t>s</w:t>
      </w:r>
      <w:r w:rsidR="00C43193">
        <w:rPr>
          <w:lang w:val="en-GB"/>
        </w:rPr>
        <w:t xml:space="preserve"> will arise when enhanced weathering or blue carbon technologies are implemented. Separate reporting would also </w:t>
      </w:r>
      <w:r w:rsidR="00F8209B">
        <w:rPr>
          <w:lang w:val="en-GB"/>
        </w:rPr>
        <w:t xml:space="preserve">help to diagnose inconsistencies, such as when gross </w:t>
      </w:r>
      <w:r w:rsidR="00931F90">
        <w:rPr>
          <w:lang w:val="en-GB"/>
        </w:rPr>
        <w:t xml:space="preserve">land use </w:t>
      </w:r>
      <w:r w:rsidR="00F8209B">
        <w:rPr>
          <w:lang w:val="en-GB"/>
        </w:rPr>
        <w:t xml:space="preserve">emissions are resolved as negative </w:t>
      </w:r>
      <w:r w:rsidR="00F8209B">
        <w:rPr>
          <w:lang w:val="en-GB"/>
        </w:rPr>
        <w:fldChar w:fldCharType="begin"/>
      </w:r>
      <w:r w:rsidR="00F8209B">
        <w:rPr>
          <w:lang w:val="en-GB"/>
        </w:rPr>
        <w:instrText xml:space="preserve"> ADDIN ZOTERO_ITEM CSL_CITATION {"citationID":"xa3H0OjD","properties":{"formattedCitation":"(Pr\\uc0\\u252{}tz {\\i{}et al} 2023)","plainCitation":"(Prütz et al 2023)","noteIndex":0},"citationItems":[{"id":13665,"uris":["http://zotero.org/users/6250806/items/2LQWK5EH"],"itemData":{"id":13665,"type":"article-journal","abstract":"Abstract\n            \n              Carbon dioxide removal (CDR) features prominently in the 1.5 °C compatible and high overshoot pathways in the IPCC’s Sixth Assessment Report (AR6, WGIII). However, the amount of CDR varies considerably among scenarios. We analyze the range in CDR volumes in AR6 WGIII pathways by exploring relationships between variables as potential driving forces, focusing on CDR in 2050 and scenario properties linked to reaching net-zero CO\n              2\n              . It is also shown how the relative and absolute contribution of CDR to total mitigation up until reaching net-zero CO\n              2\n              substantially differs across scenarios. The volumes of CDR in 2050 and 2100 and the cumulative amount throughout the 21\n              st\n              century were most strongly correlated to the degree to which CO\n              2\n              emissions are reduced as a means of reaching net-zero CO\n              2\n              . CDR in 2050 is also substantially correlated to the timing of net-zero CO\n              2\n              . The robustness of the analyzed relationships was evaluated by comparing different scenario filtering and data-cleaning approaches. Beyond filtering and cleaning, additional factors that influence CDR deployment in scenarios, such as discount rates, carbon price trajectories, and scenario design choices, were discussed.","container-title":"Environmental Research Communications","DOI":"10.1088/2515-7620/accdba","ISSN":"2515-7620","issue":"4","journalAbbreviation":"Environ. Res. Commun.","language":"en","page":"041005","source":"DOI.org (Crossref)","title":"Understanding the carbon dioxide removal range in 1.5 °C compatible and high overshoot pathways","volume":"5","author":[{"family":"Prütz","given":"Ruben"},{"family":"Strefler","given":"Jessica"},{"family":"Rogelj","given":"Joeri"},{"family":"Fuss","given":"Sabine"}],"issued":{"date-parts":[["2023",4,1]]},"citation-key":"prutzUnderstandingCarbonDioxide2023"}}],"schema":"https://github.com/citation-style-language/schema/raw/master/csl-citation.json"} </w:instrText>
      </w:r>
      <w:r w:rsidR="00F8209B">
        <w:rPr>
          <w:lang w:val="en-GB"/>
        </w:rPr>
        <w:fldChar w:fldCharType="separate"/>
      </w:r>
      <w:r w:rsidR="00B34A0D" w:rsidRPr="00B34A0D">
        <w:rPr>
          <w:rFonts w:ascii="Calibri" w:hAnsi="Calibri" w:cs="Calibri"/>
          <w:szCs w:val="24"/>
        </w:rPr>
        <w:t xml:space="preserve">(Prütz </w:t>
      </w:r>
      <w:r w:rsidR="00B34A0D" w:rsidRPr="00B34A0D">
        <w:rPr>
          <w:rFonts w:ascii="Calibri" w:hAnsi="Calibri" w:cs="Calibri"/>
          <w:i/>
          <w:iCs/>
          <w:szCs w:val="24"/>
        </w:rPr>
        <w:t>et al</w:t>
      </w:r>
      <w:r w:rsidR="00B34A0D" w:rsidRPr="00B34A0D">
        <w:rPr>
          <w:rFonts w:ascii="Calibri" w:hAnsi="Calibri" w:cs="Calibri"/>
          <w:szCs w:val="24"/>
        </w:rPr>
        <w:t xml:space="preserve"> 2023)</w:t>
      </w:r>
      <w:r w:rsidR="00F8209B">
        <w:rPr>
          <w:lang w:val="en-GB"/>
        </w:rPr>
        <w:fldChar w:fldCharType="end"/>
      </w:r>
      <w:r w:rsidR="00AC2F45">
        <w:rPr>
          <w:lang w:val="en-GB"/>
        </w:rPr>
        <w:t>.</w:t>
      </w:r>
    </w:p>
    <w:p w14:paraId="7632A85E" w14:textId="1776DD96" w:rsidR="00415FE7" w:rsidRDefault="00931F90" w:rsidP="00747FD9">
      <w:pPr>
        <w:rPr>
          <w:lang w:val="en-GB"/>
        </w:rPr>
      </w:pPr>
      <w:r>
        <w:rPr>
          <w:lang w:val="en-GB"/>
        </w:rPr>
        <w:t xml:space="preserve">A striking result of this analysis is </w:t>
      </w:r>
      <w:r w:rsidR="009817E0">
        <w:rPr>
          <w:lang w:val="en-GB"/>
        </w:rPr>
        <w:t>the overall expected level of residual emissions at net zero CO</w:t>
      </w:r>
      <w:r w:rsidR="009817E0" w:rsidRPr="009817E0">
        <w:rPr>
          <w:vertAlign w:val="subscript"/>
          <w:lang w:val="en-GB"/>
        </w:rPr>
        <w:t>2</w:t>
      </w:r>
      <w:r w:rsidR="009817E0">
        <w:rPr>
          <w:lang w:val="en-GB"/>
        </w:rPr>
        <w:t xml:space="preserve"> in scenarios: </w:t>
      </w:r>
      <w:r w:rsidR="00684DEC">
        <w:rPr>
          <w:lang w:val="en-GB"/>
        </w:rPr>
        <w:t xml:space="preserve">8.4 </w:t>
      </w:r>
      <w:r w:rsidR="00684DEC" w:rsidRPr="00445B8C">
        <w:rPr>
          <w:rFonts w:ascii="Calibri" w:hAnsi="Calibri" w:cs="Calibri"/>
          <w:color w:val="000000"/>
          <w:lang w:val="en-GB"/>
        </w:rPr>
        <w:t xml:space="preserve">[6.1-14] </w:t>
      </w:r>
      <w:r w:rsidR="00684DEC">
        <w:rPr>
          <w:lang w:val="en-GB"/>
        </w:rPr>
        <w:t>GtCO</w:t>
      </w:r>
      <w:r w:rsidR="00684DEC" w:rsidRPr="00BA26AB">
        <w:rPr>
          <w:vertAlign w:val="subscript"/>
          <w:lang w:val="en-GB"/>
        </w:rPr>
        <w:t>2</w:t>
      </w:r>
      <w:r w:rsidR="00684DEC">
        <w:rPr>
          <w:lang w:val="en-GB"/>
        </w:rPr>
        <w:t>/</w:t>
      </w:r>
      <w:proofErr w:type="spellStart"/>
      <w:r w:rsidR="00684DEC">
        <w:rPr>
          <w:lang w:val="en-GB"/>
        </w:rPr>
        <w:t>yr</w:t>
      </w:r>
      <w:proofErr w:type="spellEnd"/>
      <w:r w:rsidR="00684DEC">
        <w:rPr>
          <w:lang w:val="en-GB"/>
        </w:rPr>
        <w:t xml:space="preserve"> </w:t>
      </w:r>
      <w:r w:rsidR="009817E0">
        <w:rPr>
          <w:rFonts w:ascii="Calibri" w:hAnsi="Calibri" w:cs="Calibri"/>
          <w:color w:val="000000"/>
          <w:lang w:val="en-GB"/>
        </w:rPr>
        <w:t xml:space="preserve">across the ensemble, representing gross emissions reductions of </w:t>
      </w:r>
      <w:r w:rsidR="00684DEC">
        <w:rPr>
          <w:lang w:val="en-GB"/>
        </w:rPr>
        <w:t xml:space="preserve">81 [67-85] % </w:t>
      </w:r>
      <w:r w:rsidR="009817E0">
        <w:rPr>
          <w:lang w:val="en-GB"/>
        </w:rPr>
        <w:t xml:space="preserve">from 2020. </w:t>
      </w:r>
      <w:r w:rsidR="00E669AD">
        <w:rPr>
          <w:lang w:val="en-GB"/>
        </w:rPr>
        <w:t xml:space="preserve">This contrasts with expectations </w:t>
      </w:r>
      <w:r w:rsidR="00415FE7">
        <w:rPr>
          <w:lang w:val="en-GB"/>
        </w:rPr>
        <w:t xml:space="preserve">now </w:t>
      </w:r>
      <w:r w:rsidR="00E669AD">
        <w:rPr>
          <w:lang w:val="en-GB"/>
        </w:rPr>
        <w:t xml:space="preserve">being set in </w:t>
      </w:r>
      <w:r w:rsidR="00415FE7">
        <w:rPr>
          <w:lang w:val="en-GB"/>
        </w:rPr>
        <w:t xml:space="preserve">a string of </w:t>
      </w:r>
      <w:r w:rsidR="008C7650">
        <w:rPr>
          <w:lang w:val="en-GB"/>
        </w:rPr>
        <w:t xml:space="preserve">corporate </w:t>
      </w:r>
      <w:r w:rsidR="00E669AD">
        <w:rPr>
          <w:lang w:val="en-GB"/>
        </w:rPr>
        <w:t xml:space="preserve">net zero standards </w:t>
      </w:r>
      <w:r w:rsidR="008A6C4F">
        <w:rPr>
          <w:lang w:val="en-GB"/>
        </w:rPr>
        <w:t xml:space="preserve">that benchmark significantly deeper reductions </w:t>
      </w:r>
      <w:r w:rsidR="00684DEC">
        <w:rPr>
          <w:lang w:val="en-GB"/>
        </w:rPr>
        <w:t>of up to 95% in energy and industrial process</w:t>
      </w:r>
      <w:r w:rsidR="00A27DF3">
        <w:rPr>
          <w:lang w:val="en-GB"/>
        </w:rPr>
        <w:t xml:space="preserve"> CO</w:t>
      </w:r>
      <w:r w:rsidR="00A27DF3" w:rsidRPr="00A27DF3">
        <w:rPr>
          <w:vertAlign w:val="subscript"/>
          <w:lang w:val="en-GB"/>
        </w:rPr>
        <w:t>2</w:t>
      </w:r>
      <w:r w:rsidR="00684DEC">
        <w:rPr>
          <w:lang w:val="en-GB"/>
        </w:rPr>
        <w:t xml:space="preserve"> emissions</w:t>
      </w:r>
      <w:r w:rsidR="00781265">
        <w:rPr>
          <w:lang w:val="en-GB"/>
        </w:rPr>
        <w:t xml:space="preserve"> </w:t>
      </w:r>
      <w:r w:rsidR="00A27DF3">
        <w:rPr>
          <w:lang w:val="en-GB"/>
        </w:rPr>
        <w:fldChar w:fldCharType="begin"/>
      </w:r>
      <w:r w:rsidR="00A27DF3">
        <w:rPr>
          <w:lang w:val="en-GB"/>
        </w:rPr>
        <w:instrText xml:space="preserve"> ADDIN ZOTERO_ITEM CSL_CITATION {"citationID":"IXjx1We5","properties":{"formattedCitation":"(ISO 2023, SBTi 2023)","plainCitation":"(ISO 2023, SBTi 2023)","noteIndex":0},"citationItems":[{"id":13772,"uris":["http://zotero.org/users/6250806/items/F7PB7K4C"],"itemData":{"id":13772,"type":"report","event-place":"Geneva, Switzerland","publisher":"International Standards Organisation (ISO)","publisher-place":"Geneva, Switzerland","title":"IWA 42:2022(en) Net zero guidelines","URL":"https://www.iso.org/obp/ui/en/#iso:std:iso:iwa:42:ed-1:v1:en","author":[{"family":"ISO","given":""}],"accessed":{"date-parts":[["2023",9,20]]},"issued":{"date-parts":[["2023",9,20]]},"citation-key":"isoIWA4220222023"}},{"id":13774,"uris":["http://zotero.org/users/6250806/items/2EYFFY8U"],"itemData":{"id":13774,"type":"report","number":"Version 1.1","publisher":"Science Based Targets Initiative","title":"SBTi Corporate Net-Zero Standard","URL":"https://sciencebasedtargets.org/resources/files/Net-Zero-Standard.pdf","author":[{"family":"SBTi","given":""}],"accessed":{"date-parts":[["2023",9,20]]},"issued":{"date-parts":[["2023"]]},"citation-key":"sbtiSBTiCorporateNetZero2023"}}],"schema":"https://github.com/citation-style-language/schema/raw/master/csl-citation.json"} </w:instrText>
      </w:r>
      <w:r w:rsidR="00A27DF3">
        <w:rPr>
          <w:lang w:val="en-GB"/>
        </w:rPr>
        <w:fldChar w:fldCharType="separate"/>
      </w:r>
      <w:r w:rsidR="00B34A0D" w:rsidRPr="00B34A0D">
        <w:rPr>
          <w:rFonts w:ascii="Calibri" w:hAnsi="Calibri" w:cs="Calibri"/>
          <w:lang w:val="en-GB"/>
        </w:rPr>
        <w:t>(ISO 2023, SBTi 2023)</w:t>
      </w:r>
      <w:r w:rsidR="00A27DF3">
        <w:rPr>
          <w:lang w:val="en-GB"/>
        </w:rPr>
        <w:fldChar w:fldCharType="end"/>
      </w:r>
      <w:r w:rsidR="00684DEC">
        <w:rPr>
          <w:lang w:val="en-GB"/>
        </w:rPr>
        <w:t xml:space="preserve">. Indeed, scenarios depict lower reductions and higher residual emissions across all sectors </w:t>
      </w:r>
      <w:r w:rsidR="009051F9">
        <w:rPr>
          <w:lang w:val="en-GB"/>
        </w:rPr>
        <w:t xml:space="preserve">that are comparable to </w:t>
      </w:r>
      <w:r w:rsidR="00684DEC">
        <w:rPr>
          <w:lang w:val="en-GB"/>
        </w:rPr>
        <w:t xml:space="preserve">the </w:t>
      </w:r>
      <w:proofErr w:type="spellStart"/>
      <w:r w:rsidR="00684DEC">
        <w:rPr>
          <w:lang w:val="en-GB"/>
        </w:rPr>
        <w:t>SBTi</w:t>
      </w:r>
      <w:proofErr w:type="spellEnd"/>
      <w:r w:rsidR="00684DEC">
        <w:rPr>
          <w:lang w:val="en-GB"/>
        </w:rPr>
        <w:t xml:space="preserve"> standards</w:t>
      </w:r>
      <w:r w:rsidR="008C7650">
        <w:rPr>
          <w:lang w:val="en-GB"/>
        </w:rPr>
        <w:t xml:space="preserve"> (Table 3)</w:t>
      </w:r>
      <w:r w:rsidR="00684DEC">
        <w:rPr>
          <w:lang w:val="en-GB"/>
        </w:rPr>
        <w:t xml:space="preserve">. Of </w:t>
      </w:r>
      <w:r w:rsidR="00CC4458">
        <w:rPr>
          <w:lang w:val="en-GB"/>
        </w:rPr>
        <w:t xml:space="preserve">course, scenarios must reflect regional variations </w:t>
      </w:r>
      <w:r w:rsidR="009051F9">
        <w:rPr>
          <w:lang w:val="en-GB"/>
        </w:rPr>
        <w:t xml:space="preserve">in </w:t>
      </w:r>
      <w:r w:rsidR="00CC4458">
        <w:rPr>
          <w:lang w:val="en-GB"/>
        </w:rPr>
        <w:t xml:space="preserve">transition speeds, whereas corporate-oriented targets can afford to set stringent benchmarks and anchor higher ambition. However, it does suggest an emerging divide in expert assessments on how low residual emissions might go. This has also been reflected in a recent assessment of Germany’s net zero plan, where the legal benchmark of 97% reductions from 1990 (leaving residual emissions of ~40MtCO2e) </w:t>
      </w:r>
      <w:r w:rsidR="008E7A8D">
        <w:rPr>
          <w:lang w:val="en-GB"/>
        </w:rPr>
        <w:t>remained significantly below</w:t>
      </w:r>
      <w:r w:rsidR="00CC4458">
        <w:rPr>
          <w:lang w:val="en-GB"/>
        </w:rPr>
        <w:t xml:space="preserve"> even the most ambitious </w:t>
      </w:r>
      <w:r w:rsidR="009051F9">
        <w:rPr>
          <w:lang w:val="en-GB"/>
        </w:rPr>
        <w:t xml:space="preserve">modelled </w:t>
      </w:r>
      <w:r w:rsidR="00CC4458">
        <w:rPr>
          <w:lang w:val="en-GB"/>
        </w:rPr>
        <w:t xml:space="preserve">scenario </w:t>
      </w:r>
      <w:r w:rsidR="009051F9">
        <w:rPr>
          <w:lang w:val="en-GB"/>
        </w:rPr>
        <w:fldChar w:fldCharType="begin"/>
      </w:r>
      <w:r w:rsidR="009051F9">
        <w:rPr>
          <w:lang w:val="en-GB"/>
        </w:rPr>
        <w:instrText xml:space="preserve"> ADDIN ZOTERO_ITEM CSL_CITATION {"citationID":"CKaehhVu","properties":{"formattedCitation":"(Merfort {\\i{}et al} 2023)","plainCitation":"(Merfort et al 2023)","noteIndex":0},"citationItems":[{"id":13771,"uris":["http://zotero.org/users/6250806/items/X29TWNMF"],"itemData":{"id":13771,"type":"report","collection-title":"Ariadne-Analyse","event-place":"Potsdam","language":"de","publisher":"Kopernikus-Projekt Ariadne","publisher-place":"Potsdam","source":"Zotero","title":"Energiewende auf Netto-Null - Passen Angebot und Nachfrage nach CO2-Entnahme aus der Atmosphäre zusammen?","author":[{"family":"Merfort","given":"Anne"},{"family":"Stevanovic","given":"Miodrag"},{"family":"Strefler","given":"Jessica"}],"issued":{"date-parts":[["2023"]]},"citation-key":"merfortEnergiewendeAufNettoNull2023"}}],"schema":"https://github.com/citation-style-language/schema/raw/master/csl-citation.json"} </w:instrText>
      </w:r>
      <w:r w:rsidR="009051F9">
        <w:rPr>
          <w:lang w:val="en-GB"/>
        </w:rPr>
        <w:fldChar w:fldCharType="separate"/>
      </w:r>
      <w:r w:rsidR="00B34A0D" w:rsidRPr="00B34A0D">
        <w:rPr>
          <w:rFonts w:ascii="Calibri" w:hAnsi="Calibri" w:cs="Calibri"/>
          <w:szCs w:val="24"/>
          <w:lang w:val="en-GB"/>
        </w:rPr>
        <w:t xml:space="preserve">(Merfort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2023)</w:t>
      </w:r>
      <w:r w:rsidR="009051F9">
        <w:rPr>
          <w:lang w:val="en-GB"/>
        </w:rPr>
        <w:fldChar w:fldCharType="end"/>
      </w:r>
      <w:r w:rsidR="009051F9">
        <w:rPr>
          <w:lang w:val="en-GB"/>
        </w:rPr>
        <w:t>.</w:t>
      </w:r>
    </w:p>
    <w:p w14:paraId="21BB9B6B" w14:textId="77777777" w:rsidR="006A5822" w:rsidRDefault="006A5822" w:rsidP="006A5822">
      <w:pPr>
        <w:rPr>
          <w:lang w:val="en-GB"/>
        </w:rPr>
      </w:pPr>
      <w:r>
        <w:rPr>
          <w:lang w:val="en-GB"/>
        </w:rPr>
        <w:t>The challenge of residual emissions is that a wide array of factors may lead to differences in assessments. In particular, the system boundaries concerning the scope of gases and emissions sources matters – scenarios that covers not just energy system CO</w:t>
      </w:r>
      <w:r w:rsidRPr="0078034B">
        <w:rPr>
          <w:vertAlign w:val="subscript"/>
          <w:lang w:val="en-GB"/>
        </w:rPr>
        <w:t>2</w:t>
      </w:r>
      <w:r>
        <w:rPr>
          <w:lang w:val="en-GB"/>
        </w:rPr>
        <w:t xml:space="preserve"> emissions, but also industrial processes, land use fluxes, agricultural CH</w:t>
      </w:r>
      <w:r w:rsidRPr="0078034B">
        <w:rPr>
          <w:vertAlign w:val="subscript"/>
          <w:lang w:val="en-GB"/>
        </w:rPr>
        <w:t>4</w:t>
      </w:r>
      <w:r>
        <w:rPr>
          <w:lang w:val="en-GB"/>
        </w:rPr>
        <w:t xml:space="preserve"> and N</w:t>
      </w:r>
      <w:r w:rsidRPr="0078034B">
        <w:rPr>
          <w:vertAlign w:val="subscript"/>
          <w:lang w:val="en-GB"/>
        </w:rPr>
        <w:t>2</w:t>
      </w:r>
      <w:r>
        <w:rPr>
          <w:lang w:val="en-GB"/>
        </w:rPr>
        <w:t xml:space="preserve">O, and the waste sector will tend to show progressively higher residual emissions. This scope will likely continue to expand as peatland emissions are integrated into modelling frameworks </w:t>
      </w:r>
      <w:r>
        <w:rPr>
          <w:lang w:val="en-GB"/>
        </w:rPr>
        <w:fldChar w:fldCharType="begin"/>
      </w:r>
      <w:r>
        <w:rPr>
          <w:lang w:val="en-GB"/>
        </w:rPr>
        <w:instrText xml:space="preserve"> ADDIN ZOTERO_ITEM CSL_CITATION {"citationID":"yXN4e9T0","properties":{"formattedCitation":"(Loisel {\\i{}et al} 2021)","plainCitation":"(Loisel et al 2021)","noteIndex":0},"citationItems":[{"id":13776,"uris":["http://zotero.org/users/6250806/items/LITIMGXP"],"itemData":{"id":13776,"type":"article-journal","container-title":"Nature Climate Change","DOI":"10.1038/s41558-020-00944-0","ISSN":"1758-678X, 1758-6798","issue":"1","journalAbbreviation":"Nat. Clim. Chang.","language":"en","page":"70-77","source":"DOI.org (Crossref)","title":"Expert assessment of future vulnerability of the global peatland carbon sink","volume":"11","author":[{"family":"Loisel","given":"J."},{"family":"Gallego-Sala","given":"A. V."},{"family":"Amesbury","given":"M. J."},{"family":"Magnan","given":"G."},{"family":"Anshari","given":"G."},{"family":"Beilman","given":"D. W."},{"family":"Benavides","given":"J. C."},{"family":"Blewett","given":"J."},{"family":"Camill","given":"P."},{"family":"Charman","given":"D. J."},{"family":"Chawchai","given":"S."},{"family":"Hedgpeth","given":"A."},{"family":"Kleinen","given":"T."},{"family":"Korhola","given":"A."},{"family":"Large","given":"D."},{"family":"Mansilla","given":"C. A."},{"family":"Müller","given":"J."},{"family":"Van Bellen","given":"S."},{"family":"West","given":"J. B."},{"family":"Yu","given":"Z."},{"family":"Bubier","given":"J. L."},{"family":"Garneau","given":"M."},{"family":"Moore","given":"T."},{"family":"Sannel","given":"A. B. K."},{"family":"Page","given":"S."},{"family":"Väliranta","given":"M."},{"family":"Bechtold","given":"M."},{"family":"Brovkin","given":"V."},{"family":"Cole","given":"L. E. S."},{"family":"Chanton","given":"J. P."},{"family":"Christensen","given":"T. R."},{"family":"Davies","given":"M. A."},{"family":"De Vleeschouwer","given":"F."},{"family":"Finkelstein","given":"S. A."},{"family":"Frolking","given":"S."},{"family":"Gałka","given":"M."},{"family":"Gandois","given":"L."},{"family":"Girkin","given":"N."},{"family":"Harris","given":"L. I."},{"family":"Heinemeyer","given":"A."},{"family":"Hoyt","given":"A. M."},{"family":"Jones","given":"M. C."},{"family":"Joos","given":"F."},{"family":"Juutinen","given":"S."},{"family":"Kaiser","given":"K."},{"family":"Lacourse","given":"T."},{"family":"Lamentowicz","given":"M."},{"family":"Larmola","given":"T."},{"family":"Leifeld","given":"J."},{"family":"Lohila","given":"A."},{"family":"Milner","given":"A. M."},{"family":"Minkkinen","given":"K."},{"family":"Moss","given":"P."},{"family":"Naafs","given":"B. D. A."},{"family":"Nichols","given":"J."},{"family":"O’Donnell","given":"J."},{"family":"Payne","given":"R."},{"family":"Philben","given":"M."},{"family":"Piilo","given":"S."},{"family":"Quillet","given":"A."},{"family":"Ratnayake","given":"A. S."},{"family":"Roland","given":"T. P."},{"family":"Sjögersten","given":"S."},{"family":"Sonnentag","given":"O."},{"family":"Swindles","given":"G. T."},{"family":"Swinnen","given":"W."},{"family":"Talbot","given":"J."},{"family":"Treat","given":"C."},{"family":"Valach","given":"A. C."},{"family":"Wu","given":"J."}],"issued":{"date-parts":[["2021",1]]},"citation-key":"loiselExpertAssessmentFuture2021"}}],"schema":"https://github.com/citation-style-language/schema/raw/master/csl-citation.json"} </w:instrText>
      </w:r>
      <w:r>
        <w:rPr>
          <w:lang w:val="en-GB"/>
        </w:rPr>
        <w:fldChar w:fldCharType="separate"/>
      </w:r>
      <w:r w:rsidRPr="006A5822">
        <w:rPr>
          <w:rFonts w:ascii="Calibri" w:hAnsi="Calibri" w:cs="Calibri"/>
          <w:szCs w:val="24"/>
          <w:lang w:val="en-GB"/>
        </w:rPr>
        <w:t xml:space="preserve">(Loisel </w:t>
      </w:r>
      <w:r w:rsidRPr="006A5822">
        <w:rPr>
          <w:rFonts w:ascii="Calibri" w:hAnsi="Calibri" w:cs="Calibri"/>
          <w:i/>
          <w:iCs/>
          <w:szCs w:val="24"/>
          <w:lang w:val="en-GB"/>
        </w:rPr>
        <w:t>et al</w:t>
      </w:r>
      <w:r w:rsidRPr="006A5822">
        <w:rPr>
          <w:rFonts w:ascii="Calibri" w:hAnsi="Calibri" w:cs="Calibri"/>
          <w:szCs w:val="24"/>
          <w:lang w:val="en-GB"/>
        </w:rPr>
        <w:t xml:space="preserve"> 2021)</w:t>
      </w:r>
      <w:r>
        <w:rPr>
          <w:lang w:val="en-GB"/>
        </w:rPr>
        <w:fldChar w:fldCharType="end"/>
      </w:r>
      <w:r>
        <w:rPr>
          <w:lang w:val="en-GB"/>
        </w:rPr>
        <w:t>.</w:t>
      </w:r>
    </w:p>
    <w:p w14:paraId="643094A6" w14:textId="77777777" w:rsidR="006A5822" w:rsidRDefault="006A5822" w:rsidP="006A5822">
      <w:pPr>
        <w:rPr>
          <w:lang w:val="en-GB"/>
        </w:rPr>
      </w:pPr>
      <w:r>
        <w:rPr>
          <w:lang w:val="en-GB"/>
        </w:rPr>
        <w:t>As it stands, however, very few models report a wide scope of detail across these emissions categories. Only 52% of scenarios in the AR6 database report agricultural emissions, while 46% capture more detailed categories such as livestock or managed soils – a reflection of the still limited state of land use model integration in IAMs. Another widely cited example of a ‘hard-to-abate’ sector is aviation, yet just 2% of scenarios report emissions at this level. While it is important not to seek a false level of precision around expectations of residual emissions, a minimum degree of reporting will be required to facilitate inter-comparison and reflection on the various possible futures.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842"/>
        <w:gridCol w:w="1697"/>
        <w:gridCol w:w="1698"/>
        <w:gridCol w:w="1698"/>
      </w:tblGrid>
      <w:tr w:rsidR="00415FE7" w14:paraId="13A40A92" w14:textId="385B7ADC" w:rsidTr="00684DEC">
        <w:trPr>
          <w:trHeight w:val="932"/>
        </w:trPr>
        <w:tc>
          <w:tcPr>
            <w:tcW w:w="2127" w:type="dxa"/>
            <w:tcBorders>
              <w:top w:val="single" w:sz="4" w:space="0" w:color="auto"/>
            </w:tcBorders>
            <w:vAlign w:val="center"/>
          </w:tcPr>
          <w:p w14:paraId="2E6BB74F" w14:textId="7D1A0D92" w:rsidR="00415FE7" w:rsidRPr="00CC539E" w:rsidRDefault="00415FE7" w:rsidP="00D6489D">
            <w:pPr>
              <w:jc w:val="center"/>
              <w:rPr>
                <w:lang w:val="en-GB"/>
              </w:rPr>
            </w:pPr>
          </w:p>
        </w:tc>
        <w:tc>
          <w:tcPr>
            <w:tcW w:w="1842" w:type="dxa"/>
            <w:tcBorders>
              <w:top w:val="single" w:sz="4" w:space="0" w:color="auto"/>
            </w:tcBorders>
            <w:vAlign w:val="center"/>
          </w:tcPr>
          <w:p w14:paraId="75642D7C" w14:textId="0A0A0ECE" w:rsidR="00415FE7" w:rsidRPr="00CC539E" w:rsidRDefault="00415FE7" w:rsidP="00E2386F">
            <w:pPr>
              <w:jc w:val="center"/>
              <w:rPr>
                <w:lang w:val="en-GB"/>
              </w:rPr>
            </w:pPr>
            <w:r w:rsidRPr="00CC539E">
              <w:rPr>
                <w:bCs/>
                <w:lang w:val="en-GB"/>
              </w:rPr>
              <w:t>Science Based Targets initiative</w:t>
            </w:r>
          </w:p>
        </w:tc>
        <w:tc>
          <w:tcPr>
            <w:tcW w:w="1697" w:type="dxa"/>
            <w:tcBorders>
              <w:top w:val="single" w:sz="4" w:space="0" w:color="auto"/>
            </w:tcBorders>
            <w:vAlign w:val="center"/>
          </w:tcPr>
          <w:p w14:paraId="1F31DB72" w14:textId="5AE99DAA" w:rsidR="00415FE7" w:rsidRPr="00CC539E" w:rsidRDefault="00E2386F" w:rsidP="00E2386F">
            <w:pPr>
              <w:jc w:val="center"/>
              <w:rPr>
                <w:lang w:val="en-GB"/>
              </w:rPr>
            </w:pPr>
            <w:r>
              <w:rPr>
                <w:lang w:val="en-GB"/>
              </w:rPr>
              <w:t>Below 1.5</w:t>
            </w:r>
            <w:r>
              <w:rPr>
                <w:rFonts w:cstheme="minorHAnsi"/>
                <w:lang w:val="en-GB"/>
              </w:rPr>
              <w:t>°</w:t>
            </w:r>
            <w:r>
              <w:rPr>
                <w:lang w:val="en-GB"/>
              </w:rPr>
              <w:t>C scenarios</w:t>
            </w:r>
          </w:p>
        </w:tc>
        <w:tc>
          <w:tcPr>
            <w:tcW w:w="1698" w:type="dxa"/>
            <w:tcBorders>
              <w:top w:val="single" w:sz="4" w:space="0" w:color="auto"/>
            </w:tcBorders>
            <w:vAlign w:val="center"/>
          </w:tcPr>
          <w:p w14:paraId="56BC5F62" w14:textId="25F66869" w:rsidR="00415FE7" w:rsidRPr="00CC539E" w:rsidRDefault="00E2386F" w:rsidP="00E2386F">
            <w:pPr>
              <w:jc w:val="center"/>
              <w:rPr>
                <w:lang w:val="en-GB"/>
              </w:rPr>
            </w:pPr>
            <w:r>
              <w:rPr>
                <w:lang w:val="en-GB"/>
              </w:rPr>
              <w:t>Below 1.5</w:t>
            </w:r>
            <w:r>
              <w:rPr>
                <w:rFonts w:cstheme="minorHAnsi"/>
                <w:lang w:val="en-GB"/>
              </w:rPr>
              <w:t>°</w:t>
            </w:r>
            <w:r>
              <w:rPr>
                <w:lang w:val="en-GB"/>
              </w:rPr>
              <w:t>C with overshoot scenarios</w:t>
            </w:r>
          </w:p>
        </w:tc>
        <w:tc>
          <w:tcPr>
            <w:tcW w:w="1698" w:type="dxa"/>
            <w:tcBorders>
              <w:top w:val="single" w:sz="4" w:space="0" w:color="auto"/>
            </w:tcBorders>
            <w:vAlign w:val="center"/>
          </w:tcPr>
          <w:p w14:paraId="28852EDA" w14:textId="79104F98" w:rsidR="00415FE7" w:rsidRPr="00CC539E" w:rsidRDefault="00E2386F" w:rsidP="00E2386F">
            <w:pPr>
              <w:jc w:val="center"/>
              <w:rPr>
                <w:lang w:val="en-GB"/>
              </w:rPr>
            </w:pPr>
            <w:r>
              <w:rPr>
                <w:lang w:val="en-GB"/>
              </w:rPr>
              <w:t>Below 2</w:t>
            </w:r>
            <w:r>
              <w:rPr>
                <w:rFonts w:cstheme="minorHAnsi"/>
                <w:lang w:val="en-GB"/>
              </w:rPr>
              <w:t>°</w:t>
            </w:r>
            <w:r>
              <w:rPr>
                <w:lang w:val="en-GB"/>
              </w:rPr>
              <w:t>C scenarios</w:t>
            </w:r>
          </w:p>
        </w:tc>
      </w:tr>
      <w:tr w:rsidR="00415FE7" w:rsidRPr="009E1D78" w14:paraId="287E8102" w14:textId="77777777" w:rsidTr="00684DEC">
        <w:trPr>
          <w:trHeight w:val="575"/>
        </w:trPr>
        <w:tc>
          <w:tcPr>
            <w:tcW w:w="2127" w:type="dxa"/>
            <w:tcBorders>
              <w:bottom w:val="single" w:sz="4" w:space="0" w:color="auto"/>
            </w:tcBorders>
            <w:vAlign w:val="center"/>
          </w:tcPr>
          <w:p w14:paraId="283ADC11" w14:textId="77777777" w:rsidR="00415FE7" w:rsidRPr="00CC539E" w:rsidRDefault="00415FE7" w:rsidP="00D6489D">
            <w:pPr>
              <w:jc w:val="center"/>
              <w:rPr>
                <w:b/>
                <w:bCs/>
                <w:lang w:val="en-GB"/>
              </w:rPr>
            </w:pPr>
          </w:p>
        </w:tc>
        <w:tc>
          <w:tcPr>
            <w:tcW w:w="1842" w:type="dxa"/>
            <w:tcBorders>
              <w:bottom w:val="single" w:sz="4" w:space="0" w:color="auto"/>
            </w:tcBorders>
            <w:vAlign w:val="center"/>
          </w:tcPr>
          <w:p w14:paraId="75193564" w14:textId="332C6164" w:rsidR="00415FE7" w:rsidRPr="00CC539E" w:rsidRDefault="00415FE7" w:rsidP="00CC539E">
            <w:pPr>
              <w:jc w:val="center"/>
              <w:rPr>
                <w:bCs/>
                <w:lang w:val="en-GB"/>
              </w:rPr>
            </w:pPr>
            <w:r w:rsidRPr="00CC539E">
              <w:rPr>
                <w:bCs/>
                <w:lang w:val="en-GB"/>
              </w:rPr>
              <w:t>Reductions by 2050 (%)</w:t>
            </w:r>
          </w:p>
        </w:tc>
        <w:tc>
          <w:tcPr>
            <w:tcW w:w="5093" w:type="dxa"/>
            <w:gridSpan w:val="3"/>
            <w:vAlign w:val="center"/>
          </w:tcPr>
          <w:p w14:paraId="452B4839" w14:textId="35E7F0B5" w:rsidR="00415FE7" w:rsidRPr="00CC539E" w:rsidRDefault="00415FE7" w:rsidP="00CC539E">
            <w:pPr>
              <w:jc w:val="center"/>
              <w:rPr>
                <w:lang w:val="en-GB"/>
              </w:rPr>
            </w:pPr>
            <w:r w:rsidRPr="00CC539E">
              <w:rPr>
                <w:lang w:val="en-GB"/>
              </w:rPr>
              <w:t>Reductions by net zero CO2 (%)</w:t>
            </w:r>
          </w:p>
        </w:tc>
      </w:tr>
      <w:tr w:rsidR="00415FE7" w14:paraId="192FECF6" w14:textId="18632E60" w:rsidTr="00CC539E">
        <w:trPr>
          <w:trHeight w:val="510"/>
        </w:trPr>
        <w:tc>
          <w:tcPr>
            <w:tcW w:w="2127" w:type="dxa"/>
            <w:tcBorders>
              <w:top w:val="single" w:sz="4" w:space="0" w:color="auto"/>
            </w:tcBorders>
            <w:vAlign w:val="center"/>
          </w:tcPr>
          <w:p w14:paraId="17363FF5" w14:textId="29EBE882" w:rsidR="00415FE7" w:rsidRPr="00CC539E" w:rsidRDefault="00415FE7" w:rsidP="00CC539E">
            <w:pPr>
              <w:rPr>
                <w:lang w:val="en-GB"/>
              </w:rPr>
            </w:pPr>
            <w:r w:rsidRPr="00CC539E">
              <w:rPr>
                <w:lang w:val="en-GB"/>
              </w:rPr>
              <w:t>Forest, land and agriculture</w:t>
            </w:r>
          </w:p>
        </w:tc>
        <w:tc>
          <w:tcPr>
            <w:tcW w:w="1842" w:type="dxa"/>
            <w:tcBorders>
              <w:top w:val="single" w:sz="4" w:space="0" w:color="auto"/>
            </w:tcBorders>
            <w:vAlign w:val="center"/>
          </w:tcPr>
          <w:p w14:paraId="17406755" w14:textId="5A437B1F" w:rsidR="00415FE7" w:rsidRPr="00CC539E" w:rsidRDefault="00415FE7" w:rsidP="00CC539E">
            <w:pPr>
              <w:jc w:val="center"/>
              <w:rPr>
                <w:lang w:val="en-GB"/>
              </w:rPr>
            </w:pPr>
            <w:r w:rsidRPr="00CC539E">
              <w:rPr>
                <w:lang w:val="en-GB"/>
              </w:rPr>
              <w:t>72</w:t>
            </w:r>
          </w:p>
        </w:tc>
        <w:tc>
          <w:tcPr>
            <w:tcW w:w="1697" w:type="dxa"/>
            <w:tcBorders>
              <w:top w:val="single" w:sz="4" w:space="0" w:color="auto"/>
            </w:tcBorders>
            <w:vAlign w:val="center"/>
          </w:tcPr>
          <w:p w14:paraId="1CC8ECBE" w14:textId="229B37AB" w:rsidR="00415FE7" w:rsidRPr="00CC539E" w:rsidRDefault="00415FE7" w:rsidP="00CC539E">
            <w:pPr>
              <w:jc w:val="center"/>
              <w:rPr>
                <w:lang w:val="en-GB"/>
              </w:rPr>
            </w:pPr>
            <w:r w:rsidRPr="00CC539E">
              <w:rPr>
                <w:rFonts w:ascii="Calibri" w:hAnsi="Calibri" w:cs="Calibri"/>
                <w:color w:val="000000"/>
                <w:lang w:val="en-GB"/>
              </w:rPr>
              <w:t>39 [27-65]</w:t>
            </w:r>
          </w:p>
        </w:tc>
        <w:tc>
          <w:tcPr>
            <w:tcW w:w="1698" w:type="dxa"/>
            <w:tcBorders>
              <w:top w:val="single" w:sz="4" w:space="0" w:color="auto"/>
            </w:tcBorders>
            <w:vAlign w:val="center"/>
          </w:tcPr>
          <w:p w14:paraId="632EE5BA" w14:textId="37B36EE4" w:rsidR="00415FE7" w:rsidRPr="00CC539E" w:rsidRDefault="00415FE7" w:rsidP="00CC539E">
            <w:pPr>
              <w:jc w:val="center"/>
              <w:rPr>
                <w:lang w:val="en-GB"/>
              </w:rPr>
            </w:pPr>
            <w:r w:rsidRPr="00CC539E">
              <w:rPr>
                <w:rFonts w:ascii="Calibri" w:hAnsi="Calibri" w:cs="Calibri"/>
                <w:color w:val="000000"/>
                <w:lang w:val="en-GB"/>
              </w:rPr>
              <w:t>53 [4.4-60]</w:t>
            </w:r>
          </w:p>
        </w:tc>
        <w:tc>
          <w:tcPr>
            <w:tcW w:w="1698" w:type="dxa"/>
            <w:tcBorders>
              <w:top w:val="single" w:sz="4" w:space="0" w:color="auto"/>
            </w:tcBorders>
            <w:vAlign w:val="center"/>
          </w:tcPr>
          <w:p w14:paraId="2FF6CFCC" w14:textId="79B1FD83" w:rsidR="00415FE7" w:rsidRPr="00CC539E" w:rsidRDefault="00415FE7" w:rsidP="00CC539E">
            <w:pPr>
              <w:jc w:val="center"/>
              <w:rPr>
                <w:lang w:val="en-GB"/>
              </w:rPr>
            </w:pPr>
            <w:r w:rsidRPr="00CC539E">
              <w:rPr>
                <w:rFonts w:ascii="Calibri" w:hAnsi="Calibri" w:cs="Calibri"/>
                <w:color w:val="000000"/>
                <w:lang w:val="en-GB"/>
              </w:rPr>
              <w:t>53 [27-61]</w:t>
            </w:r>
          </w:p>
        </w:tc>
      </w:tr>
      <w:tr w:rsidR="00415FE7" w14:paraId="78CFF707" w14:textId="2A8EA46B" w:rsidTr="00CC539E">
        <w:trPr>
          <w:trHeight w:val="510"/>
        </w:trPr>
        <w:tc>
          <w:tcPr>
            <w:tcW w:w="2127" w:type="dxa"/>
            <w:vAlign w:val="center"/>
          </w:tcPr>
          <w:p w14:paraId="5EA24B6B" w14:textId="69D7416E" w:rsidR="00415FE7" w:rsidRPr="00CC539E" w:rsidRDefault="00415FE7" w:rsidP="00CC539E">
            <w:pPr>
              <w:rPr>
                <w:lang w:val="en-GB"/>
              </w:rPr>
            </w:pPr>
            <w:r w:rsidRPr="00CC539E">
              <w:rPr>
                <w:lang w:val="en-GB"/>
              </w:rPr>
              <w:t>Power</w:t>
            </w:r>
          </w:p>
        </w:tc>
        <w:tc>
          <w:tcPr>
            <w:tcW w:w="1842" w:type="dxa"/>
            <w:vAlign w:val="center"/>
          </w:tcPr>
          <w:p w14:paraId="13342E9A" w14:textId="01F60BC1" w:rsidR="00415FE7" w:rsidRPr="00CC539E" w:rsidRDefault="00415FE7" w:rsidP="00CC539E">
            <w:pPr>
              <w:jc w:val="center"/>
              <w:rPr>
                <w:lang w:val="en-GB"/>
              </w:rPr>
            </w:pPr>
            <w:r w:rsidRPr="00CC539E">
              <w:rPr>
                <w:lang w:val="en-GB"/>
              </w:rPr>
              <w:t>100</w:t>
            </w:r>
          </w:p>
        </w:tc>
        <w:tc>
          <w:tcPr>
            <w:tcW w:w="1697" w:type="dxa"/>
            <w:vAlign w:val="center"/>
          </w:tcPr>
          <w:p w14:paraId="53EC7E8B" w14:textId="5F637654" w:rsidR="00415FE7" w:rsidRPr="00CC539E" w:rsidRDefault="00415FE7" w:rsidP="00CC539E">
            <w:pPr>
              <w:jc w:val="center"/>
              <w:rPr>
                <w:lang w:val="en-GB"/>
              </w:rPr>
            </w:pPr>
            <w:r w:rsidRPr="00CC539E">
              <w:rPr>
                <w:rFonts w:ascii="Calibri" w:hAnsi="Calibri" w:cs="Calibri"/>
                <w:color w:val="000000"/>
                <w:lang w:val="en-GB"/>
              </w:rPr>
              <w:t>92 [88-97]</w:t>
            </w:r>
          </w:p>
        </w:tc>
        <w:tc>
          <w:tcPr>
            <w:tcW w:w="1698" w:type="dxa"/>
            <w:vAlign w:val="center"/>
          </w:tcPr>
          <w:p w14:paraId="32BF87F8" w14:textId="05BF534E" w:rsidR="00415FE7" w:rsidRPr="00CC539E" w:rsidRDefault="00415FE7" w:rsidP="00CC539E">
            <w:pPr>
              <w:jc w:val="center"/>
              <w:rPr>
                <w:lang w:val="en-GB"/>
              </w:rPr>
            </w:pPr>
            <w:r w:rsidRPr="00CC539E">
              <w:rPr>
                <w:rFonts w:ascii="Calibri" w:hAnsi="Calibri" w:cs="Calibri"/>
                <w:color w:val="000000"/>
                <w:lang w:val="en-GB"/>
              </w:rPr>
              <w:t>92 [84-96]</w:t>
            </w:r>
          </w:p>
        </w:tc>
        <w:tc>
          <w:tcPr>
            <w:tcW w:w="1698" w:type="dxa"/>
            <w:vAlign w:val="center"/>
          </w:tcPr>
          <w:p w14:paraId="3D467882" w14:textId="17EB8233" w:rsidR="00415FE7" w:rsidRPr="00CC539E" w:rsidRDefault="00415FE7" w:rsidP="00CC539E">
            <w:pPr>
              <w:jc w:val="center"/>
              <w:rPr>
                <w:lang w:val="en-GB"/>
              </w:rPr>
            </w:pPr>
            <w:r w:rsidRPr="00CC539E">
              <w:rPr>
                <w:rFonts w:ascii="Calibri" w:hAnsi="Calibri" w:cs="Calibri"/>
                <w:color w:val="000000"/>
                <w:lang w:val="en-GB"/>
              </w:rPr>
              <w:t>91 [75-96]</w:t>
            </w:r>
          </w:p>
        </w:tc>
      </w:tr>
      <w:tr w:rsidR="006F56E1" w14:paraId="22423D51" w14:textId="5389F2AF" w:rsidTr="006F56E1">
        <w:trPr>
          <w:trHeight w:val="510"/>
        </w:trPr>
        <w:tc>
          <w:tcPr>
            <w:tcW w:w="2127" w:type="dxa"/>
            <w:vAlign w:val="center"/>
          </w:tcPr>
          <w:p w14:paraId="5D44C1C0" w14:textId="572DA914" w:rsidR="006F56E1" w:rsidRPr="00CC539E" w:rsidRDefault="006F56E1" w:rsidP="006F56E1">
            <w:pPr>
              <w:rPr>
                <w:lang w:val="en-GB"/>
              </w:rPr>
            </w:pPr>
            <w:r w:rsidRPr="00CC539E">
              <w:rPr>
                <w:lang w:val="en-GB"/>
              </w:rPr>
              <w:t>Cement</w:t>
            </w:r>
          </w:p>
        </w:tc>
        <w:tc>
          <w:tcPr>
            <w:tcW w:w="1842" w:type="dxa"/>
            <w:vAlign w:val="center"/>
          </w:tcPr>
          <w:p w14:paraId="31C9C67B" w14:textId="0DBC466D" w:rsidR="006F56E1" w:rsidRPr="00CC539E" w:rsidRDefault="006F56E1" w:rsidP="006F56E1">
            <w:pPr>
              <w:jc w:val="center"/>
              <w:rPr>
                <w:lang w:val="en-GB"/>
              </w:rPr>
            </w:pPr>
            <w:r w:rsidRPr="00CC539E">
              <w:rPr>
                <w:lang w:val="en-GB"/>
              </w:rPr>
              <w:t>95</w:t>
            </w:r>
          </w:p>
        </w:tc>
        <w:tc>
          <w:tcPr>
            <w:tcW w:w="1697" w:type="dxa"/>
            <w:vAlign w:val="center"/>
          </w:tcPr>
          <w:p w14:paraId="24D02D75" w14:textId="1B6CF4BC" w:rsidR="006F56E1" w:rsidRPr="006F56E1" w:rsidRDefault="006F56E1" w:rsidP="006F56E1">
            <w:pPr>
              <w:jc w:val="center"/>
              <w:rPr>
                <w:rFonts w:ascii="Calibri" w:hAnsi="Calibri" w:cs="Calibri"/>
                <w:color w:val="000000"/>
                <w:lang w:val="en-GB"/>
              </w:rPr>
            </w:pPr>
            <w:r w:rsidRPr="006F56E1">
              <w:rPr>
                <w:rFonts w:ascii="Calibri" w:hAnsi="Calibri" w:cs="Calibri"/>
                <w:color w:val="000000"/>
                <w:lang w:val="en-GB"/>
              </w:rPr>
              <w:t>84 [78-98]</w:t>
            </w:r>
          </w:p>
        </w:tc>
        <w:tc>
          <w:tcPr>
            <w:tcW w:w="1698" w:type="dxa"/>
            <w:vAlign w:val="center"/>
          </w:tcPr>
          <w:p w14:paraId="616CB400" w14:textId="12454CA5" w:rsidR="006F56E1" w:rsidRPr="006F56E1" w:rsidRDefault="006F56E1" w:rsidP="006F56E1">
            <w:pPr>
              <w:jc w:val="center"/>
              <w:rPr>
                <w:rFonts w:ascii="Calibri" w:hAnsi="Calibri" w:cs="Calibri"/>
                <w:color w:val="000000"/>
                <w:lang w:val="en-GB"/>
              </w:rPr>
            </w:pPr>
            <w:r w:rsidRPr="006F56E1">
              <w:rPr>
                <w:rFonts w:ascii="Calibri" w:hAnsi="Calibri" w:cs="Calibri"/>
                <w:color w:val="000000"/>
                <w:lang w:val="en-GB"/>
              </w:rPr>
              <w:t>81 [72-86]</w:t>
            </w:r>
          </w:p>
        </w:tc>
        <w:tc>
          <w:tcPr>
            <w:tcW w:w="1698" w:type="dxa"/>
            <w:vAlign w:val="center"/>
          </w:tcPr>
          <w:p w14:paraId="6E300D25" w14:textId="3A3A4D1F" w:rsidR="006F56E1" w:rsidRPr="006F56E1" w:rsidRDefault="006F56E1" w:rsidP="006F56E1">
            <w:pPr>
              <w:jc w:val="center"/>
              <w:rPr>
                <w:rFonts w:ascii="Calibri" w:hAnsi="Calibri" w:cs="Calibri"/>
                <w:color w:val="000000"/>
                <w:lang w:val="en-GB"/>
              </w:rPr>
            </w:pPr>
            <w:r w:rsidRPr="006F56E1">
              <w:rPr>
                <w:rFonts w:ascii="Calibri" w:hAnsi="Calibri" w:cs="Calibri"/>
                <w:color w:val="000000"/>
                <w:lang w:val="en-GB"/>
              </w:rPr>
              <w:t>78 [69-85]</w:t>
            </w:r>
          </w:p>
        </w:tc>
      </w:tr>
      <w:tr w:rsidR="006F56E1" w14:paraId="5E722492" w14:textId="44754205" w:rsidTr="006F56E1">
        <w:trPr>
          <w:trHeight w:val="510"/>
        </w:trPr>
        <w:tc>
          <w:tcPr>
            <w:tcW w:w="2127" w:type="dxa"/>
            <w:vAlign w:val="center"/>
          </w:tcPr>
          <w:p w14:paraId="623713AE" w14:textId="0AE68C22" w:rsidR="006F56E1" w:rsidRPr="00CC539E" w:rsidRDefault="006F56E1" w:rsidP="006F56E1">
            <w:pPr>
              <w:rPr>
                <w:lang w:val="en-GB"/>
              </w:rPr>
            </w:pPr>
            <w:r w:rsidRPr="00CC539E">
              <w:rPr>
                <w:lang w:val="en-GB"/>
              </w:rPr>
              <w:t>Iron and steel</w:t>
            </w:r>
          </w:p>
        </w:tc>
        <w:tc>
          <w:tcPr>
            <w:tcW w:w="1842" w:type="dxa"/>
            <w:vAlign w:val="center"/>
          </w:tcPr>
          <w:p w14:paraId="75FAF072" w14:textId="499AA13C" w:rsidR="006F56E1" w:rsidRPr="00CC539E" w:rsidRDefault="006F56E1" w:rsidP="006F56E1">
            <w:pPr>
              <w:jc w:val="center"/>
              <w:rPr>
                <w:lang w:val="en-GB"/>
              </w:rPr>
            </w:pPr>
            <w:r w:rsidRPr="00CC539E">
              <w:rPr>
                <w:lang w:val="en-GB"/>
              </w:rPr>
              <w:t>93</w:t>
            </w:r>
          </w:p>
        </w:tc>
        <w:tc>
          <w:tcPr>
            <w:tcW w:w="1697" w:type="dxa"/>
            <w:vAlign w:val="center"/>
          </w:tcPr>
          <w:p w14:paraId="36E73762" w14:textId="51DC0929" w:rsidR="006F56E1" w:rsidRPr="006F56E1" w:rsidRDefault="006F56E1" w:rsidP="006F56E1">
            <w:pPr>
              <w:jc w:val="center"/>
              <w:rPr>
                <w:rFonts w:ascii="Calibri" w:hAnsi="Calibri" w:cs="Calibri"/>
                <w:color w:val="000000"/>
                <w:lang w:val="en-GB"/>
              </w:rPr>
            </w:pPr>
            <w:r w:rsidRPr="006F56E1">
              <w:rPr>
                <w:rFonts w:ascii="Calibri" w:hAnsi="Calibri" w:cs="Calibri"/>
                <w:color w:val="000000"/>
                <w:lang w:val="en-GB"/>
              </w:rPr>
              <w:t>84 [78-98]</w:t>
            </w:r>
          </w:p>
        </w:tc>
        <w:tc>
          <w:tcPr>
            <w:tcW w:w="1698" w:type="dxa"/>
            <w:vAlign w:val="center"/>
          </w:tcPr>
          <w:p w14:paraId="5F4468B7" w14:textId="32D7CD36" w:rsidR="006F56E1" w:rsidRPr="006F56E1" w:rsidRDefault="006F56E1" w:rsidP="006F56E1">
            <w:pPr>
              <w:jc w:val="center"/>
              <w:rPr>
                <w:rFonts w:ascii="Calibri" w:hAnsi="Calibri" w:cs="Calibri"/>
                <w:color w:val="000000"/>
                <w:lang w:val="en-GB"/>
              </w:rPr>
            </w:pPr>
            <w:r w:rsidRPr="006F56E1">
              <w:rPr>
                <w:rFonts w:ascii="Calibri" w:hAnsi="Calibri" w:cs="Calibri"/>
                <w:color w:val="000000"/>
                <w:lang w:val="en-GB"/>
              </w:rPr>
              <w:t>81 [72-86]</w:t>
            </w:r>
          </w:p>
        </w:tc>
        <w:tc>
          <w:tcPr>
            <w:tcW w:w="1698" w:type="dxa"/>
            <w:vAlign w:val="center"/>
          </w:tcPr>
          <w:p w14:paraId="6172A423" w14:textId="3BA845F1" w:rsidR="006F56E1" w:rsidRPr="006F56E1" w:rsidRDefault="006F56E1" w:rsidP="006F56E1">
            <w:pPr>
              <w:jc w:val="center"/>
              <w:rPr>
                <w:rFonts w:ascii="Calibri" w:hAnsi="Calibri" w:cs="Calibri"/>
                <w:color w:val="000000"/>
                <w:lang w:val="en-GB"/>
              </w:rPr>
            </w:pPr>
            <w:r w:rsidRPr="006F56E1">
              <w:rPr>
                <w:rFonts w:ascii="Calibri" w:hAnsi="Calibri" w:cs="Calibri"/>
                <w:color w:val="000000"/>
                <w:lang w:val="en-GB"/>
              </w:rPr>
              <w:t>78 [69-85]</w:t>
            </w:r>
          </w:p>
        </w:tc>
      </w:tr>
      <w:tr w:rsidR="00415FE7" w14:paraId="03BC7ED2" w14:textId="060FC941" w:rsidTr="00CC539E">
        <w:trPr>
          <w:trHeight w:val="510"/>
        </w:trPr>
        <w:tc>
          <w:tcPr>
            <w:tcW w:w="2127" w:type="dxa"/>
            <w:vAlign w:val="center"/>
          </w:tcPr>
          <w:p w14:paraId="1BD9EE01" w14:textId="4C284D11" w:rsidR="00415FE7" w:rsidRPr="00CC539E" w:rsidRDefault="00415FE7" w:rsidP="00CC539E">
            <w:pPr>
              <w:rPr>
                <w:lang w:val="en-GB"/>
              </w:rPr>
            </w:pPr>
            <w:r w:rsidRPr="00CC539E">
              <w:rPr>
                <w:lang w:val="en-GB"/>
              </w:rPr>
              <w:t>Service buildings</w:t>
            </w:r>
          </w:p>
        </w:tc>
        <w:tc>
          <w:tcPr>
            <w:tcW w:w="1842" w:type="dxa"/>
            <w:vAlign w:val="center"/>
          </w:tcPr>
          <w:p w14:paraId="128C6605" w14:textId="41216FF3" w:rsidR="00415FE7" w:rsidRPr="00CC539E" w:rsidRDefault="00415FE7" w:rsidP="00CC539E">
            <w:pPr>
              <w:jc w:val="center"/>
              <w:rPr>
                <w:lang w:val="en-GB"/>
              </w:rPr>
            </w:pPr>
            <w:r w:rsidRPr="00CC539E">
              <w:rPr>
                <w:lang w:val="en-GB"/>
              </w:rPr>
              <w:t>99,6</w:t>
            </w:r>
          </w:p>
        </w:tc>
        <w:tc>
          <w:tcPr>
            <w:tcW w:w="1697" w:type="dxa"/>
            <w:vAlign w:val="center"/>
          </w:tcPr>
          <w:p w14:paraId="2F329680" w14:textId="42FF0E0E" w:rsidR="00415FE7" w:rsidRPr="00CC539E" w:rsidRDefault="00415FE7" w:rsidP="00CC539E">
            <w:pPr>
              <w:jc w:val="center"/>
              <w:rPr>
                <w:lang w:val="en-GB"/>
              </w:rPr>
            </w:pPr>
            <w:r w:rsidRPr="00CC539E">
              <w:rPr>
                <w:rFonts w:ascii="Calibri" w:hAnsi="Calibri" w:cs="Calibri"/>
                <w:color w:val="000000"/>
                <w:lang w:val="en-GB"/>
              </w:rPr>
              <w:t>84 [50-98]</w:t>
            </w:r>
          </w:p>
        </w:tc>
        <w:tc>
          <w:tcPr>
            <w:tcW w:w="1698" w:type="dxa"/>
            <w:vAlign w:val="center"/>
          </w:tcPr>
          <w:p w14:paraId="42C46752" w14:textId="4DCAF91D" w:rsidR="00415FE7" w:rsidRPr="00CC539E" w:rsidRDefault="00415FE7" w:rsidP="00CC539E">
            <w:pPr>
              <w:jc w:val="center"/>
              <w:rPr>
                <w:lang w:val="en-GB"/>
              </w:rPr>
            </w:pPr>
            <w:r w:rsidRPr="00CC539E">
              <w:rPr>
                <w:rFonts w:ascii="Calibri" w:hAnsi="Calibri" w:cs="Calibri"/>
                <w:color w:val="000000"/>
                <w:lang w:val="en-GB"/>
              </w:rPr>
              <w:t>91 [16-96]</w:t>
            </w:r>
          </w:p>
        </w:tc>
        <w:tc>
          <w:tcPr>
            <w:tcW w:w="1698" w:type="dxa"/>
            <w:vAlign w:val="center"/>
          </w:tcPr>
          <w:p w14:paraId="26A883BA" w14:textId="7EC3B90E" w:rsidR="00415FE7" w:rsidRPr="00CC539E" w:rsidRDefault="00415FE7" w:rsidP="00CC539E">
            <w:pPr>
              <w:jc w:val="center"/>
              <w:rPr>
                <w:lang w:val="en-GB"/>
              </w:rPr>
            </w:pPr>
            <w:r w:rsidRPr="00CC539E">
              <w:rPr>
                <w:rFonts w:ascii="Calibri" w:hAnsi="Calibri" w:cs="Calibri"/>
                <w:color w:val="000000"/>
                <w:lang w:val="en-GB"/>
              </w:rPr>
              <w:t>86 [36-95]</w:t>
            </w:r>
          </w:p>
        </w:tc>
      </w:tr>
      <w:tr w:rsidR="00415FE7" w14:paraId="508A8949" w14:textId="29D24A7E" w:rsidTr="00CC539E">
        <w:trPr>
          <w:trHeight w:val="510"/>
        </w:trPr>
        <w:tc>
          <w:tcPr>
            <w:tcW w:w="2127" w:type="dxa"/>
            <w:tcBorders>
              <w:bottom w:val="single" w:sz="4" w:space="0" w:color="auto"/>
            </w:tcBorders>
            <w:vAlign w:val="center"/>
          </w:tcPr>
          <w:p w14:paraId="4E5BEA94" w14:textId="3AD090E6" w:rsidR="00415FE7" w:rsidRPr="00CC539E" w:rsidRDefault="00415FE7" w:rsidP="00CC539E">
            <w:pPr>
              <w:rPr>
                <w:lang w:val="en-GB"/>
              </w:rPr>
            </w:pPr>
            <w:r w:rsidRPr="00CC539E">
              <w:rPr>
                <w:lang w:val="en-GB"/>
              </w:rPr>
              <w:t>Residential buildings</w:t>
            </w:r>
          </w:p>
        </w:tc>
        <w:tc>
          <w:tcPr>
            <w:tcW w:w="1842" w:type="dxa"/>
            <w:tcBorders>
              <w:bottom w:val="single" w:sz="4" w:space="0" w:color="auto"/>
            </w:tcBorders>
            <w:vAlign w:val="center"/>
          </w:tcPr>
          <w:p w14:paraId="374305C9" w14:textId="6E53964D" w:rsidR="00415FE7" w:rsidRPr="00CC539E" w:rsidRDefault="00415FE7" w:rsidP="00CC539E">
            <w:pPr>
              <w:jc w:val="center"/>
              <w:rPr>
                <w:lang w:val="en-GB"/>
              </w:rPr>
            </w:pPr>
            <w:r w:rsidRPr="00CC539E">
              <w:rPr>
                <w:lang w:val="en-GB"/>
              </w:rPr>
              <w:t>97,9</w:t>
            </w:r>
          </w:p>
        </w:tc>
        <w:tc>
          <w:tcPr>
            <w:tcW w:w="1697" w:type="dxa"/>
            <w:tcBorders>
              <w:bottom w:val="single" w:sz="4" w:space="0" w:color="auto"/>
            </w:tcBorders>
            <w:vAlign w:val="center"/>
          </w:tcPr>
          <w:p w14:paraId="2141B794" w14:textId="0333FDA4" w:rsidR="00415FE7" w:rsidRPr="00CC539E" w:rsidRDefault="00415FE7" w:rsidP="00CC539E">
            <w:pPr>
              <w:jc w:val="center"/>
              <w:rPr>
                <w:lang w:val="en-GB"/>
              </w:rPr>
            </w:pPr>
            <w:r w:rsidRPr="00CC539E">
              <w:rPr>
                <w:rFonts w:ascii="Calibri" w:hAnsi="Calibri" w:cs="Calibri"/>
                <w:color w:val="000000"/>
                <w:lang w:val="en-GB"/>
              </w:rPr>
              <w:t>84 [50-98]</w:t>
            </w:r>
          </w:p>
        </w:tc>
        <w:tc>
          <w:tcPr>
            <w:tcW w:w="1698" w:type="dxa"/>
            <w:tcBorders>
              <w:bottom w:val="single" w:sz="4" w:space="0" w:color="auto"/>
            </w:tcBorders>
            <w:vAlign w:val="center"/>
          </w:tcPr>
          <w:p w14:paraId="712C6E26" w14:textId="7C961EAB" w:rsidR="00415FE7" w:rsidRPr="00CC539E" w:rsidRDefault="00415FE7" w:rsidP="00CC539E">
            <w:pPr>
              <w:jc w:val="center"/>
              <w:rPr>
                <w:lang w:val="en-GB"/>
              </w:rPr>
            </w:pPr>
            <w:r w:rsidRPr="00CC539E">
              <w:rPr>
                <w:rFonts w:ascii="Calibri" w:hAnsi="Calibri" w:cs="Calibri"/>
                <w:color w:val="000000"/>
                <w:lang w:val="en-GB"/>
              </w:rPr>
              <w:t>91 [16-96]</w:t>
            </w:r>
          </w:p>
        </w:tc>
        <w:tc>
          <w:tcPr>
            <w:tcW w:w="1698" w:type="dxa"/>
            <w:tcBorders>
              <w:bottom w:val="single" w:sz="4" w:space="0" w:color="auto"/>
            </w:tcBorders>
            <w:vAlign w:val="center"/>
          </w:tcPr>
          <w:p w14:paraId="0380880A" w14:textId="262378C4" w:rsidR="00415FE7" w:rsidRPr="00CC539E" w:rsidRDefault="00415FE7" w:rsidP="00CC539E">
            <w:pPr>
              <w:jc w:val="center"/>
              <w:rPr>
                <w:lang w:val="en-GB"/>
              </w:rPr>
            </w:pPr>
            <w:r w:rsidRPr="00CC539E">
              <w:rPr>
                <w:rFonts w:ascii="Calibri" w:hAnsi="Calibri" w:cs="Calibri"/>
                <w:color w:val="000000"/>
                <w:lang w:val="en-GB"/>
              </w:rPr>
              <w:t>86 [36-95]</w:t>
            </w:r>
          </w:p>
        </w:tc>
      </w:tr>
    </w:tbl>
    <w:p w14:paraId="612A9983" w14:textId="6709ECF6" w:rsidR="009817E0" w:rsidRPr="00CC539E" w:rsidRDefault="00CC539E" w:rsidP="00747FD9">
      <w:pPr>
        <w:rPr>
          <w:sz w:val="20"/>
          <w:lang w:val="en-GB"/>
        </w:rPr>
      </w:pPr>
      <w:r w:rsidRPr="00CC539E">
        <w:rPr>
          <w:b/>
          <w:sz w:val="20"/>
          <w:lang w:val="en-GB"/>
        </w:rPr>
        <w:t xml:space="preserve">Table 3: </w:t>
      </w:r>
      <w:r>
        <w:rPr>
          <w:b/>
          <w:sz w:val="20"/>
          <w:lang w:val="en-GB"/>
        </w:rPr>
        <w:t>Sector</w:t>
      </w:r>
      <w:r w:rsidRPr="00CC539E">
        <w:rPr>
          <w:b/>
          <w:sz w:val="20"/>
          <w:lang w:val="en-GB"/>
        </w:rPr>
        <w:t xml:space="preserve">-based reduction targets in </w:t>
      </w:r>
      <w:r w:rsidR="00684DEC">
        <w:rPr>
          <w:b/>
          <w:sz w:val="20"/>
          <w:lang w:val="en-GB"/>
        </w:rPr>
        <w:t xml:space="preserve">corporate </w:t>
      </w:r>
      <w:r>
        <w:rPr>
          <w:b/>
          <w:sz w:val="20"/>
          <w:lang w:val="en-GB"/>
        </w:rPr>
        <w:t xml:space="preserve">net zero standards </w:t>
      </w:r>
      <w:r w:rsidRPr="00CC539E">
        <w:rPr>
          <w:b/>
          <w:sz w:val="20"/>
          <w:lang w:val="en-GB"/>
        </w:rPr>
        <w:t xml:space="preserve">versus global reductions </w:t>
      </w:r>
      <w:r>
        <w:rPr>
          <w:b/>
          <w:sz w:val="20"/>
          <w:lang w:val="en-GB"/>
        </w:rPr>
        <w:t>in</w:t>
      </w:r>
      <w:r w:rsidRPr="00CC539E">
        <w:rPr>
          <w:b/>
          <w:sz w:val="20"/>
          <w:lang w:val="en-GB"/>
        </w:rPr>
        <w:t xml:space="preserve"> scenarios by net zero CO</w:t>
      </w:r>
      <w:r w:rsidRPr="00CC539E">
        <w:rPr>
          <w:b/>
          <w:sz w:val="20"/>
          <w:vertAlign w:val="subscript"/>
          <w:lang w:val="en-GB"/>
        </w:rPr>
        <w:t>2</w:t>
      </w:r>
      <w:r w:rsidRPr="00CC539E">
        <w:rPr>
          <w:b/>
          <w:sz w:val="20"/>
          <w:lang w:val="en-GB"/>
        </w:rPr>
        <w:t>.</w:t>
      </w:r>
      <w:r w:rsidRPr="00CC539E">
        <w:rPr>
          <w:sz w:val="20"/>
          <w:lang w:val="en-GB"/>
        </w:rPr>
        <w:t xml:space="preserve"> Note that insufficient data is present in the AR6 database to distinguish </w:t>
      </w:r>
      <w:r>
        <w:rPr>
          <w:sz w:val="20"/>
          <w:lang w:val="en-GB"/>
        </w:rPr>
        <w:t xml:space="preserve">cement </w:t>
      </w:r>
      <w:r w:rsidR="004E36A9">
        <w:rPr>
          <w:sz w:val="20"/>
          <w:lang w:val="en-GB"/>
        </w:rPr>
        <w:t>versus</w:t>
      </w:r>
      <w:r>
        <w:rPr>
          <w:sz w:val="20"/>
          <w:lang w:val="en-GB"/>
        </w:rPr>
        <w:t xml:space="preserve"> iron and steel emissions. These sectors are </w:t>
      </w:r>
      <w:r w:rsidR="004E36A9">
        <w:rPr>
          <w:sz w:val="20"/>
          <w:lang w:val="en-GB"/>
        </w:rPr>
        <w:t xml:space="preserve">here </w:t>
      </w:r>
      <w:r>
        <w:rPr>
          <w:sz w:val="20"/>
          <w:lang w:val="en-GB"/>
        </w:rPr>
        <w:t xml:space="preserve">mapped to the </w:t>
      </w:r>
      <w:r w:rsidRPr="00CC539E">
        <w:rPr>
          <w:sz w:val="20"/>
          <w:lang w:val="en-GB"/>
        </w:rPr>
        <w:t>"CO2|Energy|Demand|Industry"</w:t>
      </w:r>
      <w:r>
        <w:rPr>
          <w:sz w:val="20"/>
          <w:lang w:val="en-GB"/>
        </w:rPr>
        <w:t xml:space="preserve"> and </w:t>
      </w:r>
      <w:r w:rsidRPr="00CC539E">
        <w:rPr>
          <w:sz w:val="20"/>
          <w:lang w:val="en-GB"/>
        </w:rPr>
        <w:t>"CO2|Industrial processes"</w:t>
      </w:r>
      <w:r>
        <w:rPr>
          <w:sz w:val="20"/>
          <w:lang w:val="en-GB"/>
        </w:rPr>
        <w:t xml:space="preserve"> </w:t>
      </w:r>
      <w:r w:rsidR="00467554">
        <w:rPr>
          <w:sz w:val="20"/>
          <w:lang w:val="en-GB"/>
        </w:rPr>
        <w:t>variables</w:t>
      </w:r>
      <w:r>
        <w:rPr>
          <w:sz w:val="20"/>
          <w:lang w:val="en-GB"/>
        </w:rPr>
        <w:t xml:space="preserve"> in the AR6 database. Similarly, service and residential buildings are mapped to the </w:t>
      </w:r>
      <w:r w:rsidRPr="00CC539E">
        <w:rPr>
          <w:sz w:val="20"/>
          <w:lang w:val="en-GB"/>
        </w:rPr>
        <w:t>"CO2|Energy|Demand|Residential and Commercial"</w:t>
      </w:r>
      <w:r>
        <w:rPr>
          <w:sz w:val="20"/>
          <w:lang w:val="en-GB"/>
        </w:rPr>
        <w:t xml:space="preserve"> </w:t>
      </w:r>
      <w:r w:rsidR="00467554">
        <w:rPr>
          <w:sz w:val="20"/>
          <w:lang w:val="en-GB"/>
        </w:rPr>
        <w:t>variable</w:t>
      </w:r>
      <w:r>
        <w:rPr>
          <w:sz w:val="20"/>
          <w:lang w:val="en-GB"/>
        </w:rPr>
        <w:t>.</w:t>
      </w:r>
      <w:r w:rsidR="00A27DF3">
        <w:rPr>
          <w:sz w:val="20"/>
          <w:lang w:val="en-GB"/>
        </w:rPr>
        <w:t xml:space="preserve"> Sources: </w:t>
      </w:r>
      <w:proofErr w:type="spellStart"/>
      <w:r w:rsidR="00A27DF3">
        <w:rPr>
          <w:sz w:val="20"/>
          <w:lang w:val="en-GB"/>
        </w:rPr>
        <w:t>SBTi</w:t>
      </w:r>
      <w:proofErr w:type="spellEnd"/>
      <w:r w:rsidR="00A27DF3">
        <w:rPr>
          <w:sz w:val="20"/>
          <w:lang w:val="en-GB"/>
        </w:rPr>
        <w:t xml:space="preserve"> </w:t>
      </w:r>
      <w:r w:rsidR="00A27DF3">
        <w:rPr>
          <w:sz w:val="20"/>
          <w:lang w:val="en-GB"/>
        </w:rPr>
        <w:fldChar w:fldCharType="begin"/>
      </w:r>
      <w:r w:rsidR="00A27DF3">
        <w:rPr>
          <w:sz w:val="20"/>
          <w:lang w:val="en-GB"/>
        </w:rPr>
        <w:instrText xml:space="preserve"> ADDIN ZOTERO_ITEM CSL_CITATION {"citationID":"P1nPe2Fk","properties":{"formattedCitation":"(2023)","plainCitation":"(2023)","noteIndex":0},"citationItems":[{"id":13774,"uris":["http://zotero.org/users/6250806/items/2EYFFY8U"],"itemData":{"id":13774,"type":"report","number":"Version 1.1","publisher":"Science Based Targets Initiative","title":"SBTi Corporate Net-Zero Standard","URL":"https://sciencebasedtargets.org/resources/files/Net-Zero-Standard.pdf","author":[{"family":"SBTi","given":""}],"accessed":{"date-parts":[["2023",9,20]]},"issued":{"date-parts":[["2023"]]},"citation-key":"sbtiSBTiCorporateNetZero2023"},"label":"page","suppress-author":true}],"schema":"https://github.com/citation-style-language/schema/raw/master/csl-citation.json"} </w:instrText>
      </w:r>
      <w:r w:rsidR="00A27DF3">
        <w:rPr>
          <w:sz w:val="20"/>
          <w:lang w:val="en-GB"/>
        </w:rPr>
        <w:fldChar w:fldCharType="separate"/>
      </w:r>
      <w:r w:rsidR="00B34A0D" w:rsidRPr="006A5822">
        <w:rPr>
          <w:rFonts w:ascii="Calibri" w:hAnsi="Calibri" w:cs="Calibri"/>
          <w:sz w:val="20"/>
          <w:lang w:val="en-GB"/>
        </w:rPr>
        <w:t>(2023)</w:t>
      </w:r>
      <w:r w:rsidR="00A27DF3">
        <w:rPr>
          <w:sz w:val="20"/>
          <w:lang w:val="en-GB"/>
        </w:rPr>
        <w:fldChar w:fldCharType="end"/>
      </w:r>
      <w:r w:rsidR="00A27DF3">
        <w:rPr>
          <w:sz w:val="20"/>
          <w:lang w:val="en-GB"/>
        </w:rPr>
        <w:t xml:space="preserve">, Byers et al. </w:t>
      </w:r>
      <w:r w:rsidR="00A27DF3">
        <w:rPr>
          <w:sz w:val="20"/>
          <w:lang w:val="en-GB"/>
        </w:rPr>
        <w:fldChar w:fldCharType="begin"/>
      </w:r>
      <w:r w:rsidR="00A27DF3">
        <w:rPr>
          <w:sz w:val="20"/>
          <w:lang w:val="en-GB"/>
        </w:rPr>
        <w:instrText xml:space="preserve"> ADDIN ZOTERO_ITEM CSL_CITATION {"citationID":"GaDlWXTP","properties":{"formattedCitation":"(2022)","plainCitation":"(2022)","noteIndex":0},"citationItems":[{"id":13545,"uris":["http://zotero.org/users/6250806/items/4SM278HX"],"itemData":{"id":13545,"type":"report","note":"Citation Key: byers_edward_2022_5886911\nDOI: 10.5281/zenodo.5886911\ntex.entrytype: dataset\ntex.version: 1.1","publisher":"International Institute for Applied Systems Analysis","title":"AR6 Scenarios Database hosted by IIASA","URL":"https://doi.org/10.5281/zenodo.5886911","author":[{"literal":"Byers"},{"literal":"Edward"},{"family":"Krey","given":"Volker"},{"family":"Kriegler","given":"Elmar"},{"family":"Riahi","given":"Keywan"},{"family":"Schaeffer","given":"Roberto"},{"family":"Kikstra","given":"Jarmo"},{"family":"Lamboll","given":"Robin"},{"family":"Nicholls","given":"Zebedee"},{"family":"Sandstad","given":"Marit"},{"family":"Smith","given":"Chris"},{"family":"Wijst","given":"Kaj","non-dropping-particle":"van der"},{"family":"Al Khourdajie","given":"Alaa"},{"family":"Lecocq","given":"Franck"},{"family":"Portugal-Pereira","given":"Joana"},{"family":"Saheb","given":"Yamina"},{"family":"Stromann","given":"Anders"},{"family":"Winkler","given":"Harald"},{"family":"Auer","given":"Cornelia"},{"family":"Brutschin","given":"Elina"},{"family":"Gidden","given":"Matthew"},{"family":"Hackstock","given":"Philip"},{"family":"Harmsen","given":"Mathijs"},{"family":"Huppmann","given":"Daniel"},{"family":"Kolp","given":"Peter"},{"family":"Lepault","given":"Claire"},{"family":"Lewis","given":"Jared"},{"family":"Marangoni","given":"Giacomo"},{"family":"Müller-Casseres","given":"Eduardo"},{"family":"Skeie","given":"Ragnhild"},{"family":"Werning","given":"Michaela"},{"family":"Calvin","given":"Katherine"},{"family":"Forster","given":"Piers"},{"family":"Guivarch","given":"Celine"},{"family":"Hasegawa","given":"Tomoko"},{"family":"Meinshausen","given":"Malte"},{"family":"Peters","given":"Glen"},{"family":"Rogelj","given":"Joeri"},{"family":"Samset","given":"Bjorn"},{"family":"Steinberger","given":"Julia"},{"family":"Tavoni","given":"Massimo"},{"family":"Vuuren","given":"Detlef","non-dropping-particle":"van"}],"issued":{"date-parts":[["2022",11]]},"citation-key":"byers_edward_2022_5886911"},"label":"page","suppress-author":true}],"schema":"https://github.com/citation-style-language/schema/raw/master/csl-citation.json"} </w:instrText>
      </w:r>
      <w:r w:rsidR="00A27DF3">
        <w:rPr>
          <w:sz w:val="20"/>
          <w:lang w:val="en-GB"/>
        </w:rPr>
        <w:fldChar w:fldCharType="separate"/>
      </w:r>
      <w:r w:rsidR="00B34A0D" w:rsidRPr="00B34A0D">
        <w:rPr>
          <w:rFonts w:ascii="Calibri" w:hAnsi="Calibri" w:cs="Calibri"/>
          <w:sz w:val="20"/>
          <w:lang w:val="en-GB"/>
        </w:rPr>
        <w:t>(2022)</w:t>
      </w:r>
      <w:r w:rsidR="00A27DF3">
        <w:rPr>
          <w:sz w:val="20"/>
          <w:lang w:val="en-GB"/>
        </w:rPr>
        <w:fldChar w:fldCharType="end"/>
      </w:r>
      <w:r w:rsidR="00A27DF3">
        <w:rPr>
          <w:sz w:val="20"/>
          <w:lang w:val="en-GB"/>
        </w:rPr>
        <w:t>.</w:t>
      </w:r>
    </w:p>
    <w:p w14:paraId="461D9327" w14:textId="0F8708D3" w:rsidR="004C066C" w:rsidRDefault="00216C2B" w:rsidP="004C066C">
      <w:pPr>
        <w:rPr>
          <w:lang w:val="en-GB"/>
        </w:rPr>
      </w:pPr>
      <w:r>
        <w:rPr>
          <w:lang w:val="en-GB"/>
        </w:rPr>
        <w:t xml:space="preserve">Inter-comparison </w:t>
      </w:r>
      <w:r w:rsidR="0083782A">
        <w:rPr>
          <w:lang w:val="en-GB"/>
        </w:rPr>
        <w:t>of the AR6 database scenarios is</w:t>
      </w:r>
      <w:r>
        <w:rPr>
          <w:lang w:val="en-GB"/>
        </w:rPr>
        <w:t xml:space="preserve"> further hindered </w:t>
      </w:r>
      <w:r w:rsidR="0083782A">
        <w:rPr>
          <w:lang w:val="en-GB"/>
        </w:rPr>
        <w:t xml:space="preserve">by a lack of descriptive variables characterising each pathway. </w:t>
      </w:r>
      <w:r w:rsidR="00C82105">
        <w:rPr>
          <w:lang w:val="en-GB"/>
        </w:rPr>
        <w:t xml:space="preserve">But sampling the set of </w:t>
      </w:r>
      <w:r w:rsidR="00C64DB9">
        <w:rPr>
          <w:lang w:val="en-GB"/>
        </w:rPr>
        <w:t xml:space="preserve">scenarios at the lower </w:t>
      </w:r>
      <w:r w:rsidR="00C82105">
        <w:rPr>
          <w:lang w:val="en-GB"/>
        </w:rPr>
        <w:t xml:space="preserve">end </w:t>
      </w:r>
      <w:r w:rsidR="00C64DB9">
        <w:rPr>
          <w:lang w:val="en-GB"/>
        </w:rPr>
        <w:t xml:space="preserve">of residual GHG emissions </w:t>
      </w:r>
      <w:r w:rsidR="00C82105">
        <w:rPr>
          <w:lang w:val="en-GB"/>
        </w:rPr>
        <w:t>(e.g. &lt;12 GtCO2e/</w:t>
      </w:r>
      <w:proofErr w:type="spellStart"/>
      <w:r w:rsidR="00C82105">
        <w:rPr>
          <w:lang w:val="en-GB"/>
        </w:rPr>
        <w:t>yr</w:t>
      </w:r>
      <w:proofErr w:type="spellEnd"/>
      <w:r w:rsidR="00D07DE2">
        <w:rPr>
          <w:lang w:val="en-GB"/>
        </w:rPr>
        <w:t xml:space="preserve"> at net zero</w:t>
      </w:r>
      <w:r w:rsidR="00C82105">
        <w:rPr>
          <w:lang w:val="en-GB"/>
        </w:rPr>
        <w:t xml:space="preserve">) suggests a number of </w:t>
      </w:r>
      <w:r w:rsidR="00D07DE2">
        <w:rPr>
          <w:lang w:val="en-GB"/>
        </w:rPr>
        <w:t>strategies</w:t>
      </w:r>
      <w:r w:rsidR="00C64DB9">
        <w:rPr>
          <w:lang w:val="en-GB"/>
        </w:rPr>
        <w:t xml:space="preserve">. </w:t>
      </w:r>
      <w:r w:rsidR="00C82105">
        <w:rPr>
          <w:lang w:val="en-GB"/>
        </w:rPr>
        <w:t xml:space="preserve">The first is to resolve land-based impacts through a reduction of food waste and a transition to healthy and sustainable diets, namely </w:t>
      </w:r>
      <w:r w:rsidR="00485E55">
        <w:rPr>
          <w:lang w:val="en-GB"/>
        </w:rPr>
        <w:t xml:space="preserve">via </w:t>
      </w:r>
      <w:r w:rsidR="00C82105">
        <w:rPr>
          <w:lang w:val="en-GB"/>
        </w:rPr>
        <w:t>a significant increase in the dietary share of plant based proteins</w:t>
      </w:r>
      <w:r w:rsidR="00D6491E">
        <w:rPr>
          <w:lang w:val="en-GB"/>
        </w:rPr>
        <w:t xml:space="preserve">. </w:t>
      </w:r>
      <w:proofErr w:type="spellStart"/>
      <w:r w:rsidR="00D6491E">
        <w:rPr>
          <w:lang w:val="en-GB"/>
        </w:rPr>
        <w:t>Soergel</w:t>
      </w:r>
      <w:proofErr w:type="spellEnd"/>
      <w:r w:rsidR="00D6491E">
        <w:rPr>
          <w:lang w:val="en-GB"/>
        </w:rPr>
        <w:t xml:space="preserve"> et al. </w:t>
      </w:r>
      <w:r w:rsidR="00D6491E">
        <w:rPr>
          <w:lang w:val="en-GB"/>
        </w:rPr>
        <w:fldChar w:fldCharType="begin"/>
      </w:r>
      <w:r w:rsidR="00D6491E">
        <w:rPr>
          <w:lang w:val="en-GB"/>
        </w:rPr>
        <w:instrText xml:space="preserve"> ADDIN ZOTERO_ITEM CSL_CITATION {"citationID":"9Xdevwkx","properties":{"formattedCitation":"(2021)","plainCitation":"(2021)","noteIndex":0},"citationItems":[{"id":13572,"uris":["http://zotero.org/users/6250806/items/3DLMM22G"],"itemData":{"id":13572,"type":"article-journal","container-title":"Nature Climate Change","DOI":"10.1038/s41558-021-01098-3","ISSN":"1758-678X, 1758-6798","issue":"8","journalAbbreviation":"Nat. Clim. Chang.","language":"en","page":"656-664","source":"DOI.org (Crossref)","title":"A sustainable development pathway for climate action within the UN 2030 Agenda","volume":"11","author":[{"family":"Soergel","given":"Bjoern"},{"family":"Kriegler","given":"Elmar"},{"family":"Weindl","given":"Isabelle"},{"family":"Rauner","given":"Sebastian"},{"family":"Dirnaichner","given":"Alois"},{"family":"Ruhe","given":"Constantin"},{"family":"Hofmann","given":"Matthias"},{"family":"Bauer","given":"Nico"},{"family":"Bertram","given":"Christoph"},{"family":"Bodirsky","given":"Benjamin Leon"},{"family":"Leimbach","given":"Marian"},{"family":"Leininger","given":"Julia"},{"family":"Levesque","given":"Antoine"},{"family":"Luderer","given":"Gunnar"},{"family":"Pehl","given":"Michaja"},{"family":"Wingens","given":"Christopher"},{"family":"Baumstark","given":"Lavinia"},{"family":"Beier","given":"Felicitas"},{"family":"Dietrich","given":"Jan Philipp"},{"family":"Humpenöder","given":"Florian"},{"family":"Jeetze","given":"Patrick","non-dropping-particle":"von"},{"family":"Klein","given":"David"},{"family":"Koch","given":"Johannes"},{"family":"Pietzcker","given":"Robert"},{"family":"Strefler","given":"Jessica"},{"family":"Lotze-Campen","given":"Hermann"},{"family":"Popp","given":"Alexander"}],"issued":{"date-parts":[["2021",8]]},"citation-key":"soergelSustainableDevelopmentPathway2021"},"label":"page","suppress-author":true}],"schema":"https://github.com/citation-style-language/schema/raw/master/csl-citation.json"} </w:instrText>
      </w:r>
      <w:r w:rsidR="00D6491E">
        <w:rPr>
          <w:lang w:val="en-GB"/>
        </w:rPr>
        <w:fldChar w:fldCharType="separate"/>
      </w:r>
      <w:r w:rsidR="00B34A0D" w:rsidRPr="00B34A0D">
        <w:rPr>
          <w:rFonts w:ascii="Calibri" w:hAnsi="Calibri" w:cs="Calibri"/>
          <w:lang w:val="en-GB"/>
        </w:rPr>
        <w:t>(2021)</w:t>
      </w:r>
      <w:r w:rsidR="00D6491E">
        <w:rPr>
          <w:lang w:val="en-GB"/>
        </w:rPr>
        <w:fldChar w:fldCharType="end"/>
      </w:r>
      <w:r w:rsidR="00D6491E">
        <w:rPr>
          <w:lang w:val="en-GB"/>
        </w:rPr>
        <w:t xml:space="preserve"> increase this share to ~80% and observe rapid reductions in agricultural N</w:t>
      </w:r>
      <w:r w:rsidR="00D6491E" w:rsidRPr="00D6491E">
        <w:rPr>
          <w:vertAlign w:val="subscript"/>
          <w:lang w:val="en-GB"/>
        </w:rPr>
        <w:t>2</w:t>
      </w:r>
      <w:r w:rsidR="00D6491E">
        <w:rPr>
          <w:lang w:val="en-GB"/>
        </w:rPr>
        <w:t>0 and CH</w:t>
      </w:r>
      <w:r w:rsidR="00D6491E" w:rsidRPr="00D6491E">
        <w:rPr>
          <w:vertAlign w:val="subscript"/>
          <w:lang w:val="en-GB"/>
        </w:rPr>
        <w:t>4</w:t>
      </w:r>
      <w:r w:rsidR="00D6491E">
        <w:rPr>
          <w:lang w:val="en-GB"/>
        </w:rPr>
        <w:t xml:space="preserve"> emissions, which also facilitates a higher CO</w:t>
      </w:r>
      <w:r w:rsidR="00D6491E" w:rsidRPr="00D07DE2">
        <w:rPr>
          <w:vertAlign w:val="subscript"/>
          <w:lang w:val="en-GB"/>
        </w:rPr>
        <w:t>2</w:t>
      </w:r>
      <w:r w:rsidR="00D6491E">
        <w:rPr>
          <w:lang w:val="en-GB"/>
        </w:rPr>
        <w:t xml:space="preserve"> budget for meeting the 1.5</w:t>
      </w:r>
      <w:r w:rsidR="00D6491E">
        <w:rPr>
          <w:rFonts w:cstheme="minorHAnsi"/>
          <w:lang w:val="en-GB"/>
        </w:rPr>
        <w:t>°</w:t>
      </w:r>
      <w:r w:rsidR="00D6491E">
        <w:rPr>
          <w:lang w:val="en-GB"/>
        </w:rPr>
        <w:t>C</w:t>
      </w:r>
      <w:r w:rsidR="00B45CE7">
        <w:rPr>
          <w:lang w:val="en-GB"/>
        </w:rPr>
        <w:t xml:space="preserve"> target</w:t>
      </w:r>
      <w:r w:rsidR="00D6491E">
        <w:rPr>
          <w:lang w:val="en-GB"/>
        </w:rPr>
        <w:t xml:space="preserve">. The </w:t>
      </w:r>
      <w:r w:rsidR="00D07DE2">
        <w:rPr>
          <w:lang w:val="en-GB"/>
        </w:rPr>
        <w:t xml:space="preserve">second is to </w:t>
      </w:r>
      <w:r w:rsidR="00675480">
        <w:rPr>
          <w:lang w:val="en-GB"/>
        </w:rPr>
        <w:t xml:space="preserve">focus on </w:t>
      </w:r>
      <w:r w:rsidR="00D07DE2">
        <w:rPr>
          <w:lang w:val="en-GB"/>
        </w:rPr>
        <w:t xml:space="preserve">a </w:t>
      </w:r>
      <w:r w:rsidR="00B45CE7">
        <w:rPr>
          <w:lang w:val="en-GB"/>
        </w:rPr>
        <w:t xml:space="preserve">particularly </w:t>
      </w:r>
      <w:r w:rsidR="00675480">
        <w:rPr>
          <w:lang w:val="en-GB"/>
        </w:rPr>
        <w:t>deep decarbonisation</w:t>
      </w:r>
      <w:r w:rsidR="00D07DE2">
        <w:rPr>
          <w:lang w:val="en-GB"/>
        </w:rPr>
        <w:t xml:space="preserve"> of the energy system, which is implemented in </w:t>
      </w:r>
      <w:proofErr w:type="spellStart"/>
      <w:r w:rsidR="00D07DE2">
        <w:rPr>
          <w:lang w:val="en-GB"/>
        </w:rPr>
        <w:t>Luderer</w:t>
      </w:r>
      <w:proofErr w:type="spellEnd"/>
      <w:r w:rsidR="00D07DE2">
        <w:rPr>
          <w:lang w:val="en-GB"/>
        </w:rPr>
        <w:t xml:space="preserve"> </w:t>
      </w:r>
      <w:r w:rsidR="00D07DE2">
        <w:rPr>
          <w:lang w:val="en-GB"/>
        </w:rPr>
        <w:fldChar w:fldCharType="begin"/>
      </w:r>
      <w:r w:rsidR="00D07DE2">
        <w:rPr>
          <w:lang w:val="en-GB"/>
        </w:rPr>
        <w:instrText xml:space="preserve"> ADDIN ZOTERO_ITEM CSL_CITATION {"citationID":"1YoSN124","properties":{"formattedCitation":"(2022)","plainCitation":"(2022)","noteIndex":0},"citationItems":[{"id":13200,"uris":["http://zotero.org/users/6250806/items/FVW647YF"],"itemData":{"id":13200,"type":"article-journal","container-title":"Nature Energy","DOI":"10.1038/s41560-021-00937-z","ISSN":"2058-7546","issue":"1","journalAbbreviation":"Nat Energy","language":"en","page":"32-42","source":"DOI.org (Crossref)","title":"Impact of declining renewable energy costs on electrification in low-emission scenarios","volume":"7","author":[{"family":"Luderer","given":"Gunnar"},{"family":"Madeddu","given":"Silvia"},{"family":"Merfort","given":"Leon"},{"family":"Ueckerdt","given":"Falko"},{"family":"Pehl","given":"Michaja"},{"family":"Pietzcker","given":"Robert"},{"family":"Rottoli","given":"Marianna"},{"family":"Schreyer","given":"Felix"},{"family":"Bauer","given":"Nico"},{"family":"Baumstark","given":"Lavinia"},{"family":"Bertram","given":"Christoph"},{"family":"Dirnaichner","given":"Alois"},{"family":"Humpenöder","given":"Florian"},{"family":"Levesque","given":"Antoine"},{"family":"Popp","given":"Alexander"},{"family":"Rodrigues","given":"Renato"},{"family":"Strefler","given":"Jessica"},{"family":"Kriegler","given":"Elmar"}],"issued":{"date-parts":[["2022",1]]},"citation-key":"ludererImpactDecliningRenewable2022"},"label":"page","suppress-author":true}],"schema":"https://github.com/citation-style-language/schema/raw/master/csl-citation.json"} </w:instrText>
      </w:r>
      <w:r w:rsidR="00D07DE2">
        <w:rPr>
          <w:lang w:val="en-GB"/>
        </w:rPr>
        <w:fldChar w:fldCharType="separate"/>
      </w:r>
      <w:r w:rsidR="00B34A0D" w:rsidRPr="00B34A0D">
        <w:rPr>
          <w:rFonts w:ascii="Calibri" w:hAnsi="Calibri" w:cs="Calibri"/>
          <w:lang w:val="en-GB"/>
        </w:rPr>
        <w:t>(2022)</w:t>
      </w:r>
      <w:r w:rsidR="00D07DE2">
        <w:rPr>
          <w:lang w:val="en-GB"/>
        </w:rPr>
        <w:fldChar w:fldCharType="end"/>
      </w:r>
      <w:r w:rsidR="00675480">
        <w:rPr>
          <w:lang w:val="en-GB"/>
        </w:rPr>
        <w:t xml:space="preserve"> </w:t>
      </w:r>
      <w:r w:rsidR="00D07DE2">
        <w:rPr>
          <w:lang w:val="en-GB"/>
        </w:rPr>
        <w:t xml:space="preserve">via the </w:t>
      </w:r>
      <w:r w:rsidR="00675480">
        <w:rPr>
          <w:lang w:val="en-GB"/>
        </w:rPr>
        <w:t>electrification of end-use technologies in the transport, industry and buildings sectors, supported by a rapid scale-up of solar power and wind generation.</w:t>
      </w:r>
      <w:r w:rsidR="00D07DE2">
        <w:rPr>
          <w:lang w:val="en-GB"/>
        </w:rPr>
        <w:t xml:space="preserve"> The third is to limit CDR availability, as in Strefler </w:t>
      </w:r>
      <w:r w:rsidR="00D07DE2">
        <w:rPr>
          <w:lang w:val="en-GB"/>
        </w:rPr>
        <w:fldChar w:fldCharType="begin"/>
      </w:r>
      <w:r w:rsidR="00D07DE2">
        <w:rPr>
          <w:lang w:val="en-GB"/>
        </w:rPr>
        <w:instrText xml:space="preserve"> ADDIN ZOTERO_ITEM CSL_CITATION {"citationID":"um6A3Ll8","properties":{"formattedCitation":"(2021)","plainCitation":"(2021)","noteIndex":0},"citationItems":[{"id":13515,"uris":["http://zotero.org/users/6250806/items/RRXGLFY4"],"itemData":{"id":13515,"type":"article-journal","abstract":"Abstract\n            \n              Technologies for carbon dioxide removal (CDR) from the atmosphere have been recognized as an important part of limiting warming to well below 2 °C called for in the Paris Agreement. However, many scenarios so far rely on bioenergy in combination with carbon capture and storage as the only CDR technology. Various other options have been proposed, but have scarcely been taken up in an integrated assessment of mitigation pathways. In this study we analyze a comprehensive portfolio of CDR options in terms of their regional and temporal deployment patterns in climate change mitigation pathways and the resulting challenges. We show that any CDR option with sufficient potential can reduce the economic costs of achieving the 1.5 °C target substantially without increasing the temperature overshoot. CDR helps to reduce net CO\n              2\n              emissions faster and achieve carbon neutrality earlier. The regional distribution of CDR deployment in cost-effective mitigation pathways depends on which options are available. If only enhanced weathering of rocks on croplands or re- and afforestation are available, Latin America and Asia cover nearly all of global CDR deployment. Besides fairness and sustainability concerns, such a regional concentration would require large international transfers and thus strong international institutions. In our study, the full portfolio scenario is the most balanced from a regional perspective. This indicates that different CDR options should be developed such that all regions can contribute according to their regional potentials.","container-title":"Environmental Research Letters","DOI":"10.1088/1748-9326/ac0a11","ISSN":"1748-9326","issue":"7","journalAbbreviation":"Environ. Res. Lett.","language":"en","page":"074021","source":"DOI.org (Crossref)","title":"Carbon dioxide removal technologies are not born equal","volume":"16","author":[{"family":"Strefler","given":"Jessica"},{"family":"Bauer","given":"Nico"},{"family":"Humpenöder","given":"Florian"},{"family":"Klein","given":"David"},{"family":"Popp","given":"Alexander"},{"family":"Kriegler","given":"Elmar"}],"issued":{"date-parts":[["2021",7,1]]},"citation-key":"streflerCarbonDioxideRemoval2021"},"label":"page","suppress-author":true}],"schema":"https://github.com/citation-style-language/schema/raw/master/csl-citation.json"} </w:instrText>
      </w:r>
      <w:r w:rsidR="00D07DE2">
        <w:rPr>
          <w:lang w:val="en-GB"/>
        </w:rPr>
        <w:fldChar w:fldCharType="separate"/>
      </w:r>
      <w:r w:rsidR="00B34A0D" w:rsidRPr="00B34A0D">
        <w:rPr>
          <w:rFonts w:ascii="Calibri" w:hAnsi="Calibri" w:cs="Calibri"/>
          <w:lang w:val="en-GB"/>
        </w:rPr>
        <w:t>(2021)</w:t>
      </w:r>
      <w:r w:rsidR="00D07DE2">
        <w:rPr>
          <w:lang w:val="en-GB"/>
        </w:rPr>
        <w:fldChar w:fldCharType="end"/>
      </w:r>
      <w:r w:rsidR="00D07DE2">
        <w:rPr>
          <w:lang w:val="en-GB"/>
        </w:rPr>
        <w:t xml:space="preserve">, which constrains models to </w:t>
      </w:r>
      <w:r w:rsidR="00DE0865">
        <w:rPr>
          <w:lang w:val="en-GB"/>
        </w:rPr>
        <w:t xml:space="preserve">implementing </w:t>
      </w:r>
      <w:r w:rsidR="00D07DE2">
        <w:rPr>
          <w:lang w:val="en-GB"/>
        </w:rPr>
        <w:t>deeper gross emissions reductions</w:t>
      </w:r>
      <w:r w:rsidR="00DE0865">
        <w:rPr>
          <w:lang w:val="en-GB"/>
        </w:rPr>
        <w:t xml:space="preserve"> at higher costs</w:t>
      </w:r>
      <w:r w:rsidR="00D07DE2">
        <w:rPr>
          <w:lang w:val="en-GB"/>
        </w:rPr>
        <w:t>.</w:t>
      </w:r>
      <w:r w:rsidR="004A5C7F">
        <w:rPr>
          <w:lang w:val="en-GB"/>
        </w:rPr>
        <w:t xml:space="preserve"> </w:t>
      </w:r>
      <w:r w:rsidR="004C066C">
        <w:rPr>
          <w:lang w:val="en-GB"/>
        </w:rPr>
        <w:t>Finally, cross-cutting demand-side measures appear to have particular resonance for mitigating emissions in ‘hard-to-abate’ sectors. This is the case for not just sustainable diets, but also through de-incentivising aviation, reducing building floor areas, and limiting material demand – all of which cumulate to residual emissions of ~10 GtCO2e/</w:t>
      </w:r>
      <w:proofErr w:type="spellStart"/>
      <w:r w:rsidR="004C066C">
        <w:rPr>
          <w:lang w:val="en-GB"/>
        </w:rPr>
        <w:t>yr</w:t>
      </w:r>
      <w:proofErr w:type="spellEnd"/>
      <w:r w:rsidR="004C066C">
        <w:rPr>
          <w:lang w:val="en-GB"/>
        </w:rPr>
        <w:t xml:space="preserve"> in 2060 in one recent scenario that is not in the AR6 database </w:t>
      </w:r>
      <w:r w:rsidR="004C066C">
        <w:rPr>
          <w:lang w:val="en-GB"/>
        </w:rPr>
        <w:fldChar w:fldCharType="begin"/>
      </w:r>
      <w:r w:rsidR="004C066C">
        <w:rPr>
          <w:lang w:val="en-GB"/>
        </w:rPr>
        <w:instrText xml:space="preserve"> ADDIN ZOTERO_ITEM CSL_CITATION {"citationID":"cCiuZPQp","properties":{"formattedCitation":"(Edelenbosch {\\i{}et al} 2022)","plainCitation":"(Edelenbosch et al 2022)","noteIndex":0},"citationItems":[{"id":13469,"uris":["http://zotero.org/users/6250806/items/BZXVKUII"],"itemData":{"id":13469,"type":"report","event-place":"The Hague","language":"en","publisher":"PBL Netherlands Environmental Assessment Agency","publisher-place":"The Hague","source":"Zotero","title":"Mitigating greenhouse gas emissions in hard-to-abate sectors","URL":"https://www.pbl.nl/sites/default/files/downloads/pbl-2022-mitigating-greenhouse-gas-emissions-in-hard-to-abate-sectors-4901.pdf","author":[{"family":"Edelenbosch","given":"Oreane"},{"family":"Berg","given":"Maarten","non-dropping-particle":"van den"},{"family":"De Boer","given":"Harmen Sytze"},{"family":"Chen","given":"HsingHsuan"},{"family":"Daioglou","given":"Vassilis"},{"family":"Dekker","given":"Mark"},{"family":"Doelman","given":"Jonathan"},{"family":"Elzen","given":"Michel","non-dropping-particle":"den"},{"family":"Frinking","given":"Valentijn"},{"family":"Harmsen","given":"Mathijs"},{"family":"Hof","given":"Andries F."},{"family":"Mikropoulos","given":"Efstratios"},{"family":"Sluisveld","given":"Mariësse","non-dropping-particle":"van"},{"family":"Tagomori","given":"Isabela"},{"family":"Van Vuuren","given":"Detlef P."}],"issued":{"date-parts":[["2022"]]},"citation-key":"edelenboschMitigatingGreenhouseGas2022"}}],"schema":"https://github.com/citation-style-language/schema/raw/master/csl-citation.json"} </w:instrText>
      </w:r>
      <w:r w:rsidR="004C066C">
        <w:rPr>
          <w:lang w:val="en-GB"/>
        </w:rPr>
        <w:fldChar w:fldCharType="separate"/>
      </w:r>
      <w:r w:rsidR="00B34A0D" w:rsidRPr="00B34A0D">
        <w:rPr>
          <w:rFonts w:ascii="Calibri" w:hAnsi="Calibri" w:cs="Calibri"/>
          <w:szCs w:val="24"/>
          <w:lang w:val="en-GB"/>
        </w:rPr>
        <w:t xml:space="preserve">(Edelenbosch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2022)</w:t>
      </w:r>
      <w:r w:rsidR="004C066C">
        <w:rPr>
          <w:lang w:val="en-GB"/>
        </w:rPr>
        <w:fldChar w:fldCharType="end"/>
      </w:r>
      <w:r w:rsidR="004C066C">
        <w:rPr>
          <w:lang w:val="en-GB"/>
        </w:rPr>
        <w:t>.</w:t>
      </w:r>
    </w:p>
    <w:p w14:paraId="542250D2" w14:textId="6883E721" w:rsidR="00C82105" w:rsidRDefault="004C066C" w:rsidP="004C066C">
      <w:pPr>
        <w:pStyle w:val="Listenabsatz"/>
        <w:numPr>
          <w:ilvl w:val="0"/>
          <w:numId w:val="5"/>
        </w:numPr>
        <w:rPr>
          <w:lang w:val="en-GB"/>
        </w:rPr>
      </w:pPr>
      <w:r>
        <w:rPr>
          <w:lang w:val="en-GB"/>
        </w:rPr>
        <w:t>Conclusion</w:t>
      </w:r>
      <w:r w:rsidR="004A5C7F">
        <w:rPr>
          <w:lang w:val="en-GB"/>
        </w:rPr>
        <w:t xml:space="preserve"> </w:t>
      </w:r>
    </w:p>
    <w:p w14:paraId="0AD52C4F" w14:textId="77777777" w:rsidR="00716D09" w:rsidRDefault="004C066C" w:rsidP="00747FD9">
      <w:pPr>
        <w:rPr>
          <w:lang w:val="en-GB"/>
        </w:rPr>
      </w:pPr>
      <w:r>
        <w:rPr>
          <w:lang w:val="en-GB"/>
        </w:rPr>
        <w:t xml:space="preserve">As countries begin to design their pathways to net zero, the topic of residual emissions will gain increasing resonance. The scenario literature suggests a wide range of possible outcomes, with relatively little reflection to date on the size and composition of these emissions. </w:t>
      </w:r>
    </w:p>
    <w:p w14:paraId="2299CD42" w14:textId="4B94E040" w:rsidR="00ED428B" w:rsidRDefault="00716D09" w:rsidP="00747FD9">
      <w:pPr>
        <w:rPr>
          <w:lang w:val="en-GB"/>
        </w:rPr>
      </w:pPr>
      <w:r>
        <w:rPr>
          <w:lang w:val="en-GB"/>
        </w:rPr>
        <w:t xml:space="preserve">A specific policy demand that is emerging is the question of “how much carbon dioxide removal will be needed” </w:t>
      </w:r>
      <w:r>
        <w:rPr>
          <w:lang w:val="en-GB"/>
        </w:rPr>
        <w:fldChar w:fldCharType="begin"/>
      </w:r>
      <w:r>
        <w:rPr>
          <w:lang w:val="en-GB"/>
        </w:rPr>
        <w:instrText xml:space="preserve"> ADDIN ZOTERO_ITEM CSL_CITATION {"citationID":"0k41Fs4x","properties":{"formattedCitation":"(Smith {\\i{}et al} 2023)","plainCitation":"(Smith et al 2023)","noteIndex":0},"citationItems":[{"id":13532,"uris":["http://zotero.org/users/6250806/items/H7P2HH4X"],"itemData":{"id":13532,"type":"report","page":"1-108","title":"The State of Carbon Dioxide Removal - 1st Edition","URL":"Available at: https://www.stateofcdr.org","author":[{"family":"Smith","given":"","suffix":"S. M."},{"family":"Geden","given":"O."},{"family":"Nemet","given":"G.F."},{"family":"Gidden","given":"M J"},{"family":"Lamb","given":"W.F."},{"family":"Powis","given":"C."},{"family":"Bellamy","given":"R."},{"family":"Callaghan","given":"M.W."},{"family":"Cowie","given":"A"},{"family":"Cox","given":"E."},{"family":"Fuss","given":"S."},{"family":"Gasser","given":"T."},{"family":"Grassi","given":"G."},{"family":"Greene","given":"J."},{"family":"Lück","given":"S."},{"family":"Mohan","given":"A."},{"family":"Müller-Hansen","given":"F."},{"family":"Peters","given":"G. P."},{"family":"Pratama","given":"Y."},{"family":"Repke","given":"T."},{"family":"Riahi","given":"K."},{"family":"Schenuit","given":"F."},{"family":"Steinhauser","given":"J."},{"family":"Strefler","given":"J."},{"family":"Valenzuela","given":"J.M."},{"family":"Minx","given":"J.C."}],"issued":{"date-parts":[["2023"]]},"citation-key":"smithStateCarbonDioxide2023"}}],"schema":"https://github.com/citation-style-language/schema/raw/master/csl-citation.json"} </w:instrText>
      </w:r>
      <w:r>
        <w:rPr>
          <w:lang w:val="en-GB"/>
        </w:rPr>
        <w:fldChar w:fldCharType="separate"/>
      </w:r>
      <w:r w:rsidR="00B34A0D" w:rsidRPr="00B34A0D">
        <w:rPr>
          <w:rFonts w:ascii="Calibri" w:hAnsi="Calibri" w:cs="Calibri"/>
          <w:szCs w:val="24"/>
          <w:lang w:val="en-GB"/>
        </w:rPr>
        <w:t xml:space="preserve">(Smith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2023)</w:t>
      </w:r>
      <w:r>
        <w:rPr>
          <w:lang w:val="en-GB"/>
        </w:rPr>
        <w:fldChar w:fldCharType="end"/>
      </w:r>
      <w:r>
        <w:rPr>
          <w:lang w:val="en-GB"/>
        </w:rPr>
        <w:t xml:space="preserve">. This question is consequential for understanding the degree of policy effort required to establish CDR technologies </w:t>
      </w:r>
      <w:r w:rsidR="00ED428B">
        <w:rPr>
          <w:lang w:val="en-GB"/>
        </w:rPr>
        <w:t xml:space="preserve">– and </w:t>
      </w:r>
      <w:r>
        <w:rPr>
          <w:lang w:val="en-GB"/>
        </w:rPr>
        <w:t>whether we are o</w:t>
      </w:r>
      <w:r w:rsidR="00ED428B">
        <w:rPr>
          <w:lang w:val="en-GB"/>
        </w:rPr>
        <w:t>ff</w:t>
      </w:r>
      <w:r>
        <w:rPr>
          <w:lang w:val="en-GB"/>
        </w:rPr>
        <w:t xml:space="preserve"> track in this domain of climate mitigation, </w:t>
      </w:r>
      <w:r w:rsidR="00ED428B">
        <w:rPr>
          <w:lang w:val="en-GB"/>
        </w:rPr>
        <w:t>in addition to</w:t>
      </w:r>
      <w:r>
        <w:rPr>
          <w:lang w:val="en-GB"/>
        </w:rPr>
        <w:t xml:space="preserve"> emissions reductions. Of course, different levels of residual emissions and consequent CDR deployments are possible</w:t>
      </w:r>
      <w:r w:rsidR="00ED428B">
        <w:rPr>
          <w:lang w:val="en-GB"/>
        </w:rPr>
        <w:t>,</w:t>
      </w:r>
      <w:r>
        <w:rPr>
          <w:lang w:val="en-GB"/>
        </w:rPr>
        <w:t xml:space="preserve"> but arguably the </w:t>
      </w:r>
      <w:r w:rsidR="00ED428B">
        <w:rPr>
          <w:lang w:val="en-GB"/>
        </w:rPr>
        <w:t xml:space="preserve">frontier of minimal </w:t>
      </w:r>
      <w:r w:rsidR="00ED428B">
        <w:rPr>
          <w:lang w:val="en-GB"/>
        </w:rPr>
        <w:lastRenderedPageBreak/>
        <w:t>residual emissions in scenarios remains unknown</w:t>
      </w:r>
      <w:r>
        <w:rPr>
          <w:lang w:val="en-GB"/>
        </w:rPr>
        <w:t>.</w:t>
      </w:r>
      <w:r w:rsidR="00ED428B">
        <w:rPr>
          <w:lang w:val="en-GB"/>
        </w:rPr>
        <w:t xml:space="preserve"> Given the cost-optimisation nature of IAMs, strategies that limit CDR or execute extremely high carbon prices may be needed to systematically explore this frontier.</w:t>
      </w:r>
    </w:p>
    <w:p w14:paraId="3CA1C9D0" w14:textId="1F7EBCEF" w:rsidR="004D5D70" w:rsidRDefault="00ED428B" w:rsidP="00D45D04">
      <w:pPr>
        <w:rPr>
          <w:lang w:val="en-GB"/>
        </w:rPr>
      </w:pPr>
      <w:r>
        <w:rPr>
          <w:lang w:val="en-GB"/>
        </w:rPr>
        <w:t>The categories of residual emissions and ‘hard-to-abate’ sectors would seem to add to the complexity of climate policy. Further, they enable another level of subjectivity with regards to where efforts should take place</w:t>
      </w:r>
      <w:r w:rsidR="00DE7D24">
        <w:rPr>
          <w:lang w:val="en-GB"/>
        </w:rPr>
        <w:t xml:space="preserve"> and where difficulties will be met</w:t>
      </w:r>
      <w:r>
        <w:rPr>
          <w:lang w:val="en-GB"/>
        </w:rPr>
        <w:t xml:space="preserve">. However, </w:t>
      </w:r>
      <w:r w:rsidR="00DE7D24">
        <w:rPr>
          <w:lang w:val="en-GB"/>
        </w:rPr>
        <w:t xml:space="preserve">it is also unambiguously clear </w:t>
      </w:r>
      <w:r w:rsidR="00D45D04">
        <w:rPr>
          <w:lang w:val="en-GB"/>
        </w:rPr>
        <w:t xml:space="preserve">that a wide range of short-term, effective and necessary intervention points exist to phase-out fossil fuels and eliminate deforestation. It is only through learning by doing that residual emissions will finally become known. </w:t>
      </w:r>
    </w:p>
    <w:p w14:paraId="08466BF2" w14:textId="1FF9FB88" w:rsidR="004D5D70" w:rsidRPr="006A5822" w:rsidRDefault="006A5822" w:rsidP="00747FD9">
      <w:pPr>
        <w:rPr>
          <w:b/>
          <w:lang w:val="en-GB"/>
        </w:rPr>
      </w:pPr>
      <w:r w:rsidRPr="006A5822">
        <w:rPr>
          <w:b/>
          <w:lang w:val="en-GB"/>
        </w:rPr>
        <w:t>Acknowledgement</w:t>
      </w:r>
    </w:p>
    <w:p w14:paraId="54334827" w14:textId="0D7F5018" w:rsidR="006A5822" w:rsidRPr="006A5822" w:rsidRDefault="006A5822" w:rsidP="00747FD9">
      <w:pPr>
        <w:rPr>
          <w:lang w:val="en-GB"/>
        </w:rPr>
      </w:pPr>
      <w:r w:rsidRPr="006A5822">
        <w:rPr>
          <w:lang w:val="en-GB"/>
        </w:rPr>
        <w:t>William F. Lamb</w:t>
      </w:r>
      <w:r>
        <w:rPr>
          <w:lang w:val="en-GB"/>
        </w:rPr>
        <w:t xml:space="preserve"> was</w:t>
      </w:r>
      <w:r w:rsidRPr="006A5822">
        <w:rPr>
          <w:lang w:val="en-GB"/>
        </w:rPr>
        <w:t xml:space="preserve"> supported by the ERC-2020-SyG "GENIE" (grant ID 951542).</w:t>
      </w:r>
      <w:r>
        <w:rPr>
          <w:lang w:val="en-GB"/>
        </w:rPr>
        <w:t xml:space="preserve"> I thank Jan Minx and Mathew </w:t>
      </w:r>
      <w:proofErr w:type="spellStart"/>
      <w:r>
        <w:rPr>
          <w:lang w:val="en-GB"/>
        </w:rPr>
        <w:t>Gidden</w:t>
      </w:r>
      <w:proofErr w:type="spellEnd"/>
      <w:r>
        <w:rPr>
          <w:lang w:val="en-GB"/>
        </w:rPr>
        <w:t xml:space="preserve"> for insights on the analysis and discussion in this manuscript.</w:t>
      </w:r>
    </w:p>
    <w:p w14:paraId="367AD105" w14:textId="77777777" w:rsidR="00740D9A" w:rsidRDefault="00740D9A">
      <w:pPr>
        <w:rPr>
          <w:lang w:val="en-GB"/>
        </w:rPr>
      </w:pPr>
    </w:p>
    <w:p w14:paraId="20B17653" w14:textId="77777777" w:rsidR="00740D9A" w:rsidRDefault="00740D9A">
      <w:pPr>
        <w:rPr>
          <w:lang w:val="en-GB"/>
        </w:rPr>
      </w:pPr>
    </w:p>
    <w:p w14:paraId="531508E5" w14:textId="77777777" w:rsidR="00740D9A" w:rsidRDefault="00740D9A">
      <w:pPr>
        <w:rPr>
          <w:lang w:val="en-GB"/>
        </w:rPr>
      </w:pPr>
      <w:r>
        <w:rPr>
          <w:lang w:val="en-GB"/>
        </w:rPr>
        <w:t>Old text</w:t>
      </w:r>
    </w:p>
    <w:p w14:paraId="6903229D" w14:textId="4A992EAA" w:rsidR="00740D9A" w:rsidRDefault="00740D9A" w:rsidP="00740D9A">
      <w:pPr>
        <w:rPr>
          <w:lang w:val="en-GB"/>
        </w:rPr>
      </w:pPr>
      <w:r>
        <w:rPr>
          <w:lang w:val="en-GB"/>
        </w:rPr>
        <w:t xml:space="preserve">Advocates of stronger climate policy might note that claims a sector is “hard-to-abate” can be challenged if alternative forms of provisioning and shifts in demand are considered. For instance, livestock or aviation may not be integral to satisfying human needs and could therefore be challenged from a normative perspective </w:t>
      </w:r>
      <w:r>
        <w:rPr>
          <w:lang w:val="en-GB"/>
        </w:rPr>
        <w:fldChar w:fldCharType="begin"/>
      </w:r>
      <w:r>
        <w:rPr>
          <w:lang w:val="en-GB"/>
        </w:rPr>
        <w:instrText xml:space="preserve"> ADDIN ZOTERO_ITEM CSL_CITATION {"citationID":"QLSNXsLT","properties":{"formattedCitation":"(Lund {\\i{}et al} 2023)","plainCitation":"(Lund et al 2023)","noteIndex":0},"citationItems":[{"id":13591,"uris":["http://zotero.org/users/6250806/items/H7X3WEVV"],"itemData":{"id":13591,"type":"article-journal","abstract":"In this perspective article, we call for more engagement with the unexplored politics of residual emissions. Residual emissions are those emissions that remain at the point of net zero, despite abatement efforts. Unlike carbon dioxide removal, which has been the focus of a lively research and policy debate, the notion of residual emissions remains relatively unexplored so far. With the mainstreaming of net zero as the long-term goal of climate policy, the politics of residual emissions are set to become a key point of contestation. Claims about residual emissions tend to revolve around notions of necessity and possibility, i.e. emissions that derive from activities deemed socially necessary yet impossible to fully abate. In this perspective article, we highlight how such claims are socially constructed and ultimately contingent on values, norms and interests. We call upon researchers to help render visible the geographically and historically contingent claims to necessity and possi­ bility that underpin projected residual emissions. We see this as an important means to repoliticize debates about the limits and possibilities of emissions abatement, and suggest entry points for such research efforts.","container-title":"Energy Research &amp; Social Science","DOI":"10.1016/j.erss.2023.103035","ISSN":"22146296","journalAbbreviation":"Energy Research &amp; Social Science","language":"en","page":"103035","source":"DOI.org (Crossref)","title":"Net zero and the unexplored politics of residual emissions","volume":"98","author":[{"family":"Lund","given":"Jens Friis"},{"family":"Markusson","given":"Nils"},{"family":"Carton","given":"Wim"},{"family":"Buck","given":"Holly Jean"}],"issued":{"date-parts":[["2023",4]]},"citation-key":"lundNetZeroUnexplored2023"}}],"schema":"https://github.com/citation-style-language/schema/raw/master/csl-citation.json"} </w:instrText>
      </w:r>
      <w:r>
        <w:rPr>
          <w:lang w:val="en-GB"/>
        </w:rPr>
        <w:fldChar w:fldCharType="separate"/>
      </w:r>
      <w:r w:rsidR="00B34A0D" w:rsidRPr="00B34A0D">
        <w:rPr>
          <w:rFonts w:ascii="Calibri" w:hAnsi="Calibri" w:cs="Calibri"/>
          <w:szCs w:val="24"/>
          <w:lang w:val="en-GB"/>
        </w:rPr>
        <w:t xml:space="preserve">(Lund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2023)</w:t>
      </w:r>
      <w:r>
        <w:rPr>
          <w:lang w:val="en-GB"/>
        </w:rPr>
        <w:fldChar w:fldCharType="end"/>
      </w:r>
      <w:r>
        <w:rPr>
          <w:lang w:val="en-GB"/>
        </w:rPr>
        <w:t>. [FEASIBILITY??] Hence, any discussion of residual emissions cannot be decoupled from the political and normative, as well as technical, aspects of decarbonisation pathways.</w:t>
      </w:r>
    </w:p>
    <w:p w14:paraId="3853D0AE" w14:textId="77FD9D74" w:rsidR="00740D9A" w:rsidRDefault="00740D9A">
      <w:pPr>
        <w:rPr>
          <w:lang w:val="en-GB"/>
        </w:rPr>
      </w:pPr>
    </w:p>
    <w:p w14:paraId="4C2BBF01" w14:textId="5A878D44" w:rsidR="006D32E6" w:rsidRDefault="006D32E6" w:rsidP="006D32E6">
      <w:pPr>
        <w:rPr>
          <w:lang w:val="en-GB"/>
        </w:rPr>
      </w:pPr>
      <w:r>
        <w:rPr>
          <w:lang w:val="en-GB"/>
        </w:rPr>
        <w:t xml:space="preserve">The concept of net-zero </w:t>
      </w:r>
      <w:r w:rsidRPr="004D6011">
        <w:rPr>
          <w:lang w:val="en-GB"/>
        </w:rPr>
        <w:t>CO</w:t>
      </w:r>
      <w:r w:rsidRPr="004D6011">
        <w:rPr>
          <w:vertAlign w:val="subscript"/>
          <w:lang w:val="en-GB"/>
        </w:rPr>
        <w:t>2</w:t>
      </w:r>
      <w:r>
        <w:rPr>
          <w:lang w:val="en-GB"/>
        </w:rPr>
        <w:t xml:space="preserve"> raises the question of what “residual emissions” will remain once it is reached. These are the emissions that would still be released on an annual basis after a period of deep reductions in fossil fuel use and deforestation. They would need to be balanced with carbon dioxide removal (CDR) as a pre-requisite to stabilising temperatures and limiting dangerous climate change </w:t>
      </w:r>
      <w:r>
        <w:rPr>
          <w:lang w:val="en-GB"/>
        </w:rPr>
        <w:fldChar w:fldCharType="begin"/>
      </w:r>
      <w:r w:rsidR="009051F9">
        <w:rPr>
          <w:lang w:val="en-GB"/>
        </w:rPr>
        <w:instrText xml:space="preserve"> ADDIN ZOTERO_ITEM CSL_CITATION {"citationID":"mhFMfWb4","properties":{"formattedCitation":"(Allen {\\i{}et al} 2022, Fankhauser {\\i{}et al} 2022)","plainCitation":"(Allen et al 2022, Fankhauser et al 2022)","noteIndex":0},"citationItems":[{"id":13195,"uris":["http://zotero.org/users/6250806/items/JQ6MW82W"],"itemData":{"id":13195,"type":"article-journal","abstract":"This review explains the science behind the drive for global net zero emissions and why this is needed to halt the ongoing rise in global temperatures. We document how the concept of net zero carbon dioxide (CO\n              2\n              ) emissions emerged from an earlier focus on stabilization of atmospheric greenhouse gas concentrations. Using simple conceptual models of the coupled climate–carbon cycle system, we explain why approximately net zero CO\n              2\n              emissions and declining net energy imbalance due to other climate drivers are required to halt global warming on multidecadal timescales, introducing important concepts, including the rate of adjustment to constant forcing and the rate of adjustment to zero emissions. The concept of net zero was taken up through the 5th Assessment Report of the Intergovernmental Panel on Climate Change and the United Nations Framework Convention on Climate Change (UNFCCC) Structured Expert Dialogue, culminating in Article 4 of the 2015 Paris Agreement. Increasing numbers of net zero targets have since been adopted by countries, cities, corporations, and investors. The degree to which any entity can claim to have achieved net zero while continuing to rely on distinct removals to compensate for ongoing emissions is at the heart of current debates over carbon markets and offsetting both inside and outside the UNFCCC. We argue that what matters here is not the precise makeup of a basket of emissions and removals at any given point in time, but the sustainability of a net zero strategy as a whole and its implications for global temperature over multidecadal timescales. Durable, climate-neutral net zero strategies require like-for-like balancing of anthropogenic greenhouse gases sources and sinks in terms of both origin (biogenic versus geological) and gas lifetime.\n            \n            Expected final online publication date for the Annual Review of Environment and Resources, Volume 47 is October 2022. Please see http://www.annualreviews.org/page/journal/pubdates for revised estimates.","container-title":"Annual Review of Environment and Resources","DOI":"10.1146/annurev-environ-112320-105050","ISSN":"1543-5938, 1545-2050","issue":"1","journalAbbreviation":"Annu. Rev. Environ. Resour.","language":"en","page":"annurev-environ-112320-105050","source":"DOI.org (Crossref)","title":"Net Zero: Science, Origins, and Implications","title-short":"Net Zero","volume":"47","author":[{"family":"Allen","given":"Myles R."},{"family":"Friedlingstein","given":"Pierre"},{"family":"Girardin","given":"Cécile A.J."},{"family":"Jenkins","given":"Stuart"},{"family":"Malhi","given":"Yadvinder"},{"family":"Mitchell-Larson","given":"Eli"},{"family":"Peters","given":"Glen P."},{"family":"Rajamani","given":"Lavanya"}],"issued":{"date-parts":[["2022",10,17]]},"citation-key":"allenNetZeroScience2022"}},{"id":12971,"uris":["http://zotero.org/users/6250806/items/786EPUTC"],"itemData":{"id":12971,"type":"article-journal","container-title":"Nature Climate Change","DOI":"10.1038/s41558-021-01245-w","ISSN":"1758-678X, 1758-6798","issue":"1","journalAbbreviation":"Nat. Clim. Chang.","language":"en","page":"15-21","source":"DOI.org (Crossref)","title":"The meaning of net zero and how to get it right","volume":"12","author":[{"family":"Fankhauser","given":"Sam"},{"family":"Smith","given":"Stephen M."},{"family":"Allen","given":"Myles"},{"family":"Axelsson","given":"Kaya"},{"family":"Hale","given":"Thomas"},{"family":"Hepburn","given":"Cameron"},{"family":"Kendall","given":"J. Michael"},{"family":"Khosla","given":"Radhika"},{"family":"Lezaun","given":"Javier"},{"family":"Mitchell-Larson","given":"Eli"},{"family":"Obersteiner","given":"Michael"},{"family":"Rajamani","given":"Lavanya"},{"family":"Rickaby","given":"Rosalind"},{"family":"Seddon","given":"Nathalie"},{"family":"Wetzer","given":"Thom"}],"issued":{"date-parts":[["2022",1]]},"citation-key":"fankhauserMeaningNetZero2022"}}],"schema":"https://github.com/citation-style-language/schema/raw/master/csl-citation.json"} </w:instrText>
      </w:r>
      <w:r>
        <w:rPr>
          <w:lang w:val="en-GB"/>
        </w:rPr>
        <w:fldChar w:fldCharType="separate"/>
      </w:r>
      <w:r w:rsidR="00B34A0D" w:rsidRPr="00B34A0D">
        <w:rPr>
          <w:rFonts w:ascii="Calibri" w:hAnsi="Calibri" w:cs="Calibri"/>
          <w:szCs w:val="24"/>
          <w:lang w:val="en-GB"/>
        </w:rPr>
        <w:t xml:space="preserve">(Allen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2022, Fankhauser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2022)</w:t>
      </w:r>
      <w:r>
        <w:rPr>
          <w:lang w:val="en-GB"/>
        </w:rPr>
        <w:fldChar w:fldCharType="end"/>
      </w:r>
      <w:r>
        <w:rPr>
          <w:lang w:val="en-GB"/>
        </w:rPr>
        <w:t xml:space="preserve">. While residual emissions are now receiving increasing attention in the literature </w:t>
      </w:r>
      <w:r>
        <w:rPr>
          <w:lang w:val="en-GB"/>
        </w:rPr>
        <w:fldChar w:fldCharType="begin"/>
      </w:r>
      <w:r w:rsidR="009051F9">
        <w:rPr>
          <w:lang w:val="en-GB"/>
        </w:rPr>
        <w:instrText xml:space="preserve"> ADDIN ZOTERO_ITEM CSL_CITATION {"citationID":"KMgWI5uR","properties":{"formattedCitation":"(Buck {\\i{}et al} 2023, Lund {\\i{}et al} 2023, Schenuit {\\i{}et al} 2023, Edelenbosch {\\i{}et al} 2022)","plainCitation":"(Buck et al 2023, Lund et al 2023, Schenuit et al 2023, Edelenbosch et al 2022)","noteIndex":0},"citationItems":[{"id":13656,"uris":["http://zotero.org/users/6250806/items/BU8P3XMT"],"itemData":{"id":13656,"type":"article-journal","abstract":"Abstract\n            Net-zero targets imply that continuing residual emissions will be balanced by carbon dioxide removal. However, residual emissions are typically not well defined, conceptually or quantitatively. We analysed governments’ long-term strategies submitted to the UNFCCC to explore projections of residual emissions, including amounts and sectors. We found substantial levels of residual emissions at net-zero greenhouse gas emissions, on average 18% of current emissions for Annex I countries. The majority of strategies were imprecise about which sectors residual emissions would originate from, and few offered specific projections of how residual emissions could be balanced by carbon removal. Our findings indicate the need for a consistent definition of residual emissions, as well as processes that standardize and compare expectations about residual emissions across countries. This is necessary for two reasons: to avoid projections of excessive residuals and correspondent unsustainable or unfeasible carbon-removal levels and to send clearer signals about the temporality of fossil fuel use.","container-title":"Nature Climate Change","DOI":"10.1038/s41558-022-01592-2","ISSN":"1758-678X, 1758-6798","issue":"4","journalAbbreviation":"Nat. Clim. Chang.","language":"en","page":"351-358","source":"DOI.org (Crossref)","title":"Why residual emissions matter right now","volume":"13","author":[{"family":"Buck","given":"Holly Jean"},{"family":"Carton","given":"Wim"},{"family":"Lund","given":"Jens Friis"},{"family":"Markusson","given":"Nils"}],"issued":{"date-parts":[["2023",4]]},"citation-key":"buckWhyResidualEmissions2023"}},{"id":13591,"uris":["http://zotero.org/users/6250806/items/H7X3WEVV"],"itemData":{"id":13591,"type":"article-journal","abstract":"In this perspective article, we call for more engagement with the unexplored politics of residual emissions. Residual emissions are those emissions that remain at the point of net zero, despite abatement efforts. Unlike carbon dioxide removal, which has been the focus of a lively research and policy debate, the notion of residual emissions remains relatively unexplored so far. With the mainstreaming of net zero as the long-term goal of climate policy, the politics of residual emissions are set to become a key point of contestation. Claims about residual emissions tend to revolve around notions of necessity and possibility, i.e. emissions that derive from activities deemed socially necessary yet impossible to fully abate. In this perspective article, we highlight how such claims are socially constructed and ultimately contingent on values, norms and interests. We call upon researchers to help render visible the geographically and historically contingent claims to necessity and possi­ bility that underpin projected residual emissions. We see this as an important means to repoliticize debates about the limits and possibilities of emissions abatement, and suggest entry points for such research efforts.","container-title":"Energy Research &amp; Social Science","DOI":"10.1016/j.erss.2023.103035","ISSN":"22146296","journalAbbreviation":"Energy Research &amp; Social Science","language":"en","page":"103035","source":"DOI.org (Crossref)","title":"Net zero and the unexplored politics of residual emissions","volume":"98","author":[{"family":"Lund","given":"Jens Friis"},{"family":"Markusson","given":"Nils"},{"family":"Carton","given":"Wim"},{"family":"Buck","given":"Holly Jean"}],"issued":{"date-parts":[["2023",4]]},"citation-key":"lundNetZeroUnexplored2023"}},{"id":13739,"uris":["http://zotero.org/users/6250806/items/7DPFLN9U"],"itemData":{"id":13739,"type":"article-journal","language":"en","source":"Zotero","title":"“Carbon Management”: Opportunities and risks for ambitious climate policy","author":[{"family":"Schenuit","given":"Felix"},{"family":"Böttcher","given":"Miranda"},{"family":"Geden","given":"Oliver"}],"issued":{"date-parts":[["2023"]]},"citation-key":"schenuitCarbonManagementOpportunities2023"}},{"id":13469,"uris":["http://zotero.org/users/6250806/items/BZXVKUII"],"itemData":{"id":13469,"type":"report","event-place":"The Hague","language":"en","publisher":"PBL Netherlands Environmental Assessment Agency","publisher-place":"The Hague","source":"Zotero","title":"Mitigating greenhouse gas emissions in hard-to-abate sectors","URL":"https://www.pbl.nl/sites/default/files/downloads/pbl-2022-mitigating-greenhouse-gas-emissions-in-hard-to-abate-sectors-4901.pdf","author":[{"family":"Edelenbosch","given":"Oreane"},{"family":"Berg","given":"Maarten","non-dropping-particle":"van den"},{"family":"De Boer","given":"Harmen Sytze"},{"family":"Chen","given":"HsingHsuan"},{"family":"Daioglou","given":"Vassilis"},{"family":"Dekker","given":"Mark"},{"family":"Doelman","given":"Jonathan"},{"family":"Elzen","given":"Michel","non-dropping-particle":"den"},{"family":"Frinking","given":"Valentijn"},{"family":"Harmsen","given":"Mathijs"},{"family":"Hof","given":"Andries F."},{"family":"Mikropoulos","given":"Efstratios"},{"family":"Sluisveld","given":"Mariësse","non-dropping-particle":"van"},{"family":"Tagomori","given":"Isabela"},{"family":"Van Vuuren","given":"Detlef P."}],"issued":{"date-parts":[["2022"]]},"citation-key":"edelenboschMitigatingGreenhouseGas2022"}}],"schema":"https://github.com/citation-style-language/schema/raw/master/csl-citation.json"} </w:instrText>
      </w:r>
      <w:r>
        <w:rPr>
          <w:lang w:val="en-GB"/>
        </w:rPr>
        <w:fldChar w:fldCharType="separate"/>
      </w:r>
      <w:r w:rsidR="00B34A0D" w:rsidRPr="00B34A0D">
        <w:rPr>
          <w:rFonts w:ascii="Calibri" w:hAnsi="Calibri" w:cs="Calibri"/>
          <w:szCs w:val="24"/>
          <w:lang w:val="en-GB"/>
        </w:rPr>
        <w:t xml:space="preserve">(Buck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2023, Lund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2023, Schenuit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2023, Edelenbosch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2022)</w:t>
      </w:r>
      <w:r>
        <w:rPr>
          <w:lang w:val="en-GB"/>
        </w:rPr>
        <w:fldChar w:fldCharType="end"/>
      </w:r>
      <w:r>
        <w:rPr>
          <w:lang w:val="en-GB"/>
        </w:rPr>
        <w:t>, consensus on what types of gases, economic sectors or activities they might be composed of remains elusive.</w:t>
      </w:r>
    </w:p>
    <w:p w14:paraId="578E535D" w14:textId="454B58CA" w:rsidR="00C43193" w:rsidRDefault="00C43193">
      <w:pPr>
        <w:rPr>
          <w:lang w:val="en-GB"/>
        </w:rPr>
      </w:pPr>
    </w:p>
    <w:p w14:paraId="769A0589" w14:textId="77777777" w:rsidR="006D32E6" w:rsidRDefault="006D32E6">
      <w:pPr>
        <w:rPr>
          <w:lang w:val="en-GB"/>
        </w:rPr>
      </w:pPr>
    </w:p>
    <w:p w14:paraId="308D4FD4" w14:textId="7A0973AA" w:rsidR="00C43193" w:rsidRDefault="00C43193">
      <w:pPr>
        <w:rPr>
          <w:lang w:val="en-GB"/>
        </w:rPr>
      </w:pPr>
      <w:r>
        <w:rPr>
          <w:noProof/>
          <w:lang w:val="en-GB" w:eastAsia="en-GB"/>
        </w:rPr>
        <w:lastRenderedPageBreak/>
        <w:drawing>
          <wp:inline distT="0" distB="0" distL="0" distR="0" wp14:anchorId="57A72AC8" wp14:editId="673E9C41">
            <wp:extent cx="5486411" cy="365760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residual_after_nz-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02796F6B" w14:textId="77777777" w:rsidR="00740D9A" w:rsidRDefault="00740D9A">
      <w:pPr>
        <w:rPr>
          <w:lang w:val="en-GB"/>
        </w:rPr>
      </w:pPr>
    </w:p>
    <w:p w14:paraId="07B404F0" w14:textId="77777777" w:rsidR="003023AC" w:rsidRDefault="003023AC">
      <w:pPr>
        <w:rPr>
          <w:lang w:val="en-GB"/>
        </w:rPr>
      </w:pPr>
      <w:r>
        <w:rPr>
          <w:lang w:val="en-GB"/>
        </w:rPr>
        <w:t>References</w:t>
      </w:r>
    </w:p>
    <w:p w14:paraId="40DE7056" w14:textId="77777777" w:rsidR="00FE5526" w:rsidRPr="00FE5526" w:rsidRDefault="00D45D04" w:rsidP="00FE5526">
      <w:pPr>
        <w:pStyle w:val="Literaturverzeichnis"/>
        <w:rPr>
          <w:rFonts w:ascii="Calibri" w:hAnsi="Calibri" w:cs="Calibri"/>
          <w:lang w:val="en-GB"/>
        </w:rPr>
      </w:pPr>
      <w:r>
        <w:rPr>
          <w:lang w:val="en-GB"/>
        </w:rPr>
        <w:fldChar w:fldCharType="begin"/>
      </w:r>
      <w:r w:rsidR="00B34A0D">
        <w:rPr>
          <w:lang w:val="en-GB"/>
        </w:rPr>
        <w:instrText xml:space="preserve"> ADDIN ZOTERO_BIBL {"uncited":[],"omitted":[],"custom":[]} CSL_BIBLIOGRAPHY </w:instrText>
      </w:r>
      <w:r>
        <w:rPr>
          <w:lang w:val="en-GB"/>
        </w:rPr>
        <w:fldChar w:fldCharType="separate"/>
      </w:r>
      <w:r w:rsidR="00FE5526" w:rsidRPr="00FE5526">
        <w:rPr>
          <w:rFonts w:ascii="Calibri" w:hAnsi="Calibri" w:cs="Calibri"/>
          <w:lang w:val="en-GB"/>
        </w:rPr>
        <w:t xml:space="preserve">Allen M R, Friedlingstein P, Girardin C A J, Jenkins S, Malhi Y, Mitchell-Larson E, Peters G P and Rajamani L 2022 Net Zero: Science, Origins, and Implications </w:t>
      </w:r>
      <w:r w:rsidR="00FE5526" w:rsidRPr="00FE5526">
        <w:rPr>
          <w:rFonts w:ascii="Calibri" w:hAnsi="Calibri" w:cs="Calibri"/>
          <w:i/>
          <w:iCs/>
          <w:lang w:val="en-GB"/>
        </w:rPr>
        <w:t>Annu. Rev. Environ. Resour.</w:t>
      </w:r>
      <w:r w:rsidR="00FE5526" w:rsidRPr="00FE5526">
        <w:rPr>
          <w:rFonts w:ascii="Calibri" w:hAnsi="Calibri" w:cs="Calibri"/>
          <w:lang w:val="en-GB"/>
        </w:rPr>
        <w:t xml:space="preserve"> </w:t>
      </w:r>
      <w:r w:rsidR="00FE5526" w:rsidRPr="00FE5526">
        <w:rPr>
          <w:rFonts w:ascii="Calibri" w:hAnsi="Calibri" w:cs="Calibri"/>
          <w:b/>
          <w:bCs/>
          <w:lang w:val="en-GB"/>
        </w:rPr>
        <w:t>47</w:t>
      </w:r>
      <w:r w:rsidR="00FE5526" w:rsidRPr="00FE5526">
        <w:rPr>
          <w:rFonts w:ascii="Calibri" w:hAnsi="Calibri" w:cs="Calibri"/>
          <w:lang w:val="en-GB"/>
        </w:rPr>
        <w:t xml:space="preserve"> annurev-environ-112320-105050</w:t>
      </w:r>
    </w:p>
    <w:p w14:paraId="30887061"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Buck H J, Carton W, Lund J F and Markusson N 2023 Why residual emissions matter right now </w:t>
      </w:r>
      <w:r w:rsidRPr="00FE5526">
        <w:rPr>
          <w:rFonts w:ascii="Calibri" w:hAnsi="Calibri" w:cs="Calibri"/>
          <w:i/>
          <w:iCs/>
          <w:lang w:val="en-GB"/>
        </w:rPr>
        <w:t>Nat. Clim. Chang.</w:t>
      </w:r>
      <w:r w:rsidRPr="00FE5526">
        <w:rPr>
          <w:rFonts w:ascii="Calibri" w:hAnsi="Calibri" w:cs="Calibri"/>
          <w:lang w:val="en-GB"/>
        </w:rPr>
        <w:t xml:space="preserve"> </w:t>
      </w:r>
      <w:r w:rsidRPr="00FE5526">
        <w:rPr>
          <w:rFonts w:ascii="Calibri" w:hAnsi="Calibri" w:cs="Calibri"/>
          <w:b/>
          <w:bCs/>
          <w:lang w:val="en-GB"/>
        </w:rPr>
        <w:t>13</w:t>
      </w:r>
      <w:r w:rsidRPr="00FE5526">
        <w:rPr>
          <w:rFonts w:ascii="Calibri" w:hAnsi="Calibri" w:cs="Calibri"/>
          <w:lang w:val="en-GB"/>
        </w:rPr>
        <w:t xml:space="preserve"> 351–8</w:t>
      </w:r>
    </w:p>
    <w:p w14:paraId="7D4C0A9B"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Byers, Edward, Krey V, Kriegler E, Riahi K, Schaeffer R, Kikstra J, Lamboll R, Nicholls Z, Sandstad M, Smith C, van der Wijst K, Al Khourdajie A, Lecocq F, Portugal-Pereira J, Saheb Y, Stromann A, Winkler H, Auer C, Brutschin E, Gidden M, Hackstock P, Harmsen M, Huppmann D, Kolp P, Lepault C, Lewis J, Marangoni G, Müller-Casseres E, Skeie R, Werning M, Calvin K, Forster P, Guivarch C, Hasegawa T, Meinshausen M, Peters G, Rogelj J, Samset B, Steinberger J, Tavoni M and van Vuuren D 2022 </w:t>
      </w:r>
      <w:r w:rsidRPr="00FE5526">
        <w:rPr>
          <w:rFonts w:ascii="Calibri" w:hAnsi="Calibri" w:cs="Calibri"/>
          <w:i/>
          <w:iCs/>
          <w:lang w:val="en-GB"/>
        </w:rPr>
        <w:t>AR6 Scenarios Database hosted by IIASA</w:t>
      </w:r>
      <w:r w:rsidRPr="00FE5526">
        <w:rPr>
          <w:rFonts w:ascii="Calibri" w:hAnsi="Calibri" w:cs="Calibri"/>
          <w:lang w:val="en-GB"/>
        </w:rPr>
        <w:t xml:space="preserve"> (International Institute for Applied Systems Analysis) Online: https://doi.org/10.5281/zenodo.5886911</w:t>
      </w:r>
    </w:p>
    <w:p w14:paraId="693FE68D"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Edelenbosch O, van den Berg M, De Boer H S, Chen H, Daioglou V, Dekker M, Doelman J, den Elzen M, Frinking V, Harmsen M, Hof A F, Mikropoulos E, van Sluisveld M, Tagomori I and Van Vuuren D P 2022 </w:t>
      </w:r>
      <w:r w:rsidRPr="00FE5526">
        <w:rPr>
          <w:rFonts w:ascii="Calibri" w:hAnsi="Calibri" w:cs="Calibri"/>
          <w:i/>
          <w:iCs/>
          <w:lang w:val="en-GB"/>
        </w:rPr>
        <w:t>Mitigating greenhouse gas emissions in hard-to-abate sectors</w:t>
      </w:r>
      <w:r w:rsidRPr="00FE5526">
        <w:rPr>
          <w:rFonts w:ascii="Calibri" w:hAnsi="Calibri" w:cs="Calibri"/>
          <w:lang w:val="en-GB"/>
        </w:rPr>
        <w:t xml:space="preserve"> (The Hague: PBL Netherlands Environmental Assessment Agency) Online: https://www.pbl.nl/sites/default/files/downloads/pbl-2022-mitigating-greenhouse-gas-emissions-in-hard-to-abate-sectors-4901.pdf</w:t>
      </w:r>
    </w:p>
    <w:p w14:paraId="537C8E02"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Fankhauser S, Smith S M, Allen M, Axelsson K, Hale T, Hepburn C, Kendall J M, Khosla R, Lezaun J, Mitchell-Larson E, Obersteiner M, Rajamani L, Rickaby R, Seddon N and Wetzer T 2022 The meaning of net zero and how to get it right </w:t>
      </w:r>
      <w:r w:rsidRPr="00FE5526">
        <w:rPr>
          <w:rFonts w:ascii="Calibri" w:hAnsi="Calibri" w:cs="Calibri"/>
          <w:i/>
          <w:iCs/>
          <w:lang w:val="en-GB"/>
        </w:rPr>
        <w:t>Nat. Clim. Chang.</w:t>
      </w:r>
      <w:r w:rsidRPr="00FE5526">
        <w:rPr>
          <w:rFonts w:ascii="Calibri" w:hAnsi="Calibri" w:cs="Calibri"/>
          <w:lang w:val="en-GB"/>
        </w:rPr>
        <w:t xml:space="preserve"> </w:t>
      </w:r>
      <w:r w:rsidRPr="00FE5526">
        <w:rPr>
          <w:rFonts w:ascii="Calibri" w:hAnsi="Calibri" w:cs="Calibri"/>
          <w:b/>
          <w:bCs/>
          <w:lang w:val="en-GB"/>
        </w:rPr>
        <w:t>12</w:t>
      </w:r>
      <w:r w:rsidRPr="00FE5526">
        <w:rPr>
          <w:rFonts w:ascii="Calibri" w:hAnsi="Calibri" w:cs="Calibri"/>
          <w:lang w:val="en-GB"/>
        </w:rPr>
        <w:t xml:space="preserve"> 15–21</w:t>
      </w:r>
    </w:p>
    <w:p w14:paraId="6C60B3F2"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Forster P, Storelvmo T, Armour K, Collins W, Dufresne J-L, Frame D, Lunt D J, Mauritsen T, Palmer M D, Watanabe M, Wild M and Zhang H 2021 Chapter 7: The Earth’s Energy Budget, Climate </w:t>
      </w:r>
      <w:r w:rsidRPr="00FE5526">
        <w:rPr>
          <w:rFonts w:ascii="Calibri" w:hAnsi="Calibri" w:cs="Calibri"/>
          <w:lang w:val="en-GB"/>
        </w:rPr>
        <w:lastRenderedPageBreak/>
        <w:t xml:space="preserve">Feedbacks and Climate Sensitivity </w:t>
      </w:r>
      <w:r w:rsidRPr="00FE5526">
        <w:rPr>
          <w:rFonts w:ascii="Calibri" w:hAnsi="Calibri" w:cs="Calibri"/>
          <w:i/>
          <w:iCs/>
          <w:lang w:val="en-GB"/>
        </w:rPr>
        <w:t>Climate Change 2021: The Physical Science Basis. Contribution of Working Group I to the Sixth Assessment Report of the Intergovernmental Panel on Climate Change</w:t>
      </w:r>
      <w:r w:rsidRPr="00FE5526">
        <w:rPr>
          <w:rFonts w:ascii="Calibri" w:hAnsi="Calibri" w:cs="Calibri"/>
          <w:lang w:val="en-GB"/>
        </w:rPr>
        <w:t xml:space="preserve"> (Cambridge, United Kingdom and New York, NY, USA: Cambridge University Press) pp 923–1054</w:t>
      </w:r>
    </w:p>
    <w:p w14:paraId="54E44738"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Grubler A, Wilson C, Bento N, Boza-kiss B, Krey V, Mccollum D L, Rao N D, Riahi K, Rogelj J, Stercke S D, Cullen J, Frank S, Fricko O, Guo F, Gidden M, Havlík P, Huppmann D, Kiesewetter G, Rafaj P, Schoepp W and Valin H 2018 A low energy demand scenario for meeting the 1.5oC target and sustainable development goals without negative emissions technologies </w:t>
      </w:r>
      <w:r w:rsidRPr="00FE5526">
        <w:rPr>
          <w:rFonts w:ascii="Calibri" w:hAnsi="Calibri" w:cs="Calibri"/>
          <w:i/>
          <w:iCs/>
          <w:lang w:val="en-GB"/>
        </w:rPr>
        <w:t>Nature Energy</w:t>
      </w:r>
      <w:r w:rsidRPr="00FE5526">
        <w:rPr>
          <w:rFonts w:ascii="Calibri" w:hAnsi="Calibri" w:cs="Calibri"/>
          <w:lang w:val="en-GB"/>
        </w:rPr>
        <w:t xml:space="preserve"> </w:t>
      </w:r>
      <w:r w:rsidRPr="00FE5526">
        <w:rPr>
          <w:rFonts w:ascii="Calibri" w:hAnsi="Calibri" w:cs="Calibri"/>
          <w:b/>
          <w:bCs/>
          <w:lang w:val="en-GB"/>
        </w:rPr>
        <w:t>3</w:t>
      </w:r>
      <w:r w:rsidRPr="00FE5526">
        <w:rPr>
          <w:rFonts w:ascii="Calibri" w:hAnsi="Calibri" w:cs="Calibri"/>
          <w:lang w:val="en-GB"/>
        </w:rPr>
        <w:t xml:space="preserve"> 515–27</w:t>
      </w:r>
    </w:p>
    <w:p w14:paraId="548D165F"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IPCC 2022 Summary for Policymakers </w:t>
      </w:r>
      <w:r w:rsidRPr="00FE5526">
        <w:rPr>
          <w:rFonts w:ascii="Calibri" w:hAnsi="Calibri" w:cs="Calibri"/>
          <w:i/>
          <w:iCs/>
          <w:lang w:val="en-GB"/>
        </w:rPr>
        <w:t>Climate Change 2022: Mitigation of Climate Change. Contribution of Working Group III to the Sixth Assessment Report of the Intergovernmental Panel on Climate Change</w:t>
      </w:r>
      <w:r w:rsidRPr="00FE5526">
        <w:rPr>
          <w:rFonts w:ascii="Calibri" w:hAnsi="Calibri" w:cs="Calibri"/>
          <w:lang w:val="en-GB"/>
        </w:rPr>
        <w:t xml:space="preserve"> ed P R Shukla, J Skea, R Slade, A Al Khourdajie, R van Diemen, D McCollum, M Pathak, S Some, P Vyas, R Fradera, M Belkacemi, A Hasija, G Lisboa, S Luz and J Malley (Cambridge, UK and New York, NY, USA: Cambridge University Press) Online: https://www.ipcc.ch/report/ar6/wg3/downloads/report/IPCC_AR6_WGIII_SPM.pdf</w:t>
      </w:r>
    </w:p>
    <w:p w14:paraId="43A00AFC" w14:textId="77777777" w:rsidR="00FE5526" w:rsidRPr="00FE5526" w:rsidRDefault="00FE5526" w:rsidP="00FE5526">
      <w:pPr>
        <w:pStyle w:val="Literaturverzeichnis"/>
        <w:rPr>
          <w:rFonts w:ascii="Calibri" w:hAnsi="Calibri" w:cs="Calibri"/>
        </w:rPr>
      </w:pPr>
      <w:r w:rsidRPr="00FE5526">
        <w:rPr>
          <w:rFonts w:ascii="Calibri" w:hAnsi="Calibri" w:cs="Calibri"/>
        </w:rPr>
        <w:t xml:space="preserve">ISO 2023 </w:t>
      </w:r>
      <w:r w:rsidRPr="00FE5526">
        <w:rPr>
          <w:rFonts w:ascii="Calibri" w:hAnsi="Calibri" w:cs="Calibri"/>
          <w:i/>
          <w:iCs/>
        </w:rPr>
        <w:t>IWA 42:2022(en) Net zero guidelines</w:t>
      </w:r>
      <w:r w:rsidRPr="00FE5526">
        <w:rPr>
          <w:rFonts w:ascii="Calibri" w:hAnsi="Calibri" w:cs="Calibri"/>
        </w:rPr>
        <w:t xml:space="preserve"> (Geneva, Switzerland: International Standards Organisation (ISO)) Online: https://www.iso.org/obp/ui/en/#iso:std:iso:iwa:42:ed-1:v1:en</w:t>
      </w:r>
    </w:p>
    <w:p w14:paraId="6DD24288" w14:textId="77777777" w:rsidR="00FE5526" w:rsidRPr="00FE5526" w:rsidRDefault="00FE5526" w:rsidP="00FE5526">
      <w:pPr>
        <w:pStyle w:val="Literaturverzeichnis"/>
        <w:rPr>
          <w:rFonts w:ascii="Calibri" w:hAnsi="Calibri" w:cs="Calibri"/>
          <w:lang w:val="en-GB"/>
        </w:rPr>
      </w:pPr>
      <w:r w:rsidRPr="00FE5526">
        <w:rPr>
          <w:rFonts w:ascii="Calibri" w:hAnsi="Calibri" w:cs="Calibri"/>
        </w:rPr>
        <w:t xml:space="preserve">Loisel J, Gallego-Sala A V, Amesbury M J, Magnan G, Anshari G, Beilman D W, Benavides J C, Blewett J, Camill P, Charman D J, Chawchai S, Hedgpeth A, Kleinen T, Korhola A, Large D, Mansilla C A, Müller J, Van Bellen S, West J B, Yu Z, Bubier J L, Garneau M, Moore T, Sannel A B K, Page S, Väliranta M, Bechtold M, Brovkin V, Cole L E S, Chanton J P, Christensen T R, Davies M A, De Vleeschouwer F, Finkelstein S A, Frolking S, Gałka M, Gandois L, Girkin N, Harris L I, Heinemeyer A, Hoyt A M, Jones M C, Joos F, Juutinen S, Kaiser K, Lacourse T, Lamentowicz M, Larmola T, Leifeld J, Lohila A, Milner A M, Minkkinen K, Moss P, Naafs B D A, Nichols J, O’Donnell J, Payne R, Philben M, Piilo S, Quillet A, Ratnayake A S, Roland T P, Sjögersten S, Sonnentag O, Swindles G T, Swinnen W, Talbot J, Treat C, Valach A C and Wu J 2021 Expert assessment of future vulnerability of the global peatland carbon sink </w:t>
      </w:r>
      <w:r w:rsidRPr="00FE5526">
        <w:rPr>
          <w:rFonts w:ascii="Calibri" w:hAnsi="Calibri" w:cs="Calibri"/>
          <w:i/>
          <w:iCs/>
        </w:rPr>
        <w:t xml:space="preserve">Nat. </w:t>
      </w:r>
      <w:r w:rsidRPr="00FE5526">
        <w:rPr>
          <w:rFonts w:ascii="Calibri" w:hAnsi="Calibri" w:cs="Calibri"/>
          <w:i/>
          <w:iCs/>
          <w:lang w:val="en-GB"/>
        </w:rPr>
        <w:t>Clim. Chang.</w:t>
      </w:r>
      <w:r w:rsidRPr="00FE5526">
        <w:rPr>
          <w:rFonts w:ascii="Calibri" w:hAnsi="Calibri" w:cs="Calibri"/>
          <w:lang w:val="en-GB"/>
        </w:rPr>
        <w:t xml:space="preserve"> </w:t>
      </w:r>
      <w:r w:rsidRPr="00FE5526">
        <w:rPr>
          <w:rFonts w:ascii="Calibri" w:hAnsi="Calibri" w:cs="Calibri"/>
          <w:b/>
          <w:bCs/>
          <w:lang w:val="en-GB"/>
        </w:rPr>
        <w:t>11</w:t>
      </w:r>
      <w:r w:rsidRPr="00FE5526">
        <w:rPr>
          <w:rFonts w:ascii="Calibri" w:hAnsi="Calibri" w:cs="Calibri"/>
          <w:lang w:val="en-GB"/>
        </w:rPr>
        <w:t xml:space="preserve"> 70–7</w:t>
      </w:r>
    </w:p>
    <w:p w14:paraId="364F4535"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Luderer G, Madeddu S, Merfort L, Ueckerdt F, Pehl M, Pietzcker R, Rottoli M, Schreyer F, Bauer N, Baumstark L, Bertram C, Dirnaichner A, Humpenöder F, Levesque A, Popp A, Rodrigues R, Strefler J and Kriegler E 2022 Impact of declining renewable energy costs on electrification in low-emission scenarios </w:t>
      </w:r>
      <w:r w:rsidRPr="00FE5526">
        <w:rPr>
          <w:rFonts w:ascii="Calibri" w:hAnsi="Calibri" w:cs="Calibri"/>
          <w:i/>
          <w:iCs/>
          <w:lang w:val="en-GB"/>
        </w:rPr>
        <w:t>Nat Energy</w:t>
      </w:r>
      <w:r w:rsidRPr="00FE5526">
        <w:rPr>
          <w:rFonts w:ascii="Calibri" w:hAnsi="Calibri" w:cs="Calibri"/>
          <w:lang w:val="en-GB"/>
        </w:rPr>
        <w:t xml:space="preserve"> </w:t>
      </w:r>
      <w:r w:rsidRPr="00FE5526">
        <w:rPr>
          <w:rFonts w:ascii="Calibri" w:hAnsi="Calibri" w:cs="Calibri"/>
          <w:b/>
          <w:bCs/>
          <w:lang w:val="en-GB"/>
        </w:rPr>
        <w:t>7</w:t>
      </w:r>
      <w:r w:rsidRPr="00FE5526">
        <w:rPr>
          <w:rFonts w:ascii="Calibri" w:hAnsi="Calibri" w:cs="Calibri"/>
          <w:lang w:val="en-GB"/>
        </w:rPr>
        <w:t xml:space="preserve"> 32–42</w:t>
      </w:r>
    </w:p>
    <w:p w14:paraId="1A1EC804"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Luderer G, Vrontisi Z, Bertram C, Edelenbosch O Y, Pietzcker R C, Rogelj J, De Boer H S, Drouet L, Emmerling J, Fricko O, Fujimori S, Havlík P, Iyer G, Keramidas K, Kitous A, Pehl M, Krey V, Riahi K, Saveyn B, Tavoni M, Van Vuuren D P and Kriegler E 2018 Residual fossil CO2 emissions in 1.5-2°C pathways </w:t>
      </w:r>
      <w:r w:rsidRPr="00FE5526">
        <w:rPr>
          <w:rFonts w:ascii="Calibri" w:hAnsi="Calibri" w:cs="Calibri"/>
          <w:i/>
          <w:iCs/>
          <w:lang w:val="en-GB"/>
        </w:rPr>
        <w:t>Nature Climate Change</w:t>
      </w:r>
      <w:r w:rsidRPr="00FE5526">
        <w:rPr>
          <w:rFonts w:ascii="Calibri" w:hAnsi="Calibri" w:cs="Calibri"/>
          <w:lang w:val="en-GB"/>
        </w:rPr>
        <w:t xml:space="preserve"> </w:t>
      </w:r>
      <w:r w:rsidRPr="00FE5526">
        <w:rPr>
          <w:rFonts w:ascii="Calibri" w:hAnsi="Calibri" w:cs="Calibri"/>
          <w:b/>
          <w:bCs/>
          <w:lang w:val="en-GB"/>
        </w:rPr>
        <w:t>8</w:t>
      </w:r>
      <w:r w:rsidRPr="00FE5526">
        <w:rPr>
          <w:rFonts w:ascii="Calibri" w:hAnsi="Calibri" w:cs="Calibri"/>
          <w:lang w:val="en-GB"/>
        </w:rPr>
        <w:t xml:space="preserve"> 626–33</w:t>
      </w:r>
    </w:p>
    <w:p w14:paraId="29EBF90D"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Lund J F, Markusson N, Carton W and Buck H J 2023 Net zero and the unexplored politics of residual emissions </w:t>
      </w:r>
      <w:r w:rsidRPr="00FE5526">
        <w:rPr>
          <w:rFonts w:ascii="Calibri" w:hAnsi="Calibri" w:cs="Calibri"/>
          <w:i/>
          <w:iCs/>
          <w:lang w:val="en-GB"/>
        </w:rPr>
        <w:t>Energy Research &amp; Social Science</w:t>
      </w:r>
      <w:r w:rsidRPr="00FE5526">
        <w:rPr>
          <w:rFonts w:ascii="Calibri" w:hAnsi="Calibri" w:cs="Calibri"/>
          <w:lang w:val="en-GB"/>
        </w:rPr>
        <w:t xml:space="preserve"> </w:t>
      </w:r>
      <w:r w:rsidRPr="00FE5526">
        <w:rPr>
          <w:rFonts w:ascii="Calibri" w:hAnsi="Calibri" w:cs="Calibri"/>
          <w:b/>
          <w:bCs/>
          <w:lang w:val="en-GB"/>
        </w:rPr>
        <w:t>98</w:t>
      </w:r>
      <w:r w:rsidRPr="00FE5526">
        <w:rPr>
          <w:rFonts w:ascii="Calibri" w:hAnsi="Calibri" w:cs="Calibri"/>
          <w:lang w:val="en-GB"/>
        </w:rPr>
        <w:t xml:space="preserve"> 103035</w:t>
      </w:r>
    </w:p>
    <w:p w14:paraId="5CBE3905" w14:textId="77777777" w:rsidR="00FE5526" w:rsidRPr="00FE5526" w:rsidRDefault="00FE5526" w:rsidP="00FE5526">
      <w:pPr>
        <w:pStyle w:val="Literaturverzeichnis"/>
        <w:rPr>
          <w:rFonts w:ascii="Calibri" w:hAnsi="Calibri" w:cs="Calibri"/>
          <w:lang w:val="en-GB"/>
        </w:rPr>
      </w:pPr>
      <w:r w:rsidRPr="00FE5526">
        <w:rPr>
          <w:rFonts w:ascii="Calibri" w:hAnsi="Calibri" w:cs="Calibri"/>
        </w:rPr>
        <w:t xml:space="preserve">Merfort A, Stevanovic M and Strefler J 2023 </w:t>
      </w:r>
      <w:r w:rsidRPr="00FE5526">
        <w:rPr>
          <w:rFonts w:ascii="Calibri" w:hAnsi="Calibri" w:cs="Calibri"/>
          <w:i/>
          <w:iCs/>
        </w:rPr>
        <w:t>Energiewende auf Netto-Null - Passen Angebot und Nachfrage nach CO2-Entnahme aus der Atmosphäre zusammen?</w:t>
      </w:r>
      <w:r w:rsidRPr="00FE5526">
        <w:rPr>
          <w:rFonts w:ascii="Calibri" w:hAnsi="Calibri" w:cs="Calibri"/>
        </w:rPr>
        <w:t xml:space="preserve"> </w:t>
      </w:r>
      <w:r w:rsidRPr="00FE5526">
        <w:rPr>
          <w:rFonts w:ascii="Calibri" w:hAnsi="Calibri" w:cs="Calibri"/>
          <w:lang w:val="en-GB"/>
        </w:rPr>
        <w:t>(Potsdam: Kopernikus-Projekt Ariadne)</w:t>
      </w:r>
    </w:p>
    <w:p w14:paraId="089E51BB"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Prütz R, Strefler J, Rogelj J and Fuss S 2023 Understanding the carbon dioxide removal range in 1.5 °C compatible and high overshoot pathways </w:t>
      </w:r>
      <w:r w:rsidRPr="00FE5526">
        <w:rPr>
          <w:rFonts w:ascii="Calibri" w:hAnsi="Calibri" w:cs="Calibri"/>
          <w:i/>
          <w:iCs/>
          <w:lang w:val="en-GB"/>
        </w:rPr>
        <w:t>Environ. Res. Commun.</w:t>
      </w:r>
      <w:r w:rsidRPr="00FE5526">
        <w:rPr>
          <w:rFonts w:ascii="Calibri" w:hAnsi="Calibri" w:cs="Calibri"/>
          <w:lang w:val="en-GB"/>
        </w:rPr>
        <w:t xml:space="preserve"> </w:t>
      </w:r>
      <w:r w:rsidRPr="00FE5526">
        <w:rPr>
          <w:rFonts w:ascii="Calibri" w:hAnsi="Calibri" w:cs="Calibri"/>
          <w:b/>
          <w:bCs/>
          <w:lang w:val="en-GB"/>
        </w:rPr>
        <w:t>5</w:t>
      </w:r>
      <w:r w:rsidRPr="00FE5526">
        <w:rPr>
          <w:rFonts w:ascii="Calibri" w:hAnsi="Calibri" w:cs="Calibri"/>
          <w:lang w:val="en-GB"/>
        </w:rPr>
        <w:t xml:space="preserve"> 041005</w:t>
      </w:r>
    </w:p>
    <w:p w14:paraId="3CB22F67"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lastRenderedPageBreak/>
        <w:t xml:space="preserve">Rogelj J, Geden O, Cowie A and Reisinger A 2021 Net-zero emissions targets are vague: three ways to fix </w:t>
      </w:r>
      <w:r w:rsidRPr="00FE5526">
        <w:rPr>
          <w:rFonts w:ascii="Calibri" w:hAnsi="Calibri" w:cs="Calibri"/>
          <w:i/>
          <w:iCs/>
          <w:lang w:val="en-GB"/>
        </w:rPr>
        <w:t>Nature</w:t>
      </w:r>
      <w:r w:rsidRPr="00FE5526">
        <w:rPr>
          <w:rFonts w:ascii="Calibri" w:hAnsi="Calibri" w:cs="Calibri"/>
          <w:lang w:val="en-GB"/>
        </w:rPr>
        <w:t xml:space="preserve"> </w:t>
      </w:r>
      <w:r w:rsidRPr="00FE5526">
        <w:rPr>
          <w:rFonts w:ascii="Calibri" w:hAnsi="Calibri" w:cs="Calibri"/>
          <w:b/>
          <w:bCs/>
          <w:lang w:val="en-GB"/>
        </w:rPr>
        <w:t>591</w:t>
      </w:r>
      <w:r w:rsidRPr="00FE5526">
        <w:rPr>
          <w:rFonts w:ascii="Calibri" w:hAnsi="Calibri" w:cs="Calibri"/>
          <w:lang w:val="en-GB"/>
        </w:rPr>
        <w:t xml:space="preserve"> 365–8</w:t>
      </w:r>
    </w:p>
    <w:p w14:paraId="1AD14C4D"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SBTi 2023 </w:t>
      </w:r>
      <w:r w:rsidRPr="00FE5526">
        <w:rPr>
          <w:rFonts w:ascii="Calibri" w:hAnsi="Calibri" w:cs="Calibri"/>
          <w:i/>
          <w:iCs/>
          <w:lang w:val="en-GB"/>
        </w:rPr>
        <w:t>SBTi Corporate Net-Zero Standard</w:t>
      </w:r>
      <w:r w:rsidRPr="00FE5526">
        <w:rPr>
          <w:rFonts w:ascii="Calibri" w:hAnsi="Calibri" w:cs="Calibri"/>
          <w:lang w:val="en-GB"/>
        </w:rPr>
        <w:t xml:space="preserve"> (Science Based Targets Initiative) Online: https://sciencebasedtargets.org/resources/files/Net-Zero-Standard.pdf</w:t>
      </w:r>
    </w:p>
    <w:p w14:paraId="6A68DD31"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Schenuit F, Böttcher M and Geden O 2023 “Carbon Management”: Opportunities and risks for ambitious climate policy</w:t>
      </w:r>
    </w:p>
    <w:p w14:paraId="53FA9BFB"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Smith H B, Vaughan N E and Forster J 2022 Long-term national climate strategies bet on forests and soils to reach net-zero </w:t>
      </w:r>
      <w:r w:rsidRPr="00FE5526">
        <w:rPr>
          <w:rFonts w:ascii="Calibri" w:hAnsi="Calibri" w:cs="Calibri"/>
          <w:i/>
          <w:iCs/>
          <w:lang w:val="en-GB"/>
        </w:rPr>
        <w:t>Commun Earth Environ</w:t>
      </w:r>
      <w:r w:rsidRPr="00FE5526">
        <w:rPr>
          <w:rFonts w:ascii="Calibri" w:hAnsi="Calibri" w:cs="Calibri"/>
          <w:lang w:val="en-GB"/>
        </w:rPr>
        <w:t xml:space="preserve"> </w:t>
      </w:r>
      <w:r w:rsidRPr="00FE5526">
        <w:rPr>
          <w:rFonts w:ascii="Calibri" w:hAnsi="Calibri" w:cs="Calibri"/>
          <w:b/>
          <w:bCs/>
          <w:lang w:val="en-GB"/>
        </w:rPr>
        <w:t>3</w:t>
      </w:r>
      <w:r w:rsidRPr="00FE5526">
        <w:rPr>
          <w:rFonts w:ascii="Calibri" w:hAnsi="Calibri" w:cs="Calibri"/>
          <w:lang w:val="en-GB"/>
        </w:rPr>
        <w:t xml:space="preserve"> 305</w:t>
      </w:r>
    </w:p>
    <w:p w14:paraId="503EDDB3"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Smith S M, Geden O, Nemet G F, Gidden M J, Lamb W F, Powis C, Bellamy R, Callaghan M W, Cowie A, Cox E, Fuss S, Gasser T, Grassi G, Greene J, Lück S, Mohan A, Müller-Hansen F, Peters G P, Pratama Y, Repke T, Riahi K, Schenuit F, Steinhauser J, Strefler J, Valenzuela J M and Minx J C 2023 </w:t>
      </w:r>
      <w:r w:rsidRPr="00FE5526">
        <w:rPr>
          <w:rFonts w:ascii="Calibri" w:hAnsi="Calibri" w:cs="Calibri"/>
          <w:i/>
          <w:iCs/>
          <w:lang w:val="en-GB"/>
        </w:rPr>
        <w:t>The State of Carbon Dioxide Removal - 1st Edition</w:t>
      </w:r>
      <w:r w:rsidRPr="00FE5526">
        <w:rPr>
          <w:rFonts w:ascii="Calibri" w:hAnsi="Calibri" w:cs="Calibri"/>
          <w:lang w:val="en-GB"/>
        </w:rPr>
        <w:t xml:space="preserve"> Online: Available at: https://www.stateofcdr.org</w:t>
      </w:r>
    </w:p>
    <w:p w14:paraId="16CBFCFD"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Soergel B, Kriegler E, Weindl I, Rauner S, Dirnaichner A, Ruhe C, Hofmann M, Bauer N, Bertram C, Bodirsky B L, Leimbach M, Leininger J, Levesque A, Luderer G, Pehl M, Wingens C, Baumstark L, Beier F, Dietrich J P, Humpenöder F, von Jeetze P, Klein D, Koch J, Pietzcker R, Strefler J, Lotze-Campen H and Popp A 2021 A sustainable development pathway for climate action within the UN 2030 Agenda </w:t>
      </w:r>
      <w:r w:rsidRPr="00FE5526">
        <w:rPr>
          <w:rFonts w:ascii="Calibri" w:hAnsi="Calibri" w:cs="Calibri"/>
          <w:i/>
          <w:iCs/>
          <w:lang w:val="en-GB"/>
        </w:rPr>
        <w:t>Nat. Clim. Chang.</w:t>
      </w:r>
      <w:r w:rsidRPr="00FE5526">
        <w:rPr>
          <w:rFonts w:ascii="Calibri" w:hAnsi="Calibri" w:cs="Calibri"/>
          <w:lang w:val="en-GB"/>
        </w:rPr>
        <w:t xml:space="preserve"> </w:t>
      </w:r>
      <w:r w:rsidRPr="00FE5526">
        <w:rPr>
          <w:rFonts w:ascii="Calibri" w:hAnsi="Calibri" w:cs="Calibri"/>
          <w:b/>
          <w:bCs/>
          <w:lang w:val="en-GB"/>
        </w:rPr>
        <w:t>11</w:t>
      </w:r>
      <w:r w:rsidRPr="00FE5526">
        <w:rPr>
          <w:rFonts w:ascii="Calibri" w:hAnsi="Calibri" w:cs="Calibri"/>
          <w:lang w:val="en-GB"/>
        </w:rPr>
        <w:t xml:space="preserve"> 656–64</w:t>
      </w:r>
    </w:p>
    <w:p w14:paraId="2AB52B09" w14:textId="77777777" w:rsidR="00FE5526" w:rsidRPr="00FE5526" w:rsidRDefault="00FE5526" w:rsidP="00FE5526">
      <w:pPr>
        <w:pStyle w:val="Literaturverzeichnis"/>
        <w:rPr>
          <w:rFonts w:ascii="Calibri" w:hAnsi="Calibri" w:cs="Calibri"/>
        </w:rPr>
      </w:pPr>
      <w:r w:rsidRPr="00FE5526">
        <w:rPr>
          <w:rFonts w:ascii="Calibri" w:hAnsi="Calibri" w:cs="Calibri"/>
          <w:lang w:val="en-GB"/>
        </w:rPr>
        <w:t xml:space="preserve">Strefler J, Bauer N, Humpenöder F, Klein D, Popp A and Kriegler E 2021 Carbon dioxide removal technologies are not born equal </w:t>
      </w:r>
      <w:r w:rsidRPr="00FE5526">
        <w:rPr>
          <w:rFonts w:ascii="Calibri" w:hAnsi="Calibri" w:cs="Calibri"/>
          <w:i/>
          <w:iCs/>
          <w:lang w:val="en-GB"/>
        </w:rPr>
        <w:t xml:space="preserve">Environ. </w:t>
      </w:r>
      <w:r w:rsidRPr="00FE5526">
        <w:rPr>
          <w:rFonts w:ascii="Calibri" w:hAnsi="Calibri" w:cs="Calibri"/>
          <w:i/>
          <w:iCs/>
        </w:rPr>
        <w:t>Res. Lett.</w:t>
      </w:r>
      <w:r w:rsidRPr="00FE5526">
        <w:rPr>
          <w:rFonts w:ascii="Calibri" w:hAnsi="Calibri" w:cs="Calibri"/>
        </w:rPr>
        <w:t xml:space="preserve"> </w:t>
      </w:r>
      <w:r w:rsidRPr="00FE5526">
        <w:rPr>
          <w:rFonts w:ascii="Calibri" w:hAnsi="Calibri" w:cs="Calibri"/>
          <w:b/>
          <w:bCs/>
        </w:rPr>
        <w:t>16</w:t>
      </w:r>
      <w:r w:rsidRPr="00FE5526">
        <w:rPr>
          <w:rFonts w:ascii="Calibri" w:hAnsi="Calibri" w:cs="Calibri"/>
        </w:rPr>
        <w:t xml:space="preserve"> 074021</w:t>
      </w:r>
    </w:p>
    <w:p w14:paraId="0850D2E9" w14:textId="678A3C32" w:rsidR="003023AC" w:rsidRPr="002D66C4" w:rsidRDefault="00D45D04">
      <w:pPr>
        <w:rPr>
          <w:lang w:val="en-GB"/>
        </w:rPr>
      </w:pPr>
      <w:r>
        <w:rPr>
          <w:lang w:val="en-GB"/>
        </w:rPr>
        <w:fldChar w:fldCharType="end"/>
      </w:r>
    </w:p>
    <w:sectPr w:rsidR="003023AC" w:rsidRPr="002D66C4" w:rsidSect="00195954">
      <w:pgSz w:w="11906" w:h="16838"/>
      <w:pgMar w:top="1417" w:right="1417" w:bottom="1134"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3CA8"/>
    <w:multiLevelType w:val="hybridMultilevel"/>
    <w:tmpl w:val="98A6B0F6"/>
    <w:lvl w:ilvl="0" w:tplc="A9FA625A">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97DA6"/>
    <w:multiLevelType w:val="hybridMultilevel"/>
    <w:tmpl w:val="449C8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804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235C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00337D"/>
    <w:multiLevelType w:val="hybridMultilevel"/>
    <w:tmpl w:val="B5DAF52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2920C1C"/>
    <w:multiLevelType w:val="multilevel"/>
    <w:tmpl w:val="473C5234"/>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29E6E34"/>
    <w:multiLevelType w:val="hybridMultilevel"/>
    <w:tmpl w:val="4DC8798C"/>
    <w:lvl w:ilvl="0" w:tplc="2A4AC6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F57710"/>
    <w:multiLevelType w:val="hybridMultilevel"/>
    <w:tmpl w:val="80049ABE"/>
    <w:lvl w:ilvl="0" w:tplc="C9F666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CB145E"/>
    <w:multiLevelType w:val="hybridMultilevel"/>
    <w:tmpl w:val="6CAEEA96"/>
    <w:lvl w:ilvl="0" w:tplc="DC32E43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5110A9"/>
    <w:multiLevelType w:val="hybridMultilevel"/>
    <w:tmpl w:val="C60C6C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E5E1FF2"/>
    <w:multiLevelType w:val="hybridMultilevel"/>
    <w:tmpl w:val="75CA2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151A49"/>
    <w:multiLevelType w:val="multilevel"/>
    <w:tmpl w:val="473C5234"/>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11"/>
  </w:num>
  <w:num w:numId="4">
    <w:abstractNumId w:val="5"/>
  </w:num>
  <w:num w:numId="5">
    <w:abstractNumId w:val="3"/>
  </w:num>
  <w:num w:numId="6">
    <w:abstractNumId w:val="8"/>
  </w:num>
  <w:num w:numId="7">
    <w:abstractNumId w:val="4"/>
  </w:num>
  <w:num w:numId="8">
    <w:abstractNumId w:val="9"/>
  </w:num>
  <w:num w:numId="9">
    <w:abstractNumId w:val="7"/>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6F"/>
    <w:rsid w:val="00010FAB"/>
    <w:rsid w:val="00011716"/>
    <w:rsid w:val="00051072"/>
    <w:rsid w:val="00055308"/>
    <w:rsid w:val="0007002F"/>
    <w:rsid w:val="00095841"/>
    <w:rsid w:val="000B49E0"/>
    <w:rsid w:val="000B71BE"/>
    <w:rsid w:val="000C0AA4"/>
    <w:rsid w:val="000C17B9"/>
    <w:rsid w:val="000D6DE8"/>
    <w:rsid w:val="000E7B44"/>
    <w:rsid w:val="001010E6"/>
    <w:rsid w:val="00130441"/>
    <w:rsid w:val="001340B2"/>
    <w:rsid w:val="00134464"/>
    <w:rsid w:val="00135481"/>
    <w:rsid w:val="00141ACF"/>
    <w:rsid w:val="00150D4A"/>
    <w:rsid w:val="00153186"/>
    <w:rsid w:val="00153E1C"/>
    <w:rsid w:val="00156B31"/>
    <w:rsid w:val="00157CB3"/>
    <w:rsid w:val="0016365E"/>
    <w:rsid w:val="00164F59"/>
    <w:rsid w:val="00170FB8"/>
    <w:rsid w:val="00182512"/>
    <w:rsid w:val="00194A5F"/>
    <w:rsid w:val="00195954"/>
    <w:rsid w:val="001A5DDF"/>
    <w:rsid w:val="001D0F69"/>
    <w:rsid w:val="001D33D9"/>
    <w:rsid w:val="001F2D58"/>
    <w:rsid w:val="00203DB1"/>
    <w:rsid w:val="00214D35"/>
    <w:rsid w:val="00216C2B"/>
    <w:rsid w:val="00225055"/>
    <w:rsid w:val="002278B9"/>
    <w:rsid w:val="00235718"/>
    <w:rsid w:val="002645FE"/>
    <w:rsid w:val="0028512D"/>
    <w:rsid w:val="002853BF"/>
    <w:rsid w:val="002972F9"/>
    <w:rsid w:val="002A4F74"/>
    <w:rsid w:val="002A6B73"/>
    <w:rsid w:val="002B04D5"/>
    <w:rsid w:val="002B528A"/>
    <w:rsid w:val="002B5A36"/>
    <w:rsid w:val="002C608B"/>
    <w:rsid w:val="002C63CC"/>
    <w:rsid w:val="002D1E66"/>
    <w:rsid w:val="002D66C4"/>
    <w:rsid w:val="002F73D6"/>
    <w:rsid w:val="002F7F1E"/>
    <w:rsid w:val="0030117A"/>
    <w:rsid w:val="003023AC"/>
    <w:rsid w:val="003073D7"/>
    <w:rsid w:val="00310DD3"/>
    <w:rsid w:val="00322534"/>
    <w:rsid w:val="0033141F"/>
    <w:rsid w:val="003456DE"/>
    <w:rsid w:val="00396E6B"/>
    <w:rsid w:val="003B76E3"/>
    <w:rsid w:val="003C0DCC"/>
    <w:rsid w:val="003C2DA2"/>
    <w:rsid w:val="003C40A3"/>
    <w:rsid w:val="003D49DD"/>
    <w:rsid w:val="003D58F5"/>
    <w:rsid w:val="003E59CF"/>
    <w:rsid w:val="003F0119"/>
    <w:rsid w:val="003F4C57"/>
    <w:rsid w:val="003F4F87"/>
    <w:rsid w:val="0041057B"/>
    <w:rsid w:val="00415FE7"/>
    <w:rsid w:val="00420BAE"/>
    <w:rsid w:val="0042269F"/>
    <w:rsid w:val="00445B8C"/>
    <w:rsid w:val="00467554"/>
    <w:rsid w:val="00467D4F"/>
    <w:rsid w:val="004723DB"/>
    <w:rsid w:val="00485E55"/>
    <w:rsid w:val="004A3065"/>
    <w:rsid w:val="004A5C7F"/>
    <w:rsid w:val="004C066C"/>
    <w:rsid w:val="004D1E06"/>
    <w:rsid w:val="004D3A8A"/>
    <w:rsid w:val="004D5D70"/>
    <w:rsid w:val="004D6011"/>
    <w:rsid w:val="004E0E0C"/>
    <w:rsid w:val="004E1BFC"/>
    <w:rsid w:val="004E36A9"/>
    <w:rsid w:val="004F7D2D"/>
    <w:rsid w:val="00511AEB"/>
    <w:rsid w:val="00525DBA"/>
    <w:rsid w:val="00545D64"/>
    <w:rsid w:val="0055741D"/>
    <w:rsid w:val="0056295D"/>
    <w:rsid w:val="00562BE8"/>
    <w:rsid w:val="00566851"/>
    <w:rsid w:val="0056749B"/>
    <w:rsid w:val="00574DDE"/>
    <w:rsid w:val="00575DC0"/>
    <w:rsid w:val="00587417"/>
    <w:rsid w:val="005E03BF"/>
    <w:rsid w:val="005E52BD"/>
    <w:rsid w:val="0061101F"/>
    <w:rsid w:val="00614FFC"/>
    <w:rsid w:val="00642ED1"/>
    <w:rsid w:val="006462BD"/>
    <w:rsid w:val="00651E9C"/>
    <w:rsid w:val="00654A6A"/>
    <w:rsid w:val="00655F10"/>
    <w:rsid w:val="00660A6A"/>
    <w:rsid w:val="006661A7"/>
    <w:rsid w:val="00666372"/>
    <w:rsid w:val="0067035A"/>
    <w:rsid w:val="00675480"/>
    <w:rsid w:val="00676E54"/>
    <w:rsid w:val="00684DEC"/>
    <w:rsid w:val="00685D94"/>
    <w:rsid w:val="00691235"/>
    <w:rsid w:val="006A493C"/>
    <w:rsid w:val="006A575A"/>
    <w:rsid w:val="006A5822"/>
    <w:rsid w:val="006B1E7A"/>
    <w:rsid w:val="006B6A9E"/>
    <w:rsid w:val="006C05E2"/>
    <w:rsid w:val="006D32E6"/>
    <w:rsid w:val="006E1A3C"/>
    <w:rsid w:val="006E3BB7"/>
    <w:rsid w:val="006F56E1"/>
    <w:rsid w:val="0071356F"/>
    <w:rsid w:val="00713FF0"/>
    <w:rsid w:val="00716D09"/>
    <w:rsid w:val="00740D9A"/>
    <w:rsid w:val="00741268"/>
    <w:rsid w:val="00743FAF"/>
    <w:rsid w:val="00747FD9"/>
    <w:rsid w:val="00752050"/>
    <w:rsid w:val="00757FE9"/>
    <w:rsid w:val="00761B7A"/>
    <w:rsid w:val="0078034B"/>
    <w:rsid w:val="00781265"/>
    <w:rsid w:val="007D5E9B"/>
    <w:rsid w:val="007D696F"/>
    <w:rsid w:val="007D7152"/>
    <w:rsid w:val="007D7ADA"/>
    <w:rsid w:val="007F3C2C"/>
    <w:rsid w:val="00804483"/>
    <w:rsid w:val="00816BBA"/>
    <w:rsid w:val="00825916"/>
    <w:rsid w:val="0083210E"/>
    <w:rsid w:val="0083782A"/>
    <w:rsid w:val="008732F8"/>
    <w:rsid w:val="0087378A"/>
    <w:rsid w:val="008930B9"/>
    <w:rsid w:val="008A6C4F"/>
    <w:rsid w:val="008A7A5D"/>
    <w:rsid w:val="008B5913"/>
    <w:rsid w:val="008C7650"/>
    <w:rsid w:val="008E7A8D"/>
    <w:rsid w:val="00902024"/>
    <w:rsid w:val="009051F9"/>
    <w:rsid w:val="009068E7"/>
    <w:rsid w:val="009137D7"/>
    <w:rsid w:val="00927642"/>
    <w:rsid w:val="00931F90"/>
    <w:rsid w:val="009433F8"/>
    <w:rsid w:val="00951F0F"/>
    <w:rsid w:val="00954E78"/>
    <w:rsid w:val="00957FD1"/>
    <w:rsid w:val="009645D8"/>
    <w:rsid w:val="009751DF"/>
    <w:rsid w:val="009817E0"/>
    <w:rsid w:val="00994435"/>
    <w:rsid w:val="009D14A7"/>
    <w:rsid w:val="009E05A9"/>
    <w:rsid w:val="009E1D78"/>
    <w:rsid w:val="009E3564"/>
    <w:rsid w:val="009E7EA2"/>
    <w:rsid w:val="009F6374"/>
    <w:rsid w:val="00A06ADE"/>
    <w:rsid w:val="00A11F79"/>
    <w:rsid w:val="00A14572"/>
    <w:rsid w:val="00A207B4"/>
    <w:rsid w:val="00A27DF3"/>
    <w:rsid w:val="00A34492"/>
    <w:rsid w:val="00A35D86"/>
    <w:rsid w:val="00A47641"/>
    <w:rsid w:val="00A51D7F"/>
    <w:rsid w:val="00A66AAA"/>
    <w:rsid w:val="00A73580"/>
    <w:rsid w:val="00A752EE"/>
    <w:rsid w:val="00A76B32"/>
    <w:rsid w:val="00A80DAF"/>
    <w:rsid w:val="00A81495"/>
    <w:rsid w:val="00A928CF"/>
    <w:rsid w:val="00A947E6"/>
    <w:rsid w:val="00AC00B8"/>
    <w:rsid w:val="00AC2F45"/>
    <w:rsid w:val="00AD50DC"/>
    <w:rsid w:val="00AF05B4"/>
    <w:rsid w:val="00AF5229"/>
    <w:rsid w:val="00B01C30"/>
    <w:rsid w:val="00B069E8"/>
    <w:rsid w:val="00B115AF"/>
    <w:rsid w:val="00B17058"/>
    <w:rsid w:val="00B17513"/>
    <w:rsid w:val="00B34A0D"/>
    <w:rsid w:val="00B42AF4"/>
    <w:rsid w:val="00B45CE7"/>
    <w:rsid w:val="00B53A61"/>
    <w:rsid w:val="00B54E31"/>
    <w:rsid w:val="00B629C7"/>
    <w:rsid w:val="00B77CBC"/>
    <w:rsid w:val="00B94D48"/>
    <w:rsid w:val="00BA26AB"/>
    <w:rsid w:val="00BC417B"/>
    <w:rsid w:val="00BE4BC4"/>
    <w:rsid w:val="00BF0B3A"/>
    <w:rsid w:val="00BF4AD5"/>
    <w:rsid w:val="00BF6D71"/>
    <w:rsid w:val="00C02E1D"/>
    <w:rsid w:val="00C07BD1"/>
    <w:rsid w:val="00C115C7"/>
    <w:rsid w:val="00C36B45"/>
    <w:rsid w:val="00C43193"/>
    <w:rsid w:val="00C47B89"/>
    <w:rsid w:val="00C57C85"/>
    <w:rsid w:val="00C64DB9"/>
    <w:rsid w:val="00C66B32"/>
    <w:rsid w:val="00C70F5D"/>
    <w:rsid w:val="00C7484F"/>
    <w:rsid w:val="00C82105"/>
    <w:rsid w:val="00CA16BC"/>
    <w:rsid w:val="00CA57A7"/>
    <w:rsid w:val="00CB20C7"/>
    <w:rsid w:val="00CB6783"/>
    <w:rsid w:val="00CC0A3E"/>
    <w:rsid w:val="00CC3C50"/>
    <w:rsid w:val="00CC4458"/>
    <w:rsid w:val="00CC536D"/>
    <w:rsid w:val="00CC539E"/>
    <w:rsid w:val="00CF124D"/>
    <w:rsid w:val="00D07D5C"/>
    <w:rsid w:val="00D07DE2"/>
    <w:rsid w:val="00D13014"/>
    <w:rsid w:val="00D179BE"/>
    <w:rsid w:val="00D44000"/>
    <w:rsid w:val="00D45D04"/>
    <w:rsid w:val="00D6489D"/>
    <w:rsid w:val="00D6491E"/>
    <w:rsid w:val="00D7190A"/>
    <w:rsid w:val="00DC3F62"/>
    <w:rsid w:val="00DE0865"/>
    <w:rsid w:val="00DE3F4F"/>
    <w:rsid w:val="00DE7D24"/>
    <w:rsid w:val="00E15FE6"/>
    <w:rsid w:val="00E211F5"/>
    <w:rsid w:val="00E2181F"/>
    <w:rsid w:val="00E2342B"/>
    <w:rsid w:val="00E2386F"/>
    <w:rsid w:val="00E30297"/>
    <w:rsid w:val="00E30B32"/>
    <w:rsid w:val="00E32504"/>
    <w:rsid w:val="00E35AA6"/>
    <w:rsid w:val="00E362AD"/>
    <w:rsid w:val="00E3654A"/>
    <w:rsid w:val="00E466CF"/>
    <w:rsid w:val="00E606AE"/>
    <w:rsid w:val="00E638A4"/>
    <w:rsid w:val="00E63A5D"/>
    <w:rsid w:val="00E669AD"/>
    <w:rsid w:val="00E672AB"/>
    <w:rsid w:val="00E80B70"/>
    <w:rsid w:val="00E834BE"/>
    <w:rsid w:val="00E83BC5"/>
    <w:rsid w:val="00EA164D"/>
    <w:rsid w:val="00EB19F9"/>
    <w:rsid w:val="00EC7358"/>
    <w:rsid w:val="00EC76FB"/>
    <w:rsid w:val="00ED11C0"/>
    <w:rsid w:val="00ED168A"/>
    <w:rsid w:val="00ED428B"/>
    <w:rsid w:val="00ED63D2"/>
    <w:rsid w:val="00EE2F72"/>
    <w:rsid w:val="00EF3481"/>
    <w:rsid w:val="00EF7403"/>
    <w:rsid w:val="00F00566"/>
    <w:rsid w:val="00F17F2B"/>
    <w:rsid w:val="00F319CF"/>
    <w:rsid w:val="00F41306"/>
    <w:rsid w:val="00F436FF"/>
    <w:rsid w:val="00F461A0"/>
    <w:rsid w:val="00F6737A"/>
    <w:rsid w:val="00F80368"/>
    <w:rsid w:val="00F8209B"/>
    <w:rsid w:val="00F90E11"/>
    <w:rsid w:val="00FA0F5F"/>
    <w:rsid w:val="00FA3E2E"/>
    <w:rsid w:val="00FA6DCC"/>
    <w:rsid w:val="00FB020B"/>
    <w:rsid w:val="00FC7E15"/>
    <w:rsid w:val="00FD070D"/>
    <w:rsid w:val="00FD3BED"/>
    <w:rsid w:val="00FE55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2266"/>
  <w15:chartTrackingRefBased/>
  <w15:docId w15:val="{CC378FFE-D772-498E-87BF-3B2631377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03DB1"/>
    <w:pPr>
      <w:ind w:left="720"/>
      <w:contextualSpacing/>
    </w:pPr>
  </w:style>
  <w:style w:type="paragraph" w:styleId="Literaturverzeichnis">
    <w:name w:val="Bibliography"/>
    <w:basedOn w:val="Standard"/>
    <w:next w:val="Standard"/>
    <w:uiPriority w:val="37"/>
    <w:unhideWhenUsed/>
    <w:rsid w:val="003023AC"/>
    <w:pPr>
      <w:spacing w:after="240" w:line="240" w:lineRule="auto"/>
      <w:ind w:left="720" w:hanging="720"/>
    </w:pPr>
  </w:style>
  <w:style w:type="table" w:styleId="Tabellenraster">
    <w:name w:val="Table Grid"/>
    <w:basedOn w:val="NormaleTabelle"/>
    <w:uiPriority w:val="39"/>
    <w:rsid w:val="00AF0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A6DCC"/>
    <w:pPr>
      <w:spacing w:after="200" w:line="240" w:lineRule="auto"/>
    </w:pPr>
    <w:rPr>
      <w:i/>
      <w:iCs/>
      <w:color w:val="44546A" w:themeColor="text2"/>
      <w:sz w:val="18"/>
      <w:szCs w:val="18"/>
    </w:rPr>
  </w:style>
  <w:style w:type="character" w:styleId="Hervorhebung">
    <w:name w:val="Emphasis"/>
    <w:basedOn w:val="Absatz-Standardschriftart"/>
    <w:uiPriority w:val="20"/>
    <w:qFormat/>
    <w:rsid w:val="00E362AD"/>
    <w:rPr>
      <w:i/>
      <w:iCs/>
    </w:rPr>
  </w:style>
  <w:style w:type="character" w:customStyle="1" w:styleId="hgkelc">
    <w:name w:val="hgkelc"/>
    <w:basedOn w:val="Absatz-Standardschriftart"/>
    <w:rsid w:val="003C2DA2"/>
  </w:style>
  <w:style w:type="character" w:styleId="Kommentarzeichen">
    <w:name w:val="annotation reference"/>
    <w:basedOn w:val="Absatz-Standardschriftart"/>
    <w:uiPriority w:val="99"/>
    <w:semiHidden/>
    <w:unhideWhenUsed/>
    <w:rsid w:val="00F6737A"/>
    <w:rPr>
      <w:sz w:val="16"/>
      <w:szCs w:val="16"/>
    </w:rPr>
  </w:style>
  <w:style w:type="paragraph" w:styleId="Kommentartext">
    <w:name w:val="annotation text"/>
    <w:basedOn w:val="Standard"/>
    <w:link w:val="KommentartextZchn"/>
    <w:uiPriority w:val="99"/>
    <w:semiHidden/>
    <w:unhideWhenUsed/>
    <w:rsid w:val="00F673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6737A"/>
    <w:rPr>
      <w:sz w:val="20"/>
      <w:szCs w:val="20"/>
    </w:rPr>
  </w:style>
  <w:style w:type="paragraph" w:styleId="Kommentarthema">
    <w:name w:val="annotation subject"/>
    <w:basedOn w:val="Kommentartext"/>
    <w:next w:val="Kommentartext"/>
    <w:link w:val="KommentarthemaZchn"/>
    <w:uiPriority w:val="99"/>
    <w:semiHidden/>
    <w:unhideWhenUsed/>
    <w:rsid w:val="00F6737A"/>
    <w:rPr>
      <w:b/>
      <w:bCs/>
    </w:rPr>
  </w:style>
  <w:style w:type="character" w:customStyle="1" w:styleId="KommentarthemaZchn">
    <w:name w:val="Kommentarthema Zchn"/>
    <w:basedOn w:val="KommentartextZchn"/>
    <w:link w:val="Kommentarthema"/>
    <w:uiPriority w:val="99"/>
    <w:semiHidden/>
    <w:rsid w:val="00F6737A"/>
    <w:rPr>
      <w:b/>
      <w:bCs/>
      <w:sz w:val="20"/>
      <w:szCs w:val="20"/>
    </w:rPr>
  </w:style>
  <w:style w:type="paragraph" w:styleId="Sprechblasentext">
    <w:name w:val="Balloon Text"/>
    <w:basedOn w:val="Standard"/>
    <w:link w:val="SprechblasentextZchn"/>
    <w:uiPriority w:val="99"/>
    <w:semiHidden/>
    <w:unhideWhenUsed/>
    <w:rsid w:val="00F6737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6737A"/>
    <w:rPr>
      <w:rFonts w:ascii="Segoe UI" w:hAnsi="Segoe UI" w:cs="Segoe UI"/>
      <w:sz w:val="18"/>
      <w:szCs w:val="18"/>
    </w:rPr>
  </w:style>
  <w:style w:type="character" w:styleId="Zeilennummer">
    <w:name w:val="line number"/>
    <w:basedOn w:val="Absatz-Standardschriftart"/>
    <w:uiPriority w:val="99"/>
    <w:semiHidden/>
    <w:unhideWhenUsed/>
    <w:rsid w:val="00195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23665">
      <w:bodyDiv w:val="1"/>
      <w:marLeft w:val="0"/>
      <w:marRight w:val="0"/>
      <w:marTop w:val="0"/>
      <w:marBottom w:val="0"/>
      <w:divBdr>
        <w:top w:val="none" w:sz="0" w:space="0" w:color="auto"/>
        <w:left w:val="none" w:sz="0" w:space="0" w:color="auto"/>
        <w:bottom w:val="none" w:sz="0" w:space="0" w:color="auto"/>
        <w:right w:val="none" w:sz="0" w:space="0" w:color="auto"/>
      </w:divBdr>
    </w:div>
    <w:div w:id="204877204">
      <w:bodyDiv w:val="1"/>
      <w:marLeft w:val="0"/>
      <w:marRight w:val="0"/>
      <w:marTop w:val="0"/>
      <w:marBottom w:val="0"/>
      <w:divBdr>
        <w:top w:val="none" w:sz="0" w:space="0" w:color="auto"/>
        <w:left w:val="none" w:sz="0" w:space="0" w:color="auto"/>
        <w:bottom w:val="none" w:sz="0" w:space="0" w:color="auto"/>
        <w:right w:val="none" w:sz="0" w:space="0" w:color="auto"/>
      </w:divBdr>
    </w:div>
    <w:div w:id="227309111">
      <w:bodyDiv w:val="1"/>
      <w:marLeft w:val="0"/>
      <w:marRight w:val="0"/>
      <w:marTop w:val="0"/>
      <w:marBottom w:val="0"/>
      <w:divBdr>
        <w:top w:val="none" w:sz="0" w:space="0" w:color="auto"/>
        <w:left w:val="none" w:sz="0" w:space="0" w:color="auto"/>
        <w:bottom w:val="none" w:sz="0" w:space="0" w:color="auto"/>
        <w:right w:val="none" w:sz="0" w:space="0" w:color="auto"/>
      </w:divBdr>
    </w:div>
    <w:div w:id="319388204">
      <w:bodyDiv w:val="1"/>
      <w:marLeft w:val="0"/>
      <w:marRight w:val="0"/>
      <w:marTop w:val="0"/>
      <w:marBottom w:val="0"/>
      <w:divBdr>
        <w:top w:val="none" w:sz="0" w:space="0" w:color="auto"/>
        <w:left w:val="none" w:sz="0" w:space="0" w:color="auto"/>
        <w:bottom w:val="none" w:sz="0" w:space="0" w:color="auto"/>
        <w:right w:val="none" w:sz="0" w:space="0" w:color="auto"/>
      </w:divBdr>
    </w:div>
    <w:div w:id="503935346">
      <w:bodyDiv w:val="1"/>
      <w:marLeft w:val="0"/>
      <w:marRight w:val="0"/>
      <w:marTop w:val="0"/>
      <w:marBottom w:val="0"/>
      <w:divBdr>
        <w:top w:val="none" w:sz="0" w:space="0" w:color="auto"/>
        <w:left w:val="none" w:sz="0" w:space="0" w:color="auto"/>
        <w:bottom w:val="none" w:sz="0" w:space="0" w:color="auto"/>
        <w:right w:val="none" w:sz="0" w:space="0" w:color="auto"/>
      </w:divBdr>
    </w:div>
    <w:div w:id="574441886">
      <w:bodyDiv w:val="1"/>
      <w:marLeft w:val="0"/>
      <w:marRight w:val="0"/>
      <w:marTop w:val="0"/>
      <w:marBottom w:val="0"/>
      <w:divBdr>
        <w:top w:val="none" w:sz="0" w:space="0" w:color="auto"/>
        <w:left w:val="none" w:sz="0" w:space="0" w:color="auto"/>
        <w:bottom w:val="none" w:sz="0" w:space="0" w:color="auto"/>
        <w:right w:val="none" w:sz="0" w:space="0" w:color="auto"/>
      </w:divBdr>
    </w:div>
    <w:div w:id="631516591">
      <w:bodyDiv w:val="1"/>
      <w:marLeft w:val="0"/>
      <w:marRight w:val="0"/>
      <w:marTop w:val="0"/>
      <w:marBottom w:val="0"/>
      <w:divBdr>
        <w:top w:val="none" w:sz="0" w:space="0" w:color="auto"/>
        <w:left w:val="none" w:sz="0" w:space="0" w:color="auto"/>
        <w:bottom w:val="none" w:sz="0" w:space="0" w:color="auto"/>
        <w:right w:val="none" w:sz="0" w:space="0" w:color="auto"/>
      </w:divBdr>
    </w:div>
    <w:div w:id="670304309">
      <w:bodyDiv w:val="1"/>
      <w:marLeft w:val="0"/>
      <w:marRight w:val="0"/>
      <w:marTop w:val="0"/>
      <w:marBottom w:val="0"/>
      <w:divBdr>
        <w:top w:val="none" w:sz="0" w:space="0" w:color="auto"/>
        <w:left w:val="none" w:sz="0" w:space="0" w:color="auto"/>
        <w:bottom w:val="none" w:sz="0" w:space="0" w:color="auto"/>
        <w:right w:val="none" w:sz="0" w:space="0" w:color="auto"/>
      </w:divBdr>
    </w:div>
    <w:div w:id="716859833">
      <w:bodyDiv w:val="1"/>
      <w:marLeft w:val="0"/>
      <w:marRight w:val="0"/>
      <w:marTop w:val="0"/>
      <w:marBottom w:val="0"/>
      <w:divBdr>
        <w:top w:val="none" w:sz="0" w:space="0" w:color="auto"/>
        <w:left w:val="none" w:sz="0" w:space="0" w:color="auto"/>
        <w:bottom w:val="none" w:sz="0" w:space="0" w:color="auto"/>
        <w:right w:val="none" w:sz="0" w:space="0" w:color="auto"/>
      </w:divBdr>
    </w:div>
    <w:div w:id="719013055">
      <w:bodyDiv w:val="1"/>
      <w:marLeft w:val="0"/>
      <w:marRight w:val="0"/>
      <w:marTop w:val="0"/>
      <w:marBottom w:val="0"/>
      <w:divBdr>
        <w:top w:val="none" w:sz="0" w:space="0" w:color="auto"/>
        <w:left w:val="none" w:sz="0" w:space="0" w:color="auto"/>
        <w:bottom w:val="none" w:sz="0" w:space="0" w:color="auto"/>
        <w:right w:val="none" w:sz="0" w:space="0" w:color="auto"/>
      </w:divBdr>
    </w:div>
    <w:div w:id="794832974">
      <w:bodyDiv w:val="1"/>
      <w:marLeft w:val="0"/>
      <w:marRight w:val="0"/>
      <w:marTop w:val="0"/>
      <w:marBottom w:val="0"/>
      <w:divBdr>
        <w:top w:val="none" w:sz="0" w:space="0" w:color="auto"/>
        <w:left w:val="none" w:sz="0" w:space="0" w:color="auto"/>
        <w:bottom w:val="none" w:sz="0" w:space="0" w:color="auto"/>
        <w:right w:val="none" w:sz="0" w:space="0" w:color="auto"/>
      </w:divBdr>
    </w:div>
    <w:div w:id="831798738">
      <w:bodyDiv w:val="1"/>
      <w:marLeft w:val="0"/>
      <w:marRight w:val="0"/>
      <w:marTop w:val="0"/>
      <w:marBottom w:val="0"/>
      <w:divBdr>
        <w:top w:val="none" w:sz="0" w:space="0" w:color="auto"/>
        <w:left w:val="none" w:sz="0" w:space="0" w:color="auto"/>
        <w:bottom w:val="none" w:sz="0" w:space="0" w:color="auto"/>
        <w:right w:val="none" w:sz="0" w:space="0" w:color="auto"/>
      </w:divBdr>
    </w:div>
    <w:div w:id="931162580">
      <w:bodyDiv w:val="1"/>
      <w:marLeft w:val="0"/>
      <w:marRight w:val="0"/>
      <w:marTop w:val="0"/>
      <w:marBottom w:val="0"/>
      <w:divBdr>
        <w:top w:val="none" w:sz="0" w:space="0" w:color="auto"/>
        <w:left w:val="none" w:sz="0" w:space="0" w:color="auto"/>
        <w:bottom w:val="none" w:sz="0" w:space="0" w:color="auto"/>
        <w:right w:val="none" w:sz="0" w:space="0" w:color="auto"/>
      </w:divBdr>
    </w:div>
    <w:div w:id="1108355914">
      <w:bodyDiv w:val="1"/>
      <w:marLeft w:val="0"/>
      <w:marRight w:val="0"/>
      <w:marTop w:val="0"/>
      <w:marBottom w:val="0"/>
      <w:divBdr>
        <w:top w:val="none" w:sz="0" w:space="0" w:color="auto"/>
        <w:left w:val="none" w:sz="0" w:space="0" w:color="auto"/>
        <w:bottom w:val="none" w:sz="0" w:space="0" w:color="auto"/>
        <w:right w:val="none" w:sz="0" w:space="0" w:color="auto"/>
      </w:divBdr>
    </w:div>
    <w:div w:id="1161577886">
      <w:bodyDiv w:val="1"/>
      <w:marLeft w:val="0"/>
      <w:marRight w:val="0"/>
      <w:marTop w:val="0"/>
      <w:marBottom w:val="0"/>
      <w:divBdr>
        <w:top w:val="none" w:sz="0" w:space="0" w:color="auto"/>
        <w:left w:val="none" w:sz="0" w:space="0" w:color="auto"/>
        <w:bottom w:val="none" w:sz="0" w:space="0" w:color="auto"/>
        <w:right w:val="none" w:sz="0" w:space="0" w:color="auto"/>
      </w:divBdr>
    </w:div>
    <w:div w:id="1178692832">
      <w:bodyDiv w:val="1"/>
      <w:marLeft w:val="0"/>
      <w:marRight w:val="0"/>
      <w:marTop w:val="0"/>
      <w:marBottom w:val="0"/>
      <w:divBdr>
        <w:top w:val="none" w:sz="0" w:space="0" w:color="auto"/>
        <w:left w:val="none" w:sz="0" w:space="0" w:color="auto"/>
        <w:bottom w:val="none" w:sz="0" w:space="0" w:color="auto"/>
        <w:right w:val="none" w:sz="0" w:space="0" w:color="auto"/>
      </w:divBdr>
    </w:div>
    <w:div w:id="1261183785">
      <w:bodyDiv w:val="1"/>
      <w:marLeft w:val="0"/>
      <w:marRight w:val="0"/>
      <w:marTop w:val="0"/>
      <w:marBottom w:val="0"/>
      <w:divBdr>
        <w:top w:val="none" w:sz="0" w:space="0" w:color="auto"/>
        <w:left w:val="none" w:sz="0" w:space="0" w:color="auto"/>
        <w:bottom w:val="none" w:sz="0" w:space="0" w:color="auto"/>
        <w:right w:val="none" w:sz="0" w:space="0" w:color="auto"/>
      </w:divBdr>
    </w:div>
    <w:div w:id="1347706605">
      <w:bodyDiv w:val="1"/>
      <w:marLeft w:val="0"/>
      <w:marRight w:val="0"/>
      <w:marTop w:val="0"/>
      <w:marBottom w:val="0"/>
      <w:divBdr>
        <w:top w:val="none" w:sz="0" w:space="0" w:color="auto"/>
        <w:left w:val="none" w:sz="0" w:space="0" w:color="auto"/>
        <w:bottom w:val="none" w:sz="0" w:space="0" w:color="auto"/>
        <w:right w:val="none" w:sz="0" w:space="0" w:color="auto"/>
      </w:divBdr>
    </w:div>
    <w:div w:id="1434520907">
      <w:bodyDiv w:val="1"/>
      <w:marLeft w:val="0"/>
      <w:marRight w:val="0"/>
      <w:marTop w:val="0"/>
      <w:marBottom w:val="0"/>
      <w:divBdr>
        <w:top w:val="none" w:sz="0" w:space="0" w:color="auto"/>
        <w:left w:val="none" w:sz="0" w:space="0" w:color="auto"/>
        <w:bottom w:val="none" w:sz="0" w:space="0" w:color="auto"/>
        <w:right w:val="none" w:sz="0" w:space="0" w:color="auto"/>
      </w:divBdr>
    </w:div>
    <w:div w:id="1442992544">
      <w:bodyDiv w:val="1"/>
      <w:marLeft w:val="0"/>
      <w:marRight w:val="0"/>
      <w:marTop w:val="0"/>
      <w:marBottom w:val="0"/>
      <w:divBdr>
        <w:top w:val="none" w:sz="0" w:space="0" w:color="auto"/>
        <w:left w:val="none" w:sz="0" w:space="0" w:color="auto"/>
        <w:bottom w:val="none" w:sz="0" w:space="0" w:color="auto"/>
        <w:right w:val="none" w:sz="0" w:space="0" w:color="auto"/>
      </w:divBdr>
    </w:div>
    <w:div w:id="1531259287">
      <w:bodyDiv w:val="1"/>
      <w:marLeft w:val="0"/>
      <w:marRight w:val="0"/>
      <w:marTop w:val="0"/>
      <w:marBottom w:val="0"/>
      <w:divBdr>
        <w:top w:val="none" w:sz="0" w:space="0" w:color="auto"/>
        <w:left w:val="none" w:sz="0" w:space="0" w:color="auto"/>
        <w:bottom w:val="none" w:sz="0" w:space="0" w:color="auto"/>
        <w:right w:val="none" w:sz="0" w:space="0" w:color="auto"/>
      </w:divBdr>
    </w:div>
    <w:div w:id="1587231814">
      <w:bodyDiv w:val="1"/>
      <w:marLeft w:val="0"/>
      <w:marRight w:val="0"/>
      <w:marTop w:val="0"/>
      <w:marBottom w:val="0"/>
      <w:divBdr>
        <w:top w:val="none" w:sz="0" w:space="0" w:color="auto"/>
        <w:left w:val="none" w:sz="0" w:space="0" w:color="auto"/>
        <w:bottom w:val="none" w:sz="0" w:space="0" w:color="auto"/>
        <w:right w:val="none" w:sz="0" w:space="0" w:color="auto"/>
      </w:divBdr>
    </w:div>
    <w:div w:id="163066850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 w:id="1748378530">
      <w:bodyDiv w:val="1"/>
      <w:marLeft w:val="0"/>
      <w:marRight w:val="0"/>
      <w:marTop w:val="0"/>
      <w:marBottom w:val="0"/>
      <w:divBdr>
        <w:top w:val="none" w:sz="0" w:space="0" w:color="auto"/>
        <w:left w:val="none" w:sz="0" w:space="0" w:color="auto"/>
        <w:bottom w:val="none" w:sz="0" w:space="0" w:color="auto"/>
        <w:right w:val="none" w:sz="0" w:space="0" w:color="auto"/>
      </w:divBdr>
    </w:div>
    <w:div w:id="1875650253">
      <w:bodyDiv w:val="1"/>
      <w:marLeft w:val="0"/>
      <w:marRight w:val="0"/>
      <w:marTop w:val="0"/>
      <w:marBottom w:val="0"/>
      <w:divBdr>
        <w:top w:val="none" w:sz="0" w:space="0" w:color="auto"/>
        <w:left w:val="none" w:sz="0" w:space="0" w:color="auto"/>
        <w:bottom w:val="none" w:sz="0" w:space="0" w:color="auto"/>
        <w:right w:val="none" w:sz="0" w:space="0" w:color="auto"/>
      </w:divBdr>
    </w:div>
    <w:div w:id="1883253150">
      <w:bodyDiv w:val="1"/>
      <w:marLeft w:val="0"/>
      <w:marRight w:val="0"/>
      <w:marTop w:val="0"/>
      <w:marBottom w:val="0"/>
      <w:divBdr>
        <w:top w:val="none" w:sz="0" w:space="0" w:color="auto"/>
        <w:left w:val="none" w:sz="0" w:space="0" w:color="auto"/>
        <w:bottom w:val="none" w:sz="0" w:space="0" w:color="auto"/>
        <w:right w:val="none" w:sz="0" w:space="0" w:color="auto"/>
      </w:divBdr>
    </w:div>
    <w:div w:id="1956325989">
      <w:bodyDiv w:val="1"/>
      <w:marLeft w:val="0"/>
      <w:marRight w:val="0"/>
      <w:marTop w:val="0"/>
      <w:marBottom w:val="0"/>
      <w:divBdr>
        <w:top w:val="none" w:sz="0" w:space="0" w:color="auto"/>
        <w:left w:val="none" w:sz="0" w:space="0" w:color="auto"/>
        <w:bottom w:val="none" w:sz="0" w:space="0" w:color="auto"/>
        <w:right w:val="none" w:sz="0" w:space="0" w:color="auto"/>
      </w:divBdr>
    </w:div>
    <w:div w:id="2012874143">
      <w:bodyDiv w:val="1"/>
      <w:marLeft w:val="0"/>
      <w:marRight w:val="0"/>
      <w:marTop w:val="0"/>
      <w:marBottom w:val="0"/>
      <w:divBdr>
        <w:top w:val="none" w:sz="0" w:space="0" w:color="auto"/>
        <w:left w:val="none" w:sz="0" w:space="0" w:color="auto"/>
        <w:bottom w:val="none" w:sz="0" w:space="0" w:color="auto"/>
        <w:right w:val="none" w:sz="0" w:space="0" w:color="auto"/>
      </w:divBdr>
    </w:div>
    <w:div w:id="2042582333">
      <w:bodyDiv w:val="1"/>
      <w:marLeft w:val="0"/>
      <w:marRight w:val="0"/>
      <w:marTop w:val="0"/>
      <w:marBottom w:val="0"/>
      <w:divBdr>
        <w:top w:val="none" w:sz="0" w:space="0" w:color="auto"/>
        <w:left w:val="none" w:sz="0" w:space="0" w:color="auto"/>
        <w:bottom w:val="none" w:sz="0" w:space="0" w:color="auto"/>
        <w:right w:val="none" w:sz="0" w:space="0" w:color="auto"/>
      </w:divBdr>
    </w:div>
    <w:div w:id="205727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EE641-33B9-4D58-9679-CBBAE58D6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16426</Words>
  <Characters>93629</Characters>
  <Application>Microsoft Office Word</Application>
  <DocSecurity>0</DocSecurity>
  <Lines>780</Lines>
  <Paragraphs>219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155</cp:revision>
  <dcterms:created xsi:type="dcterms:W3CDTF">2023-08-10T13:02:00Z</dcterms:created>
  <dcterms:modified xsi:type="dcterms:W3CDTF">2023-09-21T06:40:00Z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zotero-version="6.0.27-beta.3+3e12f3f20"&gt;&lt;session id="PjfVyEUc"/&gt;&lt;style id="http://www.zotero.org/styles/environmental-research-letters" hasBibliography="1" bibliographyStyleHasBeenSet="1"/&gt;&lt;prefs&gt;&lt;pref name="fieldType" value="Field</vt:lpwstr>
  </property>
  <property fmtid="{D5CDD505-2E9C-101B-9397-08002B2CF9AE}" pid="3" name="ZOTERO_PREF_2">
    <vt:lpwstr>"/&gt;&lt;/prefs&gt;&lt;/data&gt;</vt:lpwstr>
  </property>
</Properties>
</file>